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eastAsia" w:ascii="Times New Roman" w:hAnsi="Times New Roman" w:eastAsia="方正小标宋简体" w:cs="Times New Roman"/>
          <w:color w:val="auto"/>
          <w:kern w:val="2"/>
          <w:sz w:val="72"/>
          <w:szCs w:val="72"/>
          <w:highlight w:val="none"/>
          <w:lang w:val="en-US" w:eastAsia="zh-CN" w:bidi="ar-SA"/>
        </w:rPr>
      </w:pPr>
      <w:bookmarkStart w:id="0" w:name="_Toc15306267"/>
      <w:bookmarkStart w:id="1" w:name="_Toc15396597"/>
      <w:bookmarkStart w:id="2" w:name="_Toc15378441"/>
      <w:bookmarkStart w:id="3" w:name="_Toc15396475"/>
      <w:bookmarkStart w:id="4" w:name="_Toc15377193"/>
      <w:bookmarkStart w:id="5" w:name="_Toc15377425"/>
    </w:p>
    <w:p>
      <w:pPr>
        <w:pStyle w:val="7"/>
        <w:rPr>
          <w:rFonts w:hint="eastAsia" w:ascii="Times New Roman" w:hAnsi="Times New Roman" w:eastAsia="方正小标宋简体" w:cs="Times New Roman"/>
          <w:color w:val="auto"/>
          <w:kern w:val="2"/>
          <w:sz w:val="72"/>
          <w:szCs w:val="72"/>
          <w:highlight w:val="none"/>
          <w:lang w:val="en-US" w:eastAsia="zh-CN" w:bidi="ar-SA"/>
        </w:rPr>
      </w:pPr>
    </w:p>
    <w:p>
      <w:pPr>
        <w:pStyle w:val="7"/>
        <w:rPr>
          <w:rFonts w:hint="eastAsia" w:ascii="Times New Roman" w:hAnsi="Times New Roman" w:eastAsia="方正小标宋简体" w:cs="Times New Roman"/>
          <w:color w:val="auto"/>
          <w:kern w:val="2"/>
          <w:sz w:val="72"/>
          <w:szCs w:val="72"/>
          <w:highlight w:val="none"/>
          <w:lang w:val="en-US" w:eastAsia="zh-CN" w:bidi="ar-SA"/>
        </w:rPr>
      </w:pPr>
    </w:p>
    <w:p>
      <w:pPr>
        <w:pStyle w:val="7"/>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2024年度乐山市</w:t>
      </w:r>
      <w:r>
        <w:rPr>
          <w:rFonts w:hint="eastAsia" w:ascii="Times New Roman" w:eastAsia="方正小标宋简体" w:cs="Times New Roman"/>
          <w:color w:val="auto"/>
          <w:kern w:val="2"/>
          <w:sz w:val="44"/>
          <w:szCs w:val="44"/>
          <w:highlight w:val="none"/>
          <w:lang w:val="en-US" w:eastAsia="zh-CN" w:bidi="ar-SA"/>
        </w:rPr>
        <w:t>五通桥区</w:t>
      </w:r>
      <w:r>
        <w:rPr>
          <w:rFonts w:hint="eastAsia" w:ascii="Times New Roman" w:hAnsi="Times New Roman" w:eastAsia="方正小标宋简体" w:cs="Times New Roman"/>
          <w:color w:val="auto"/>
          <w:kern w:val="2"/>
          <w:sz w:val="44"/>
          <w:szCs w:val="44"/>
          <w:highlight w:val="none"/>
          <w:lang w:val="en-US" w:eastAsia="zh-CN" w:bidi="ar-SA"/>
        </w:rPr>
        <w:t>归侨侨眷联合会</w:t>
      </w:r>
    </w:p>
    <w:p>
      <w:pPr>
        <w:pStyle w:val="7"/>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单位决算</w:t>
      </w:r>
      <w:bookmarkStart w:id="124" w:name="_GoBack"/>
      <w:bookmarkEnd w:id="124"/>
    </w:p>
    <w:p>
      <w:pPr>
        <w:spacing w:line="600" w:lineRule="exact"/>
        <w:jc w:val="center"/>
        <w:outlineLvl w:val="0"/>
        <w:rPr>
          <w:rFonts w:ascii="Times New Roman" w:hAnsi="Times New Roman" w:eastAsia="方正小标宋简体"/>
          <w:color w:val="auto"/>
          <w:sz w:val="72"/>
          <w:szCs w:val="72"/>
          <w:highlight w:val="none"/>
        </w:rPr>
      </w:pPr>
    </w:p>
    <w:p>
      <w:pPr>
        <w:pStyle w:val="19"/>
        <w:rPr>
          <w:rFonts w:ascii="Times New Roman" w:hAnsi="Times New Roman"/>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sdt>
      <w:sdtPr>
        <w:rPr>
          <w:rFonts w:ascii="宋体" w:hAnsi="宋体" w:eastAsia="宋体" w:cs="Times New Roman"/>
          <w:kern w:val="2"/>
          <w:sz w:val="21"/>
          <w:szCs w:val="24"/>
          <w:lang w:val="en-US" w:eastAsia="zh-CN" w:bidi="ar-SA"/>
        </w:rPr>
        <w:id w:val="147472968"/>
        <w:docPartObj>
          <w:docPartGallery w:val="Table of Contents"/>
          <w:docPartUnique/>
        </w:docPartObj>
      </w:sdtPr>
      <w:sdtEndPr>
        <w:rPr>
          <w:rFonts w:ascii="宋体" w:hAnsi="宋体" w:eastAsia="宋体" w:cs="Times New Roman"/>
          <w:kern w:val="2"/>
          <w:sz w:val="20"/>
          <w:szCs w:val="20"/>
          <w:lang w:val="en-US" w:eastAsia="zh-CN" w:bidi="ar-SA"/>
        </w:rPr>
      </w:sdtEndPr>
      <w:sdtContent>
        <w:p>
          <w:pPr>
            <w:spacing w:before="0" w:beforeLines="0" w:after="0" w:afterLines="0" w:line="240" w:lineRule="auto"/>
            <w:ind w:left="0" w:leftChars="0" w:right="0" w:rightChars="0" w:firstLine="0" w:firstLineChars="0"/>
            <w:jc w:val="center"/>
          </w:pPr>
          <w:bookmarkStart w:id="6" w:name="_Toc3412_WPSOffice_Type2"/>
          <w:r>
            <w:rPr>
              <w:rFonts w:ascii="宋体" w:hAnsi="宋体" w:eastAsia="宋体"/>
              <w:sz w:val="21"/>
            </w:rPr>
            <w:t>目录</w:t>
          </w:r>
        </w:p>
        <w:p>
          <w:pPr>
            <w:pStyle w:val="36"/>
            <w:tabs>
              <w:tab w:val="right" w:leader="dot" w:pos="8306"/>
            </w:tabs>
          </w:pPr>
          <w:r>
            <w:rPr>
              <w:b/>
              <w:bCs/>
            </w:rPr>
            <w:fldChar w:fldCharType="begin"/>
          </w:r>
          <w:r>
            <w:instrText xml:space="preserve"> HYPERLINK \l _Toc9049_WPSOffice_Level1 </w:instrText>
          </w:r>
          <w:r>
            <w:rPr>
              <w:b/>
              <w:bCs/>
            </w:rPr>
            <w:fldChar w:fldCharType="separate"/>
          </w:r>
          <w:sdt>
            <w:sdtPr>
              <w:rPr>
                <w:rFonts w:ascii="Times New Roman" w:hAnsi="Times New Roman" w:eastAsia="宋体" w:cs="Times New Roman"/>
                <w:b/>
                <w:bCs/>
                <w:kern w:val="44"/>
                <w:sz w:val="44"/>
                <w:szCs w:val="44"/>
                <w:lang w:val="en-US" w:eastAsia="zh-CN" w:bidi="ar-SA"/>
              </w:rPr>
              <w:id w:val="147472968"/>
              <w:placeholder>
                <w:docPart w:val="{94008371-b682-4a97-ab66-087cba346b08}"/>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方正小标宋简体" w:cs="方正小标宋简体"/>
                  <w:b/>
                  <w:bCs/>
                </w:rPr>
                <w:t>第一部分  部门概况</w:t>
              </w:r>
            </w:sdtContent>
          </w:sdt>
          <w:r>
            <w:rPr>
              <w:b/>
              <w:bCs/>
            </w:rPr>
            <w:tab/>
          </w:r>
          <w:bookmarkStart w:id="7" w:name="_Toc9049_WPSOffice_Level1Page"/>
          <w:r>
            <w:rPr>
              <w:b/>
              <w:bCs/>
            </w:rPr>
            <w:t>1</w:t>
          </w:r>
          <w:bookmarkEnd w:id="7"/>
          <w:r>
            <w:rPr>
              <w:b/>
              <w:bCs/>
            </w:rPr>
            <w:fldChar w:fldCharType="end"/>
          </w:r>
        </w:p>
        <w:p>
          <w:pPr>
            <w:pStyle w:val="37"/>
            <w:tabs>
              <w:tab w:val="right" w:leader="dot" w:pos="8306"/>
            </w:tabs>
          </w:pPr>
          <w:r>
            <w:fldChar w:fldCharType="begin"/>
          </w:r>
          <w:r>
            <w:instrText xml:space="preserve"> HYPERLINK \l _Toc3412_WPSOffice_Level2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b6992f78-a381-4f24-82cf-36a8fe14b416}"/>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heme="majorBidi"/>
                </w:rPr>
                <w:t>一、 部门职责</w:t>
              </w:r>
            </w:sdtContent>
          </w:sdt>
          <w:r>
            <w:tab/>
          </w:r>
          <w:bookmarkStart w:id="8" w:name="_Toc3412_WPSOffice_Level2Page"/>
          <w:r>
            <w:t>1</w:t>
          </w:r>
          <w:bookmarkEnd w:id="8"/>
          <w:r>
            <w:fldChar w:fldCharType="end"/>
          </w:r>
        </w:p>
        <w:p>
          <w:pPr>
            <w:pStyle w:val="37"/>
            <w:tabs>
              <w:tab w:val="right" w:leader="dot" w:pos="8306"/>
            </w:tabs>
          </w:pPr>
          <w:r>
            <w:fldChar w:fldCharType="begin"/>
          </w:r>
          <w:r>
            <w:instrText xml:space="preserve"> HYPERLINK \l _Toc13504_WPSOffice_Level2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1689b8ba-7ebf-4db5-9197-9e5a633e21a9}"/>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heme="majorBidi"/>
                </w:rPr>
                <w:t>二、机构设置</w:t>
              </w:r>
            </w:sdtContent>
          </w:sdt>
          <w:r>
            <w:tab/>
          </w:r>
          <w:bookmarkStart w:id="9" w:name="_Toc13504_WPSOffice_Level2Page"/>
          <w:r>
            <w:t>1</w:t>
          </w:r>
          <w:bookmarkEnd w:id="9"/>
          <w:r>
            <w:fldChar w:fldCharType="end"/>
          </w:r>
        </w:p>
        <w:p>
          <w:pPr>
            <w:pStyle w:val="36"/>
            <w:tabs>
              <w:tab w:val="right" w:leader="dot" w:pos="8306"/>
            </w:tabs>
          </w:pPr>
          <w:r>
            <w:rPr>
              <w:b/>
              <w:bCs/>
            </w:rPr>
            <w:fldChar w:fldCharType="begin"/>
          </w:r>
          <w:r>
            <w:instrText xml:space="preserve"> HYPERLINK \l _Toc3412_WPSOffice_Level1 </w:instrText>
          </w:r>
          <w:r>
            <w:rPr>
              <w:b/>
              <w:bCs/>
            </w:rPr>
            <w:fldChar w:fldCharType="separate"/>
          </w:r>
          <w:sdt>
            <w:sdtPr>
              <w:rPr>
                <w:rFonts w:ascii="Times New Roman" w:hAnsi="Times New Roman" w:eastAsia="宋体" w:cs="Times New Roman"/>
                <w:b/>
                <w:bCs/>
                <w:kern w:val="44"/>
                <w:sz w:val="44"/>
                <w:szCs w:val="44"/>
                <w:lang w:val="en-US" w:eastAsia="zh-CN" w:bidi="ar-SA"/>
              </w:rPr>
              <w:id w:val="147472968"/>
              <w:placeholder>
                <w:docPart w:val="{7b1d8603-5354-4d51-ba02-ab6de4016de3}"/>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方正小标宋简体" w:cs="方正小标宋简体"/>
                  <w:b/>
                  <w:bCs/>
                </w:rPr>
                <w:t>第二部分  2024年度部门决算情况说明</w:t>
              </w:r>
            </w:sdtContent>
          </w:sdt>
          <w:r>
            <w:rPr>
              <w:b/>
              <w:bCs/>
            </w:rPr>
            <w:tab/>
          </w:r>
          <w:bookmarkStart w:id="10" w:name="_Toc3412_WPSOffice_Level1Page"/>
          <w:r>
            <w:rPr>
              <w:b/>
              <w:bCs/>
            </w:rPr>
            <w:t>2</w:t>
          </w:r>
          <w:bookmarkEnd w:id="10"/>
          <w:r>
            <w:rPr>
              <w:b/>
              <w:bCs/>
            </w:rPr>
            <w:fldChar w:fldCharType="end"/>
          </w:r>
        </w:p>
        <w:p>
          <w:pPr>
            <w:pStyle w:val="37"/>
            <w:tabs>
              <w:tab w:val="right" w:leader="dot" w:pos="8306"/>
            </w:tabs>
          </w:pPr>
          <w:r>
            <w:fldChar w:fldCharType="begin"/>
          </w:r>
          <w:r>
            <w:instrText xml:space="preserve"> HYPERLINK \l _Toc15718_WPSOffice_Level2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e1c669e8-3e9b-45b3-a108-0f3dc6df3591}"/>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一、收</w:t>
              </w:r>
              <w:r>
                <w:rPr>
                  <w:rFonts w:hint="eastAsia" w:ascii="Times New Roman" w:hAnsi="Times New Roman" w:eastAsia="黑体" w:cstheme="majorBidi"/>
                </w:rPr>
                <w:t>入支出决算总体情况说明</w:t>
              </w:r>
            </w:sdtContent>
          </w:sdt>
          <w:r>
            <w:tab/>
          </w:r>
          <w:bookmarkStart w:id="11" w:name="_Toc15718_WPSOffice_Level2Page"/>
          <w:r>
            <w:t>2</w:t>
          </w:r>
          <w:bookmarkEnd w:id="11"/>
          <w:r>
            <w:fldChar w:fldCharType="end"/>
          </w:r>
        </w:p>
        <w:p>
          <w:pPr>
            <w:pStyle w:val="37"/>
            <w:tabs>
              <w:tab w:val="right" w:leader="dot" w:pos="8306"/>
            </w:tabs>
          </w:pPr>
          <w:r>
            <w:fldChar w:fldCharType="begin"/>
          </w:r>
          <w:r>
            <w:instrText xml:space="preserve"> HYPERLINK \l _Toc1444_WPSOffice_Level2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0e528994-af01-4882-91b8-2913ac3afdca}"/>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二、收入决算情况说明</w:t>
              </w:r>
            </w:sdtContent>
          </w:sdt>
          <w:r>
            <w:tab/>
          </w:r>
          <w:bookmarkStart w:id="12" w:name="_Toc1444_WPSOffice_Level2Page"/>
          <w:r>
            <w:t>2</w:t>
          </w:r>
          <w:bookmarkEnd w:id="12"/>
          <w:r>
            <w:fldChar w:fldCharType="end"/>
          </w:r>
        </w:p>
        <w:p>
          <w:pPr>
            <w:pStyle w:val="37"/>
            <w:tabs>
              <w:tab w:val="right" w:leader="dot" w:pos="8306"/>
            </w:tabs>
          </w:pPr>
          <w:r>
            <w:fldChar w:fldCharType="begin"/>
          </w:r>
          <w:r>
            <w:instrText xml:space="preserve"> HYPERLINK \l _Toc10637_WPSOffice_Level2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74fc1dc1-bdc1-4442-8418-9c15dcab5702}"/>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三、支</w:t>
              </w:r>
              <w:r>
                <w:rPr>
                  <w:rFonts w:hint="eastAsia" w:ascii="Times New Roman" w:hAnsi="Times New Roman" w:eastAsia="黑体" w:cstheme="majorBidi"/>
                </w:rPr>
                <w:t>出决算情况说明</w:t>
              </w:r>
            </w:sdtContent>
          </w:sdt>
          <w:r>
            <w:tab/>
          </w:r>
          <w:bookmarkStart w:id="13" w:name="_Toc10637_WPSOffice_Level2Page"/>
          <w:r>
            <w:t>3</w:t>
          </w:r>
          <w:bookmarkEnd w:id="13"/>
          <w:r>
            <w:fldChar w:fldCharType="end"/>
          </w:r>
        </w:p>
        <w:p>
          <w:pPr>
            <w:pStyle w:val="37"/>
            <w:tabs>
              <w:tab w:val="right" w:leader="dot" w:pos="8306"/>
            </w:tabs>
          </w:pPr>
          <w:r>
            <w:fldChar w:fldCharType="begin"/>
          </w:r>
          <w:r>
            <w:instrText xml:space="preserve"> HYPERLINK \l _Toc7767_WPSOffice_Level2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886c97e1-724d-4e43-bc4a-9a00de08ce74}"/>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四、财</w:t>
              </w:r>
              <w:r>
                <w:rPr>
                  <w:rFonts w:hint="eastAsia" w:ascii="Times New Roman" w:hAnsi="Times New Roman" w:eastAsia="黑体" w:cstheme="majorBidi"/>
                </w:rPr>
                <w:t>政拨款收入支出决算总体情况说明</w:t>
              </w:r>
            </w:sdtContent>
          </w:sdt>
          <w:r>
            <w:tab/>
          </w:r>
          <w:bookmarkStart w:id="14" w:name="_Toc7767_WPSOffice_Level2Page"/>
          <w:r>
            <w:t>3</w:t>
          </w:r>
          <w:bookmarkEnd w:id="14"/>
          <w:r>
            <w:fldChar w:fldCharType="end"/>
          </w:r>
        </w:p>
        <w:p>
          <w:pPr>
            <w:pStyle w:val="37"/>
            <w:tabs>
              <w:tab w:val="right" w:leader="dot" w:pos="8306"/>
            </w:tabs>
          </w:pPr>
          <w:r>
            <w:fldChar w:fldCharType="begin"/>
          </w:r>
          <w:r>
            <w:instrText xml:space="preserve"> HYPERLINK \l _Toc23315_WPSOffice_Level2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df82d8df-e409-4f4e-8d35-c98f63cc5b0f}"/>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五、一</w:t>
              </w:r>
              <w:r>
                <w:rPr>
                  <w:rFonts w:hint="eastAsia" w:ascii="Times New Roman" w:hAnsi="Times New Roman" w:eastAsia="黑体" w:cstheme="majorBidi"/>
                </w:rPr>
                <w:t>般公共预算财政拨款支出决算情况说明</w:t>
              </w:r>
            </w:sdtContent>
          </w:sdt>
          <w:r>
            <w:tab/>
          </w:r>
          <w:bookmarkStart w:id="15" w:name="_Toc23315_WPSOffice_Level2Page"/>
          <w:r>
            <w:t>4</w:t>
          </w:r>
          <w:bookmarkEnd w:id="15"/>
          <w:r>
            <w:fldChar w:fldCharType="end"/>
          </w:r>
        </w:p>
        <w:p>
          <w:pPr>
            <w:pStyle w:val="37"/>
            <w:tabs>
              <w:tab w:val="right" w:leader="dot" w:pos="8306"/>
            </w:tabs>
          </w:pPr>
          <w:r>
            <w:fldChar w:fldCharType="begin"/>
          </w:r>
          <w:r>
            <w:instrText xml:space="preserve"> HYPERLINK \l _Toc23940_WPSOffice_Level2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3c5b5b62-6087-42ed-8ca9-4a9f3b4dea5e}"/>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六、一</w:t>
              </w:r>
              <w:r>
                <w:rPr>
                  <w:rFonts w:hint="eastAsia" w:ascii="Times New Roman" w:hAnsi="Times New Roman" w:eastAsia="黑体" w:cstheme="majorBidi"/>
                </w:rPr>
                <w:t>般公共预算财政拨款基本支出决算情况说明</w:t>
              </w:r>
            </w:sdtContent>
          </w:sdt>
          <w:r>
            <w:tab/>
          </w:r>
          <w:bookmarkStart w:id="16" w:name="_Toc23940_WPSOffice_Level2Page"/>
          <w:r>
            <w:t>7</w:t>
          </w:r>
          <w:bookmarkEnd w:id="16"/>
          <w:r>
            <w:fldChar w:fldCharType="end"/>
          </w:r>
        </w:p>
        <w:p>
          <w:pPr>
            <w:pStyle w:val="37"/>
            <w:tabs>
              <w:tab w:val="right" w:leader="dot" w:pos="8306"/>
            </w:tabs>
          </w:pPr>
          <w:r>
            <w:fldChar w:fldCharType="begin"/>
          </w:r>
          <w:r>
            <w:instrText xml:space="preserve"> HYPERLINK \l _Toc20089_WPSOffice_Level2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39aa9dbe-888c-44d1-a770-1a41d930aab1}"/>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七、</w:t>
              </w:r>
              <w:r>
                <w:rPr>
                  <w:rFonts w:hint="eastAsia" w:ascii="Times New Roman" w:hAnsi="Times New Roman" w:eastAsia="黑体" w:cstheme="majorBidi"/>
                </w:rPr>
                <w:t>财政拨款“三公”经费支出决算情况说明</w:t>
              </w:r>
            </w:sdtContent>
          </w:sdt>
          <w:r>
            <w:tab/>
          </w:r>
          <w:bookmarkStart w:id="17" w:name="_Toc20089_WPSOffice_Level2Page"/>
          <w:r>
            <w:t>7</w:t>
          </w:r>
          <w:bookmarkEnd w:id="17"/>
          <w:r>
            <w:fldChar w:fldCharType="end"/>
          </w:r>
        </w:p>
        <w:p>
          <w:pPr>
            <w:pStyle w:val="37"/>
            <w:tabs>
              <w:tab w:val="right" w:leader="dot" w:pos="8306"/>
            </w:tabs>
          </w:pPr>
          <w:r>
            <w:fldChar w:fldCharType="begin"/>
          </w:r>
          <w:r>
            <w:instrText xml:space="preserve"> HYPERLINK \l _Toc27699_WPSOffice_Level2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c05d46c0-f3d9-46be-95da-1e89e0e9da14}"/>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八、</w:t>
              </w:r>
              <w:r>
                <w:rPr>
                  <w:rFonts w:hint="eastAsia" w:ascii="Times New Roman" w:hAnsi="Times New Roman" w:eastAsia="黑体" w:cstheme="majorBidi"/>
                </w:rPr>
                <w:t>政府性基金预算支出决算情况说明</w:t>
              </w:r>
            </w:sdtContent>
          </w:sdt>
          <w:r>
            <w:tab/>
          </w:r>
          <w:bookmarkStart w:id="18" w:name="_Toc27699_WPSOffice_Level2Page"/>
          <w:r>
            <w:t>9</w:t>
          </w:r>
          <w:bookmarkEnd w:id="18"/>
          <w:r>
            <w:fldChar w:fldCharType="end"/>
          </w:r>
        </w:p>
        <w:p>
          <w:pPr>
            <w:pStyle w:val="37"/>
            <w:tabs>
              <w:tab w:val="right" w:leader="dot" w:pos="8306"/>
            </w:tabs>
          </w:pPr>
          <w:r>
            <w:fldChar w:fldCharType="begin"/>
          </w:r>
          <w:r>
            <w:instrText xml:space="preserve"> HYPERLINK \l _Toc29930_WPSOffice_Level2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a7a5cd53-59f9-4cdf-b6d0-993c09032da0}"/>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heme="majorBidi"/>
                </w:rPr>
                <w:t>九、国有资本经营预算支出决算情况说明</w:t>
              </w:r>
            </w:sdtContent>
          </w:sdt>
          <w:r>
            <w:tab/>
          </w:r>
          <w:bookmarkStart w:id="19" w:name="_Toc29930_WPSOffice_Level2Page"/>
          <w:r>
            <w:t>10</w:t>
          </w:r>
          <w:bookmarkEnd w:id="19"/>
          <w:r>
            <w:fldChar w:fldCharType="end"/>
          </w:r>
        </w:p>
        <w:p>
          <w:pPr>
            <w:pStyle w:val="37"/>
            <w:tabs>
              <w:tab w:val="right" w:leader="dot" w:pos="8306"/>
            </w:tabs>
          </w:pPr>
          <w:r>
            <w:fldChar w:fldCharType="begin"/>
          </w:r>
          <w:r>
            <w:instrText xml:space="preserve"> HYPERLINK \l _Toc23047_WPSOffice_Level2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39f7b5e8-d29e-4487-807d-6c5a221068bd}"/>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heme="majorBidi"/>
                </w:rPr>
                <w:t>十、其他重要事项的情况说明</w:t>
              </w:r>
            </w:sdtContent>
          </w:sdt>
          <w:r>
            <w:tab/>
          </w:r>
          <w:bookmarkStart w:id="20" w:name="_Toc23047_WPSOffice_Level2Page"/>
          <w:r>
            <w:t>10</w:t>
          </w:r>
          <w:bookmarkEnd w:id="20"/>
          <w:r>
            <w:fldChar w:fldCharType="end"/>
          </w:r>
        </w:p>
        <w:p>
          <w:pPr>
            <w:pStyle w:val="36"/>
            <w:tabs>
              <w:tab w:val="right" w:leader="dot" w:pos="8306"/>
            </w:tabs>
          </w:pPr>
          <w:r>
            <w:rPr>
              <w:b/>
              <w:bCs/>
            </w:rPr>
            <w:fldChar w:fldCharType="begin"/>
          </w:r>
          <w:r>
            <w:instrText xml:space="preserve"> HYPERLINK \l _Toc13504_WPSOffice_Level1 </w:instrText>
          </w:r>
          <w:r>
            <w:rPr>
              <w:b/>
              <w:bCs/>
            </w:rPr>
            <w:fldChar w:fldCharType="separate"/>
          </w:r>
          <w:sdt>
            <w:sdtPr>
              <w:rPr>
                <w:rFonts w:ascii="Times New Roman" w:hAnsi="Times New Roman" w:eastAsia="宋体" w:cs="Times New Roman"/>
                <w:b/>
                <w:bCs/>
                <w:kern w:val="44"/>
                <w:sz w:val="44"/>
                <w:szCs w:val="44"/>
                <w:lang w:val="en-US" w:eastAsia="zh-CN" w:bidi="ar-SA"/>
              </w:rPr>
              <w:id w:val="147472968"/>
              <w:placeholder>
                <w:docPart w:val="{f01e01c4-da6b-4b84-8811-f8ef83ababe1}"/>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b/>
                  <w:bCs/>
                </w:rPr>
                <w:t>第三部分  名词解释</w:t>
              </w:r>
            </w:sdtContent>
          </w:sdt>
          <w:r>
            <w:rPr>
              <w:b/>
              <w:bCs/>
            </w:rPr>
            <w:tab/>
          </w:r>
          <w:bookmarkStart w:id="21" w:name="_Toc13504_WPSOffice_Level1Page"/>
          <w:r>
            <w:rPr>
              <w:b/>
              <w:bCs/>
            </w:rPr>
            <w:t>12</w:t>
          </w:r>
          <w:bookmarkEnd w:id="21"/>
          <w:r>
            <w:rPr>
              <w:b/>
              <w:bCs/>
            </w:rPr>
            <w:fldChar w:fldCharType="end"/>
          </w:r>
        </w:p>
        <w:p>
          <w:pPr>
            <w:pStyle w:val="36"/>
            <w:tabs>
              <w:tab w:val="right" w:leader="dot" w:pos="8306"/>
            </w:tabs>
          </w:pPr>
          <w:r>
            <w:rPr>
              <w:b/>
              <w:bCs/>
            </w:rPr>
            <w:fldChar w:fldCharType="begin"/>
          </w:r>
          <w:r>
            <w:instrText xml:space="preserve"> HYPERLINK \l _Toc15718_WPSOffice_Level1 </w:instrText>
          </w:r>
          <w:r>
            <w:rPr>
              <w:b/>
              <w:bCs/>
            </w:rPr>
            <w:fldChar w:fldCharType="separate"/>
          </w:r>
          <w:sdt>
            <w:sdtPr>
              <w:rPr>
                <w:rFonts w:ascii="Times New Roman" w:hAnsi="Times New Roman" w:eastAsia="宋体" w:cs="Times New Roman"/>
                <w:b/>
                <w:bCs/>
                <w:kern w:val="44"/>
                <w:sz w:val="44"/>
                <w:szCs w:val="44"/>
                <w:lang w:val="en-US" w:eastAsia="zh-CN" w:bidi="ar-SA"/>
              </w:rPr>
              <w:id w:val="147472968"/>
              <w:placeholder>
                <w:docPart w:val="{bc85c69c-ea74-408c-ad60-45d2c67f4572}"/>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b/>
                  <w:bCs/>
                </w:rPr>
                <w:t>第四部分  附件</w:t>
              </w:r>
            </w:sdtContent>
          </w:sdt>
          <w:r>
            <w:rPr>
              <w:b/>
              <w:bCs/>
            </w:rPr>
            <w:tab/>
          </w:r>
          <w:bookmarkStart w:id="22" w:name="_Toc15718_WPSOffice_Level1Page"/>
          <w:r>
            <w:rPr>
              <w:b/>
              <w:bCs/>
            </w:rPr>
            <w:t>15</w:t>
          </w:r>
          <w:bookmarkEnd w:id="22"/>
          <w:r>
            <w:rPr>
              <w:b/>
              <w:bCs/>
            </w:rPr>
            <w:fldChar w:fldCharType="end"/>
          </w:r>
        </w:p>
        <w:p>
          <w:pPr>
            <w:pStyle w:val="36"/>
            <w:tabs>
              <w:tab w:val="right" w:leader="dot" w:pos="8306"/>
            </w:tabs>
          </w:pPr>
          <w:r>
            <w:rPr>
              <w:b/>
              <w:bCs/>
            </w:rPr>
            <w:fldChar w:fldCharType="begin"/>
          </w:r>
          <w:r>
            <w:instrText xml:space="preserve"> HYPERLINK \l _Toc1444_WPSOffice_Level1 </w:instrText>
          </w:r>
          <w:r>
            <w:rPr>
              <w:b/>
              <w:bCs/>
            </w:rPr>
            <w:fldChar w:fldCharType="separate"/>
          </w:r>
          <w:sdt>
            <w:sdtPr>
              <w:rPr>
                <w:rFonts w:ascii="Times New Roman" w:hAnsi="Times New Roman" w:eastAsia="宋体" w:cs="Times New Roman"/>
                <w:b/>
                <w:bCs/>
                <w:kern w:val="44"/>
                <w:sz w:val="44"/>
                <w:szCs w:val="44"/>
                <w:lang w:val="en-US" w:eastAsia="zh-CN" w:bidi="ar-SA"/>
              </w:rPr>
              <w:id w:val="147472968"/>
              <w:placeholder>
                <w:docPart w:val="{eae95b62-93df-4169-acff-b17a98704d42}"/>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b/>
                  <w:bCs/>
                </w:rPr>
                <w:t>第五部分 附表</w:t>
              </w:r>
            </w:sdtContent>
          </w:sdt>
          <w:r>
            <w:rPr>
              <w:b/>
              <w:bCs/>
            </w:rPr>
            <w:tab/>
          </w:r>
          <w:bookmarkStart w:id="23" w:name="_Toc1444_WPSOffice_Level1Page"/>
          <w:r>
            <w:rPr>
              <w:b/>
              <w:bCs/>
            </w:rPr>
            <w:t>16</w:t>
          </w:r>
          <w:bookmarkEnd w:id="23"/>
          <w:r>
            <w:rPr>
              <w:b/>
              <w:bCs/>
            </w:rPr>
            <w:fldChar w:fldCharType="end"/>
          </w:r>
        </w:p>
        <w:p>
          <w:pPr>
            <w:pStyle w:val="37"/>
            <w:tabs>
              <w:tab w:val="right" w:leader="dot" w:pos="8306"/>
            </w:tabs>
          </w:pPr>
          <w:r>
            <w:fldChar w:fldCharType="begin"/>
          </w:r>
          <w:r>
            <w:instrText xml:space="preserve"> HYPERLINK \l _Toc32279_WPSOffice_Level2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693150ea-76ef-42b2-bba2-824a244d6bd9}"/>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一、收入支出决算总表</w:t>
              </w:r>
            </w:sdtContent>
          </w:sdt>
          <w:r>
            <w:tab/>
          </w:r>
          <w:bookmarkStart w:id="24" w:name="_Toc32279_WPSOffice_Level2Page"/>
          <w:r>
            <w:t>16</w:t>
          </w:r>
          <w:bookmarkEnd w:id="24"/>
          <w:r>
            <w:fldChar w:fldCharType="end"/>
          </w:r>
        </w:p>
        <w:p>
          <w:pPr>
            <w:pStyle w:val="37"/>
            <w:tabs>
              <w:tab w:val="right" w:leader="dot" w:pos="8306"/>
            </w:tabs>
          </w:pPr>
          <w:r>
            <w:fldChar w:fldCharType="begin"/>
          </w:r>
          <w:r>
            <w:instrText xml:space="preserve"> HYPERLINK \l _Toc25631_WPSOffice_Level2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38f563ba-4d94-4ed3-b628-0f9278e5d8ab}"/>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二、收入决算表</w:t>
              </w:r>
            </w:sdtContent>
          </w:sdt>
          <w:r>
            <w:tab/>
          </w:r>
          <w:bookmarkStart w:id="25" w:name="_Toc25631_WPSOffice_Level2Page"/>
          <w:r>
            <w:t>16</w:t>
          </w:r>
          <w:bookmarkEnd w:id="25"/>
          <w:r>
            <w:fldChar w:fldCharType="end"/>
          </w:r>
        </w:p>
        <w:p>
          <w:pPr>
            <w:pStyle w:val="37"/>
            <w:tabs>
              <w:tab w:val="right" w:leader="dot" w:pos="8306"/>
            </w:tabs>
          </w:pPr>
          <w:r>
            <w:fldChar w:fldCharType="begin"/>
          </w:r>
          <w:r>
            <w:instrText xml:space="preserve"> HYPERLINK \l _Toc5648_WPSOffice_Level2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766d11ea-fcaa-42f5-8332-d8b097aaba4e}"/>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三、支出决算表</w:t>
              </w:r>
            </w:sdtContent>
          </w:sdt>
          <w:r>
            <w:tab/>
          </w:r>
          <w:bookmarkStart w:id="26" w:name="_Toc5648_WPSOffice_Level2Page"/>
          <w:r>
            <w:t>16</w:t>
          </w:r>
          <w:bookmarkEnd w:id="26"/>
          <w:r>
            <w:fldChar w:fldCharType="end"/>
          </w:r>
        </w:p>
        <w:p>
          <w:pPr>
            <w:pStyle w:val="37"/>
            <w:tabs>
              <w:tab w:val="right" w:leader="dot" w:pos="8306"/>
            </w:tabs>
          </w:pPr>
          <w:r>
            <w:fldChar w:fldCharType="begin"/>
          </w:r>
          <w:r>
            <w:instrText xml:space="preserve"> HYPERLINK \l _Toc1035_WPSOffice_Level2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6101d2fa-ffe9-4ab3-a013-dc027ddaeb72}"/>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四、财政拨款收入支出决算总表</w:t>
              </w:r>
            </w:sdtContent>
          </w:sdt>
          <w:r>
            <w:tab/>
          </w:r>
          <w:bookmarkStart w:id="27" w:name="_Toc1035_WPSOffice_Level2Page"/>
          <w:r>
            <w:t>16</w:t>
          </w:r>
          <w:bookmarkEnd w:id="27"/>
          <w:r>
            <w:fldChar w:fldCharType="end"/>
          </w:r>
        </w:p>
        <w:p>
          <w:pPr>
            <w:pStyle w:val="37"/>
            <w:tabs>
              <w:tab w:val="right" w:leader="dot" w:pos="8306"/>
            </w:tabs>
          </w:pPr>
          <w:r>
            <w:fldChar w:fldCharType="begin"/>
          </w:r>
          <w:r>
            <w:instrText xml:space="preserve"> HYPERLINK \l _Toc24288_WPSOffice_Level2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d1b56d80-8218-4d01-9c14-13d2852fd334}"/>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五、财政拨款支出决算明细表</w:t>
              </w:r>
            </w:sdtContent>
          </w:sdt>
          <w:r>
            <w:tab/>
          </w:r>
          <w:bookmarkStart w:id="28" w:name="_Toc24288_WPSOffice_Level2Page"/>
          <w:r>
            <w:t>16</w:t>
          </w:r>
          <w:bookmarkEnd w:id="28"/>
          <w:r>
            <w:fldChar w:fldCharType="end"/>
          </w:r>
        </w:p>
        <w:p>
          <w:pPr>
            <w:pStyle w:val="37"/>
            <w:tabs>
              <w:tab w:val="right" w:leader="dot" w:pos="8306"/>
            </w:tabs>
          </w:pPr>
          <w:r>
            <w:fldChar w:fldCharType="begin"/>
          </w:r>
          <w:r>
            <w:instrText xml:space="preserve"> HYPERLINK \l _Toc3971_WPSOffice_Level2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1702720a-a7aa-4c55-a108-ae04d9bc9657}"/>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六、一般公共预算财政拨款支出决算表</w:t>
              </w:r>
            </w:sdtContent>
          </w:sdt>
          <w:r>
            <w:tab/>
          </w:r>
          <w:bookmarkStart w:id="29" w:name="_Toc3971_WPSOffice_Level2Page"/>
          <w:r>
            <w:t>16</w:t>
          </w:r>
          <w:bookmarkEnd w:id="29"/>
          <w:r>
            <w:fldChar w:fldCharType="end"/>
          </w:r>
        </w:p>
        <w:p>
          <w:pPr>
            <w:pStyle w:val="37"/>
            <w:tabs>
              <w:tab w:val="right" w:leader="dot" w:pos="8306"/>
            </w:tabs>
          </w:pPr>
          <w:r>
            <w:fldChar w:fldCharType="begin"/>
          </w:r>
          <w:r>
            <w:instrText xml:space="preserve"> HYPERLINK \l _Toc27624_WPSOffice_Level2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e8ac5271-1621-4747-82d5-e9a6553034a2}"/>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七、一般公共预算财政拨款支出决算明细表</w:t>
              </w:r>
            </w:sdtContent>
          </w:sdt>
          <w:r>
            <w:tab/>
          </w:r>
          <w:bookmarkStart w:id="30" w:name="_Toc27624_WPSOffice_Level2Page"/>
          <w:r>
            <w:t>16</w:t>
          </w:r>
          <w:bookmarkEnd w:id="30"/>
          <w:r>
            <w:fldChar w:fldCharType="end"/>
          </w:r>
        </w:p>
        <w:p>
          <w:pPr>
            <w:pStyle w:val="37"/>
            <w:tabs>
              <w:tab w:val="right" w:leader="dot" w:pos="8306"/>
            </w:tabs>
          </w:pPr>
          <w:r>
            <w:fldChar w:fldCharType="begin"/>
          </w:r>
          <w:r>
            <w:instrText xml:space="preserve"> HYPERLINK \l _Toc14014_WPSOffice_Level2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98d562bf-4a41-45a6-91c7-7d957d9ab944}"/>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八、一般公共预算财政拨款基本支出决算表</w:t>
              </w:r>
            </w:sdtContent>
          </w:sdt>
          <w:r>
            <w:tab/>
          </w:r>
          <w:bookmarkStart w:id="31" w:name="_Toc14014_WPSOffice_Level2Page"/>
          <w:r>
            <w:t>16</w:t>
          </w:r>
          <w:bookmarkEnd w:id="31"/>
          <w:r>
            <w:fldChar w:fldCharType="end"/>
          </w:r>
        </w:p>
        <w:p>
          <w:pPr>
            <w:pStyle w:val="37"/>
            <w:tabs>
              <w:tab w:val="right" w:leader="dot" w:pos="8306"/>
            </w:tabs>
          </w:pPr>
          <w:r>
            <w:fldChar w:fldCharType="begin"/>
          </w:r>
          <w:r>
            <w:instrText xml:space="preserve"> HYPERLINK \l _Toc30042_WPSOffice_Level2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266d8a41-33e4-47ee-9099-ef2f237ba83f}"/>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九、一般公共预算财政拨款项目支出决算表</w:t>
              </w:r>
            </w:sdtContent>
          </w:sdt>
          <w:r>
            <w:tab/>
          </w:r>
          <w:bookmarkStart w:id="32" w:name="_Toc30042_WPSOffice_Level2Page"/>
          <w:r>
            <w:t>16</w:t>
          </w:r>
          <w:bookmarkEnd w:id="32"/>
          <w:r>
            <w:fldChar w:fldCharType="end"/>
          </w:r>
        </w:p>
        <w:p>
          <w:pPr>
            <w:pStyle w:val="37"/>
            <w:tabs>
              <w:tab w:val="right" w:leader="dot" w:pos="8306"/>
            </w:tabs>
          </w:pPr>
          <w:r>
            <w:fldChar w:fldCharType="begin"/>
          </w:r>
          <w:r>
            <w:instrText xml:space="preserve"> HYPERLINK \l _Toc24221_WPSOffice_Level2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84cd1669-d8c8-4175-a6b0-d40606c23ec6}"/>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十、政府性基金预算财政拨款收入支出决算表</w:t>
              </w:r>
            </w:sdtContent>
          </w:sdt>
          <w:r>
            <w:tab/>
          </w:r>
          <w:bookmarkStart w:id="33" w:name="_Toc24221_WPSOffice_Level2Page"/>
          <w:r>
            <w:t>16</w:t>
          </w:r>
          <w:bookmarkEnd w:id="33"/>
          <w:r>
            <w:fldChar w:fldCharType="end"/>
          </w:r>
        </w:p>
        <w:p>
          <w:pPr>
            <w:pStyle w:val="37"/>
            <w:tabs>
              <w:tab w:val="right" w:leader="dot" w:pos="8306"/>
            </w:tabs>
          </w:pPr>
          <w:r>
            <w:fldChar w:fldCharType="begin"/>
          </w:r>
          <w:r>
            <w:instrText xml:space="preserve"> HYPERLINK \l _Toc27711_WPSOffice_Level2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c59c174e-1c40-40ee-a67e-a9b9d1615dfd}"/>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十一、国有资本经营预算财政拨款收入支出决算表</w:t>
              </w:r>
            </w:sdtContent>
          </w:sdt>
          <w:r>
            <w:tab/>
          </w:r>
          <w:bookmarkStart w:id="34" w:name="_Toc27711_WPSOffice_Level2Page"/>
          <w:r>
            <w:t>16</w:t>
          </w:r>
          <w:bookmarkEnd w:id="34"/>
          <w:r>
            <w:fldChar w:fldCharType="end"/>
          </w:r>
        </w:p>
        <w:p>
          <w:pPr>
            <w:pStyle w:val="37"/>
            <w:tabs>
              <w:tab w:val="right" w:leader="dot" w:pos="8306"/>
            </w:tabs>
          </w:pPr>
          <w:r>
            <w:fldChar w:fldCharType="begin"/>
          </w:r>
          <w:r>
            <w:instrText xml:space="preserve"> HYPERLINK \l _Toc32003_WPSOffice_Level2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508f2eb0-4c0b-4985-84f4-bdf35f2443d6}"/>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十二、国有资本经营预算财政拨款支出决算表</w:t>
              </w:r>
            </w:sdtContent>
          </w:sdt>
          <w:r>
            <w:tab/>
          </w:r>
          <w:bookmarkStart w:id="35" w:name="_Toc32003_WPSOffice_Level2Page"/>
          <w:r>
            <w:t>16</w:t>
          </w:r>
          <w:bookmarkEnd w:id="35"/>
          <w:r>
            <w:fldChar w:fldCharType="end"/>
          </w:r>
        </w:p>
        <w:p>
          <w:pPr>
            <w:pStyle w:val="37"/>
            <w:tabs>
              <w:tab w:val="right" w:leader="dot" w:pos="8306"/>
            </w:tabs>
          </w:pPr>
          <w:r>
            <w:fldChar w:fldCharType="begin"/>
          </w:r>
          <w:r>
            <w:instrText xml:space="preserve"> HYPERLINK \l _Toc7146_WPSOffice_Level2 </w:instrText>
          </w:r>
          <w:r>
            <w:fldChar w:fldCharType="separate"/>
          </w:r>
          <w:sdt>
            <w:sdtPr>
              <w:rPr>
                <w:rFonts w:ascii="Times New Roman" w:hAnsi="Times New Roman" w:eastAsia="宋体" w:cs="Times New Roman"/>
                <w:b/>
                <w:bCs/>
                <w:kern w:val="44"/>
                <w:sz w:val="44"/>
                <w:szCs w:val="44"/>
                <w:lang w:val="en-US" w:eastAsia="zh-CN" w:bidi="ar-SA"/>
              </w:rPr>
              <w:id w:val="147472968"/>
              <w:placeholder>
                <w:docPart w:val="{07b033e9-49fd-460d-9a51-8b184bff8056}"/>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十三、财政拨款“三公”经费支出决算表</w:t>
              </w:r>
            </w:sdtContent>
          </w:sdt>
          <w:r>
            <w:tab/>
          </w:r>
          <w:bookmarkStart w:id="36" w:name="_Toc7146_WPSOffice_Level2Page"/>
          <w:r>
            <w:t>16</w:t>
          </w:r>
          <w:bookmarkEnd w:id="36"/>
          <w:r>
            <w:fldChar w:fldCharType="end"/>
          </w:r>
          <w:bookmarkEnd w:id="6"/>
        </w:p>
      </w:sdtContent>
    </w:sdt>
    <w:p>
      <w:pPr>
        <w:pStyle w:val="4"/>
        <w:jc w:val="center"/>
        <w:rPr>
          <w:rFonts w:hint="eastAsia" w:ascii="Times New Roman" w:hAnsi="Times New Roman" w:eastAsia="方正小标宋简体" w:cs="方正小标宋简体"/>
          <w:b w:val="0"/>
          <w:color w:val="auto"/>
          <w:highlight w:val="none"/>
        </w:rPr>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p>
    <w:p>
      <w:pPr>
        <w:pStyle w:val="4"/>
        <w:jc w:val="center"/>
        <w:rPr>
          <w:rFonts w:ascii="Times New Roman" w:hAnsi="Times New Roman" w:eastAsia="黑体"/>
          <w:color w:val="auto"/>
          <w:sz w:val="32"/>
          <w:szCs w:val="32"/>
          <w:highlight w:val="none"/>
        </w:rPr>
      </w:pPr>
      <w:bookmarkStart w:id="37" w:name="_Toc9049_WPSOffice_Level1"/>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8"/>
          <w:rFonts w:hint="eastAsia" w:ascii="Times New Roman" w:hAnsi="Times New Roman" w:eastAsia="方正小标宋简体" w:cs="方正小标宋简体"/>
          <w:b w:val="0"/>
          <w:bCs w:val="0"/>
          <w:color w:val="auto"/>
          <w:highlight w:val="none"/>
        </w:rPr>
        <w:t>部门概况</w:t>
      </w:r>
      <w:bookmarkEnd w:id="37"/>
    </w:p>
    <w:p>
      <w:pPr>
        <w:pStyle w:val="5"/>
        <w:numPr>
          <w:ilvl w:val="0"/>
          <w:numId w:val="2"/>
        </w:numPr>
        <w:ind w:firstLine="640" w:firstLineChars="200"/>
        <w:rPr>
          <w:rFonts w:hint="eastAsia" w:ascii="Times New Roman" w:hAnsi="Times New Roman" w:eastAsia="黑体"/>
          <w:b w:val="0"/>
          <w:color w:val="auto"/>
          <w:highlight w:val="none"/>
          <w:lang w:eastAsia="zh-CN"/>
        </w:rPr>
      </w:pPr>
      <w:bookmarkStart w:id="38" w:name="_Toc3412_WPSOffice_Level2"/>
      <w:r>
        <w:rPr>
          <w:rFonts w:hint="eastAsia" w:ascii="Times New Roman" w:hAnsi="Times New Roman" w:eastAsia="黑体"/>
          <w:b w:val="0"/>
          <w:color w:val="auto"/>
          <w:highlight w:val="none"/>
          <w:lang w:eastAsia="zh-CN"/>
        </w:rPr>
        <w:t>部门职责</w:t>
      </w:r>
      <w:bookmarkEnd w:id="38"/>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乐山市归侨侨眷联合会（以下简称区侨联）为区委领导下的人民团体，归口区委统战部统一管理。</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负责党的侨务方针政策宣传工作。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负责侨界人大代表，政协委员联络服务工作。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负责涉侨捐赠事务、贫困归侨侨眷帮扶工作。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负责对侨胞及其社团（包括港澳台地区）联谊和服务工作。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开展招才引智、引资、引技等工作。</w:t>
      </w:r>
    </w:p>
    <w:p>
      <w:pPr>
        <w:ind w:firstLine="800" w:firstLineChars="250"/>
        <w:rPr>
          <w:rFonts w:hint="eastAsia"/>
          <w:lang w:eastAsia="zh-CN"/>
        </w:rPr>
      </w:pPr>
      <w:r>
        <w:rPr>
          <w:rFonts w:hint="eastAsia" w:ascii="仿宋_GB2312" w:hAnsi="仿宋_GB2312" w:eastAsia="仿宋_GB2312" w:cs="仿宋_GB2312"/>
          <w:sz w:val="32"/>
          <w:szCs w:val="32"/>
        </w:rPr>
        <w:t>开展涉侨文化交流活动，组织实施有关华文教育项目。</w:t>
      </w:r>
    </w:p>
    <w:p>
      <w:pPr>
        <w:pStyle w:val="5"/>
        <w:ind w:firstLine="640" w:firstLineChars="200"/>
        <w:rPr>
          <w:rStyle w:val="29"/>
          <w:rFonts w:ascii="Times New Roman" w:hAnsi="Times New Roman"/>
          <w:b w:val="0"/>
          <w:bCs w:val="0"/>
          <w:color w:val="auto"/>
          <w:highlight w:val="none"/>
        </w:rPr>
      </w:pPr>
      <w:bookmarkStart w:id="39" w:name="_Toc15396601"/>
      <w:bookmarkStart w:id="40" w:name="_Toc15377200"/>
      <w:bookmarkStart w:id="41" w:name="_Toc13504_WPSOffice_Level2"/>
      <w:r>
        <w:rPr>
          <w:rFonts w:hint="eastAsia" w:ascii="Times New Roman" w:hAnsi="Times New Roman" w:eastAsia="黑体"/>
          <w:b w:val="0"/>
          <w:color w:val="auto"/>
          <w:highlight w:val="none"/>
        </w:rPr>
        <w:t>二、机</w:t>
      </w:r>
      <w:r>
        <w:rPr>
          <w:rStyle w:val="29"/>
          <w:rFonts w:hint="eastAsia" w:ascii="Times New Roman" w:hAnsi="Times New Roman" w:eastAsia="黑体"/>
          <w:b w:val="0"/>
          <w:bCs w:val="0"/>
          <w:color w:val="auto"/>
          <w:highlight w:val="none"/>
        </w:rPr>
        <w:t>构设置</w:t>
      </w:r>
      <w:bookmarkEnd w:id="39"/>
      <w:bookmarkEnd w:id="40"/>
      <w:bookmarkEnd w:id="41"/>
    </w:p>
    <w:p>
      <w:pPr>
        <w:ind w:firstLine="800" w:firstLineChars="25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乐山市五通桥区归侨侨眷联合会</w:t>
      </w:r>
      <w:r>
        <w:rPr>
          <w:rFonts w:hint="eastAsia" w:ascii="仿宋_GB2312" w:hAnsi="仿宋_GB2312" w:eastAsia="仿宋_GB2312" w:cs="仿宋_GB2312"/>
          <w:color w:val="auto"/>
          <w:sz w:val="32"/>
          <w:szCs w:val="32"/>
          <w:highlight w:val="none"/>
          <w:lang w:eastAsia="zh-CN"/>
        </w:rPr>
        <w:t>属于</w:t>
      </w:r>
      <w:r>
        <w:rPr>
          <w:rFonts w:hint="eastAsia" w:ascii="仿宋_GB2312" w:hAnsi="仿宋_GB2312" w:eastAsia="仿宋_GB2312" w:cs="仿宋_GB2312"/>
          <w:sz w:val="32"/>
          <w:szCs w:val="32"/>
          <w:highlight w:val="none"/>
        </w:rPr>
        <w:t>中共乐山市五通桥区委统战部</w:t>
      </w:r>
      <w:r>
        <w:rPr>
          <w:rFonts w:hint="eastAsia" w:ascii="Times New Roman" w:hAnsi="Times New Roman" w:eastAsia="仿宋_GB2312" w:cs="仿宋_GB2312"/>
          <w:color w:val="auto"/>
          <w:sz w:val="32"/>
          <w:szCs w:val="32"/>
          <w:highlight w:val="none"/>
        </w:rPr>
        <w:t>下属</w:t>
      </w:r>
      <w:r>
        <w:rPr>
          <w:rFonts w:hint="eastAsia" w:eastAsia="仿宋_GB2312" w:cs="仿宋_GB2312"/>
          <w:color w:val="auto"/>
          <w:sz w:val="32"/>
          <w:szCs w:val="32"/>
          <w:highlight w:val="none"/>
          <w:lang w:eastAsia="zh-CN"/>
        </w:rPr>
        <w:t>的</w:t>
      </w:r>
      <w:r>
        <w:rPr>
          <w:rFonts w:hint="eastAsia" w:ascii="Times New Roman" w:hAnsi="Times New Roman" w:eastAsia="仿宋_GB2312" w:cs="仿宋_GB2312"/>
          <w:color w:val="auto"/>
          <w:sz w:val="32"/>
          <w:szCs w:val="32"/>
          <w:highlight w:val="none"/>
        </w:rPr>
        <w:t>二级</w:t>
      </w:r>
      <w:r>
        <w:rPr>
          <w:rFonts w:hint="eastAsia" w:ascii="Times New Roman" w:hAnsi="Times New Roman" w:eastAsia="仿宋_GB2312" w:cs="仿宋_GB2312"/>
          <w:color w:val="auto"/>
          <w:sz w:val="32"/>
          <w:szCs w:val="32"/>
          <w:highlight w:val="none"/>
          <w:lang w:eastAsia="zh-CN"/>
        </w:rPr>
        <w:t>预算</w:t>
      </w:r>
      <w:r>
        <w:rPr>
          <w:rFonts w:hint="eastAsia" w:eastAsia="仿宋_GB2312" w:cs="仿宋_GB2312"/>
          <w:color w:val="auto"/>
          <w:sz w:val="32"/>
          <w:szCs w:val="32"/>
          <w:highlight w:val="none"/>
          <w:lang w:eastAsia="zh-CN"/>
        </w:rPr>
        <w:t>单位</w:t>
      </w:r>
      <w:r>
        <w:rPr>
          <w:rFonts w:hint="eastAsia" w:ascii="Times New Roman" w:hAnsi="Times New Roman" w:eastAsia="仿宋_GB2312" w:cs="仿宋_GB2312"/>
          <w:color w:val="auto"/>
          <w:sz w:val="32"/>
          <w:szCs w:val="32"/>
          <w:highlight w:val="none"/>
        </w:rPr>
        <w:t>，</w:t>
      </w:r>
      <w:r>
        <w:rPr>
          <w:rFonts w:hint="eastAsia" w:ascii="仿宋_GB2312" w:hAnsi="Cambria" w:eastAsia="仿宋_GB2312" w:cs="Times New Roman"/>
          <w:b w:val="0"/>
          <w:bCs w:val="0"/>
          <w:color w:val="auto"/>
          <w:kern w:val="2"/>
          <w:sz w:val="32"/>
          <w:szCs w:val="32"/>
          <w:lang w:val="en-US" w:eastAsia="zh-CN" w:bidi="ar-SA"/>
        </w:rPr>
        <w:t>下设独立编制机构1个，</w:t>
      </w:r>
      <w:r>
        <w:rPr>
          <w:rFonts w:hint="eastAsia" w:ascii="Times New Roman" w:hAnsi="Times New Roman" w:eastAsia="仿宋_GB2312" w:cs="仿宋_GB2312"/>
          <w:color w:val="auto"/>
          <w:sz w:val="32"/>
          <w:szCs w:val="32"/>
          <w:highlight w:val="none"/>
        </w:rPr>
        <w:t>其中行政单位</w:t>
      </w:r>
      <w:r>
        <w:rPr>
          <w:rFonts w:hint="eastAsia" w:eastAsia="仿宋_GB2312" w:cs="仿宋_GB2312"/>
          <w:color w:val="auto"/>
          <w:sz w:val="32"/>
          <w:szCs w:val="32"/>
          <w:highlight w:val="none"/>
          <w:lang w:val="en-US" w:eastAsia="zh-CN"/>
        </w:rPr>
        <w:t>0</w:t>
      </w:r>
      <w:r>
        <w:rPr>
          <w:rFonts w:hint="eastAsia" w:ascii="Times New Roman" w:hAnsi="Times New Roman" w:eastAsia="仿宋_GB2312" w:cs="仿宋_GB2312"/>
          <w:color w:val="auto"/>
          <w:sz w:val="32"/>
          <w:szCs w:val="32"/>
          <w:highlight w:val="none"/>
        </w:rPr>
        <w:t>个，参照公务员法管理的事业单位</w:t>
      </w:r>
      <w:r>
        <w:rPr>
          <w:rFonts w:hint="eastAsia" w:eastAsia="仿宋_GB2312" w:cs="仿宋_GB2312"/>
          <w:bCs/>
          <w:color w:val="auto"/>
          <w:sz w:val="32"/>
          <w:szCs w:val="32"/>
          <w:highlight w:val="none"/>
          <w:lang w:val="en-US" w:eastAsia="zh-CN"/>
        </w:rPr>
        <w:t>0</w:t>
      </w:r>
      <w:r>
        <w:rPr>
          <w:rFonts w:hint="eastAsia" w:ascii="Times New Roman" w:hAnsi="Times New Roman" w:eastAsia="仿宋_GB2312" w:cs="仿宋_GB2312"/>
          <w:color w:val="auto"/>
          <w:sz w:val="32"/>
          <w:szCs w:val="32"/>
          <w:highlight w:val="none"/>
        </w:rPr>
        <w:t>个，其他事业单位</w:t>
      </w:r>
      <w:r>
        <w:rPr>
          <w:rFonts w:hint="eastAsia"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个。</w:t>
      </w:r>
    </w:p>
    <w:p>
      <w:pPr>
        <w:pStyle w:val="7"/>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纳入</w:t>
      </w:r>
      <w:r>
        <w:rPr>
          <w:sz w:val="32"/>
          <w:szCs w:val="32"/>
        </w:rPr>
        <w:t>乐山市五通桥区归侨侨眷联合会</w:t>
      </w:r>
      <w:r>
        <w:rPr>
          <w:rFonts w:hint="eastAsia" w:ascii="Times New Roman" w:hAnsi="Times New Roman" w:eastAsia="仿宋_GB2312" w:cs="仿宋_GB2312"/>
          <w:color w:val="auto"/>
          <w:sz w:val="32"/>
          <w:szCs w:val="32"/>
          <w:highlight w:val="none"/>
          <w:lang w:eastAsia="zh-CN"/>
        </w:rPr>
        <w:t>2024年度</w:t>
      </w:r>
      <w:r>
        <w:rPr>
          <w:rFonts w:hint="eastAsia" w:ascii="Times New Roman" w:hAnsi="Times New Roman" w:eastAsia="仿宋_GB2312" w:cs="仿宋_GB2312"/>
          <w:color w:val="auto"/>
          <w:sz w:val="32"/>
          <w:szCs w:val="32"/>
          <w:highlight w:val="none"/>
        </w:rPr>
        <w:t>部门决算编制范围的二级预算单位包括：</w:t>
      </w:r>
    </w:p>
    <w:p>
      <w:pPr>
        <w:pStyle w:val="7"/>
        <w:numPr>
          <w:ilvl w:val="0"/>
          <w:numId w:val="3"/>
        </w:numPr>
        <w:adjustRightInd w:val="0"/>
        <w:snapToGrid w:val="0"/>
        <w:spacing w:before="93" w:line="600" w:lineRule="exact"/>
        <w:outlineLvl w:val="2"/>
        <w:rPr>
          <w:rFonts w:hint="eastAsia" w:ascii="Times New Roman" w:hAnsi="Times New Roman" w:eastAsia="仿宋_GB2312" w:cs="仿宋_GB2312"/>
          <w:color w:val="auto"/>
          <w:sz w:val="32"/>
          <w:szCs w:val="32"/>
          <w:highlight w:val="none"/>
        </w:rPr>
      </w:pPr>
      <w:bookmarkStart w:id="42" w:name="_Toc15377433"/>
      <w:bookmarkStart w:id="43" w:name="_Toc15378449"/>
      <w:bookmarkStart w:id="44" w:name="_Toc15306276"/>
      <w:bookmarkStart w:id="45" w:name="_Toc15377202"/>
      <w:r>
        <w:rPr>
          <w:sz w:val="32"/>
          <w:szCs w:val="32"/>
        </w:rPr>
        <w:t>乐山市五通桥区归侨侨眷联合会</w:t>
      </w:r>
      <w:bookmarkEnd w:id="42"/>
      <w:bookmarkEnd w:id="43"/>
      <w:bookmarkEnd w:id="44"/>
      <w:bookmarkEnd w:id="45"/>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4"/>
        <w:jc w:val="center"/>
        <w:rPr>
          <w:rFonts w:hint="eastAsia" w:ascii="Times New Roman" w:hAnsi="Times New Roman" w:eastAsia="方正小标宋简体" w:cs="方正小标宋简体"/>
          <w:b w:val="0"/>
          <w:color w:val="auto"/>
          <w:highlight w:val="none"/>
        </w:rPr>
      </w:pPr>
      <w:bookmarkStart w:id="46" w:name="_Toc15377204"/>
      <w:bookmarkStart w:id="47" w:name="_Toc15396602"/>
      <w:bookmarkStart w:id="48" w:name="_Toc3412_WPSOffice_Level1"/>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46"/>
      <w:bookmarkEnd w:id="47"/>
      <w:bookmarkEnd w:id="48"/>
    </w:p>
    <w:p>
      <w:pPr>
        <w:rPr>
          <w:rFonts w:ascii="Times New Roman" w:hAnsi="Times New Roman"/>
          <w:color w:val="auto"/>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49" w:name="_Toc15396603"/>
      <w:bookmarkStart w:id="50" w:name="_Toc15718_WPSOffice_Level2"/>
      <w:bookmarkStart w:id="51" w:name="_Toc153772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49"/>
      <w:bookmarkEnd w:id="50"/>
      <w:bookmarkEnd w:id="51"/>
    </w:p>
    <w:p>
      <w:pPr>
        <w:pStyle w:val="27"/>
        <w:spacing w:line="600" w:lineRule="exact"/>
        <w:ind w:firstLine="640"/>
        <w:outlineLvl w:val="1"/>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49.22</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总计各增加</w:t>
      </w:r>
      <w:r>
        <w:rPr>
          <w:rFonts w:hint="eastAsia" w:eastAsia="仿宋_GB2312" w:cs="仿宋_GB2312"/>
          <w:color w:val="auto"/>
          <w:sz w:val="32"/>
          <w:szCs w:val="32"/>
          <w:highlight w:val="none"/>
          <w:lang w:val="en-US" w:eastAsia="zh-CN"/>
        </w:rPr>
        <w:t>29.02</w:t>
      </w:r>
      <w:r>
        <w:rPr>
          <w:rFonts w:hint="eastAsia" w:ascii="Times New Roman" w:hAnsi="Times New Roman" w:eastAsia="仿宋_GB2312" w:cs="仿宋_GB2312"/>
          <w:color w:val="auto"/>
          <w:sz w:val="32"/>
          <w:szCs w:val="32"/>
          <w:highlight w:val="none"/>
        </w:rPr>
        <w:t>万元，增长</w:t>
      </w:r>
      <w:r>
        <w:rPr>
          <w:rFonts w:hint="eastAsia" w:eastAsia="仿宋_GB2312" w:cs="仿宋_GB2312"/>
          <w:color w:val="auto"/>
          <w:sz w:val="32"/>
          <w:szCs w:val="32"/>
          <w:highlight w:val="none"/>
          <w:lang w:val="en-US" w:eastAsia="zh-CN"/>
        </w:rPr>
        <w:t>143.66</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eastAsia="zh-CN"/>
        </w:rPr>
        <w:t>一般公共服务支出增加</w:t>
      </w:r>
      <w:r>
        <w:rPr>
          <w:rFonts w:hint="eastAsia" w:eastAsia="仿宋_GB2312" w:cs="仿宋_GB2312"/>
          <w:color w:val="auto"/>
          <w:sz w:val="32"/>
          <w:szCs w:val="32"/>
          <w:highlight w:val="none"/>
          <w:lang w:val="en-US" w:eastAsia="zh-CN"/>
        </w:rPr>
        <w:t>26.54万元，社会保障和就业支出增加0.13万元，卫生健康支出增加0.72万元，住房保障支出增加1.63万元。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仿宋_GB2312" w:cs="仿宋_GB2312"/>
          <w:color w:val="auto"/>
          <w:sz w:val="32"/>
          <w:szCs w:val="32"/>
          <w:highlight w:val="none"/>
        </w:rPr>
      </w:pPr>
      <w:r>
        <w:drawing>
          <wp:inline distT="0" distB="0" distL="114300" distR="114300">
            <wp:extent cx="5037455" cy="2783840"/>
            <wp:effectExtent l="170815" t="123190" r="201930" b="274320"/>
            <wp:docPr id="119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52" w:name="_Toc15377206"/>
      <w:bookmarkStart w:id="53" w:name="_Toc15396604"/>
      <w:bookmarkStart w:id="54" w:name="_Toc1444_WPSOffice_Level2"/>
      <w:r>
        <w:rPr>
          <w:rFonts w:hint="eastAsia" w:ascii="Times New Roman" w:hAnsi="Times New Roman" w:eastAsia="黑体"/>
          <w:color w:val="auto"/>
          <w:sz w:val="32"/>
          <w:szCs w:val="32"/>
          <w:highlight w:val="none"/>
          <w:lang w:eastAsia="zh-CN"/>
        </w:rPr>
        <w:t>二、收入决算情况说明</w:t>
      </w:r>
      <w:bookmarkEnd w:id="52"/>
      <w:bookmarkEnd w:id="53"/>
      <w:bookmarkEnd w:id="54"/>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49.22万元，其中：一般公共预算财政拨款收入49.22</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w:t>
      </w:r>
    </w:p>
    <w:p>
      <w:pPr>
        <w:ind w:firstLine="525" w:firstLineChars="250"/>
        <w:rPr>
          <w:rFonts w:hint="eastAsia" w:ascii="Times New Roman" w:hAnsi="Times New Roman" w:eastAsia="仿宋_GB2312" w:cs="仿宋_GB2312"/>
          <w:color w:val="auto"/>
          <w:sz w:val="32"/>
          <w:szCs w:val="32"/>
          <w:highlight w:val="none"/>
          <w:lang w:eastAsia="zh-CN"/>
        </w:rPr>
      </w:pPr>
      <w:r>
        <w:drawing>
          <wp:inline distT="0" distB="0" distL="114300" distR="114300">
            <wp:extent cx="5266690" cy="1828800"/>
            <wp:effectExtent l="4445" t="4445" r="5715" b="14605"/>
            <wp:docPr id="528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55" w:name="_Toc10637_WPSOffice_Level2"/>
      <w:bookmarkStart w:id="56" w:name="_Toc15377207"/>
      <w:bookmarkStart w:id="57"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55"/>
      <w:bookmarkEnd w:id="56"/>
      <w:bookmarkEnd w:id="57"/>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49.22</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39.57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9.65</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color w:val="auto"/>
          <w:sz w:val="32"/>
          <w:szCs w:val="32"/>
          <w:highlight w:val="none"/>
          <w:lang w:eastAsia="zh-CN"/>
        </w:rPr>
        <w:t>%；上。</w:t>
      </w:r>
    </w:p>
    <w:p>
      <w:pPr>
        <w:ind w:firstLine="525" w:firstLineChars="250"/>
        <w:rPr>
          <w:rFonts w:hint="eastAsia" w:ascii="Times New Roman" w:hAnsi="Times New Roman" w:eastAsia="仿宋_GB2312" w:cs="仿宋_GB2312"/>
          <w:color w:val="auto"/>
          <w:sz w:val="32"/>
          <w:szCs w:val="32"/>
          <w:highlight w:val="none"/>
          <w:lang w:eastAsia="zh-CN"/>
        </w:rPr>
      </w:pPr>
      <w:r>
        <w:drawing>
          <wp:inline distT="0" distB="0" distL="114300" distR="114300">
            <wp:extent cx="4951095" cy="3114040"/>
            <wp:effectExtent l="156845" t="137795" r="168910" b="158115"/>
            <wp:docPr id="835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pPr>
        <w:spacing w:line="600" w:lineRule="exact"/>
        <w:ind w:firstLine="640" w:firstLineChars="200"/>
        <w:outlineLvl w:val="1"/>
        <w:rPr>
          <w:rStyle w:val="29"/>
          <w:rFonts w:ascii="Times New Roman" w:hAnsi="Times New Roman" w:eastAsia="黑体"/>
          <w:b w:val="0"/>
          <w:color w:val="auto"/>
          <w:highlight w:val="none"/>
        </w:rPr>
      </w:pPr>
      <w:bookmarkStart w:id="58" w:name="_Toc7767_WPSOffice_Level2"/>
      <w:bookmarkStart w:id="59" w:name="_Toc15396606"/>
      <w:bookmarkStart w:id="60" w:name="_Toc15377208"/>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58"/>
      <w:bookmarkEnd w:id="59"/>
      <w:bookmarkEnd w:id="60"/>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49.22</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万元。与2023年度相比，财政拨款收入总计、支出总计各增加</w:t>
      </w:r>
      <w:r>
        <w:rPr>
          <w:rFonts w:hint="eastAsia" w:eastAsia="仿宋_GB2312" w:cs="仿宋_GB2312"/>
          <w:color w:val="auto"/>
          <w:kern w:val="2"/>
          <w:sz w:val="32"/>
          <w:szCs w:val="32"/>
          <w:highlight w:val="none"/>
          <w:lang w:val="en-US" w:eastAsia="zh-CN" w:bidi="ar-SA"/>
        </w:rPr>
        <w:t>29.02</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143.66</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sz w:val="32"/>
          <w:szCs w:val="32"/>
          <w:highlight w:val="none"/>
          <w:lang w:eastAsia="zh-CN"/>
        </w:rPr>
        <w:t>一般公共服务支出增加</w:t>
      </w:r>
      <w:r>
        <w:rPr>
          <w:rFonts w:hint="eastAsia" w:eastAsia="仿宋_GB2312" w:cs="仿宋_GB2312"/>
          <w:color w:val="auto"/>
          <w:sz w:val="32"/>
          <w:szCs w:val="32"/>
          <w:highlight w:val="none"/>
          <w:lang w:val="en-US" w:eastAsia="zh-CN"/>
        </w:rPr>
        <w:t>26.54万元，社会保障和就业支出增加0.13万元，卫生健康支出增加0.72万元，住房保障支出增加1.63万元。</w:t>
      </w:r>
    </w:p>
    <w:p>
      <w:pPr>
        <w:pStyle w:val="3"/>
        <w:rPr>
          <w:rFonts w:hint="eastAsia" w:ascii="Times New Roman" w:hAnsi="Times New Roman" w:eastAsia="仿宋_GB2312" w:cs="仿宋_GB2312"/>
          <w:color w:val="auto"/>
          <w:kern w:val="2"/>
          <w:sz w:val="32"/>
          <w:szCs w:val="32"/>
          <w:highlight w:val="none"/>
          <w:lang w:val="en-US" w:eastAsia="zh-CN" w:bidi="ar-SA"/>
        </w:rPr>
      </w:pPr>
      <w:r>
        <w:drawing>
          <wp:inline distT="0" distB="0" distL="114300" distR="114300">
            <wp:extent cx="4438015" cy="2895600"/>
            <wp:effectExtent l="4445" t="5080" r="15240" b="13970"/>
            <wp:docPr id="3189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pPr>
        <w:spacing w:line="600" w:lineRule="exact"/>
        <w:ind w:firstLine="640" w:firstLineChars="200"/>
        <w:outlineLvl w:val="1"/>
        <w:rPr>
          <w:rStyle w:val="29"/>
          <w:rFonts w:ascii="Times New Roman" w:hAnsi="Times New Roman" w:eastAsia="黑体"/>
          <w:b w:val="0"/>
          <w:color w:val="auto"/>
          <w:highlight w:val="none"/>
        </w:rPr>
      </w:pPr>
      <w:bookmarkStart w:id="61" w:name="_Toc15377209"/>
      <w:bookmarkStart w:id="62" w:name="_Toc15396607"/>
      <w:bookmarkStart w:id="63" w:name="_Toc23315_WPSOffice_Level2"/>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61"/>
      <w:bookmarkEnd w:id="62"/>
      <w:bookmarkEnd w:id="63"/>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64" w:name="_Toc15377210"/>
      <w:r>
        <w:rPr>
          <w:rFonts w:hint="eastAsia" w:ascii="Times New Roman" w:hAnsi="Times New Roman" w:eastAsia="楷体_GB2312" w:cs="楷体_GB2312"/>
          <w:b w:val="0"/>
          <w:bCs/>
          <w:color w:val="auto"/>
          <w:sz w:val="32"/>
          <w:szCs w:val="32"/>
          <w:highlight w:val="none"/>
        </w:rPr>
        <w:t>（一）一般公共预算财政拨款支出决算总体情况</w:t>
      </w:r>
      <w:bookmarkEnd w:id="64"/>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49.22</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%。与2023年度相比，一般公共预算财政拨款支出增加29.02万元，增长143.66%。主要变动原因是</w:t>
      </w:r>
      <w:r>
        <w:rPr>
          <w:rFonts w:hint="eastAsia" w:eastAsia="仿宋_GB2312" w:cs="仿宋_GB2312"/>
          <w:color w:val="auto"/>
          <w:sz w:val="32"/>
          <w:szCs w:val="32"/>
          <w:highlight w:val="none"/>
          <w:lang w:eastAsia="zh-CN"/>
        </w:rPr>
        <w:t>一般公共服务支出增加</w:t>
      </w:r>
      <w:r>
        <w:rPr>
          <w:rFonts w:hint="eastAsia" w:eastAsia="仿宋_GB2312" w:cs="仿宋_GB2312"/>
          <w:color w:val="auto"/>
          <w:sz w:val="32"/>
          <w:szCs w:val="32"/>
          <w:highlight w:val="none"/>
          <w:lang w:val="en-US" w:eastAsia="zh-CN"/>
        </w:rPr>
        <w:t>26.54万元，社会保障和就业支出增加0.13万元，卫生健康支出增加0.72万元，住房保障支出增加1.63万元。</w:t>
      </w:r>
    </w:p>
    <w:p>
      <w:pPr>
        <w:pStyle w:val="3"/>
        <w:rPr>
          <w:rFonts w:hint="eastAsia" w:ascii="Times New Roman" w:hAnsi="Times New Roman" w:eastAsia="仿宋_GB2312" w:cs="仿宋_GB2312"/>
          <w:color w:val="auto"/>
          <w:kern w:val="2"/>
          <w:sz w:val="32"/>
          <w:szCs w:val="32"/>
          <w:highlight w:val="none"/>
          <w:lang w:val="en-US" w:eastAsia="zh-CN" w:bidi="ar-SA"/>
        </w:rPr>
      </w:pPr>
      <w:r>
        <w:drawing>
          <wp:inline distT="0" distB="0" distL="114300" distR="114300">
            <wp:extent cx="4264025" cy="3352800"/>
            <wp:effectExtent l="5080" t="4445" r="17145" b="14605"/>
            <wp:docPr id="4213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65" w:name="_Toc15377211"/>
      <w:r>
        <w:rPr>
          <w:rFonts w:hint="eastAsia" w:ascii="Times New Roman" w:hAnsi="Times New Roman" w:eastAsia="楷体_GB2312" w:cs="楷体_GB2312"/>
          <w:b w:val="0"/>
          <w:bCs/>
          <w:color w:val="auto"/>
          <w:sz w:val="32"/>
          <w:szCs w:val="32"/>
          <w:highlight w:val="none"/>
        </w:rPr>
        <w:t>（二）一般公共预算财政拨款支出决算结构情况</w:t>
      </w:r>
      <w:bookmarkEnd w:id="65"/>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49.22</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w:t>
      </w:r>
      <w:r>
        <w:rPr>
          <w:rFonts w:hint="eastAsia" w:eastAsia="仿宋_GB2312" w:cs="仿宋_GB2312"/>
          <w:color w:val="auto"/>
          <w:kern w:val="2"/>
          <w:sz w:val="32"/>
          <w:szCs w:val="32"/>
          <w:highlight w:val="none"/>
          <w:lang w:val="en-US" w:eastAsia="zh-CN" w:bidi="ar-SA"/>
        </w:rPr>
        <w:t>39.7</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81</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5.43</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1.13</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%；住房保障支出</w:t>
      </w:r>
      <w:r>
        <w:rPr>
          <w:rFonts w:hint="eastAsia" w:eastAsia="仿宋_GB2312" w:cs="仿宋_GB2312"/>
          <w:color w:val="auto"/>
          <w:kern w:val="2"/>
          <w:sz w:val="32"/>
          <w:szCs w:val="32"/>
          <w:highlight w:val="none"/>
          <w:lang w:val="en-US" w:eastAsia="zh-CN" w:bidi="ar-SA"/>
        </w:rPr>
        <w:t>2.96</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3"/>
        <w:ind w:left="0" w:leftChars="0" w:firstLine="0" w:firstLineChars="0"/>
        <w:rPr>
          <w:rFonts w:hint="eastAsia" w:ascii="Times New Roman" w:hAnsi="Times New Roman" w:eastAsia="仿宋_GB2312" w:cs="仿宋_GB2312"/>
          <w:color w:val="auto"/>
          <w:kern w:val="2"/>
          <w:sz w:val="32"/>
          <w:szCs w:val="32"/>
          <w:highlight w:val="none"/>
          <w:lang w:val="en-US" w:eastAsia="zh-CN" w:bidi="ar-SA"/>
        </w:rPr>
      </w:pPr>
    </w:p>
    <w:p>
      <w:pPr>
        <w:pStyle w:val="3"/>
        <w:rPr>
          <w:rFonts w:hint="eastAsia" w:ascii="Times New Roman" w:hAnsi="Times New Roman" w:eastAsia="仿宋_GB2312" w:cs="仿宋_GB2312"/>
          <w:color w:val="auto"/>
          <w:kern w:val="2"/>
          <w:sz w:val="32"/>
          <w:szCs w:val="32"/>
          <w:highlight w:val="none"/>
          <w:lang w:val="en-US" w:eastAsia="zh-CN" w:bidi="ar-SA"/>
        </w:rPr>
      </w:pPr>
      <w:r>
        <w:drawing>
          <wp:inline distT="0" distB="0" distL="114300" distR="114300">
            <wp:extent cx="5270500" cy="2025015"/>
            <wp:effectExtent l="4445" t="4445" r="20955" b="8890"/>
            <wp:docPr id="6363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66" w:name="_Toc15377212"/>
      <w:r>
        <w:rPr>
          <w:rFonts w:hint="eastAsia" w:ascii="Times New Roman" w:hAnsi="Times New Roman" w:eastAsia="楷体_GB2312" w:cs="楷体_GB2312"/>
          <w:b w:val="0"/>
          <w:bCs/>
          <w:color w:val="auto"/>
          <w:sz w:val="32"/>
          <w:szCs w:val="32"/>
          <w:highlight w:val="none"/>
        </w:rPr>
        <w:t>（三）一般公共预算财政拨款支出决算具体情况</w:t>
      </w:r>
      <w:bookmarkEnd w:id="66"/>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67" w:name="_Toc15377444"/>
      <w:bookmarkStart w:id="68" w:name="_Toc15378460"/>
      <w:bookmarkStart w:id="69" w:name="_Toc15377213"/>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49.22</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99.23</w:t>
      </w:r>
      <w:r>
        <w:rPr>
          <w:rFonts w:hint="eastAsia" w:ascii="Times New Roman" w:hAnsi="Times New Roman" w:eastAsia="仿宋_GB2312" w:cs="仿宋_GB2312"/>
          <w:color w:val="auto"/>
          <w:kern w:val="2"/>
          <w:sz w:val="32"/>
          <w:szCs w:val="32"/>
          <w:highlight w:val="none"/>
          <w:lang w:val="en-US" w:eastAsia="zh-CN" w:bidi="ar-SA"/>
        </w:rPr>
        <w:t>%。其中：</w:t>
      </w:r>
      <w:bookmarkEnd w:id="67"/>
      <w:bookmarkEnd w:id="68"/>
      <w:bookmarkEnd w:id="6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港台事务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一般行政管理事务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9.65</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2.一般公共服务（类）</w:t>
      </w:r>
      <w:r>
        <w:rPr>
          <w:rFonts w:hint="eastAsia" w:eastAsia="仿宋_GB2312" w:cs="仿宋_GB2312"/>
          <w:color w:val="auto"/>
          <w:kern w:val="2"/>
          <w:sz w:val="32"/>
          <w:szCs w:val="32"/>
          <w:highlight w:val="none"/>
          <w:lang w:val="en-US" w:eastAsia="zh-CN" w:bidi="ar-SA"/>
        </w:rPr>
        <w:t>统战事务</w:t>
      </w:r>
      <w:r>
        <w:rPr>
          <w:rFonts w:hint="eastAsia" w:ascii="Times New Roman" w:hAnsi="Times New Roman" w:eastAsia="仿宋_GB2312" w:cs="仿宋_GB2312"/>
          <w:color w:val="auto"/>
          <w:kern w:val="2"/>
          <w:sz w:val="32"/>
          <w:szCs w:val="32"/>
          <w:highlight w:val="none"/>
          <w:lang w:val="en-US" w:eastAsia="zh-CN" w:bidi="ar-SA"/>
        </w:rPr>
        <w:t>（款）事业运行（项）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30.05</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3.社会保障和就业（类）</w:t>
      </w:r>
      <w:r>
        <w:rPr>
          <w:rFonts w:hint="eastAsia" w:eastAsia="仿宋_GB2312" w:cs="仿宋_GB2312"/>
          <w:color w:val="auto"/>
          <w:kern w:val="2"/>
          <w:sz w:val="32"/>
          <w:szCs w:val="32"/>
          <w:highlight w:val="none"/>
          <w:lang w:val="en-US" w:eastAsia="zh-CN" w:bidi="ar-SA"/>
        </w:rPr>
        <w:t>行政事业单位养老支出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机关事业单位基本养老保险支出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3.43</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社会保障和就业（类）</w:t>
      </w:r>
      <w:r>
        <w:rPr>
          <w:rFonts w:hint="eastAsia" w:eastAsia="仿宋_GB2312" w:cs="仿宋_GB2312"/>
          <w:color w:val="auto"/>
          <w:kern w:val="2"/>
          <w:sz w:val="32"/>
          <w:szCs w:val="32"/>
          <w:highlight w:val="none"/>
          <w:lang w:val="en-US" w:eastAsia="zh-CN" w:bidi="ar-SA"/>
        </w:rPr>
        <w:t>行政事业单位养老支出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机关事业单位职业年金缴费支出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1.71</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5.社会保障和就业（类）</w:t>
      </w:r>
      <w:r>
        <w:rPr>
          <w:rFonts w:hint="eastAsia" w:eastAsia="仿宋_GB2312" w:cs="仿宋_GB2312"/>
          <w:color w:val="auto"/>
          <w:kern w:val="2"/>
          <w:sz w:val="32"/>
          <w:szCs w:val="32"/>
          <w:highlight w:val="none"/>
          <w:lang w:val="en-US" w:eastAsia="zh-CN" w:bidi="ar-SA"/>
        </w:rPr>
        <w:t>其他社会保障和就业支出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其他社会保障和就业支出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0.29</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6.卫生健康（类）</w:t>
      </w:r>
      <w:r>
        <w:rPr>
          <w:rFonts w:hint="eastAsia" w:eastAsia="仿宋_GB2312" w:cs="仿宋_GB2312"/>
          <w:color w:val="auto"/>
          <w:kern w:val="2"/>
          <w:sz w:val="32"/>
          <w:szCs w:val="32"/>
          <w:highlight w:val="none"/>
          <w:lang w:val="en-US"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事业单位医疗</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0.93</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7.卫生健康（类）</w:t>
      </w:r>
      <w:r>
        <w:rPr>
          <w:rFonts w:hint="eastAsia" w:eastAsia="仿宋_GB2312" w:cs="仿宋_GB2312"/>
          <w:color w:val="auto"/>
          <w:kern w:val="2"/>
          <w:sz w:val="32"/>
          <w:szCs w:val="32"/>
          <w:highlight w:val="none"/>
          <w:lang w:val="en-US"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（款）公务员</w:t>
      </w:r>
      <w:r>
        <w:rPr>
          <w:rFonts w:hint="eastAsia" w:eastAsia="仿宋_GB2312" w:cs="仿宋_GB2312"/>
          <w:color w:val="auto"/>
          <w:kern w:val="2"/>
          <w:sz w:val="32"/>
          <w:szCs w:val="32"/>
          <w:highlight w:val="none"/>
          <w:lang w:val="en-US" w:eastAsia="zh-CN" w:bidi="ar-SA"/>
        </w:rPr>
        <w:t>医疗补助</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0.2</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8.住房保障（类）</w:t>
      </w:r>
      <w:r>
        <w:rPr>
          <w:rFonts w:hint="eastAsia" w:eastAsia="仿宋_GB2312" w:cs="仿宋_GB2312"/>
          <w:color w:val="auto"/>
          <w:kern w:val="2"/>
          <w:sz w:val="32"/>
          <w:szCs w:val="32"/>
          <w:highlight w:val="none"/>
          <w:lang w:val="en-US" w:eastAsia="zh-CN" w:bidi="ar-SA"/>
        </w:rPr>
        <w:t>住房改革支出</w:t>
      </w:r>
      <w:r>
        <w:rPr>
          <w:rFonts w:hint="eastAsia" w:ascii="Times New Roman" w:hAnsi="Times New Roman" w:eastAsia="仿宋_GB2312" w:cs="仿宋_GB2312"/>
          <w:color w:val="auto"/>
          <w:kern w:val="2"/>
          <w:sz w:val="32"/>
          <w:szCs w:val="32"/>
          <w:highlight w:val="none"/>
          <w:lang w:val="en-US" w:eastAsia="zh-CN" w:bidi="ar-SA"/>
        </w:rPr>
        <w:t>（款）住房公积金（项）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2.96</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tabs>
          <w:tab w:val="right" w:pos="8306"/>
        </w:tabs>
        <w:spacing w:line="600" w:lineRule="exact"/>
        <w:ind w:firstLine="640"/>
        <w:outlineLvl w:val="1"/>
        <w:rPr>
          <w:rStyle w:val="29"/>
          <w:rFonts w:ascii="Times New Roman" w:hAnsi="Times New Roman"/>
          <w:color w:val="auto"/>
          <w:highlight w:val="none"/>
        </w:rPr>
      </w:pPr>
      <w:bookmarkStart w:id="70" w:name="_Toc15396608"/>
      <w:bookmarkStart w:id="71" w:name="_Toc15377214"/>
      <w:bookmarkStart w:id="72" w:name="_Toc23940_WPSOffice_Level2"/>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70"/>
      <w:bookmarkEnd w:id="71"/>
      <w:bookmarkEnd w:id="72"/>
      <w:r>
        <w:rPr>
          <w:rStyle w:val="29"/>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39.57</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36.38</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元，主要包括：基本工资、津贴补贴、奖金、伙食补助费、绩效工资、机关事业单位基本养老保险缴费、职业年金缴费、其他社会保障缴费、住房公积金等。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3.19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元，主要包括：办公费、差旅费、</w:t>
      </w:r>
      <w:r>
        <w:rPr>
          <w:rFonts w:hint="eastAsia" w:eastAsia="仿宋_GB2312" w:cs="仿宋_GB2312"/>
          <w:color w:val="auto"/>
          <w:kern w:val="2"/>
          <w:sz w:val="32"/>
          <w:szCs w:val="32"/>
          <w:highlight w:val="none"/>
          <w:lang w:val="en-US" w:eastAsia="zh-CN" w:bidi="ar-SA"/>
        </w:rPr>
        <w:t>培训</w:t>
      </w:r>
      <w:r>
        <w:rPr>
          <w:rFonts w:hint="eastAsia" w:ascii="Times New Roman" w:hAnsi="Times New Roman" w:eastAsia="仿宋_GB2312" w:cs="仿宋_GB2312"/>
          <w:color w:val="auto"/>
          <w:kern w:val="2"/>
          <w:sz w:val="32"/>
          <w:szCs w:val="32"/>
          <w:highlight w:val="none"/>
          <w:lang w:val="en-US" w:eastAsia="zh-CN" w:bidi="ar-SA"/>
        </w:rPr>
        <w:t>费、公务接待费、工会经费、福利费等。</w:t>
      </w:r>
    </w:p>
    <w:p>
      <w:pPr>
        <w:spacing w:line="600" w:lineRule="exact"/>
        <w:ind w:firstLine="640"/>
        <w:outlineLvl w:val="1"/>
        <w:rPr>
          <w:rStyle w:val="29"/>
          <w:rFonts w:ascii="Times New Roman" w:hAnsi="Times New Roman" w:eastAsia="黑体"/>
          <w:b w:val="0"/>
          <w:color w:val="auto"/>
          <w:highlight w:val="none"/>
        </w:rPr>
      </w:pPr>
      <w:bookmarkStart w:id="73" w:name="_Toc15396609"/>
      <w:bookmarkStart w:id="74" w:name="_Toc15377215"/>
      <w:bookmarkStart w:id="75" w:name="_Toc20089_WPSOffice_Level2"/>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73"/>
      <w:bookmarkEnd w:id="74"/>
      <w:bookmarkEnd w:id="75"/>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76" w:name="_Toc15377216"/>
      <w:r>
        <w:rPr>
          <w:rFonts w:hint="eastAsia" w:ascii="Times New Roman" w:hAnsi="Times New Roman" w:eastAsia="楷体_GB2312" w:cs="楷体_GB2312"/>
          <w:b w:val="0"/>
          <w:bCs/>
          <w:color w:val="auto"/>
          <w:sz w:val="32"/>
          <w:szCs w:val="32"/>
          <w:highlight w:val="none"/>
        </w:rPr>
        <w:t>（一）“三公”经费财政拨款支出决算总体情况说明</w:t>
      </w:r>
      <w:bookmarkEnd w:id="76"/>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1.05</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较上年度增加</w:t>
      </w:r>
      <w:r>
        <w:rPr>
          <w:rFonts w:hint="eastAsia" w:eastAsia="仿宋_GB2312" w:cs="仿宋_GB2312"/>
          <w:color w:val="auto"/>
          <w:kern w:val="2"/>
          <w:sz w:val="32"/>
          <w:szCs w:val="32"/>
          <w:highlight w:val="none"/>
          <w:lang w:val="en-US" w:eastAsia="zh-CN" w:bidi="ar-SA"/>
        </w:rPr>
        <w:t>1.05</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%。决算数与预算数持平</w:t>
      </w:r>
      <w:r>
        <w:rPr>
          <w:rFonts w:hint="eastAsia" w:eastAsia="仿宋_GB2312" w:cs="仿宋_GB2312"/>
          <w:color w:val="auto"/>
          <w:kern w:val="2"/>
          <w:sz w:val="32"/>
          <w:szCs w:val="32"/>
          <w:highlight w:val="none"/>
          <w:lang w:val="en-US" w:eastAsia="zh-CN" w:bidi="ar-SA"/>
        </w:rPr>
        <w:t>。</w:t>
      </w:r>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77" w:name="_Toc15377217"/>
      <w:r>
        <w:rPr>
          <w:rFonts w:hint="eastAsia" w:ascii="Times New Roman" w:hAnsi="Times New Roman" w:eastAsia="楷体_GB2312" w:cs="楷体_GB2312"/>
          <w:b w:val="0"/>
          <w:bCs/>
          <w:color w:val="auto"/>
          <w:sz w:val="32"/>
          <w:szCs w:val="32"/>
          <w:highlight w:val="none"/>
        </w:rPr>
        <w:t>（二）“三公”经费财政拨款支出决算具体情况说明</w:t>
      </w:r>
      <w:bookmarkEnd w:id="77"/>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万元，占0%；公务接待费支出决算</w:t>
      </w:r>
      <w:r>
        <w:rPr>
          <w:rFonts w:hint="eastAsia" w:ascii="仿宋_GB2312" w:hAnsi="仿宋_GB2312" w:eastAsia="仿宋_GB2312" w:cs="仿宋_GB2312"/>
          <w:sz w:val="32"/>
          <w:szCs w:val="32"/>
        </w:rPr>
        <w:t>1.05</w:t>
      </w:r>
      <w:r>
        <w:rPr>
          <w:rFonts w:hint="eastAsia" w:ascii="仿宋_GB2312" w:hAnsi="仿宋_GB2312" w:eastAsia="仿宋_GB2312" w:cs="仿宋_GB2312"/>
          <w:color w:val="auto"/>
          <w:kern w:val="2"/>
          <w:sz w:val="32"/>
          <w:szCs w:val="32"/>
          <w:highlight w:val="none"/>
          <w:lang w:val="en-US" w:eastAsia="zh-CN" w:bidi="ar-SA"/>
        </w:rPr>
        <w:t>万元，占100%。具体情况如下：</w:t>
      </w:r>
    </w:p>
    <w:p>
      <w:pPr>
        <w:pStyle w:val="3"/>
        <w:rPr>
          <w:rFonts w:hint="eastAsia" w:ascii="仿宋_GB2312" w:hAnsi="仿宋_GB2312" w:eastAsia="仿宋_GB2312" w:cs="仿宋_GB2312"/>
          <w:color w:val="auto"/>
          <w:kern w:val="2"/>
          <w:sz w:val="32"/>
          <w:szCs w:val="32"/>
          <w:highlight w:val="none"/>
          <w:lang w:val="en-US" w:eastAsia="zh-CN" w:bidi="ar-SA"/>
        </w:rPr>
      </w:pPr>
      <w:r>
        <w:drawing>
          <wp:inline distT="0" distB="0" distL="114300" distR="114300">
            <wp:extent cx="4979035" cy="3467100"/>
            <wp:effectExtent l="5080" t="4445" r="6985" b="14605"/>
            <wp:docPr id="9435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pPr>
        <w:numPr>
          <w:ilvl w:val="0"/>
          <w:numId w:val="4"/>
        </w:num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因公出国（境）经费支出**万元，完成预算**%。</w:t>
      </w: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。因公出国（境）支出决算比2023年增加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无。</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开支内容包括：</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（团组名称、出访地点、取得成效等）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公务用车购置及运行维护费支出决算比2023年度增加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无。</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万元，主要用于</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。截至2024年12月31日，单位共有公务用车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公务用车运行维护费支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万元。主要用于</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（具体工作）所需的公务用车燃料费、维修费、过路过桥费、保险费等支出。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1.05万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公务接待费支出决算比2023年度增加</w:t>
      </w:r>
      <w:r>
        <w:rPr>
          <w:rFonts w:hint="eastAsia" w:eastAsia="仿宋_GB2312" w:cs="仿宋_GB2312"/>
          <w:color w:val="auto"/>
          <w:kern w:val="2"/>
          <w:sz w:val="32"/>
          <w:szCs w:val="32"/>
          <w:highlight w:val="none"/>
          <w:lang w:val="en-US" w:eastAsia="zh-CN" w:bidi="ar-SA"/>
        </w:rPr>
        <w:t>1.05</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工作任务增加</w:t>
      </w:r>
      <w:r>
        <w:rPr>
          <w:rFonts w:hint="eastAsia" w:ascii="Times New Roman" w:hAnsi="Times New Roman" w:eastAsia="仿宋_GB2312" w:cs="仿宋_GB2312"/>
          <w:color w:val="auto"/>
          <w:kern w:val="2"/>
          <w:sz w:val="32"/>
          <w:szCs w:val="32"/>
          <w:highlight w:val="none"/>
          <w:lang w:val="en-US" w:eastAsia="zh-CN" w:bidi="ar-SA"/>
        </w:rPr>
        <w:t>。其中：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1.05</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元，主要用于执行公务、开展业务活动开支的交通费、住宿费、用餐费等。国内公务接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374</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1.05</w:t>
      </w:r>
      <w:r>
        <w:rPr>
          <w:rFonts w:hint="eastAsia" w:ascii="Times New Roman" w:hAnsi="Times New Roman" w:eastAsia="仿宋_GB2312" w:cs="仿宋_GB2312"/>
          <w:color w:val="auto"/>
          <w:kern w:val="2"/>
          <w:sz w:val="32"/>
          <w:szCs w:val="32"/>
          <w:highlight w:val="none"/>
          <w:lang w:val="en-US" w:eastAsia="zh-CN" w:bidi="ar-SA"/>
        </w:rPr>
        <w:t>万元，具体内容包括：</w:t>
      </w:r>
      <w:r>
        <w:rPr>
          <w:rFonts w:hint="eastAsia" w:eastAsia="仿宋_GB2312" w:cs="仿宋_GB2312"/>
          <w:color w:val="auto"/>
          <w:kern w:val="2"/>
          <w:sz w:val="32"/>
          <w:szCs w:val="32"/>
          <w:highlight w:val="none"/>
          <w:lang w:val="en-US" w:eastAsia="zh-CN" w:bidi="ar-SA"/>
        </w:rPr>
        <w:t>海外华文媒体来桥采访调研接待费用4100元；海外华裔青少年夏令营研学接待费用1430元；</w:t>
      </w:r>
      <w:r>
        <w:rPr>
          <w:rFonts w:hint="eastAsia" w:ascii="仿宋_GB2312" w:eastAsia="仿宋_GB2312"/>
          <w:sz w:val="32"/>
          <w:szCs w:val="32"/>
          <w:highlight w:val="none"/>
          <w:lang w:val="en-US" w:eastAsia="zh-CN"/>
        </w:rPr>
        <w:t>一带一路知名华商行接待费用6300元；省侨联来桥调研接待费用1560元</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万元，主要用于无（具体项目）。外事接待</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人次（不包括陪同人员），共计支出0万</w:t>
      </w:r>
      <w:r>
        <w:rPr>
          <w:rFonts w:hint="eastAsia" w:ascii="Times New Roman" w:hAnsi="Times New Roman" w:eastAsia="仿宋_GB2312" w:cs="仿宋_GB2312"/>
          <w:color w:val="auto"/>
          <w:kern w:val="2"/>
          <w:sz w:val="32"/>
          <w:szCs w:val="32"/>
          <w:highlight w:val="none"/>
          <w:lang w:val="en-US" w:eastAsia="zh-CN" w:bidi="ar-SA"/>
        </w:rPr>
        <w:t>元。</w:t>
      </w:r>
      <w:bookmarkStart w:id="78" w:name="_Toc15377218"/>
      <w:bookmarkStart w:id="79" w:name="_Toc15396610"/>
    </w:p>
    <w:p>
      <w:pPr>
        <w:spacing w:line="600" w:lineRule="exact"/>
        <w:ind w:firstLine="640"/>
        <w:outlineLvl w:val="1"/>
        <w:rPr>
          <w:rStyle w:val="29"/>
          <w:rFonts w:ascii="Times New Roman" w:hAnsi="Times New Roman" w:eastAsia="黑体"/>
          <w:color w:val="auto"/>
          <w:highlight w:val="none"/>
        </w:rPr>
      </w:pPr>
      <w:bookmarkStart w:id="80" w:name="_Toc27699_WPSOffice_Level2"/>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78"/>
      <w:bookmarkEnd w:id="79"/>
      <w:bookmarkEnd w:id="80"/>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。与2023年度相比，政府性基金预算财政拨款支出增加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无</w:t>
      </w:r>
      <w:r>
        <w:rPr>
          <w:rFonts w:hint="eastAsia" w:eastAsia="仿宋_GB2312" w:cs="仿宋_GB2312"/>
          <w:b/>
          <w:bCs/>
          <w:color w:val="auto"/>
          <w:kern w:val="2"/>
          <w:sz w:val="32"/>
          <w:szCs w:val="32"/>
          <w:highlight w:val="none"/>
          <w:lang w:val="en-US" w:eastAsia="zh-CN" w:bidi="ar-SA"/>
        </w:rPr>
        <w:t>。</w:t>
      </w:r>
    </w:p>
    <w:p>
      <w:pPr>
        <w:numPr>
          <w:ilvl w:val="0"/>
          <w:numId w:val="0"/>
        </w:numPr>
        <w:spacing w:line="600" w:lineRule="exact"/>
        <w:ind w:left="630" w:leftChars="0"/>
        <w:outlineLvl w:val="1"/>
        <w:rPr>
          <w:rStyle w:val="29"/>
          <w:rFonts w:ascii="Times New Roman" w:hAnsi="Times New Roman" w:eastAsia="黑体"/>
          <w:b w:val="0"/>
          <w:color w:val="auto"/>
          <w:highlight w:val="none"/>
        </w:rPr>
      </w:pPr>
      <w:bookmarkStart w:id="81" w:name="_Toc15396611"/>
      <w:bookmarkStart w:id="82" w:name="_Toc15377219"/>
      <w:bookmarkStart w:id="83" w:name="_Toc29930_WPSOffice_Level2"/>
      <w:r>
        <w:rPr>
          <w:rStyle w:val="29"/>
          <w:rFonts w:hint="eastAsia" w:ascii="Times New Roman" w:hAnsi="Times New Roman" w:eastAsia="黑体"/>
          <w:b w:val="0"/>
          <w:color w:val="auto"/>
          <w:highlight w:val="none"/>
          <w:lang w:eastAsia="zh-CN"/>
        </w:rPr>
        <w:t>九、</w:t>
      </w:r>
      <w:r>
        <w:rPr>
          <w:rStyle w:val="29"/>
          <w:rFonts w:hint="eastAsia" w:ascii="Times New Roman" w:hAnsi="Times New Roman" w:eastAsia="黑体"/>
          <w:b w:val="0"/>
          <w:color w:val="auto"/>
          <w:highlight w:val="none"/>
        </w:rPr>
        <w:t>国有资本经营预算支出决算情况说明</w:t>
      </w:r>
      <w:bookmarkEnd w:id="81"/>
      <w:bookmarkEnd w:id="82"/>
      <w:bookmarkEnd w:id="8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。与2023年度相比，国有资本经营预算财政拨款支出增加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无</w:t>
      </w:r>
      <w:r>
        <w:rPr>
          <w:rFonts w:hint="eastAsia" w:eastAsia="仿宋_GB2312" w:cs="仿宋_GB2312"/>
          <w:b/>
          <w:bCs/>
          <w:color w:val="auto"/>
          <w:kern w:val="2"/>
          <w:sz w:val="32"/>
          <w:szCs w:val="32"/>
          <w:highlight w:val="none"/>
          <w:lang w:val="en-US" w:eastAsia="zh-CN" w:bidi="ar-SA"/>
        </w:rPr>
        <w:t>。</w:t>
      </w:r>
    </w:p>
    <w:p>
      <w:pPr>
        <w:numPr>
          <w:ilvl w:val="0"/>
          <w:numId w:val="0"/>
        </w:numPr>
        <w:spacing w:line="600" w:lineRule="exact"/>
        <w:ind w:left="630" w:leftChars="0"/>
        <w:outlineLvl w:val="1"/>
        <w:rPr>
          <w:rStyle w:val="29"/>
          <w:rFonts w:hint="eastAsia" w:ascii="Times New Roman" w:hAnsi="Times New Roman" w:eastAsia="黑体"/>
          <w:b w:val="0"/>
          <w:color w:val="auto"/>
          <w:highlight w:val="none"/>
        </w:rPr>
      </w:pPr>
      <w:bookmarkStart w:id="84" w:name="_Toc15396612"/>
      <w:bookmarkStart w:id="85" w:name="_Toc15377221"/>
      <w:bookmarkStart w:id="86" w:name="_Toc23047_WPSOffice_Level2"/>
      <w:r>
        <w:rPr>
          <w:rStyle w:val="29"/>
          <w:rFonts w:hint="eastAsia" w:ascii="Times New Roman" w:hAnsi="Times New Roman" w:eastAsia="黑体"/>
          <w:b w:val="0"/>
          <w:color w:val="auto"/>
          <w:highlight w:val="none"/>
          <w:lang w:eastAsia="zh-CN"/>
        </w:rPr>
        <w:t>十、</w:t>
      </w:r>
      <w:r>
        <w:rPr>
          <w:rStyle w:val="29"/>
          <w:rFonts w:hint="eastAsia" w:ascii="Times New Roman" w:hAnsi="Times New Roman" w:eastAsia="黑体"/>
          <w:b w:val="0"/>
          <w:color w:val="auto"/>
          <w:highlight w:val="none"/>
        </w:rPr>
        <w:t>其他重要事项的情况说明</w:t>
      </w:r>
      <w:bookmarkEnd w:id="84"/>
      <w:bookmarkEnd w:id="85"/>
      <w:bookmarkEnd w:id="86"/>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87" w:name="_Toc15377222"/>
      <w:r>
        <w:rPr>
          <w:rFonts w:hint="eastAsia" w:ascii="Times New Roman" w:hAnsi="Times New Roman" w:eastAsia="楷体_GB2312" w:cs="楷体_GB2312"/>
          <w:b w:val="0"/>
          <w:bCs/>
          <w:color w:val="auto"/>
          <w:sz w:val="32"/>
          <w:szCs w:val="32"/>
          <w:highlight w:val="none"/>
        </w:rPr>
        <w:t>（一）机关运行经费支出情况</w:t>
      </w:r>
      <w:bookmarkEnd w:id="8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乐山市五通桥区归侨侨眷联合会</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元，比2023年度增加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无。</w:t>
      </w:r>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88" w:name="_Toc15377223"/>
      <w:r>
        <w:rPr>
          <w:rFonts w:hint="eastAsia" w:ascii="Times New Roman" w:hAnsi="Times New Roman" w:eastAsia="楷体_GB2312" w:cs="楷体_GB2312"/>
          <w:b w:val="0"/>
          <w:bCs/>
          <w:color w:val="auto"/>
          <w:sz w:val="32"/>
          <w:szCs w:val="32"/>
          <w:highlight w:val="none"/>
        </w:rPr>
        <w:t>（二）政府采购支出情况</w:t>
      </w:r>
      <w:bookmarkEnd w:id="88"/>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乐山市五通桥区归侨侨眷联合会</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万元。主要用于无（具体工作）。授予中小企业合同金额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89" w:name="_Toc15377224"/>
      <w:r>
        <w:rPr>
          <w:rFonts w:hint="eastAsia" w:ascii="Times New Roman" w:hAnsi="Times New Roman" w:eastAsia="楷体_GB2312" w:cs="楷体_GB2312"/>
          <w:b w:val="0"/>
          <w:bCs/>
          <w:color w:val="auto"/>
          <w:sz w:val="32"/>
          <w:szCs w:val="32"/>
          <w:highlight w:val="none"/>
        </w:rPr>
        <w:t>（三）国有资产占有使用情况</w:t>
      </w:r>
      <w:bookmarkEnd w:id="8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乐山市五通桥区归侨侨眷联合会</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辆，其他用车主要是用于无。单价100万元（含）以上设备（不含车辆）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r>
        <w:rPr>
          <w:rFonts w:hint="eastAsia" w:ascii="Times New Roman" w:hAnsi="Times New Roman" w:eastAsia="楷体_GB2312" w:cs="楷体_GB2312"/>
          <w:b w:val="0"/>
          <w:bCs/>
          <w:color w:val="auto"/>
          <w:sz w:val="32"/>
          <w:szCs w:val="32"/>
          <w:highlight w:val="none"/>
        </w:rPr>
        <w:t>（四）预算绩效管理情况</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我单位</w:t>
      </w:r>
      <w:r>
        <w:rPr>
          <w:rFonts w:hint="eastAsia" w:ascii="Times New Roman" w:hAnsi="Times New Roman" w:eastAsia="仿宋_GB2312" w:cs="仿宋_GB2312"/>
          <w:color w:val="auto"/>
          <w:kern w:val="2"/>
          <w:sz w:val="32"/>
          <w:szCs w:val="32"/>
          <w:highlight w:val="none"/>
          <w:lang w:val="en-US" w:eastAsia="zh-CN" w:bidi="ar-SA"/>
        </w:rPr>
        <w:t>在2024年度预算编制阶段，组织对</w:t>
      </w:r>
      <w:r>
        <w:rPr>
          <w:rFonts w:hint="eastAsia" w:eastAsia="仿宋_GB2312" w:cs="仿宋_GB2312"/>
          <w:color w:val="auto"/>
          <w:kern w:val="2"/>
          <w:sz w:val="32"/>
          <w:szCs w:val="32"/>
          <w:highlight w:val="none"/>
          <w:lang w:val="en-US" w:eastAsia="zh-CN" w:bidi="ar-SA"/>
        </w:rPr>
        <w:t>华侨事务工作经费</w:t>
      </w:r>
      <w:r>
        <w:rPr>
          <w:rFonts w:hint="eastAsia" w:ascii="Times New Roman" w:hAnsi="Times New Roman" w:eastAsia="仿宋_GB2312" w:cs="仿宋_GB2312"/>
          <w:color w:val="auto"/>
          <w:kern w:val="2"/>
          <w:sz w:val="32"/>
          <w:szCs w:val="32"/>
          <w:highlight w:val="none"/>
          <w:lang w:val="en-US" w:eastAsia="zh-CN" w:bidi="ar-SA"/>
        </w:rPr>
        <w:t>等</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个项目开展绩效监控。</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3"/>
        <w:rPr>
          <w:rFonts w:hint="eastAsia" w:ascii="Times New Roman" w:hAnsi="Times New Roman" w:eastAsia="仿宋_GB2312" w:cs="仿宋_GB2312"/>
          <w:color w:val="auto"/>
          <w:kern w:val="2"/>
          <w:sz w:val="32"/>
          <w:szCs w:val="32"/>
          <w:highlight w:val="none"/>
          <w:lang w:val="en-US" w:eastAsia="zh-CN" w:bidi="ar-SA"/>
        </w:rPr>
      </w:pPr>
    </w:p>
    <w:p>
      <w:pPr>
        <w:pStyle w:val="3"/>
        <w:rPr>
          <w:rFonts w:hint="eastAsia" w:ascii="Times New Roman" w:hAnsi="Times New Roman" w:eastAsia="仿宋_GB2312" w:cs="仿宋_GB2312"/>
          <w:color w:val="auto"/>
          <w:kern w:val="2"/>
          <w:sz w:val="32"/>
          <w:szCs w:val="32"/>
          <w:highlight w:val="none"/>
          <w:lang w:val="en-US" w:eastAsia="zh-CN" w:bidi="ar-SA"/>
        </w:rPr>
      </w:pPr>
    </w:p>
    <w:p>
      <w:pPr>
        <w:pStyle w:val="3"/>
        <w:rPr>
          <w:rFonts w:hint="eastAsia" w:ascii="Times New Roman" w:hAnsi="Times New Roman" w:eastAsia="仿宋_GB2312" w:cs="仿宋_GB2312"/>
          <w:color w:val="auto"/>
          <w:kern w:val="2"/>
          <w:sz w:val="32"/>
          <w:szCs w:val="32"/>
          <w:highlight w:val="none"/>
          <w:lang w:val="en-US" w:eastAsia="zh-CN" w:bidi="ar-SA"/>
        </w:rPr>
      </w:pPr>
    </w:p>
    <w:p>
      <w:pPr>
        <w:pStyle w:val="3"/>
        <w:rPr>
          <w:rFonts w:hint="eastAsia" w:ascii="Times New Roman" w:hAnsi="Times New Roman" w:eastAsia="仿宋_GB2312" w:cs="仿宋_GB2312"/>
          <w:color w:val="auto"/>
          <w:kern w:val="2"/>
          <w:sz w:val="32"/>
          <w:szCs w:val="32"/>
          <w:highlight w:val="none"/>
          <w:lang w:val="en-US" w:eastAsia="zh-CN" w:bidi="ar-SA"/>
        </w:rPr>
      </w:pPr>
    </w:p>
    <w:p>
      <w:pPr>
        <w:pStyle w:val="3"/>
        <w:rPr>
          <w:rFonts w:hint="eastAsia" w:ascii="Times New Roman" w:hAnsi="Times New Roman" w:eastAsia="仿宋_GB2312" w:cs="仿宋_GB2312"/>
          <w:color w:val="auto"/>
          <w:kern w:val="2"/>
          <w:sz w:val="32"/>
          <w:szCs w:val="32"/>
          <w:highlight w:val="none"/>
          <w:lang w:val="en-US" w:eastAsia="zh-CN" w:bidi="ar-SA"/>
        </w:rPr>
      </w:pPr>
    </w:p>
    <w:p>
      <w:pPr>
        <w:pStyle w:val="3"/>
        <w:rPr>
          <w:rFonts w:hint="eastAsia" w:ascii="Times New Roman" w:hAnsi="Times New Roman" w:eastAsia="仿宋_GB2312" w:cs="仿宋_GB2312"/>
          <w:color w:val="auto"/>
          <w:kern w:val="2"/>
          <w:sz w:val="32"/>
          <w:szCs w:val="32"/>
          <w:highlight w:val="none"/>
          <w:lang w:val="en-US" w:eastAsia="zh-CN" w:bidi="ar-SA"/>
        </w:rPr>
      </w:pPr>
    </w:p>
    <w:p>
      <w:pPr>
        <w:spacing w:line="600" w:lineRule="exact"/>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90" w:name="_Toc15377225"/>
      <w:bookmarkStart w:id="91" w:name="_Toc15396613"/>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92" w:name="_Toc13504_WPSOffice_Level1"/>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90"/>
      <w:bookmarkEnd w:id="91"/>
      <w:bookmarkEnd w:id="92"/>
    </w:p>
    <w:p>
      <w:pPr>
        <w:spacing w:line="600" w:lineRule="exact"/>
        <w:jc w:val="left"/>
        <w:rPr>
          <w:rFonts w:ascii="Times New Roman" w:hAnsi="Times New Roman"/>
          <w:b/>
          <w:color w:val="auto"/>
          <w:sz w:val="44"/>
          <w:szCs w:val="44"/>
          <w:highlight w:val="none"/>
        </w:rPr>
      </w:pP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2.事业收入：指事业单位开展专业业务活动及辅助活动取得的收入。</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3.经营收入：指事业单位在专业业务活动及其辅助活动之外开展非独立核算经营活动取得的收入。</w:t>
      </w:r>
    </w:p>
    <w:p>
      <w:pPr>
        <w:spacing w:line="600" w:lineRule="exact"/>
        <w:ind w:firstLine="640" w:firstLineChars="200"/>
        <w:jc w:val="left"/>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4.其他收入：指单位取得的除上述收入以外的各项收入。 </w:t>
      </w:r>
    </w:p>
    <w:p>
      <w:pPr>
        <w:spacing w:line="60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6.年初结转和结余：指以前年度尚未完成、结转到本年按有关规定继续使用的资金。 </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7.结余分配：指事业单位按照会计制度规定缴纳的所得税、提取的专用结余以及转入非财政拨款结余的金额等。</w:t>
      </w:r>
    </w:p>
    <w:p>
      <w:p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highlight w:val="none"/>
          <w:lang w:val="en-US" w:eastAsia="zh-CN" w:bidi="ar-SA"/>
        </w:rPr>
        <w:t>8.年末结转和结余：指单位按有关规定结转到下年或以后年度继续使用的资金。</w:t>
      </w:r>
    </w:p>
    <w:p>
      <w:pPr>
        <w:spacing w:line="600" w:lineRule="exact"/>
        <w:ind w:firstLine="643" w:firstLineChars="200"/>
        <w:rPr>
          <w:rStyle w:val="17"/>
          <w:rFonts w:hint="eastAsia" w:ascii="仿宋_GB2312" w:hAnsi="仿宋_GB2312" w:eastAsia="仿宋_GB2312" w:cs="仿宋_GB2312"/>
          <w:b w:val="0"/>
          <w:sz w:val="32"/>
          <w:szCs w:val="32"/>
        </w:rPr>
      </w:pPr>
      <w:r>
        <w:rPr>
          <w:rStyle w:val="17"/>
          <w:rFonts w:hint="eastAsia" w:ascii="仿宋_GB2312" w:hAnsi="仿宋_GB2312" w:eastAsia="仿宋_GB2312" w:cs="仿宋_GB2312"/>
          <w:bCs/>
          <w:sz w:val="32"/>
          <w:szCs w:val="32"/>
          <w:lang w:val="en-US" w:eastAsia="zh-CN"/>
        </w:rPr>
        <w:t>9</w:t>
      </w:r>
      <w:r>
        <w:rPr>
          <w:rStyle w:val="17"/>
          <w:rFonts w:hint="eastAsia" w:ascii="仿宋_GB2312" w:hAnsi="仿宋_GB2312" w:eastAsia="仿宋_GB2312" w:cs="仿宋_GB2312"/>
          <w:bCs/>
          <w:sz w:val="32"/>
          <w:szCs w:val="32"/>
        </w:rPr>
        <w:t>.一般公共服务支出（类）港澳台事务（款）一般行政管理事务（项）:</w:t>
      </w:r>
      <w:r>
        <w:rPr>
          <w:rStyle w:val="17"/>
          <w:rFonts w:hint="eastAsia" w:ascii="仿宋_GB2312" w:hAnsi="仿宋_GB2312" w:eastAsia="仿宋_GB2312" w:cs="仿宋_GB2312"/>
          <w:b w:val="0"/>
          <w:sz w:val="32"/>
          <w:szCs w:val="32"/>
        </w:rPr>
        <w:t>反映行政单位未单独设置项级科目的其他项目支出。</w:t>
      </w:r>
    </w:p>
    <w:p>
      <w:pPr>
        <w:pStyle w:val="7"/>
        <w:spacing w:before="93"/>
        <w:ind w:firstLine="640"/>
        <w:rPr>
          <w:rStyle w:val="17"/>
          <w:rFonts w:hint="eastAsia" w:ascii="仿宋_GB2312" w:hAnsi="仿宋_GB2312" w:eastAsia="仿宋_GB2312" w:cs="仿宋_GB2312"/>
          <w:b w:val="0"/>
          <w:sz w:val="32"/>
          <w:szCs w:val="32"/>
        </w:rPr>
      </w:pPr>
      <w:r>
        <w:rPr>
          <w:rStyle w:val="17"/>
          <w:rFonts w:hint="eastAsia" w:ascii="仿宋_GB2312" w:hAnsi="仿宋_GB2312" w:eastAsia="仿宋_GB2312" w:cs="仿宋_GB2312"/>
          <w:b w:val="0"/>
          <w:bCs/>
          <w:sz w:val="32"/>
          <w:szCs w:val="32"/>
        </w:rPr>
        <w:t>1</w:t>
      </w:r>
      <w:r>
        <w:rPr>
          <w:rStyle w:val="17"/>
          <w:rFonts w:hint="eastAsia" w:hAnsi="仿宋_GB2312" w:cs="仿宋_GB2312"/>
          <w:b w:val="0"/>
          <w:bCs/>
          <w:sz w:val="32"/>
          <w:szCs w:val="32"/>
          <w:lang w:val="en-US" w:eastAsia="zh-CN"/>
        </w:rPr>
        <w:t>0</w:t>
      </w:r>
      <w:r>
        <w:rPr>
          <w:rStyle w:val="17"/>
          <w:rFonts w:hint="eastAsia" w:ascii="仿宋_GB2312" w:hAnsi="仿宋_GB2312" w:eastAsia="仿宋_GB2312" w:cs="仿宋_GB2312"/>
          <w:b w:val="0"/>
          <w:bCs/>
          <w:sz w:val="32"/>
          <w:szCs w:val="32"/>
        </w:rPr>
        <w:t>.一</w:t>
      </w:r>
      <w:r>
        <w:rPr>
          <w:rFonts w:hint="eastAsia" w:ascii="仿宋_GB2312" w:hAnsi="仿宋_GB2312" w:eastAsia="仿宋_GB2312" w:cs="仿宋_GB2312"/>
          <w:b/>
          <w:bCs/>
          <w:sz w:val="32"/>
          <w:szCs w:val="32"/>
        </w:rPr>
        <w:t>般公共服务支出</w:t>
      </w:r>
      <w:r>
        <w:rPr>
          <w:rStyle w:val="17"/>
          <w:rFonts w:hint="eastAsia" w:ascii="仿宋_GB2312" w:hAnsi="仿宋_GB2312" w:eastAsia="仿宋_GB2312" w:cs="仿宋_GB2312"/>
          <w:bCs/>
          <w:sz w:val="32"/>
          <w:szCs w:val="32"/>
        </w:rPr>
        <w:t>（类）统战事务（款）事业运行（项）：</w:t>
      </w:r>
      <w:r>
        <w:rPr>
          <w:rStyle w:val="17"/>
          <w:rFonts w:hint="eastAsia" w:ascii="仿宋_GB2312" w:hAnsi="仿宋_GB2312" w:eastAsia="仿宋_GB2312" w:cs="仿宋_GB2312"/>
          <w:b w:val="0"/>
          <w:sz w:val="32"/>
          <w:szCs w:val="32"/>
        </w:rPr>
        <w:t>反映事业的基本支出，不包括行政单位后勤服务中心、医务室等附属事业单位。</w:t>
      </w:r>
    </w:p>
    <w:p>
      <w:pPr>
        <w:pStyle w:val="7"/>
        <w:spacing w:before="93"/>
        <w:ind w:firstLine="640"/>
        <w:rPr>
          <w:rStyle w:val="17"/>
          <w:rFonts w:hint="eastAsia" w:ascii="仿宋_GB2312" w:hAnsi="仿宋_GB2312" w:eastAsia="仿宋_GB2312" w:cs="仿宋_GB2312"/>
          <w:b w:val="0"/>
          <w:sz w:val="32"/>
          <w:szCs w:val="32"/>
        </w:rPr>
      </w:pPr>
      <w:r>
        <w:rPr>
          <w:rFonts w:hint="eastAsia" w:ascii="仿宋_GB2312" w:hAnsi="仿宋_GB2312" w:eastAsia="仿宋_GB2312" w:cs="仿宋_GB2312"/>
          <w:b/>
          <w:bCs/>
          <w:sz w:val="32"/>
          <w:szCs w:val="32"/>
        </w:rPr>
        <w:t>1</w:t>
      </w:r>
      <w:r>
        <w:rPr>
          <w:rFonts w:hint="eastAsia" w:hAnsi="仿宋_GB2312" w:cs="仿宋_GB2312"/>
          <w:b/>
          <w:bCs/>
          <w:sz w:val="32"/>
          <w:szCs w:val="32"/>
          <w:lang w:val="en-US" w:eastAsia="zh-CN"/>
        </w:rPr>
        <w:t>1</w:t>
      </w:r>
      <w:r>
        <w:rPr>
          <w:rFonts w:hint="eastAsia" w:ascii="仿宋_GB2312" w:hAnsi="仿宋_GB2312" w:eastAsia="仿宋_GB2312" w:cs="仿宋_GB2312"/>
          <w:b/>
          <w:bCs/>
          <w:sz w:val="32"/>
          <w:szCs w:val="32"/>
        </w:rPr>
        <w:t>.社会保障和就业支出（</w:t>
      </w:r>
      <w:r>
        <w:rPr>
          <w:rStyle w:val="17"/>
          <w:rFonts w:hint="eastAsia" w:ascii="仿宋_GB2312" w:hAnsi="仿宋_GB2312" w:eastAsia="仿宋_GB2312" w:cs="仿宋_GB2312"/>
          <w:bCs/>
          <w:sz w:val="32"/>
          <w:szCs w:val="32"/>
        </w:rPr>
        <w:t>类）行政事业单位养老支出（款）机关事业单位基本养老保险缴费支出（项）：</w:t>
      </w:r>
      <w:r>
        <w:rPr>
          <w:rStyle w:val="17"/>
          <w:rFonts w:hint="eastAsia" w:ascii="仿宋_GB2312" w:hAnsi="仿宋_GB2312" w:eastAsia="仿宋_GB2312" w:cs="仿宋_GB2312"/>
          <w:b w:val="0"/>
          <w:sz w:val="32"/>
          <w:szCs w:val="32"/>
        </w:rPr>
        <w:t>反映机关事业单位实施养老保险制度由单位缴纳的基本养老保险费支出。</w:t>
      </w:r>
    </w:p>
    <w:p>
      <w:pPr>
        <w:pStyle w:val="7"/>
        <w:spacing w:before="93"/>
        <w:ind w:firstLine="640"/>
        <w:rPr>
          <w:rStyle w:val="17"/>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1</w:t>
      </w:r>
      <w:r>
        <w:rPr>
          <w:rFonts w:hint="eastAsia" w:hAnsi="仿宋_GB2312" w:cs="仿宋_GB2312"/>
          <w:b/>
          <w:bCs/>
          <w:sz w:val="32"/>
          <w:szCs w:val="32"/>
          <w:lang w:val="en-US" w:eastAsia="zh-CN"/>
        </w:rPr>
        <w:t>2</w:t>
      </w:r>
      <w:r>
        <w:rPr>
          <w:rFonts w:hint="eastAsia" w:ascii="仿宋_GB2312" w:hAnsi="仿宋_GB2312" w:eastAsia="仿宋_GB2312" w:cs="仿宋_GB2312"/>
          <w:b/>
          <w:bCs/>
          <w:sz w:val="32"/>
          <w:szCs w:val="32"/>
        </w:rPr>
        <w:t>.社会保障和就业支出（</w:t>
      </w:r>
      <w:r>
        <w:rPr>
          <w:rStyle w:val="17"/>
          <w:rFonts w:hint="eastAsia" w:ascii="仿宋_GB2312" w:hAnsi="仿宋_GB2312" w:eastAsia="仿宋_GB2312" w:cs="仿宋_GB2312"/>
          <w:bCs/>
          <w:sz w:val="32"/>
          <w:szCs w:val="32"/>
        </w:rPr>
        <w:t>类）行政事业单位养老支出（款）机关事业单位职业年金缴费支出（项）：</w:t>
      </w:r>
      <w:r>
        <w:rPr>
          <w:rStyle w:val="17"/>
          <w:rFonts w:hint="eastAsia" w:ascii="仿宋_GB2312" w:hAnsi="仿宋_GB2312" w:eastAsia="仿宋_GB2312" w:cs="仿宋_GB2312"/>
          <w:b w:val="0"/>
          <w:sz w:val="32"/>
          <w:szCs w:val="32"/>
        </w:rPr>
        <w:t>反映机关事业单位实施养老保险制度由单位实际缴纳的职业年金支出。</w:t>
      </w:r>
    </w:p>
    <w:p>
      <w:pPr>
        <w:pStyle w:val="7"/>
        <w:spacing w:before="93"/>
        <w:ind w:firstLine="640" w:firstLineChars="200"/>
        <w:rPr>
          <w:rStyle w:val="17"/>
          <w:rFonts w:hint="eastAsia" w:ascii="仿宋_GB2312" w:hAnsi="仿宋_GB2312" w:eastAsia="仿宋_GB2312" w:cs="仿宋_GB2312"/>
          <w:b w:val="0"/>
          <w:sz w:val="32"/>
          <w:szCs w:val="32"/>
          <w:lang w:val="en-US" w:eastAsia="zh-CN"/>
        </w:rPr>
      </w:pPr>
      <w:r>
        <w:rPr>
          <w:rStyle w:val="17"/>
          <w:rFonts w:hint="eastAsia" w:hAnsi="仿宋_GB2312" w:cs="仿宋_GB2312"/>
          <w:b w:val="0"/>
          <w:sz w:val="32"/>
          <w:szCs w:val="32"/>
          <w:lang w:val="en-US" w:eastAsia="zh-CN"/>
        </w:rPr>
        <w:t>13</w:t>
      </w:r>
      <w:r>
        <w:rPr>
          <w:rStyle w:val="17"/>
          <w:rFonts w:hint="eastAsia" w:ascii="仿宋_GB2312" w:hAnsi="仿宋_GB2312" w:eastAsia="仿宋_GB2312" w:cs="仿宋_GB2312"/>
          <w:b w:val="0"/>
          <w:sz w:val="32"/>
          <w:szCs w:val="32"/>
          <w:lang w:val="en-US" w:eastAsia="zh-CN"/>
        </w:rPr>
        <w:t>.</w:t>
      </w:r>
      <w:r>
        <w:rPr>
          <w:rFonts w:hint="eastAsia" w:ascii="仿宋_GB2312" w:hAnsi="仿宋_GB2312" w:eastAsia="仿宋_GB2312" w:cs="仿宋_GB2312"/>
          <w:b/>
          <w:bCs/>
          <w:sz w:val="32"/>
          <w:szCs w:val="32"/>
        </w:rPr>
        <w:t>社会保障和就业支出（</w:t>
      </w:r>
      <w:r>
        <w:rPr>
          <w:rStyle w:val="17"/>
          <w:rFonts w:hint="eastAsia" w:ascii="仿宋_GB2312" w:hAnsi="仿宋_GB2312" w:eastAsia="仿宋_GB2312" w:cs="仿宋_GB2312"/>
          <w:bCs/>
          <w:sz w:val="32"/>
          <w:szCs w:val="32"/>
        </w:rPr>
        <w:t>类）</w:t>
      </w:r>
      <w:r>
        <w:rPr>
          <w:rStyle w:val="17"/>
          <w:rFonts w:hint="eastAsia" w:ascii="仿宋_GB2312" w:hAnsi="仿宋_GB2312" w:eastAsia="仿宋_GB2312" w:cs="仿宋_GB2312"/>
          <w:bCs/>
          <w:sz w:val="32"/>
          <w:szCs w:val="32"/>
          <w:lang w:eastAsia="zh-CN"/>
        </w:rPr>
        <w:t>其他社会保障和就业</w:t>
      </w:r>
      <w:r>
        <w:rPr>
          <w:rStyle w:val="17"/>
          <w:rFonts w:hint="eastAsia" w:ascii="仿宋_GB2312" w:hAnsi="仿宋_GB2312" w:eastAsia="仿宋_GB2312" w:cs="仿宋_GB2312"/>
          <w:bCs/>
          <w:sz w:val="32"/>
          <w:szCs w:val="32"/>
        </w:rPr>
        <w:t>支出（款）</w:t>
      </w:r>
      <w:r>
        <w:rPr>
          <w:rStyle w:val="17"/>
          <w:rFonts w:hint="eastAsia" w:ascii="仿宋_GB2312" w:hAnsi="仿宋_GB2312" w:eastAsia="仿宋_GB2312" w:cs="仿宋_GB2312"/>
          <w:bCs/>
          <w:sz w:val="32"/>
          <w:szCs w:val="32"/>
          <w:lang w:eastAsia="zh-CN"/>
        </w:rPr>
        <w:t>其他社会保障和就业</w:t>
      </w:r>
      <w:r>
        <w:rPr>
          <w:rStyle w:val="17"/>
          <w:rFonts w:hint="eastAsia" w:ascii="仿宋_GB2312" w:hAnsi="仿宋_GB2312" w:eastAsia="仿宋_GB2312" w:cs="仿宋_GB2312"/>
          <w:bCs/>
          <w:sz w:val="32"/>
          <w:szCs w:val="32"/>
        </w:rPr>
        <w:t>支出（项）：</w:t>
      </w:r>
      <w:r>
        <w:rPr>
          <w:rStyle w:val="17"/>
          <w:rFonts w:hint="eastAsia" w:ascii="仿宋_GB2312" w:hAnsi="仿宋_GB2312" w:eastAsia="仿宋_GB2312" w:cs="仿宋_GB2312"/>
          <w:b w:val="0"/>
          <w:sz w:val="32"/>
          <w:szCs w:val="32"/>
        </w:rPr>
        <w:t>反映</w:t>
      </w:r>
      <w:r>
        <w:rPr>
          <w:rStyle w:val="17"/>
          <w:rFonts w:hint="eastAsia" w:hAnsi="仿宋_GB2312" w:cs="仿宋_GB2312"/>
          <w:b w:val="0"/>
          <w:sz w:val="32"/>
          <w:szCs w:val="32"/>
          <w:lang w:eastAsia="zh-CN"/>
        </w:rPr>
        <w:t>其他用于社会保障和就业方面的支出。</w:t>
      </w:r>
    </w:p>
    <w:p>
      <w:pPr>
        <w:pStyle w:val="35"/>
        <w:numPr>
          <w:ilvl w:val="0"/>
          <w:numId w:val="0"/>
        </w:numPr>
        <w:ind w:firstLine="643" w:firstLineChars="200"/>
        <w:rPr>
          <w:rStyle w:val="17"/>
          <w:rFonts w:hint="eastAsia" w:ascii="仿宋_GB2312" w:hAnsi="仿宋_GB2312" w:eastAsia="仿宋_GB2312" w:cs="仿宋_GB2312"/>
          <w:bCs/>
          <w:sz w:val="32"/>
          <w:szCs w:val="32"/>
        </w:rPr>
      </w:pPr>
      <w:r>
        <w:rPr>
          <w:rFonts w:hint="eastAsia" w:ascii="仿宋_GB2312" w:hAnsi="仿宋_GB2312" w:eastAsia="仿宋_GB2312" w:cs="仿宋_GB2312"/>
          <w:b/>
          <w:bCs/>
          <w:kern w:val="0"/>
          <w:sz w:val="32"/>
          <w:szCs w:val="32"/>
          <w:lang w:val="en-US" w:eastAsia="zh-CN"/>
        </w:rPr>
        <w:t>14</w:t>
      </w:r>
      <w:r>
        <w:rPr>
          <w:rFonts w:hint="eastAsia" w:ascii="仿宋_GB2312" w:hAnsi="仿宋_GB2312" w:eastAsia="仿宋_GB2312" w:cs="仿宋_GB2312"/>
          <w:b/>
          <w:bCs/>
          <w:kern w:val="0"/>
          <w:sz w:val="32"/>
          <w:szCs w:val="32"/>
        </w:rPr>
        <w:t>.卫生健康支出</w:t>
      </w:r>
      <w:r>
        <w:rPr>
          <w:rStyle w:val="17"/>
          <w:rFonts w:hint="eastAsia" w:ascii="仿宋_GB2312" w:hAnsi="仿宋_GB2312" w:eastAsia="仿宋_GB2312" w:cs="仿宋_GB2312"/>
          <w:bCs/>
          <w:sz w:val="32"/>
          <w:szCs w:val="32"/>
        </w:rPr>
        <w:t>（类）行政事业单位医疗（款）事业单位医疗（项）：</w:t>
      </w:r>
      <w:r>
        <w:rPr>
          <w:rFonts w:hint="eastAsia" w:ascii="仿宋_GB2312" w:hAnsi="仿宋_GB2312" w:eastAsia="仿宋_GB2312" w:cs="仿宋_GB2312"/>
          <w:sz w:val="32"/>
          <w:szCs w:val="32"/>
        </w:rPr>
        <w:t>指事业单位用于缴纳单位基本医疗保险支出。</w:t>
      </w:r>
    </w:p>
    <w:p>
      <w:pPr>
        <w:pStyle w:val="7"/>
        <w:spacing w:before="93"/>
        <w:ind w:firstLine="643" w:firstLineChars="200"/>
        <w:rPr>
          <w:rStyle w:val="17"/>
          <w:rFonts w:hint="eastAsia" w:ascii="仿宋_GB2312" w:hAnsi="仿宋_GB2312" w:eastAsia="仿宋_GB2312" w:cs="仿宋_GB2312"/>
          <w:bCs/>
          <w:sz w:val="32"/>
          <w:szCs w:val="32"/>
        </w:rPr>
      </w:pPr>
      <w:r>
        <w:rPr>
          <w:rFonts w:hint="eastAsia" w:hAnsi="仿宋_GB2312" w:cs="仿宋_GB2312"/>
          <w:b/>
          <w:bCs/>
          <w:sz w:val="32"/>
          <w:szCs w:val="32"/>
          <w:lang w:val="en-US" w:eastAsia="zh-CN"/>
        </w:rPr>
        <w:t>15</w:t>
      </w:r>
      <w:r>
        <w:rPr>
          <w:rFonts w:hint="eastAsia" w:ascii="仿宋_GB2312" w:hAnsi="仿宋_GB2312" w:eastAsia="仿宋_GB2312" w:cs="仿宋_GB2312"/>
          <w:b/>
          <w:bCs/>
          <w:sz w:val="32"/>
          <w:szCs w:val="32"/>
        </w:rPr>
        <w:t>.卫生健康支出（</w:t>
      </w:r>
      <w:r>
        <w:rPr>
          <w:rStyle w:val="17"/>
          <w:rFonts w:hint="eastAsia" w:ascii="仿宋_GB2312" w:hAnsi="仿宋_GB2312" w:eastAsia="仿宋_GB2312" w:cs="仿宋_GB2312"/>
          <w:bCs/>
          <w:sz w:val="32"/>
          <w:szCs w:val="32"/>
        </w:rPr>
        <w:t>类）行政事业单位医疗（款）公务员医疗补助（项）：</w:t>
      </w:r>
      <w:r>
        <w:rPr>
          <w:rFonts w:hint="eastAsia" w:ascii="仿宋_GB2312" w:hAnsi="仿宋_GB2312" w:eastAsia="仿宋_GB2312" w:cs="仿宋_GB2312"/>
          <w:sz w:val="32"/>
          <w:szCs w:val="32"/>
        </w:rPr>
        <w:t>指行政单位及参公管理事业单位用于集中缴纳公务员医疗补助支出。</w:t>
      </w:r>
    </w:p>
    <w:p>
      <w:pPr>
        <w:pStyle w:val="7"/>
        <w:spacing w:before="93"/>
        <w:ind w:firstLine="643" w:firstLineChars="200"/>
        <w:rPr>
          <w:rStyle w:val="17"/>
          <w:rFonts w:hint="eastAsia" w:ascii="仿宋_GB2312" w:hAnsi="仿宋_GB2312" w:eastAsia="仿宋_GB2312" w:cs="仿宋_GB2312"/>
          <w:b w:val="0"/>
          <w:bCs/>
          <w:sz w:val="32"/>
          <w:szCs w:val="32"/>
        </w:rPr>
      </w:pPr>
      <w:r>
        <w:rPr>
          <w:rFonts w:hint="eastAsia" w:hAnsi="仿宋_GB2312" w:cs="仿宋_GB2312"/>
          <w:b/>
          <w:bCs/>
          <w:sz w:val="32"/>
          <w:szCs w:val="32"/>
          <w:lang w:val="en-US" w:eastAsia="zh-CN"/>
        </w:rPr>
        <w:t>16</w:t>
      </w:r>
      <w:r>
        <w:rPr>
          <w:rFonts w:hint="eastAsia" w:ascii="仿宋_GB2312" w:hAnsi="仿宋_GB2312" w:eastAsia="仿宋_GB2312" w:cs="仿宋_GB2312"/>
          <w:b/>
          <w:bCs/>
          <w:sz w:val="32"/>
          <w:szCs w:val="32"/>
        </w:rPr>
        <w:t>.住房保障支出（</w:t>
      </w:r>
      <w:r>
        <w:rPr>
          <w:rStyle w:val="17"/>
          <w:rFonts w:hint="eastAsia" w:ascii="仿宋_GB2312" w:hAnsi="仿宋_GB2312" w:eastAsia="仿宋_GB2312" w:cs="仿宋_GB2312"/>
          <w:bCs/>
          <w:sz w:val="32"/>
          <w:szCs w:val="32"/>
        </w:rPr>
        <w:t>类）住房改革支出（款）住房公积金（项）：</w:t>
      </w:r>
      <w:r>
        <w:rPr>
          <w:rFonts w:hint="eastAsia" w:ascii="仿宋_GB2312" w:hAnsi="仿宋_GB2312" w:eastAsia="仿宋_GB2312" w:cs="仿宋_GB2312"/>
          <w:sz w:val="32"/>
          <w:szCs w:val="32"/>
        </w:rPr>
        <w:t>指由单位及其在职职工按规定缴存的住房公积金支出。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17.基本支出：指为保障机构正常运转、完成日常工作任务而发生的人员支出和公用支出。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18.项目支出：指在基本支出之外为完成特定行政任务和事业发展目标所发生的支出。 </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19.经营支出：指事业单位在专业业务活动及其辅助活动之外开展非独立核算经营活动发生的支出。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rPr>
          <w:rStyle w:val="28"/>
          <w:rFonts w:hint="eastAsia" w:ascii="Times New Roman" w:hAnsi="Times New Roman" w:eastAsia="黑体"/>
          <w:b w:val="0"/>
          <w:color w:val="auto"/>
          <w:highlight w:val="none"/>
          <w:lang w:eastAsia="zh-CN"/>
        </w:rPr>
      </w:pPr>
      <w:bookmarkStart w:id="93"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94" w:name="_Toc15396614"/>
      <w:bookmarkStart w:id="95" w:name="_Toc15718_WPSOffice_Level1"/>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94"/>
      <w:bookmarkEnd w:id="95"/>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tbl>
      <w:tblPr>
        <w:tblStyle w:val="15"/>
        <w:tblW w:w="89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356"/>
        <w:gridCol w:w="1422"/>
        <w:gridCol w:w="2018"/>
        <w:gridCol w:w="1136"/>
        <w:gridCol w:w="1025"/>
        <w:gridCol w:w="884"/>
        <w:gridCol w:w="430"/>
        <w:gridCol w:w="6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8" w:hRule="atLeast"/>
        </w:trPr>
        <w:tc>
          <w:tcPr>
            <w:tcW w:w="8960" w:type="dxa"/>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344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华侨事务工作经费</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30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44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0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896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2778"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20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277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9.64</w:t>
            </w: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9.64</w:t>
            </w:r>
          </w:p>
        </w:tc>
        <w:tc>
          <w:tcPr>
            <w:tcW w:w="20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277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w:t>
            </w: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9.64</w:t>
            </w: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9.64</w:t>
            </w:r>
          </w:p>
        </w:tc>
        <w:tc>
          <w:tcPr>
            <w:tcW w:w="20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277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57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0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38"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4576" w:type="dxa"/>
            <w:gridSpan w:val="3"/>
            <w:tcBorders>
              <w:top w:val="single" w:color="000000" w:sz="4" w:space="0"/>
              <w:left w:val="single" w:color="000000" w:sz="4" w:space="0"/>
              <w:bottom w:val="nil"/>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highlight w:val="none"/>
                <w:lang w:val="en-US" w:eastAsia="zh-CN"/>
              </w:rPr>
              <w:t>打造各类具有侨联特色的服务项目和品牌活动，不断拓展侨联为大局服务和为侨服务的功能。</w:t>
            </w:r>
          </w:p>
        </w:tc>
        <w:tc>
          <w:tcPr>
            <w:tcW w:w="30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8" w:hRule="atLeast"/>
        </w:trPr>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（百分制）</w:t>
            </w:r>
          </w:p>
        </w:tc>
        <w:tc>
          <w:tcPr>
            <w:tcW w:w="430"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695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    分</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479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预算执行率（10分）</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特色服务项目</w:t>
            </w:r>
          </w:p>
        </w:tc>
        <w:tc>
          <w:tcPr>
            <w:tcW w:w="113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 个</w:t>
            </w:r>
          </w:p>
        </w:tc>
        <w:tc>
          <w:tcPr>
            <w:tcW w:w="102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 个</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特色品牌活动</w:t>
            </w:r>
          </w:p>
        </w:tc>
        <w:tc>
          <w:tcPr>
            <w:tcW w:w="113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 次</w:t>
            </w:r>
          </w:p>
        </w:tc>
        <w:tc>
          <w:tcPr>
            <w:tcW w:w="102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 次</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质量指标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资金拨付准确率</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时效指标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资金拨付及时率</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成本控制数</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9.64万元</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9.64万元</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经济效益指标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社会效益指标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推动华侨事务管理</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生态效益指标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可持续影响指标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9" w:hRule="atLeast"/>
        </w:trPr>
        <w:tc>
          <w:tcPr>
            <w:tcW w:w="135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侨眷和海外侨胞满意度</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96%</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96%</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bl>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黑体" w:cs="黑体"/>
          <w:color w:val="auto"/>
          <w:kern w:val="0"/>
          <w:sz w:val="32"/>
          <w:szCs w:val="32"/>
          <w:highlight w:val="none"/>
          <w:shd w:val="clear" w:color="auto" w:fill="FFFFFF"/>
          <w:lang w:val="zh-CN"/>
        </w:rPr>
        <w:br w:type="page"/>
      </w:r>
    </w:p>
    <w:p>
      <w:pPr>
        <w:keepNext w:val="0"/>
        <w:keepLines w:val="0"/>
        <w:pageBreakBefore w:val="0"/>
        <w:widowControl w:val="0"/>
        <w:kinsoku/>
        <w:wordWrap/>
        <w:overflowPunct/>
        <w:topLinePunct w:val="0"/>
        <w:autoSpaceDE/>
        <w:autoSpaceDN/>
        <w:bidi w:val="0"/>
        <w:spacing w:line="578" w:lineRule="exact"/>
        <w:jc w:val="center"/>
        <w:textAlignment w:val="auto"/>
        <w:outlineLvl w:val="9"/>
        <w:rPr>
          <w:rFonts w:hint="eastAsia" w:ascii="Times New Roman" w:hAnsi="Times New Roman" w:eastAsia="仿宋"/>
          <w:b w:val="0"/>
          <w:color w:val="auto"/>
          <w:highlight w:val="none"/>
        </w:rPr>
      </w:pPr>
      <w:bookmarkStart w:id="96" w:name="_Toc1444_WPSOffice_Level1"/>
      <w:bookmarkStart w:id="97" w:name="_Toc15396618"/>
      <w:r>
        <w:rPr>
          <w:rFonts w:hint="eastAsia" w:ascii="Times New Roman" w:hAnsi="Times New Roman" w:eastAsia="黑体"/>
          <w:color w:val="auto"/>
          <w:sz w:val="44"/>
          <w:szCs w:val="44"/>
          <w:highlight w:val="none"/>
        </w:rPr>
        <w:t>第</w:t>
      </w:r>
      <w:r>
        <w:rPr>
          <w:rStyle w:val="28"/>
          <w:rFonts w:hint="eastAsia" w:ascii="Times New Roman" w:hAnsi="Times New Roman" w:eastAsia="黑体"/>
          <w:b w:val="0"/>
          <w:color w:val="auto"/>
          <w:highlight w:val="none"/>
        </w:rPr>
        <w:t>五部分 附表</w:t>
      </w:r>
      <w:bookmarkEnd w:id="93"/>
      <w:bookmarkEnd w:id="96"/>
      <w:bookmarkEnd w:id="97"/>
      <w:bookmarkStart w:id="98" w:name="_Toc1539661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99" w:name="_Toc32279_WPSOffice_Level2"/>
      <w:r>
        <w:rPr>
          <w:rFonts w:hint="eastAsia" w:ascii="Times New Roman" w:hAnsi="Times New Roman" w:eastAsia="仿宋_GB2312" w:cs="仿宋_GB2312"/>
          <w:color w:val="auto"/>
          <w:sz w:val="32"/>
          <w:szCs w:val="32"/>
          <w:highlight w:val="none"/>
        </w:rPr>
        <w:t>一、收入支出决算总表</w:t>
      </w:r>
      <w:bookmarkEnd w:id="98"/>
      <w:bookmarkEnd w:id="9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00" w:name="_Toc25631_WPSOffice_Level2"/>
      <w:bookmarkStart w:id="101" w:name="_Toc15396620"/>
      <w:r>
        <w:rPr>
          <w:rFonts w:hint="eastAsia" w:ascii="Times New Roman" w:hAnsi="Times New Roman" w:eastAsia="仿宋_GB2312" w:cs="仿宋_GB2312"/>
          <w:color w:val="auto"/>
          <w:sz w:val="32"/>
          <w:szCs w:val="32"/>
          <w:highlight w:val="none"/>
        </w:rPr>
        <w:t>二、收入决算表</w:t>
      </w:r>
      <w:bookmarkEnd w:id="100"/>
      <w:bookmarkEnd w:id="101"/>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02" w:name="_Toc5648_WPSOffice_Level2"/>
      <w:bookmarkStart w:id="103" w:name="_Toc15396621"/>
      <w:r>
        <w:rPr>
          <w:rFonts w:hint="eastAsia" w:ascii="Times New Roman" w:hAnsi="Times New Roman" w:eastAsia="仿宋_GB2312" w:cs="仿宋_GB2312"/>
          <w:color w:val="auto"/>
          <w:sz w:val="32"/>
          <w:szCs w:val="32"/>
          <w:highlight w:val="none"/>
        </w:rPr>
        <w:t>三、支出决算表</w:t>
      </w:r>
      <w:bookmarkEnd w:id="102"/>
      <w:bookmarkEnd w:id="103"/>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04" w:name="_Toc1035_WPSOffice_Level2"/>
      <w:bookmarkStart w:id="105" w:name="_Toc15396622"/>
      <w:r>
        <w:rPr>
          <w:rFonts w:hint="eastAsia" w:ascii="Times New Roman" w:hAnsi="Times New Roman" w:eastAsia="仿宋_GB2312" w:cs="仿宋_GB2312"/>
          <w:color w:val="auto"/>
          <w:sz w:val="32"/>
          <w:szCs w:val="32"/>
          <w:highlight w:val="none"/>
        </w:rPr>
        <w:t>四、财政拨款收入支出决算总表</w:t>
      </w:r>
      <w:bookmarkEnd w:id="104"/>
      <w:bookmarkEnd w:id="105"/>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06" w:name="_Toc24288_WPSOffice_Level2"/>
      <w:bookmarkStart w:id="107" w:name="_Toc15396623"/>
      <w:r>
        <w:rPr>
          <w:rFonts w:hint="eastAsia" w:ascii="Times New Roman" w:hAnsi="Times New Roman" w:eastAsia="仿宋_GB2312" w:cs="仿宋_GB2312"/>
          <w:color w:val="auto"/>
          <w:sz w:val="32"/>
          <w:szCs w:val="32"/>
          <w:highlight w:val="none"/>
        </w:rPr>
        <w:t>五、财政拨款支出决算明细表</w:t>
      </w:r>
      <w:bookmarkEnd w:id="106"/>
      <w:bookmarkEnd w:id="107"/>
      <w:bookmarkStart w:id="108" w:name="_Toc15396624"/>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09" w:name="_Toc3971_WPSOffice_Level2"/>
      <w:r>
        <w:rPr>
          <w:rFonts w:hint="eastAsia" w:ascii="Times New Roman" w:hAnsi="Times New Roman" w:eastAsia="仿宋_GB2312" w:cs="仿宋_GB2312"/>
          <w:color w:val="auto"/>
          <w:sz w:val="32"/>
          <w:szCs w:val="32"/>
          <w:highlight w:val="none"/>
        </w:rPr>
        <w:t>六、一般公共预算财政拨款支出决算表</w:t>
      </w:r>
      <w:bookmarkEnd w:id="108"/>
      <w:bookmarkEnd w:id="10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0" w:name="_Toc27624_WPSOffice_Level2"/>
      <w:bookmarkStart w:id="111" w:name="_Toc15396625"/>
      <w:r>
        <w:rPr>
          <w:rFonts w:hint="eastAsia" w:ascii="Times New Roman" w:hAnsi="Times New Roman" w:eastAsia="仿宋_GB2312" w:cs="仿宋_GB2312"/>
          <w:color w:val="auto"/>
          <w:sz w:val="32"/>
          <w:szCs w:val="32"/>
          <w:highlight w:val="none"/>
        </w:rPr>
        <w:t>七、一般公共预算财政拨款支出决算明细表</w:t>
      </w:r>
      <w:bookmarkEnd w:id="110"/>
      <w:bookmarkEnd w:id="111"/>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2" w:name="_Toc14014_WPSOffice_Level2"/>
      <w:bookmarkStart w:id="113" w:name="_Toc15396626"/>
      <w:r>
        <w:rPr>
          <w:rFonts w:hint="eastAsia" w:ascii="Times New Roman" w:hAnsi="Times New Roman" w:eastAsia="仿宋_GB2312" w:cs="仿宋_GB2312"/>
          <w:color w:val="auto"/>
          <w:sz w:val="32"/>
          <w:szCs w:val="32"/>
          <w:highlight w:val="none"/>
        </w:rPr>
        <w:t>八、一般公共预算财政拨款基本支出决算表</w:t>
      </w:r>
      <w:bookmarkEnd w:id="112"/>
      <w:bookmarkEnd w:id="113"/>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4" w:name="_Toc30042_WPSOffice_Level2"/>
      <w:bookmarkStart w:id="115" w:name="_Toc15396627"/>
      <w:r>
        <w:rPr>
          <w:rFonts w:hint="eastAsia" w:ascii="Times New Roman" w:hAnsi="Times New Roman" w:eastAsia="仿宋_GB2312" w:cs="仿宋_GB2312"/>
          <w:color w:val="auto"/>
          <w:sz w:val="32"/>
          <w:szCs w:val="32"/>
          <w:highlight w:val="none"/>
        </w:rPr>
        <w:t>九、一般公共预算财政拨款项目支出决算表</w:t>
      </w:r>
      <w:bookmarkEnd w:id="114"/>
      <w:bookmarkEnd w:id="115"/>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6" w:name="_Toc15396628"/>
      <w:bookmarkStart w:id="117" w:name="_Toc24221_WPSOffice_Level2"/>
      <w:r>
        <w:rPr>
          <w:rFonts w:hint="eastAsia" w:ascii="Times New Roman" w:hAnsi="Times New Roman" w:eastAsia="仿宋_GB2312" w:cs="仿宋_GB2312"/>
          <w:color w:val="auto"/>
          <w:sz w:val="32"/>
          <w:szCs w:val="32"/>
          <w:highlight w:val="none"/>
        </w:rPr>
        <w:t>十、</w:t>
      </w:r>
      <w:bookmarkEnd w:id="116"/>
      <w:r>
        <w:rPr>
          <w:rFonts w:hint="eastAsia" w:ascii="Times New Roman" w:hAnsi="Times New Roman" w:eastAsia="仿宋_GB2312" w:cs="仿宋_GB2312"/>
          <w:color w:val="auto"/>
          <w:sz w:val="32"/>
          <w:szCs w:val="32"/>
          <w:highlight w:val="none"/>
        </w:rPr>
        <w:t>政府性基金预算财政拨款收入支出决算表</w:t>
      </w:r>
      <w:bookmarkEnd w:id="117"/>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8" w:name="_Toc15396629"/>
      <w:bookmarkStart w:id="119" w:name="_Toc27711_WPSOffice_Level2"/>
      <w:r>
        <w:rPr>
          <w:rFonts w:hint="eastAsia" w:ascii="Times New Roman" w:hAnsi="Times New Roman" w:eastAsia="仿宋_GB2312" w:cs="仿宋_GB2312"/>
          <w:color w:val="auto"/>
          <w:sz w:val="32"/>
          <w:szCs w:val="32"/>
          <w:highlight w:val="none"/>
        </w:rPr>
        <w:t>十一、</w:t>
      </w:r>
      <w:bookmarkEnd w:id="118"/>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bookmarkEnd w:id="11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20" w:name="_Toc15396630"/>
      <w:bookmarkStart w:id="121" w:name="_Toc32003_WPSOffice_Level2"/>
      <w:r>
        <w:rPr>
          <w:rFonts w:hint="eastAsia" w:ascii="Times New Roman" w:hAnsi="Times New Roman" w:eastAsia="仿宋_GB2312" w:cs="仿宋_GB2312"/>
          <w:color w:val="auto"/>
          <w:sz w:val="32"/>
          <w:szCs w:val="32"/>
          <w:highlight w:val="none"/>
        </w:rPr>
        <w:t>十二、</w:t>
      </w:r>
      <w:bookmarkEnd w:id="120"/>
      <w:r>
        <w:rPr>
          <w:rFonts w:hint="eastAsia" w:ascii="Times New Roman" w:hAnsi="Times New Roman" w:eastAsia="仿宋_GB2312" w:cs="仿宋_GB2312"/>
          <w:color w:val="auto"/>
          <w:sz w:val="32"/>
          <w:szCs w:val="32"/>
          <w:highlight w:val="none"/>
          <w:lang w:eastAsia="zh-CN"/>
        </w:rPr>
        <w:t>国有资本经营预算财政拨款支出决算表</w:t>
      </w:r>
      <w:bookmarkEnd w:id="121"/>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122" w:name="_Toc15396631"/>
      <w:bookmarkStart w:id="123" w:name="_Toc7146_WPSOffice_Level2"/>
      <w:r>
        <w:rPr>
          <w:rFonts w:hint="eastAsia" w:ascii="Times New Roman" w:hAnsi="Times New Roman" w:eastAsia="仿宋_GB2312" w:cs="仿宋_GB2312"/>
          <w:color w:val="auto"/>
          <w:sz w:val="32"/>
          <w:szCs w:val="32"/>
          <w:highlight w:val="none"/>
        </w:rPr>
        <w:t>十三、</w:t>
      </w:r>
      <w:bookmarkEnd w:id="122"/>
      <w:r>
        <w:rPr>
          <w:rFonts w:hint="eastAsia" w:ascii="Times New Roman" w:hAnsi="Times New Roman" w:eastAsia="仿宋_GB2312" w:cs="仿宋_GB2312"/>
          <w:color w:val="auto"/>
          <w:sz w:val="32"/>
          <w:szCs w:val="32"/>
          <w:highlight w:val="none"/>
          <w:lang w:eastAsia="zh-CN"/>
        </w:rPr>
        <w:t>财政拨款“三公”经费支出决算表</w:t>
      </w:r>
      <w:bookmarkEnd w:id="123"/>
    </w:p>
    <w:p>
      <w:pPr>
        <w:rPr>
          <w:rFonts w:hint="eastAsia" w:ascii="Times New Roman" w:hAnsi="Times New Roman"/>
          <w:lang w:eastAsia="zh-CN"/>
        </w:rPr>
      </w:pPr>
    </w:p>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- 2 -</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- 2 -</w:t>
                    </w:r>
                    <w:r>
                      <w:rPr>
                        <w:rFonts w:hint="eastAsia"/>
                        <w:sz w:val="28"/>
                        <w:szCs w:val="28"/>
                        <w:lang w:eastAsia="zh-CN"/>
                      </w:rPr>
                      <w:fldChar w:fldCharType="end"/>
                    </w:r>
                  </w:p>
                </w:txbxContent>
              </v:textbox>
            </v:shape>
          </w:pict>
        </mc:Fallback>
      </mc:AlternateContent>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- 1 -</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- 1 -</w:t>
                    </w:r>
                    <w:r>
                      <w:rPr>
                        <w:rFonts w:hint="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51C76D"/>
    <w:multiLevelType w:val="singleLevel"/>
    <w:tmpl w:val="AB51C76D"/>
    <w:lvl w:ilvl="0" w:tentative="0">
      <w:start w:val="1"/>
      <w:numFmt w:val="decimal"/>
      <w:lvlText w:val="%1."/>
      <w:lvlJc w:val="left"/>
      <w:pPr>
        <w:tabs>
          <w:tab w:val="left" w:pos="312"/>
        </w:tabs>
      </w:pPr>
    </w:lvl>
  </w:abstractNum>
  <w:abstractNum w:abstractNumId="1">
    <w:nsid w:val="00E3522F"/>
    <w:multiLevelType w:val="singleLevel"/>
    <w:tmpl w:val="00E3522F"/>
    <w:lvl w:ilvl="0" w:tentative="0">
      <w:start w:val="1"/>
      <w:numFmt w:val="chineseCounting"/>
      <w:suff w:val="nothing"/>
      <w:lvlText w:val="%1、"/>
      <w:lvlJc w:val="left"/>
      <w:rPr>
        <w:rFonts w:hint="eastAsia"/>
      </w:rPr>
    </w:lvl>
  </w:abstractNum>
  <w:abstractNum w:abstractNumId="2">
    <w:nsid w:val="5B63281F"/>
    <w:multiLevelType w:val="multilevel"/>
    <w:tmpl w:val="5B63281F"/>
    <w:lvl w:ilvl="0" w:tentative="0">
      <w:start w:val="1"/>
      <w:numFmt w:val="decimal"/>
      <w:pStyle w:val="35"/>
      <w:suff w:val="nothing"/>
      <w:lvlText w:val="%1."/>
      <w:lvlJc w:val="left"/>
      <w:pPr>
        <w:ind w:left="0" w:firstLine="635"/>
      </w:pPr>
      <w:rPr>
        <w:rFonts w:hint="eastAsia"/>
      </w:rPr>
    </w:lvl>
    <w:lvl w:ilvl="1" w:tentative="0">
      <w:start w:val="1"/>
      <w:numFmt w:val="lowerLetter"/>
      <w:lvlText w:val="%2)"/>
      <w:lvlJc w:val="left"/>
      <w:pPr>
        <w:ind w:left="1475" w:hanging="420"/>
      </w:pPr>
    </w:lvl>
    <w:lvl w:ilvl="2" w:tentative="0">
      <w:start w:val="1"/>
      <w:numFmt w:val="lowerRoman"/>
      <w:lvlText w:val="%3."/>
      <w:lvlJc w:val="right"/>
      <w:pPr>
        <w:ind w:left="1895" w:hanging="420"/>
      </w:pPr>
    </w:lvl>
    <w:lvl w:ilvl="3" w:tentative="0">
      <w:start w:val="1"/>
      <w:numFmt w:val="decimal"/>
      <w:lvlText w:val="%4."/>
      <w:lvlJc w:val="left"/>
      <w:pPr>
        <w:ind w:left="2315" w:hanging="420"/>
      </w:pPr>
    </w:lvl>
    <w:lvl w:ilvl="4" w:tentative="0">
      <w:start w:val="1"/>
      <w:numFmt w:val="lowerLetter"/>
      <w:lvlText w:val="%5)"/>
      <w:lvlJc w:val="left"/>
      <w:pPr>
        <w:ind w:left="2735" w:hanging="420"/>
      </w:pPr>
    </w:lvl>
    <w:lvl w:ilvl="5" w:tentative="0">
      <w:start w:val="1"/>
      <w:numFmt w:val="lowerRoman"/>
      <w:lvlText w:val="%6."/>
      <w:lvlJc w:val="right"/>
      <w:pPr>
        <w:ind w:left="3155" w:hanging="420"/>
      </w:pPr>
    </w:lvl>
    <w:lvl w:ilvl="6" w:tentative="0">
      <w:start w:val="1"/>
      <w:numFmt w:val="decimal"/>
      <w:lvlText w:val="%7."/>
      <w:lvlJc w:val="left"/>
      <w:pPr>
        <w:ind w:left="3575" w:hanging="420"/>
      </w:pPr>
    </w:lvl>
    <w:lvl w:ilvl="7" w:tentative="0">
      <w:start w:val="1"/>
      <w:numFmt w:val="lowerLetter"/>
      <w:lvlText w:val="%8)"/>
      <w:lvlJc w:val="left"/>
      <w:pPr>
        <w:ind w:left="3995" w:hanging="420"/>
      </w:pPr>
    </w:lvl>
    <w:lvl w:ilvl="8" w:tentative="0">
      <w:start w:val="1"/>
      <w:numFmt w:val="lowerRoman"/>
      <w:lvlText w:val="%9."/>
      <w:lvlJc w:val="right"/>
      <w:pPr>
        <w:ind w:left="4415" w:hanging="420"/>
      </w:pPr>
    </w:lvl>
  </w:abstractNum>
  <w:abstractNum w:abstractNumId="3">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9F9242D"/>
    <w:rsid w:val="0A2032A3"/>
    <w:rsid w:val="0BCF2EE5"/>
    <w:rsid w:val="0CA8290A"/>
    <w:rsid w:val="0D35B1ED"/>
    <w:rsid w:val="0E254B6B"/>
    <w:rsid w:val="0F98263C"/>
    <w:rsid w:val="101860EC"/>
    <w:rsid w:val="101F47CC"/>
    <w:rsid w:val="10C055FF"/>
    <w:rsid w:val="11694EBD"/>
    <w:rsid w:val="11772AA4"/>
    <w:rsid w:val="118107EC"/>
    <w:rsid w:val="12E24EE2"/>
    <w:rsid w:val="1375603B"/>
    <w:rsid w:val="13D50BC4"/>
    <w:rsid w:val="14B17F78"/>
    <w:rsid w:val="165E0673"/>
    <w:rsid w:val="16B831D5"/>
    <w:rsid w:val="16BB723D"/>
    <w:rsid w:val="17E50567"/>
    <w:rsid w:val="186504BB"/>
    <w:rsid w:val="19A445FC"/>
    <w:rsid w:val="1A4D0577"/>
    <w:rsid w:val="1BE8440E"/>
    <w:rsid w:val="1C821707"/>
    <w:rsid w:val="1D155CEE"/>
    <w:rsid w:val="1D1638FE"/>
    <w:rsid w:val="1E312DEB"/>
    <w:rsid w:val="1E740ACF"/>
    <w:rsid w:val="1F2C4B5D"/>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71361A"/>
    <w:rsid w:val="2FAE5751"/>
    <w:rsid w:val="2FB1A395"/>
    <w:rsid w:val="2FD9A7D8"/>
    <w:rsid w:val="2FDBF714"/>
    <w:rsid w:val="30AB6865"/>
    <w:rsid w:val="319F7F4E"/>
    <w:rsid w:val="32BD1EF1"/>
    <w:rsid w:val="3304709D"/>
    <w:rsid w:val="33A773CB"/>
    <w:rsid w:val="349D6851"/>
    <w:rsid w:val="36AA5135"/>
    <w:rsid w:val="36BE0DA7"/>
    <w:rsid w:val="36CF1F38"/>
    <w:rsid w:val="36EA5370"/>
    <w:rsid w:val="376B6AA6"/>
    <w:rsid w:val="376D39B2"/>
    <w:rsid w:val="37E16F03"/>
    <w:rsid w:val="37F53A3B"/>
    <w:rsid w:val="389B6C89"/>
    <w:rsid w:val="38D469F0"/>
    <w:rsid w:val="39627CCD"/>
    <w:rsid w:val="397BAF1F"/>
    <w:rsid w:val="3AB79AF3"/>
    <w:rsid w:val="3AE834C0"/>
    <w:rsid w:val="3B7EF35A"/>
    <w:rsid w:val="3B9E059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1456B7C"/>
    <w:rsid w:val="537E6D0A"/>
    <w:rsid w:val="53BE7C72"/>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CEC941"/>
    <w:rsid w:val="5F6E4848"/>
    <w:rsid w:val="5FBF9FF3"/>
    <w:rsid w:val="5FCD4E2C"/>
    <w:rsid w:val="5FEF394A"/>
    <w:rsid w:val="5FF67715"/>
    <w:rsid w:val="60F12673"/>
    <w:rsid w:val="61B05A5D"/>
    <w:rsid w:val="62BF3928"/>
    <w:rsid w:val="63B3701E"/>
    <w:rsid w:val="647F5392"/>
    <w:rsid w:val="65E66580"/>
    <w:rsid w:val="664B1D71"/>
    <w:rsid w:val="664B4E8E"/>
    <w:rsid w:val="67277B67"/>
    <w:rsid w:val="67AA3209"/>
    <w:rsid w:val="698D0931"/>
    <w:rsid w:val="6A7FE5F3"/>
    <w:rsid w:val="6B053271"/>
    <w:rsid w:val="6BDD78B3"/>
    <w:rsid w:val="6C4A05C8"/>
    <w:rsid w:val="6C7D5211"/>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B31465"/>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Chars="200"/>
    </w:pPr>
    <w:rPr>
      <w:rFonts w:ascii="仿宋_GB2312"/>
      <w:szCs w:val="32"/>
    </w:rPr>
  </w:style>
  <w:style w:type="paragraph" w:styleId="3">
    <w:name w:val="Body Text First Indent 2"/>
    <w:basedOn w:val="2"/>
    <w:unhideWhenUsed/>
    <w:qFormat/>
    <w:uiPriority w:val="99"/>
    <w:pPr>
      <w:ind w:firstLine="420" w:firstLineChars="200"/>
    </w:pPr>
  </w:style>
  <w:style w:type="paragraph" w:styleId="7">
    <w:name w:val="Body Text"/>
    <w:basedOn w:val="1"/>
    <w:link w:val="25"/>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3"/>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7"/>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4"/>
    <w:qFormat/>
    <w:uiPriority w:val="9"/>
    <w:rPr>
      <w:rFonts w:ascii="Times New Roman" w:hAnsi="Times New Roman"/>
      <w:b/>
      <w:bCs/>
      <w:kern w:val="44"/>
      <w:sz w:val="44"/>
      <w:szCs w:val="44"/>
    </w:rPr>
  </w:style>
  <w:style w:type="character" w:customStyle="1" w:styleId="29">
    <w:name w:val="标题 2 Char"/>
    <w:basedOn w:val="16"/>
    <w:link w:val="5"/>
    <w:qFormat/>
    <w:uiPriority w:val="9"/>
    <w:rPr>
      <w:rFonts w:asciiTheme="majorHAnsi" w:hAnsiTheme="majorHAnsi" w:eastAsiaTheme="majorEastAsia" w:cstheme="majorBidi"/>
      <w:b/>
      <w:bCs/>
      <w:kern w:val="2"/>
      <w:sz w:val="32"/>
      <w:szCs w:val="32"/>
    </w:rPr>
  </w:style>
  <w:style w:type="paragraph" w:customStyle="1" w:styleId="30">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9"/>
    <w:semiHidden/>
    <w:qFormat/>
    <w:uiPriority w:val="99"/>
    <w:rPr>
      <w:rFonts w:ascii="Times New Roman" w:hAnsi="Times New Roman"/>
      <w:kern w:val="2"/>
      <w:sz w:val="18"/>
      <w:szCs w:val="18"/>
    </w:rPr>
  </w:style>
  <w:style w:type="character" w:customStyle="1" w:styleId="32">
    <w:name w:val="标题 3 Char"/>
    <w:basedOn w:val="16"/>
    <w:link w:val="6"/>
    <w:qFormat/>
    <w:uiPriority w:val="9"/>
    <w:rPr>
      <w:rFonts w:ascii="Times New Roman" w:hAnsi="Times New Roman"/>
      <w:b/>
      <w:bCs/>
      <w:kern w:val="2"/>
      <w:sz w:val="32"/>
      <w:szCs w:val="32"/>
    </w:rPr>
  </w:style>
  <w:style w:type="paragraph" w:customStyle="1" w:styleId="33">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5">
    <w:name w:val="〖B03〗三级标题"/>
    <w:basedOn w:val="1"/>
    <w:qFormat/>
    <w:uiPriority w:val="0"/>
    <w:pPr>
      <w:numPr>
        <w:ilvl w:val="0"/>
        <w:numId w:val="1"/>
      </w:numPr>
      <w:topLinePunct/>
      <w:spacing w:line="600" w:lineRule="exact"/>
      <w:outlineLvl w:val="2"/>
    </w:pPr>
    <w:rPr>
      <w:rFonts w:ascii="楷体_GB2312" w:hAnsi="Calibri" w:eastAsia="楷体_GB2312"/>
      <w:sz w:val="32"/>
      <w:szCs w:val="32"/>
    </w:rPr>
  </w:style>
  <w:style w:type="paragraph" w:customStyle="1" w:styleId="36">
    <w:name w:val="WPSOffice手动目录 1"/>
    <w:uiPriority w:val="0"/>
    <w:pPr>
      <w:ind w:leftChars="0"/>
    </w:pPr>
    <w:rPr>
      <w:rFonts w:asciiTheme="minorHAnsi" w:hAnsiTheme="minorHAnsi" w:eastAsiaTheme="minorEastAsia" w:cstheme="minorBidi"/>
      <w:sz w:val="20"/>
      <w:szCs w:val="20"/>
    </w:rPr>
  </w:style>
  <w:style w:type="paragraph" w:customStyle="1" w:styleId="37">
    <w:name w:val="WPSOffice手动目录 2"/>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360MoveData\Users\Administrator\Desktop\2024&#24180;&#20915;&#31639;&#20844;&#24320;\&#37096;&#38376;&#20915;&#31639;&#20844;&#24320;&#35828;&#26126;&#25991;&#26723;&#32534;&#21046;&#20013;&#25152;&#28041;&#22270;&#34920;&#30340;&#21046;&#20316;&#21450;&#22686;&#20943;&#21464;&#21270;&#27604;&#20363;&#31561;&#25968;&#25454;&#35745;&#31639;&#29983;&#25104;&#24037;&#20855;.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60MoveData\Users\Administrator\Desktop\2024&#24180;&#20915;&#31639;&#20844;&#24320;\&#37096;&#38376;&#20915;&#31639;&#20844;&#24320;&#35828;&#26126;&#25991;&#26723;&#32534;&#21046;&#20013;&#25152;&#28041;&#22270;&#34920;&#30340;&#21046;&#20316;&#21450;&#22686;&#20943;&#21464;&#21270;&#27604;&#20363;&#31561;&#25968;&#25454;&#35745;&#31639;&#29983;&#25104;&#24037;&#20855;.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360MoveData\Users\Administrator\Desktop\2024&#24180;&#20915;&#31639;&#20844;&#24320;\&#37096;&#38376;&#20915;&#31639;&#20844;&#24320;&#35828;&#26126;&#25991;&#26723;&#32534;&#21046;&#20013;&#25152;&#28041;&#22270;&#34920;&#30340;&#21046;&#20316;&#21450;&#22686;&#20943;&#21464;&#21270;&#27604;&#20363;&#31561;&#25968;&#25454;&#35745;&#31639;&#29983;&#25104;&#24037;&#20855;.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360MoveData\Users\Administrator\Desktop\2024&#24180;&#20915;&#31639;&#20844;&#24320;\&#37096;&#38376;&#20915;&#31639;&#20844;&#24320;&#35828;&#26126;&#25991;&#26723;&#32534;&#21046;&#20013;&#25152;&#28041;&#22270;&#34920;&#30340;&#21046;&#20316;&#21450;&#22686;&#20943;&#21464;&#21270;&#27604;&#20363;&#31561;&#25968;&#25454;&#35745;&#31639;&#29983;&#25104;&#24037;&#20855;.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360MoveData\Users\Administrator\Desktop\2024&#24180;&#20915;&#31639;&#20844;&#24320;\&#37096;&#38376;&#20915;&#31639;&#20844;&#24320;&#35828;&#26126;&#25991;&#26723;&#32534;&#21046;&#20013;&#25152;&#28041;&#22270;&#34920;&#30340;&#21046;&#20316;&#21450;&#22686;&#20943;&#21464;&#21270;&#27604;&#20363;&#31561;&#25968;&#25454;&#35745;&#31639;&#29983;&#25104;&#24037;&#20855;.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360MoveData\Users\Administrator\Desktop\2024&#24180;&#20915;&#31639;&#20844;&#24320;\&#37096;&#38376;&#20915;&#31639;&#20844;&#24320;&#35828;&#26126;&#25991;&#26723;&#32534;&#21046;&#20013;&#25152;&#28041;&#22270;&#34920;&#30340;&#21046;&#20316;&#21450;&#22686;&#20943;&#21464;&#21270;&#27604;&#20363;&#31561;&#25968;&#25454;&#35745;&#31639;&#29983;&#25104;&#24037;&#20855;.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360MoveData\Users\Administrator\Desktop\2024&#24180;&#20915;&#31639;&#20844;&#24320;\&#37096;&#38376;&#20915;&#31639;&#20844;&#24320;&#35828;&#26126;&#25991;&#26723;&#32534;&#21046;&#20013;&#25152;&#28041;&#22270;&#34920;&#30340;&#21046;&#20316;&#21450;&#22686;&#20943;&#21464;&#21270;&#27604;&#20363;&#31561;&#25968;&#25454;&#35745;&#31639;&#29983;&#25104;&#24037;&#2085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42"/>
    </mc:Choice>
    <mc:Fallback>
      <c:style val="42"/>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solidFill>
                  <a:sysClr val="windowText" lastClr="000000"/>
                </a:solidFill>
              </a:rPr>
              <a:t>收支决算总计变动情况图</a:t>
            </a:r>
            <a:endParaRPr lang="zh-CN" altLang="en-US" sz="1800" b="1" i="0" u="none" strike="noStrike" baseline="0">
              <a:solidFill>
                <a:sysClr val="windowText" lastClr="000000"/>
              </a:solidFill>
              <a:latin typeface="宋体" panose="02010600030101010101" charset="-122"/>
              <a:ea typeface="宋体" panose="02010600030101010101" charset="-122"/>
              <a:cs typeface="宋体" panose="02010600030101010101" charset="-122"/>
            </a:endParaRPr>
          </a:p>
        </c:rich>
      </c:tx>
      <c:layout/>
      <c:overlay val="0"/>
    </c:title>
    <c:autoTitleDeleted val="0"/>
    <c:plotArea>
      <c:layout>
        <c:manualLayout>
          <c:layoutTarget val="inner"/>
          <c:xMode val="edge"/>
          <c:yMode val="edge"/>
          <c:x val="0.205627705627706"/>
          <c:y val="0.201388888888889"/>
          <c:w val="0.606060606060606"/>
          <c:h val="0.576388888888889"/>
        </c:manualLayout>
      </c:layout>
      <c:barChart>
        <c:barDir val="col"/>
        <c:grouping val="clustered"/>
        <c:varyColors val="0"/>
        <c:ser>
          <c:idx val="0"/>
          <c:order val="0"/>
          <c:tx>
            <c:strRef>
              <c:f>[部门决算公开说明文档编制中所涉图表的制作及增减变化比例等数据计算生成工具.xls]图1!$A$6</c:f>
              <c:strCache>
                <c:ptCount val="1"/>
                <c:pt idx="0">
                  <c:v>2023年</c:v>
                </c:pt>
              </c:strCache>
            </c:strRef>
          </c:tx>
          <c:invertIfNegative val="0"/>
          <c:dLbls>
            <c:numFmt formatCode="General" sourceLinked="1"/>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[部门决算公开说明文档编制中所涉图表的制作及增减变化比例等数据计算生成工具.xls]图1!$B$5</c:f>
              <c:numCache>
                <c:formatCode>General</c:formatCode>
                <c:ptCount val="1"/>
              </c:numCache>
            </c:numRef>
          </c:cat>
          <c:val>
            <c:numRef>
              <c:f>[部门决算公开说明文档编制中所涉图表的制作及增减变化比例等数据计算生成工具.xls]图1!$B$6</c:f>
              <c:numCache>
                <c:formatCode>#,##0.00</c:formatCode>
                <c:ptCount val="1"/>
                <c:pt idx="0">
                  <c:v>20.2</c:v>
                </c:pt>
              </c:numCache>
            </c:numRef>
          </c:val>
        </c:ser>
        <c:ser>
          <c:idx val="1"/>
          <c:order val="1"/>
          <c:tx>
            <c:strRef>
              <c:f>[部门决算公开说明文档编制中所涉图表的制作及增减变化比例等数据计算生成工具.xls]图1!$A$7</c:f>
              <c:strCache>
                <c:ptCount val="1"/>
                <c:pt idx="0">
                  <c:v>2024年</c:v>
                </c:pt>
              </c:strCache>
            </c:strRef>
          </c:tx>
          <c:invertIfNegative val="0"/>
          <c:dLbls>
            <c:numFmt formatCode="General" sourceLinked="1"/>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[部门决算公开说明文档编制中所涉图表的制作及增减变化比例等数据计算生成工具.xls]图1!$B$5</c:f>
              <c:numCache>
                <c:formatCode>General</c:formatCode>
                <c:ptCount val="1"/>
              </c:numCache>
            </c:numRef>
          </c:cat>
          <c:val>
            <c:numRef>
              <c:f>[部门决算公开说明文档编制中所涉图表的制作及增减变化比例等数据计算生成工具.xls]图1!$B$7</c:f>
              <c:numCache>
                <c:formatCode>#,##0.00</c:formatCode>
                <c:ptCount val="1"/>
                <c:pt idx="0">
                  <c:v>49.22</c:v>
                </c:pt>
              </c:numCache>
            </c:numRef>
          </c:val>
        </c:ser>
        <c:ser>
          <c:idx val="2"/>
          <c:order val="2"/>
          <c:tx>
            <c:strRef>
              <c:f>[部门决算公开说明文档编制中所涉图表的制作及增减变化比例等数据计算生成工具.xls]图1!$A$8</c:f>
              <c:strCache>
                <c:ptCount val="1"/>
                <c:pt idx="0">
                  <c:v>增减数目</c:v>
                </c:pt>
              </c:strCache>
            </c:strRef>
          </c:tx>
          <c:invertIfNegative val="0"/>
          <c:dLbls>
            <c:numFmt formatCode="General" sourceLinked="1"/>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[部门决算公开说明文档编制中所涉图表的制作及增减变化比例等数据计算生成工具.xls]图1!$B$5</c:f>
              <c:numCache>
                <c:formatCode>General</c:formatCode>
                <c:ptCount val="1"/>
              </c:numCache>
            </c:numRef>
          </c:cat>
          <c:val>
            <c:numRef>
              <c:f>[部门决算公开说明文档编制中所涉图表的制作及增减变化比例等数据计算生成工具.xls]图1!$B$8</c:f>
              <c:numCache>
                <c:formatCode>#,##0.00_ </c:formatCode>
                <c:ptCount val="1"/>
                <c:pt idx="0">
                  <c:v>29.02</c:v>
                </c:pt>
              </c:numCache>
            </c:numRef>
          </c:val>
        </c:ser>
        <c:ser>
          <c:idx val="3"/>
          <c:order val="3"/>
          <c:tx>
            <c:strRef>
              <c:f>[部门决算公开说明文档编制中所涉图表的制作及增减变化比例等数据计算生成工具.xls]图1!$A$9</c:f>
              <c:strCache>
                <c:ptCount val="1"/>
                <c:pt idx="0">
                  <c:v>增减幅度%</c:v>
                </c:pt>
              </c:strCache>
            </c:strRef>
          </c:tx>
          <c:invertIfNegative val="0"/>
          <c:dLbls>
            <c:numFmt formatCode="General" sourceLinked="1"/>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[部门决算公开说明文档编制中所涉图表的制作及增减变化比例等数据计算生成工具.xls]图1!$B$5</c:f>
              <c:numCache>
                <c:formatCode>General</c:formatCode>
                <c:ptCount val="1"/>
              </c:numCache>
            </c:numRef>
          </c:cat>
          <c:val>
            <c:numRef>
              <c:f>[部门决算公开说明文档编制中所涉图表的制作及增减变化比例等数据计算生成工具.xls]图1!$B$9</c:f>
              <c:numCache>
                <c:formatCode>0.00</c:formatCode>
                <c:ptCount val="1"/>
                <c:pt idx="0">
                  <c:v>143.663366336634</c:v>
                </c:pt>
              </c:numCache>
            </c:numRef>
          </c:val>
        </c:ser>
        <c:dLbls>
          <c:showLegendKey val="0"/>
          <c:showVal val="0"/>
          <c:showCatName val="0"/>
          <c:showSerName val="0"/>
          <c:showPercent val="0"/>
          <c:showBubbleSize val="0"/>
        </c:dLbls>
        <c:gapWidth val="150"/>
        <c:overlap val="0"/>
        <c:axId val="806559228"/>
        <c:axId val="115249174"/>
      </c:barChart>
      <c:catAx>
        <c:axId val="806559228"/>
        <c:scaling>
          <c:orientation val="minMax"/>
        </c:scaling>
        <c:delete val="0"/>
        <c:axPos val="b"/>
        <c:title>
          <c:tx>
            <c:rich>
              <a:bodyPr rot="0" spcFirstLastPara="0" vertOverflow="ellipsis" vert="horz" wrap="square" anchor="ctr" anchorCtr="1"/>
              <a:lstStyle/>
              <a:p>
                <a:pPr>
                  <a:defRPr lang="zh-CN" sz="10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solidFill>
                      <a:sysClr val="windowText" lastClr="000000"/>
                    </a:solidFill>
                  </a:rPr>
                  <a:t>单位：万元</a:t>
                </a:r>
                <a:endParaRPr lang="zh-CN" altLang="en-US" sz="1000" b="1" i="0" u="none" strike="noStrike" baseline="0">
                  <a:solidFill>
                    <a:sysClr val="windowText" lastClr="000000"/>
                  </a:solidFill>
                  <a:latin typeface="宋体" panose="02010600030101010101" charset="-122"/>
                  <a:ea typeface="宋体" panose="02010600030101010101" charset="-122"/>
                  <a:cs typeface="宋体" panose="02010600030101010101" charset="-122"/>
                </a:endParaRPr>
              </a:p>
            </c:rich>
          </c:tx>
          <c:layout>
            <c:manualLayout>
              <c:xMode val="edge"/>
              <c:yMode val="edge"/>
              <c:x val="0.0370294072409191"/>
              <c:y val="0.0694445043684608"/>
            </c:manualLayout>
          </c:layout>
          <c:overlay val="0"/>
          <c:spPr>
            <a:ln>
              <a:solidFill>
                <a:schemeClr val="tx1"/>
              </a:solidFill>
            </a:ln>
          </c:spPr>
        </c:title>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lt1"/>
                </a:solidFill>
                <a:latin typeface="+mn-lt"/>
                <a:ea typeface="+mn-ea"/>
                <a:cs typeface="+mn-cs"/>
              </a:defRPr>
            </a:pPr>
          </a:p>
        </c:txPr>
        <c:crossAx val="115249174"/>
        <c:crosses val="autoZero"/>
        <c:auto val="1"/>
        <c:lblAlgn val="ctr"/>
        <c:lblOffset val="100"/>
        <c:noMultiLvlLbl val="0"/>
      </c:catAx>
      <c:valAx>
        <c:axId val="115249174"/>
        <c:scaling>
          <c:orientation val="minMax"/>
        </c:scaling>
        <c:delete val="0"/>
        <c:axPos val="l"/>
        <c:majorGridlines/>
        <c:numFmt formatCode="#,##0.00" sourceLinked="1"/>
        <c:majorTickMark val="out"/>
        <c:minorTickMark val="none"/>
        <c:tickLblPos val="nextTo"/>
        <c:spPr>
          <a:solidFill>
            <a:schemeClr val="tx1"/>
          </a:solidFill>
        </c:spPr>
        <c:txPr>
          <a:bodyPr rot="-60000000" spcFirstLastPara="0" vertOverflow="ellipsis" vert="horz" wrap="square" anchor="ctr" anchorCtr="1"/>
          <a:lstStyle/>
          <a:p>
            <a:pPr>
              <a:defRPr lang="zh-CN" sz="1000" b="0" i="0" u="none" strike="noStrike" kern="1200" baseline="0">
                <a:solidFill>
                  <a:schemeClr val="lt1"/>
                </a:solidFill>
                <a:latin typeface="+mn-lt"/>
                <a:ea typeface="+mn-ea"/>
                <a:cs typeface="+mn-cs"/>
              </a:defRPr>
            </a:pPr>
          </a:p>
        </c:txPr>
        <c:crossAx val="806559228"/>
        <c:crosses val="autoZero"/>
        <c:crossBetween val="between"/>
      </c:valAx>
      <c:spPr>
        <a:solidFill>
          <a:schemeClr val="bg1"/>
        </a:solidFill>
      </c:spPr>
    </c:plotArea>
    <c:legend>
      <c:legendPos val="b"/>
      <c:layout>
        <c:manualLayout>
          <c:xMode val="edge"/>
          <c:yMode val="edge"/>
          <c:x val="0.178595180328357"/>
          <c:y val="0.839024556861899"/>
          <c:w val="0.662973470471201"/>
          <c:h val="0.13286304965304"/>
        </c:manualLayout>
      </c:layout>
      <c:overlay val="0"/>
      <c:txPr>
        <a:bodyPr rot="0" spcFirstLastPara="0" vertOverflow="ellipsis" vert="horz" wrap="square" anchor="ctr" anchorCtr="1"/>
        <a:lstStyle/>
        <a:p>
          <a:pPr>
            <a:defRPr lang="zh-CN" sz="1000" b="0" i="0" u="none" strike="noStrike" kern="1200" baseline="0">
              <a:ln w="6350">
                <a:solidFill>
                  <a:schemeClr val="tx1"/>
                </a:solidFill>
              </a:ln>
              <a:solidFill>
                <a:schemeClr val="lt1"/>
              </a:solidFill>
              <a:latin typeface="+mn-lt"/>
              <a:ea typeface="+mn-ea"/>
              <a:cs typeface="+mn-cs"/>
            </a:defRPr>
          </a:pPr>
        </a:p>
      </c:txPr>
    </c:legend>
    <c:plotVisOnly val="1"/>
    <c:dispBlanksAs val="gap"/>
    <c:showDLblsOverMax val="0"/>
  </c:chart>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a:outerShdw blurRad="279400" dist="50800" dir="5400000" sx="98000" sy="98000" algn="ctr" rotWithShape="0">
        <a:srgbClr val="000000">
          <a:alpha val="79000"/>
        </a:srgbClr>
      </a:outerShdw>
    </a:effectLst>
  </c:spPr>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effectLst>
                  <a:glow rad="292100">
                    <a:schemeClr val="accent1">
                      <a:alpha val="40000"/>
                    </a:schemeClr>
                  </a:glow>
                </a:effectLst>
                <a:latin typeface="宋体" panose="02010600030101010101" charset="-122"/>
                <a:ea typeface="宋体" panose="02010600030101010101" charset="-122"/>
                <a:cs typeface="宋体" panose="02010600030101010101" charset="-122"/>
              </a:defRPr>
            </a:pPr>
            <a:r>
              <a:rPr lang="zh-CN"/>
              <a:t>收入决算结构图</a:t>
            </a:r>
            <a:endParaRPr lang="zh-CN" sz="18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0"/>
    </c:title>
    <c:autoTitleDeleted val="0"/>
    <c:view3D>
      <c:rotX val="40"/>
      <c:rotY val="0"/>
      <c:depthPercent val="100"/>
      <c:rAngAx val="0"/>
      <c:perspective val="20"/>
    </c:view3D>
    <c:floor>
      <c:thickness val="0"/>
    </c:floor>
    <c:sideWall>
      <c:thickness val="0"/>
    </c:sideWall>
    <c:backWall>
      <c:thickness val="0"/>
    </c:backWall>
    <c:plotArea>
      <c:layout>
        <c:manualLayout>
          <c:layoutTarget val="inner"/>
          <c:xMode val="edge"/>
          <c:yMode val="edge"/>
          <c:x val="0.149299150764221"/>
          <c:y val="0.242727454343798"/>
          <c:w val="0.761678985382331"/>
          <c:h val="0.662226631119929"/>
        </c:manualLayout>
      </c:layout>
      <c:pie3DChart>
        <c:varyColors val="1"/>
        <c:ser>
          <c:idx val="0"/>
          <c:order val="0"/>
          <c:explosion val="0"/>
          <c:dPt>
            <c:idx val="0"/>
            <c:bubble3D val="0"/>
            <c:explosion val="0"/>
            <c:spPr>
              <a:solidFill>
                <a:schemeClr val="accent1"/>
              </a:solidFill>
              <a:ln w="25400">
                <a:solidFill>
                  <a:schemeClr val="lt1"/>
                </a:solidFill>
              </a:ln>
              <a:effectLst/>
              <a:scene3d>
                <a:camera prst="orthographicFront"/>
                <a:lightRig rig="threePt" dir="t"/>
              </a:scene3d>
              <a:sp3d contourW="25400">
                <a:contourClr>
                  <a:schemeClr val="lt1"/>
                </a:contourClr>
              </a:sp3d>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effectLst>
                      <a:glow rad="292100">
                        <a:schemeClr val="accent1">
                          <a:alpha val="40000"/>
                        </a:schemeClr>
                      </a:glow>
                    </a:effectLst>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[部门决算公开说明文档编制中所涉图表的制作及增减变化比例等数据计算生成工具.xls]图2!$A$5</c:f>
              <c:strCache>
                <c:ptCount val="1"/>
                <c:pt idx="0">
                  <c:v>一、一般公共预算财政拨款收入</c:v>
                </c:pt>
              </c:strCache>
            </c:strRef>
          </c:cat>
          <c:val>
            <c:numRef>
              <c:f>[部门决算公开说明文档编制中所涉图表的制作及增减变化比例等数据计算生成工具.xls]图2!$B$5</c:f>
              <c:numCache>
                <c:formatCode>#,##0.00</c:formatCode>
                <c:ptCount val="1"/>
                <c:pt idx="0">
                  <c:v>49.22</c:v>
                </c:pt>
              </c:numCache>
            </c:numRef>
          </c:val>
        </c:ser>
        <c:dLbls>
          <c:showLegendKey val="0"/>
          <c:showVal val="0"/>
          <c:showCatName val="0"/>
          <c:showSerName val="0"/>
          <c:showPercent val="0"/>
          <c:showBubbleSize val="0"/>
        </c:dLbls>
      </c:pie3DChart>
      <c:spPr>
        <a:noFill/>
        <a:ln>
          <a:noFill/>
        </a:ln>
        <a:effectLst/>
      </c:spPr>
    </c:plotArea>
    <c:plotVisOnly val="1"/>
    <c:dispBlanksAs val="gap"/>
    <c:showDLblsOverMax val="0"/>
  </c:chart>
  <c:spPr>
    <a:solidFill>
      <a:schemeClr val="bg1"/>
    </a:solidFill>
    <a:ln w="9525" cap="flat" cmpd="sng" algn="ctr">
      <a:solidFill>
        <a:schemeClr val="tx1"/>
      </a:solidFill>
      <a:prstDash val="solid"/>
      <a:round/>
    </a:ln>
    <a:effectLst/>
  </c:spPr>
  <c:txPr>
    <a:bodyPr wrap="square"/>
    <a:lstStyle/>
    <a:p>
      <a:pPr>
        <a:defRPr lang="zh-CN">
          <a:effectLst>
            <a:glow rad="292100">
              <a:schemeClr val="accent1">
                <a:alpha val="40000"/>
              </a:schemeClr>
            </a:glow>
          </a:effectLst>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1"/>
  <mc:AlternateContent xmlns:mc="http://schemas.openxmlformats.org/markup-compatibility/2006">
    <mc:Choice xmlns:c14="http://schemas.microsoft.com/office/drawing/2007/8/2/chart" Requires="c14">
      <c14:style val="126"/>
    </mc:Choice>
    <mc:Fallback>
      <c:style val="26"/>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t>支出决算结构图</a:t>
            </a:r>
            <a:endParaRPr lang="zh-CN" altLang="en-US" sz="18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0"/>
    </c:title>
    <c:autoTitleDeleted val="0"/>
    <c:view3D>
      <c:rotX val="50"/>
      <c:rotY val="0"/>
      <c:depthPercent val="100"/>
      <c:rAngAx val="0"/>
      <c:perspective val="0"/>
    </c:view3D>
    <c:floor>
      <c:thickness val="0"/>
    </c:floor>
    <c:sideWall>
      <c:thickness val="0"/>
    </c:sideWall>
    <c:backWall>
      <c:thickness val="0"/>
    </c:backWall>
    <c:plotArea>
      <c:layout>
        <c:manualLayout>
          <c:layoutTarget val="inner"/>
          <c:xMode val="edge"/>
          <c:yMode val="edge"/>
          <c:x val="0.0177190154380309"/>
          <c:y val="0.26094110538341"/>
          <c:w val="0.612896645793292"/>
          <c:h val="0.695863592590495"/>
        </c:manualLayout>
      </c:layout>
      <c:pie3DChart>
        <c:varyColors val="1"/>
        <c:ser>
          <c:idx val="0"/>
          <c:order val="0"/>
          <c:spPr>
            <a:effectLst>
              <a:outerShdw dist="23000" sx="1000" sy="1000" rotWithShape="0">
                <a:srgbClr val="000000">
                  <a:alpha val="0"/>
                </a:srgbClr>
              </a:outerShdw>
            </a:effectLst>
          </c:spPr>
          <c:explosion val="7"/>
          <c:dPt>
            <c:idx val="0"/>
            <c:bubble3D val="0"/>
            <c:explosion val="7"/>
            <c:spPr>
              <a:effectLst>
                <a:outerShdw dist="23000" sx="1000" sy="1000" rotWithShape="0">
                  <a:srgbClr val="000000">
                    <a:alpha val="0"/>
                  </a:srgbClr>
                </a:outerShdw>
              </a:effectLst>
            </c:spPr>
          </c:dPt>
          <c:dPt>
            <c:idx val="1"/>
            <c:bubble3D val="0"/>
            <c:explosion val="7"/>
            <c:spPr>
              <a:effectLst>
                <a:outerShdw dist="23000" sx="1000" sy="1000" rotWithShape="0">
                  <a:srgbClr val="000000">
                    <a:alpha val="0"/>
                  </a:srgbClr>
                </a:outerShdw>
              </a:effectLst>
            </c:spPr>
          </c:dPt>
          <c:dLbls>
            <c:dLbl>
              <c:idx val="0"/>
              <c:layout>
                <c:manualLayout>
                  <c:x val="-0.181275489602261"/>
                  <c:y val="0.0360846637289605"/>
                </c:manualLayout>
              </c:layout>
              <c:numFmt formatCode="General" sourceLinked="1"/>
              <c:spPr>
                <a:noFill/>
                <a:ln w="25400">
                  <a:noFill/>
                </a:ln>
                <a:effectLst>
                  <a:glow rad="762000">
                    <a:schemeClr val="accent1">
                      <a:alpha val="0"/>
                    </a:schemeClr>
                  </a:glow>
                </a:effectLst>
                <a:scene3d>
                  <a:camera prst="orthographicFront"/>
                  <a:lightRig rig="threePt" dir="t"/>
                </a:scene3d>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dLbl>
              <c:idx val="1"/>
              <c:layout>
                <c:manualLayout>
                  <c:x val="0.158942963860287"/>
                  <c:y val="-0.121559071171149"/>
                </c:manualLayout>
              </c:layout>
              <c:numFmt formatCode="General" sourceLinked="1"/>
              <c:spPr>
                <a:noFill/>
                <a:ln w="25400">
                  <a:noFill/>
                </a:ln>
                <a:effectLst>
                  <a:glow rad="762000">
                    <a:schemeClr val="accent1">
                      <a:alpha val="0"/>
                    </a:schemeClr>
                  </a:glow>
                </a:effectLst>
                <a:scene3d>
                  <a:camera prst="orthographicFront"/>
                  <a:lightRig rig="threePt" dir="t"/>
                </a:scene3d>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numFmt formatCode="General" sourceLinked="1"/>
            <c:spPr>
              <a:noFill/>
              <a:ln w="25400">
                <a:noFill/>
              </a:ln>
              <a:effectLst>
                <a:glow rad="762000">
                  <a:schemeClr val="accent1">
                    <a:alpha val="0"/>
                  </a:schemeClr>
                </a:glow>
              </a:effectLst>
              <a:scene3d>
                <a:camera prst="orthographicFront"/>
                <a:lightRig rig="threePt" dir="t"/>
              </a:scene3d>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[部门决算公开说明文档编制中所涉图表的制作及增减变化比例等数据计算生成工具.xls]图3!$A$5:$B$5</c:f>
              <c:strCache>
                <c:ptCount val="2"/>
                <c:pt idx="0">
                  <c:v>基本支出</c:v>
                </c:pt>
                <c:pt idx="1">
                  <c:v>项目支出</c:v>
                </c:pt>
              </c:strCache>
            </c:strRef>
          </c:cat>
          <c:val>
            <c:numRef>
              <c:f>[部门决算公开说明文档编制中所涉图表的制作及增减变化比例等数据计算生成工具.xls]图3!$A$6:$B$6</c:f>
              <c:numCache>
                <c:formatCode>#,##0.00</c:formatCode>
                <c:ptCount val="2"/>
                <c:pt idx="0">
                  <c:v>39.57</c:v>
                </c:pt>
                <c:pt idx="1">
                  <c:v>9.65</c:v>
                </c:pt>
              </c:numCache>
            </c:numRef>
          </c:val>
        </c:ser>
        <c:dLbls>
          <c:showLegendKey val="0"/>
          <c:showVal val="0"/>
          <c:showCatName val="0"/>
          <c:showSerName val="0"/>
          <c:showPercent val="0"/>
          <c:showBubbleSize val="0"/>
        </c:dLbls>
      </c:pie3D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spPr>
    <a:ln w="0" cap="flat" cmpd="sng" algn="ctr">
      <a:solidFill>
        <a:schemeClr val="tx1"/>
      </a:solidFill>
      <a:prstDash val="solid"/>
      <a:round/>
    </a:ln>
    <a:effectLst>
      <a:glow rad="152400">
        <a:schemeClr val="bg1">
          <a:alpha val="86000"/>
        </a:schemeClr>
      </a:glow>
      <a:outerShdw blurRad="25400" sx="1000" sy="1000" algn="ctr" rotWithShape="0">
        <a:srgbClr val="000000">
          <a:alpha val="96000"/>
        </a:srgbClr>
      </a:outerShdw>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t>财政拨款收支总计变动情况</a:t>
            </a:r>
            <a:endParaRPr lang="zh-CN" altLang="en-US" sz="18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0"/>
    </c:title>
    <c:autoTitleDeleted val="0"/>
    <c:plotArea>
      <c:layout>
        <c:manualLayout>
          <c:layoutTarget val="inner"/>
          <c:xMode val="edge"/>
          <c:yMode val="edge"/>
          <c:x val="0.146296296296296"/>
          <c:y val="0.180722891566265"/>
          <c:w val="0.661111111111111"/>
          <c:h val="0.620481927710843"/>
        </c:manualLayout>
      </c:layout>
      <c:barChart>
        <c:barDir val="col"/>
        <c:grouping val="clustered"/>
        <c:varyColors val="0"/>
        <c:ser>
          <c:idx val="0"/>
          <c:order val="0"/>
          <c:tx>
            <c:strRef>
              <c:f>[部门决算公开说明文档编制中所涉图表的制作及增减变化比例等数据计算生成工具.xls]图4!$A$6</c:f>
              <c:strCache>
                <c:ptCount val="1"/>
                <c:pt idx="0">
                  <c:v>2023年</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[部门决算公开说明文档编制中所涉图表的制作及增减变化比例等数据计算生成工具.xls]图4!$B$5</c:f>
              <c:strCache>
                <c:ptCount val="1"/>
                <c:pt idx="0">
                  <c:v>财政拨款收入、支出决算总计</c:v>
                </c:pt>
              </c:strCache>
            </c:strRef>
          </c:cat>
          <c:val>
            <c:numRef>
              <c:f>[部门决算公开说明文档编制中所涉图表的制作及增减变化比例等数据计算生成工具.xls]图4!$B$6</c:f>
              <c:numCache>
                <c:formatCode>#,##0.00</c:formatCode>
                <c:ptCount val="1"/>
                <c:pt idx="0">
                  <c:v>20.2</c:v>
                </c:pt>
              </c:numCache>
            </c:numRef>
          </c:val>
        </c:ser>
        <c:ser>
          <c:idx val="1"/>
          <c:order val="1"/>
          <c:tx>
            <c:strRef>
              <c:f>[部门决算公开说明文档编制中所涉图表的制作及增减变化比例等数据计算生成工具.xls]图4!$A$7</c:f>
              <c:strCache>
                <c:ptCount val="1"/>
                <c:pt idx="0">
                  <c:v>2024年</c:v>
                </c:pt>
              </c:strCache>
            </c:strRef>
          </c:tx>
          <c:spPr>
            <a:ln w="9525">
              <a:solidFill>
                <a:schemeClr val="accent1"/>
              </a:solidFill>
            </a:ln>
            <a:effectLst>
              <a:outerShdw blurRad="152400" dist="23000" dir="5340000" rotWithShape="0">
                <a:srgbClr val="000000">
                  <a:alpha val="35000"/>
                </a:srgbClr>
              </a:outerShdw>
            </a:effectLst>
          </c:spPr>
          <c:invertIfNegative val="0"/>
          <c:dLbls>
            <c:dLbl>
              <c:idx val="0"/>
              <c:layout>
                <c:manualLayout>
                  <c:x val="0.0286123032904149"/>
                  <c:y val="0.0087719298245614"/>
                </c:manualLayout>
              </c:layout>
              <c:numFmt formatCode="General" sourceLinked="1"/>
              <c:spPr>
                <a:noFill/>
                <a:ln>
                  <a:noFill/>
                </a:ln>
                <a:effectLst/>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[部门决算公开说明文档编制中所涉图表的制作及增减变化比例等数据计算生成工具.xls]图4!$B$5</c:f>
              <c:strCache>
                <c:ptCount val="1"/>
                <c:pt idx="0">
                  <c:v>财政拨款收入、支出决算总计</c:v>
                </c:pt>
              </c:strCache>
            </c:strRef>
          </c:cat>
          <c:val>
            <c:numRef>
              <c:f>[部门决算公开说明文档编制中所涉图表的制作及增减变化比例等数据计算生成工具.xls]图4!$B$7</c:f>
              <c:numCache>
                <c:formatCode>#,##0.00</c:formatCode>
                <c:ptCount val="1"/>
                <c:pt idx="0">
                  <c:v>49.22</c:v>
                </c:pt>
              </c:numCache>
            </c:numRef>
          </c:val>
        </c:ser>
        <c:ser>
          <c:idx val="2"/>
          <c:order val="2"/>
          <c:tx>
            <c:strRef>
              <c:f>[部门决算公开说明文档编制中所涉图表的制作及增减变化比例等数据计算生成工具.xls]图4!$A$8</c:f>
              <c:strCache>
                <c:ptCount val="1"/>
                <c:pt idx="0">
                  <c:v>增减数目</c:v>
                </c:pt>
              </c:strCache>
            </c:strRef>
          </c:tx>
          <c:invertIfNegative val="0"/>
          <c:dLbls>
            <c:dLbl>
              <c:idx val="0"/>
              <c:layout>
                <c:manualLayout>
                  <c:x val="0.0286123032904149"/>
                  <c:y val="-0.0087719298245614"/>
                </c:manualLayout>
              </c:layout>
              <c:numFmt formatCode="General" sourceLinked="1"/>
              <c:spPr>
                <a:noFill/>
                <a:ln>
                  <a:noFill/>
                </a:ln>
                <a:effectLst>
                  <a:softEdge rad="0"/>
                </a:effectLst>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a:softEdge rad="0"/>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[部门决算公开说明文档编制中所涉图表的制作及增减变化比例等数据计算生成工具.xls]图4!$B$5</c:f>
              <c:strCache>
                <c:ptCount val="1"/>
                <c:pt idx="0">
                  <c:v>财政拨款收入、支出决算总计</c:v>
                </c:pt>
              </c:strCache>
            </c:strRef>
          </c:cat>
          <c:val>
            <c:numRef>
              <c:f>[部门决算公开说明文档编制中所涉图表的制作及增减变化比例等数据计算生成工具.xls]图4!$B$8</c:f>
              <c:numCache>
                <c:formatCode>#,##0.00_ </c:formatCode>
                <c:ptCount val="1"/>
                <c:pt idx="0">
                  <c:v>29.02</c:v>
                </c:pt>
              </c:numCache>
            </c:numRef>
          </c:val>
        </c:ser>
        <c:ser>
          <c:idx val="3"/>
          <c:order val="3"/>
          <c:tx>
            <c:strRef>
              <c:f>[部门决算公开说明文档编制中所涉图表的制作及增减变化比例等数据计算生成工具.xls]图4!$A$9</c:f>
              <c:strCache>
                <c:ptCount val="1"/>
                <c:pt idx="0">
                  <c:v>增减幅度%</c:v>
                </c:pt>
              </c:strCache>
            </c:strRef>
          </c:tx>
          <c:spPr>
            <a:effectLst>
              <a:outerShdw blurRad="40000" dist="2527300" dir="1440000" sx="18000" sy="18000" rotWithShape="0">
                <a:srgbClr val="000000">
                  <a:alpha val="97000"/>
                </a:srgbClr>
              </a:outerShdw>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[部门决算公开说明文档编制中所涉图表的制作及增减变化比例等数据计算生成工具.xls]图4!$B$5</c:f>
              <c:strCache>
                <c:ptCount val="1"/>
                <c:pt idx="0">
                  <c:v>财政拨款收入、支出决算总计</c:v>
                </c:pt>
              </c:strCache>
            </c:strRef>
          </c:cat>
          <c:val>
            <c:numRef>
              <c:f>[部门决算公开说明文档编制中所涉图表的制作及增减变化比例等数据计算生成工具.xls]图4!$B$9</c:f>
              <c:numCache>
                <c:formatCode>0.00</c:formatCode>
                <c:ptCount val="1"/>
                <c:pt idx="0">
                  <c:v>143.663366336634</c:v>
                </c:pt>
              </c:numCache>
            </c:numRef>
          </c:val>
        </c:ser>
        <c:dLbls>
          <c:showLegendKey val="0"/>
          <c:showVal val="0"/>
          <c:showCatName val="0"/>
          <c:showSerName val="0"/>
          <c:showPercent val="0"/>
          <c:showBubbleSize val="0"/>
        </c:dLbls>
        <c:gapWidth val="0"/>
        <c:overlap val="0"/>
        <c:axId val="119321457"/>
        <c:axId val="330812703"/>
      </c:barChart>
      <c:catAx>
        <c:axId val="119321457"/>
        <c:scaling>
          <c:orientation val="minMax"/>
        </c:scaling>
        <c:delete val="1"/>
        <c:axPos val="b"/>
        <c:title>
          <c:tx>
            <c:rich>
              <a:bodyPr rot="0" spcFirstLastPara="0" vertOverflow="ellipsis" vert="horz" wrap="square" anchor="ctr" anchorCtr="1"/>
              <a:lstStyle/>
              <a:p>
                <a:pPr>
                  <a:defRPr lang="zh-CN" sz="10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t>单位：万元</a:t>
                </a:r>
                <a:endParaRPr lang="zh-CN" altLang="en-US" sz="10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0123492503351244"/>
              <c:y val="0.0795700372979693"/>
            </c:manualLayout>
          </c:layout>
          <c:overlay val="0"/>
        </c:title>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330812703"/>
        <c:crosses val="autoZero"/>
        <c:auto val="1"/>
        <c:lblAlgn val="ctr"/>
        <c:lblOffset val="100"/>
        <c:noMultiLvlLbl val="0"/>
      </c:catAx>
      <c:valAx>
        <c:axId val="330812703"/>
        <c:scaling>
          <c:orientation val="minMax"/>
        </c:scaling>
        <c:delete val="0"/>
        <c:axPos val="l"/>
        <c:numFmt formatCode="#,##0.00" sourceLinked="1"/>
        <c:majorTickMark val="out"/>
        <c:minorTickMark val="none"/>
        <c:tickLblPos val="nextTo"/>
        <c:spPr>
          <a:ln w="9525" cap="flat" cmpd="sng" algn="ctr">
            <a:solidFill>
              <a:schemeClr val="accent1">
                <a:alpha val="78000"/>
              </a:schemeClr>
            </a:solid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321457"/>
        <c:crosses val="autoZero"/>
        <c:crossBetween val="between"/>
      </c:valAx>
      <c:spPr>
        <a:solidFill>
          <a:schemeClr val="bg1"/>
        </a:solidFill>
        <a:ln>
          <a:noFill/>
        </a:ln>
        <a:effectLst/>
      </c:spPr>
    </c:plotArea>
    <c:legend>
      <c:legendPos val="b"/>
      <c:layout/>
      <c:overlay val="0"/>
      <c:spPr>
        <a:effectLst>
          <a:softEdge rad="0"/>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1"/>
  <mc:AlternateContent xmlns:mc="http://schemas.openxmlformats.org/markup-compatibility/2006">
    <mc:Choice xmlns:c14="http://schemas.microsoft.com/office/drawing/2007/8/2/chart" Requires="c14">
      <c14:style val="118"/>
    </mc:Choice>
    <mc:Fallback>
      <c:style val="18"/>
    </mc:Fallback>
  </mc:AlternateContent>
  <c:chart>
    <c:title>
      <c:tx>
        <c:rich>
          <a:bodyPr rot="0" spcFirstLastPara="0" vertOverflow="ellipsis" vert="horz" wrap="square" anchor="ctr" anchorCtr="1"/>
          <a:lstStyle/>
          <a:p>
            <a:pPr>
              <a:defRPr lang="zh-CN" sz="16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sz="1600"/>
              <a:t>一般公共预算财政拨款支出</a:t>
            </a:r>
            <a:endParaRPr lang="zh-CN" altLang="en-US" sz="16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0"/>
    </c:title>
    <c:autoTitleDeleted val="0"/>
    <c:plotArea>
      <c:layout>
        <c:manualLayout>
          <c:layoutTarget val="inner"/>
          <c:xMode val="edge"/>
          <c:yMode val="edge"/>
          <c:x val="0.286578300719244"/>
          <c:y val="0.217241047116301"/>
          <c:w val="0.564645729078854"/>
          <c:h val="0.572763179883413"/>
        </c:manualLayout>
      </c:layout>
      <c:barChart>
        <c:barDir val="col"/>
        <c:grouping val="clustered"/>
        <c:varyColors val="0"/>
        <c:ser>
          <c:idx val="0"/>
          <c:order val="0"/>
          <c:tx>
            <c:strRef>
              <c:f>[部门决算公开说明文档编制中所涉图表的制作及增减变化比例等数据计算生成工具.xls]图5!$A$7</c:f>
              <c:strCache>
                <c:ptCount val="1"/>
                <c:pt idx="0">
                  <c:v>2023年</c:v>
                </c:pt>
              </c:strCache>
            </c:strRef>
          </c:tx>
          <c:invertIfNegative val="0"/>
          <c:dLbls>
            <c:delete val="1"/>
          </c:dLbls>
          <c:cat>
            <c:numRef>
              <c:f>[部门决算公开说明文档编制中所涉图表的制作及增减变化比例等数据计算生成工具.xls]图5!$B$6</c:f>
              <c:numCache>
                <c:formatCode>General</c:formatCode>
                <c:ptCount val="1"/>
              </c:numCache>
            </c:numRef>
          </c:cat>
          <c:val>
            <c:numRef>
              <c:f>[部门决算公开说明文档编制中所涉图表的制作及增减变化比例等数据计算生成工具.xls]图5!$B$7</c:f>
              <c:numCache>
                <c:formatCode>#,##0.00</c:formatCode>
                <c:ptCount val="1"/>
                <c:pt idx="0">
                  <c:v>20.2</c:v>
                </c:pt>
              </c:numCache>
            </c:numRef>
          </c:val>
        </c:ser>
        <c:ser>
          <c:idx val="1"/>
          <c:order val="1"/>
          <c:tx>
            <c:strRef>
              <c:f>[部门决算公开说明文档编制中所涉图表的制作及增减变化比例等数据计算生成工具.xls]图5!$A$8</c:f>
              <c:strCache>
                <c:ptCount val="1"/>
                <c:pt idx="0">
                  <c:v>2024年</c:v>
                </c:pt>
              </c:strCache>
            </c:strRef>
          </c:tx>
          <c:invertIfNegative val="0"/>
          <c:dLbls>
            <c:delete val="1"/>
          </c:dLbls>
          <c:cat>
            <c:numRef>
              <c:f>[部门决算公开说明文档编制中所涉图表的制作及增减变化比例等数据计算生成工具.xls]图5!$B$6</c:f>
              <c:numCache>
                <c:formatCode>General</c:formatCode>
                <c:ptCount val="1"/>
              </c:numCache>
            </c:numRef>
          </c:cat>
          <c:val>
            <c:numRef>
              <c:f>[部门决算公开说明文档编制中所涉图表的制作及增减变化比例等数据计算生成工具.xls]图5!$B$8</c:f>
              <c:numCache>
                <c:formatCode>#,##0.00</c:formatCode>
                <c:ptCount val="1"/>
                <c:pt idx="0">
                  <c:v>49.22</c:v>
                </c:pt>
              </c:numCache>
            </c:numRef>
          </c:val>
        </c:ser>
        <c:ser>
          <c:idx val="2"/>
          <c:order val="2"/>
          <c:tx>
            <c:strRef>
              <c:f>[部门决算公开说明文档编制中所涉图表的制作及增减变化比例等数据计算生成工具.xls]图5!$A$9</c:f>
              <c:strCache>
                <c:ptCount val="1"/>
                <c:pt idx="0">
                  <c:v>增减数目</c:v>
                </c:pt>
              </c:strCache>
            </c:strRef>
          </c:tx>
          <c:invertIfNegative val="0"/>
          <c:dLbls>
            <c:delete val="1"/>
          </c:dLbls>
          <c:cat>
            <c:numRef>
              <c:f>[部门决算公开说明文档编制中所涉图表的制作及增减变化比例等数据计算生成工具.xls]图5!$B$6</c:f>
              <c:numCache>
                <c:formatCode>General</c:formatCode>
                <c:ptCount val="1"/>
              </c:numCache>
            </c:numRef>
          </c:cat>
          <c:val>
            <c:numRef>
              <c:f>[部门决算公开说明文档编制中所涉图表的制作及增减变化比例等数据计算生成工具.xls]图5!$B$9</c:f>
              <c:numCache>
                <c:formatCode>#,##0.00_ </c:formatCode>
                <c:ptCount val="1"/>
                <c:pt idx="0">
                  <c:v>29.02</c:v>
                </c:pt>
              </c:numCache>
            </c:numRef>
          </c:val>
        </c:ser>
        <c:ser>
          <c:idx val="3"/>
          <c:order val="3"/>
          <c:tx>
            <c:strRef>
              <c:f>[部门决算公开说明文档编制中所涉图表的制作及增减变化比例等数据计算生成工具.xls]图5!$A$10</c:f>
              <c:strCache>
                <c:ptCount val="1"/>
                <c:pt idx="0">
                  <c:v>增减幅度%</c:v>
                </c:pt>
              </c:strCache>
            </c:strRef>
          </c:tx>
          <c:invertIfNegative val="0"/>
          <c:dLbls>
            <c:delete val="1"/>
          </c:dLbls>
          <c:cat>
            <c:numRef>
              <c:f>[部门决算公开说明文档编制中所涉图表的制作及增减变化比例等数据计算生成工具.xls]图5!$B$6</c:f>
              <c:numCache>
                <c:formatCode>General</c:formatCode>
                <c:ptCount val="1"/>
              </c:numCache>
            </c:numRef>
          </c:cat>
          <c:val>
            <c:numRef>
              <c:f>[部门决算公开说明文档编制中所涉图表的制作及增减变化比例等数据计算生成工具.xls]图5!$B$10</c:f>
              <c:numCache>
                <c:formatCode>0.00</c:formatCode>
                <c:ptCount val="1"/>
                <c:pt idx="0">
                  <c:v>143.663366336634</c:v>
                </c:pt>
              </c:numCache>
            </c:numRef>
          </c:val>
        </c:ser>
        <c:dLbls>
          <c:showLegendKey val="0"/>
          <c:showVal val="0"/>
          <c:showCatName val="0"/>
          <c:showSerName val="0"/>
          <c:showPercent val="0"/>
          <c:showBubbleSize val="0"/>
        </c:dLbls>
        <c:gapWidth val="150"/>
        <c:overlap val="0"/>
        <c:axId val="759026243"/>
        <c:axId val="303822833"/>
      </c:barChart>
      <c:catAx>
        <c:axId val="759026243"/>
        <c:scaling>
          <c:orientation val="minMax"/>
        </c:scaling>
        <c:delete val="1"/>
        <c:axPos val="b"/>
        <c:title>
          <c:tx>
            <c:rich>
              <a:bodyPr rot="0" spcFirstLastPara="0" vertOverflow="ellipsis" vert="horz" wrap="square" anchor="ctr" anchorCtr="1"/>
              <a:lstStyle/>
              <a:p>
                <a:pPr>
                  <a:defRPr lang="zh-CN" sz="10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t>单位：万元</a:t>
                </a:r>
                <a:endParaRPr lang="zh-CN" altLang="en-US" sz="10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0172921486196392"/>
              <c:y val="0.0523747315676446"/>
            </c:manualLayout>
          </c:layout>
          <c:overlay val="0"/>
        </c:title>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303822833"/>
        <c:crosses val="autoZero"/>
        <c:auto val="1"/>
        <c:lblAlgn val="ctr"/>
        <c:lblOffset val="100"/>
        <c:noMultiLvlLbl val="0"/>
      </c:catAx>
      <c:valAx>
        <c:axId val="303822833"/>
        <c:scaling>
          <c:orientation val="minMax"/>
        </c:scaling>
        <c:delete val="0"/>
        <c:axPos val="l"/>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759026243"/>
        <c:crosses val="autoZero"/>
        <c:crossBetween val="between"/>
      </c:valAx>
      <c:dTable>
        <c:showHorzBorder val="1"/>
        <c:showVertBorder val="1"/>
        <c:showOutline val="1"/>
        <c:showKeys val="1"/>
        <c:spPr>
          <a:ln w="9525" cap="flat" cmpd="sng" algn="ctr">
            <a:noFill/>
            <a:prstDash val="solid"/>
            <a:round/>
          </a:ln>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dTable>
      <c:spPr>
        <a:solidFill>
          <a:schemeClr val="bg1"/>
        </a:solidFill>
        <a:ln>
          <a:noFill/>
        </a:ln>
        <a:effectLst/>
      </c:spPr>
    </c:plotArea>
    <c:plotVisOnly val="1"/>
    <c:dispBlanksAs val="gap"/>
    <c:showDLblsOverMax val="0"/>
  </c:chart>
  <c:spPr>
    <a:solidFill>
      <a:schemeClr val="bg1">
        <a:alpha val="99000"/>
      </a:schemeClr>
    </a:solidFill>
    <a:ln w="9525" cap="flat" cmpd="sng" algn="ctr">
      <a:solidFill>
        <a:schemeClr val="tx1">
          <a:alpha val="98000"/>
        </a:schemeClr>
      </a:solidFill>
      <a:prstDash val="solid"/>
      <a:round/>
    </a:ln>
    <a:effectLst>
      <a:softEdge rad="38100"/>
    </a:effectLst>
    <a:scene3d>
      <a:camera prst="orthographicFront"/>
      <a:lightRig rig="threePt" dir="t"/>
    </a:scene3d>
    <a:sp3d>
      <a:bevelT w="25400" h="38100" prst="relaxedInset"/>
      <a:bevelB w="114300" prst="hardEdge"/>
    </a:sp3d>
  </c:spPr>
  <c:txPr>
    <a:bodyPr wrap="square"/>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t>一般公共预算财政拨款支出结构</a:t>
            </a:r>
            <a:endParaRPr lang="zh-CN" altLang="en-US" sz="18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219654801214364"/>
          <c:y val="0.0147058446962422"/>
        </c:manualLayout>
      </c:layout>
      <c:overlay val="0"/>
    </c:title>
    <c:autoTitleDeleted val="0"/>
    <c:plotArea>
      <c:layout/>
      <c:pieChart>
        <c:varyColors val="1"/>
        <c:ser>
          <c:idx val="0"/>
          <c:order val="0"/>
          <c:explosion val="0"/>
          <c:dPt>
            <c:idx val="0"/>
            <c:bubble3D val="0"/>
            <c:explosion val="0"/>
          </c:dPt>
          <c:dPt>
            <c:idx val="1"/>
            <c:bubble3D val="0"/>
            <c:explosion val="0"/>
          </c:dPt>
          <c:dPt>
            <c:idx val="2"/>
            <c:bubble3D val="0"/>
            <c:explosion val="0"/>
          </c:dPt>
          <c:dPt>
            <c:idx val="3"/>
            <c:bubble3D val="0"/>
            <c:explosion val="0"/>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[部门决算公开说明文档编制中所涉图表的制作及增减变化比例等数据计算生成工具.xls]图6!$A$7:$A$10</c:f>
              <c:strCache>
                <c:ptCount val="4"/>
                <c:pt idx="0">
                  <c:v>一、一般公共服务支出</c:v>
                </c:pt>
                <c:pt idx="1">
                  <c:v>二、社会保障和就业支出</c:v>
                </c:pt>
                <c:pt idx="2">
                  <c:v>三、卫生健康支出</c:v>
                </c:pt>
                <c:pt idx="3">
                  <c:v>四、住房保障支出</c:v>
                </c:pt>
              </c:strCache>
            </c:strRef>
          </c:cat>
          <c:val>
            <c:numRef>
              <c:f>[部门决算公开说明文档编制中所涉图表的制作及增减变化比例等数据计算生成工具.xls]图6!$B$7:$B$10</c:f>
              <c:numCache>
                <c:formatCode>#,##0.00</c:formatCode>
                <c:ptCount val="4"/>
                <c:pt idx="0">
                  <c:v>39.7</c:v>
                </c:pt>
                <c:pt idx="1">
                  <c:v>5.43</c:v>
                </c:pt>
                <c:pt idx="2">
                  <c:v>1.13</c:v>
                </c:pt>
                <c:pt idx="3">
                  <c:v>2.96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58275296233132"/>
          <c:y val="0.0844456638042196"/>
          <c:w val="0.3365"/>
          <c:h val="0.9045"/>
        </c:manualLayout>
      </c:layout>
      <c:overlay val="0"/>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p>
      </c:txPr>
    </c:legend>
    <c:plotVisOnly val="1"/>
    <c:dispBlanksAs val="zero"/>
    <c:showDLblsOverMax val="0"/>
  </c:chart>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t>三公经费财政拨款支出结构</a:t>
            </a:r>
            <a:endParaRPr lang="zh-CN" sz="18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215946362345242"/>
          <c:y val="0.0558882062819071"/>
        </c:manualLayout>
      </c:layout>
      <c:overlay val="0"/>
      <c:spPr>
        <a:solidFill>
          <a:schemeClr val="bg1"/>
        </a:solidFill>
      </c:spPr>
    </c:title>
    <c:autoTitleDeleted val="0"/>
    <c:view3D>
      <c:rotX val="40"/>
      <c:rotY val="20"/>
      <c:depthPercent val="100"/>
      <c:rAngAx val="0"/>
      <c:perspective val="0"/>
    </c:view3D>
    <c:floor>
      <c:thickness val="0"/>
    </c:floor>
    <c:sideWall>
      <c:thickness val="0"/>
    </c:sideWall>
    <c:backWall>
      <c:thickness val="0"/>
    </c:backWall>
    <c:plotArea>
      <c:layout>
        <c:manualLayout>
          <c:layoutTarget val="inner"/>
          <c:xMode val="edge"/>
          <c:yMode val="edge"/>
          <c:x val="0.159376903890838"/>
          <c:y val="0.238150904213896"/>
          <c:w val="0.696542559331135"/>
          <c:h val="0.521804101410401"/>
        </c:manualLayout>
      </c:layout>
      <c:pie3DChart>
        <c:varyColors val="1"/>
        <c:ser>
          <c:idx val="0"/>
          <c:order val="0"/>
          <c:explosion val="0"/>
          <c:dPt>
            <c:idx val="0"/>
            <c:bubble3D val="0"/>
            <c:explosion val="0"/>
          </c:dPt>
          <c:dPt>
            <c:idx val="1"/>
            <c:bubble3D val="0"/>
            <c:explosion val="0"/>
          </c:dPt>
          <c:dPt>
            <c:idx val="2"/>
            <c:bubble3D val="0"/>
            <c:explosion val="0"/>
          </c:dPt>
          <c:dLbls>
            <c:dLbl>
              <c:idx val="1"/>
              <c:layout>
                <c:manualLayout>
                  <c:x val="-0.18158573928259"/>
                  <c:y val="-0.170164041994751"/>
                </c:manualLayout>
              </c:layout>
              <c:numFmt formatCode="General" sourceLinked="1"/>
              <c:spPr>
                <a:noFill/>
                <a:ln>
                  <a:noFill/>
                </a:ln>
                <a:effectLst>
                  <a:glow rad="571500">
                    <a:schemeClr val="accent1">
                      <a:alpha val="2000"/>
                    </a:schemeClr>
                  </a:glow>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dLbl>
              <c:idx val="2"/>
              <c:layout>
                <c:manualLayout>
                  <c:x val="0.151272722854088"/>
                  <c:y val="0.0537510936132983"/>
                </c:manualLayout>
              </c:layout>
              <c:numFmt formatCode="General" sourceLinked="1"/>
              <c:spPr>
                <a:noFill/>
                <a:ln>
                  <a:noFill/>
                </a:ln>
                <a:effectLst>
                  <a:glow rad="571500">
                    <a:schemeClr val="accent1">
                      <a:alpha val="2000"/>
                    </a:schemeClr>
                  </a:glow>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numFmt formatCode="General" sourceLinked="1"/>
            <c:spPr>
              <a:noFill/>
              <a:ln w="25400">
                <a:noFill/>
              </a:ln>
              <a:effectLst>
                <a:glow rad="571500">
                  <a:schemeClr val="accent1">
                    <a:alpha val="2000"/>
                  </a:schemeClr>
                </a:glow>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[部门决算公开说明文档编制中所涉图表的制作及增减变化比例等数据计算生成工具.xls]图7!$C$17:$E$17</c:f>
              <c:strCache>
                <c:ptCount val="3"/>
                <c:pt idx="0">
                  <c:v>因公出国（境）费用</c:v>
                </c:pt>
                <c:pt idx="1">
                  <c:v>公务用车购置及运行费</c:v>
                </c:pt>
                <c:pt idx="2">
                  <c:v>公务接待费</c:v>
                </c:pt>
              </c:strCache>
            </c:strRef>
          </c:cat>
          <c:val>
            <c:numRef>
              <c:f>[部门决算公开说明文档编制中所涉图表的制作及增减变化比例等数据计算生成工具.xls]图7!$C$18:$E$18</c:f>
              <c:numCache>
                <c:formatCode>General</c:formatCode>
                <c:ptCount val="3"/>
                <c:pt idx="0">
                  <c:v>0</c:v>
                </c:pt>
                <c:pt idx="1" c:formatCode="#,##0.00">
                  <c:v>0</c:v>
                </c:pt>
                <c:pt idx="2">
                  <c:v>1.05</c:v>
                </c:pt>
              </c:numCache>
            </c:numRef>
          </c:val>
        </c:ser>
        <c:dLbls>
          <c:showLegendKey val="0"/>
          <c:showVal val="0"/>
          <c:showCatName val="0"/>
          <c:showSerName val="0"/>
          <c:showPercent val="0"/>
          <c:showBubbleSize val="0"/>
        </c:dLbls>
      </c:pie3DChart>
      <c:spPr>
        <a:noFill/>
        <a:ln>
          <a:noFill/>
        </a:ln>
        <a:effectLst/>
      </c:spPr>
    </c:plotArea>
    <c:legend>
      <c:legendPos val="b"/>
      <c:layout>
        <c:manualLayout>
          <c:xMode val="edge"/>
          <c:yMode val="edge"/>
          <c:x val="0.100326101684708"/>
          <c:y val="0.816546104813821"/>
          <c:w val="0.835039119154083"/>
          <c:h val="0.0662377779700615"/>
        </c:manualLayout>
      </c:layout>
      <c:overlay val="0"/>
      <c:spPr>
        <a:ln>
          <a:solidFill>
            <a:schemeClr val="tx1"/>
          </a:solidFill>
        </a:ln>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spPr>
    <a:noFill/>
    <a:ln w="0" cap="flat" cmpd="thickThin" algn="ctr">
      <a:solidFill>
        <a:schemeClr val="tx1"/>
      </a:solidFill>
      <a:prstDash val="solid"/>
      <a:bevel/>
    </a:ln>
    <a:effectLst>
      <a:innerShdw blurRad="165100" dist="2133600" dir="5400000">
        <a:prstClr val="black">
          <a:alpha val="50000"/>
        </a:prstClr>
      </a:innerShdw>
    </a:effectLst>
    <a:scene3d>
      <a:camera prst="orthographicFront"/>
      <a:lightRig rig="threePt" dir="t"/>
    </a:scene3d>
  </c:spPr>
  <c:txPr>
    <a:bodyPr wrap="square"/>
    <a:lstStyle/>
    <a:p>
      <a:pPr>
        <a:defRPr lang="zh-CN"/>
      </a:pPr>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4008371-b682-4a97-ab66-087cba346b08}"/>
        <w:style w:val=""/>
        <w:category>
          <w:name w:val="常规"/>
          <w:gallery w:val="placeholder"/>
        </w:category>
        <w:types>
          <w:type w:val="bbPlcHdr"/>
        </w:types>
        <w:behaviors>
          <w:behavior w:val="content"/>
        </w:behaviors>
        <w:description w:val=""/>
        <w:guid w:val="{94008371-b682-4a97-ab66-087cba346b08}"/>
      </w:docPartPr>
      <w:docPartBody>
        <w:p>
          <w:r>
            <w:rPr>
              <w:color w:val="808080"/>
            </w:rPr>
            <w:t>单击此处输入文字。</w:t>
          </w:r>
        </w:p>
      </w:docPartBody>
    </w:docPart>
    <w:docPart>
      <w:docPartPr>
        <w:name w:val="{b6992f78-a381-4f24-82cf-36a8fe14b416}"/>
        <w:style w:val=""/>
        <w:category>
          <w:name w:val="常规"/>
          <w:gallery w:val="placeholder"/>
        </w:category>
        <w:types>
          <w:type w:val="bbPlcHdr"/>
        </w:types>
        <w:behaviors>
          <w:behavior w:val="content"/>
        </w:behaviors>
        <w:description w:val=""/>
        <w:guid w:val="{b6992f78-a381-4f24-82cf-36a8fe14b416}"/>
      </w:docPartPr>
      <w:docPartBody>
        <w:p>
          <w:r>
            <w:rPr>
              <w:color w:val="808080"/>
            </w:rPr>
            <w:t>单击此处输入文字。</w:t>
          </w:r>
        </w:p>
      </w:docPartBody>
    </w:docPart>
    <w:docPart>
      <w:docPartPr>
        <w:name w:val="{1689b8ba-7ebf-4db5-9197-9e5a633e21a9}"/>
        <w:style w:val=""/>
        <w:category>
          <w:name w:val="常规"/>
          <w:gallery w:val="placeholder"/>
        </w:category>
        <w:types>
          <w:type w:val="bbPlcHdr"/>
        </w:types>
        <w:behaviors>
          <w:behavior w:val="content"/>
        </w:behaviors>
        <w:description w:val=""/>
        <w:guid w:val="{1689b8ba-7ebf-4db5-9197-9e5a633e21a9}"/>
      </w:docPartPr>
      <w:docPartBody>
        <w:p>
          <w:r>
            <w:rPr>
              <w:color w:val="808080"/>
            </w:rPr>
            <w:t>单击此处输入文字。</w:t>
          </w:r>
        </w:p>
      </w:docPartBody>
    </w:docPart>
    <w:docPart>
      <w:docPartPr>
        <w:name w:val="{7b1d8603-5354-4d51-ba02-ab6de4016de3}"/>
        <w:style w:val=""/>
        <w:category>
          <w:name w:val="常规"/>
          <w:gallery w:val="placeholder"/>
        </w:category>
        <w:types>
          <w:type w:val="bbPlcHdr"/>
        </w:types>
        <w:behaviors>
          <w:behavior w:val="content"/>
        </w:behaviors>
        <w:description w:val=""/>
        <w:guid w:val="{7b1d8603-5354-4d51-ba02-ab6de4016de3}"/>
      </w:docPartPr>
      <w:docPartBody>
        <w:p>
          <w:r>
            <w:rPr>
              <w:color w:val="808080"/>
            </w:rPr>
            <w:t>单击此处输入文字。</w:t>
          </w:r>
        </w:p>
      </w:docPartBody>
    </w:docPart>
    <w:docPart>
      <w:docPartPr>
        <w:name w:val="{e1c669e8-3e9b-45b3-a108-0f3dc6df3591}"/>
        <w:style w:val=""/>
        <w:category>
          <w:name w:val="常规"/>
          <w:gallery w:val="placeholder"/>
        </w:category>
        <w:types>
          <w:type w:val="bbPlcHdr"/>
        </w:types>
        <w:behaviors>
          <w:behavior w:val="content"/>
        </w:behaviors>
        <w:description w:val=""/>
        <w:guid w:val="{e1c669e8-3e9b-45b3-a108-0f3dc6df3591}"/>
      </w:docPartPr>
      <w:docPartBody>
        <w:p>
          <w:r>
            <w:rPr>
              <w:color w:val="808080"/>
            </w:rPr>
            <w:t>单击此处输入文字。</w:t>
          </w:r>
        </w:p>
      </w:docPartBody>
    </w:docPart>
    <w:docPart>
      <w:docPartPr>
        <w:name w:val="{0e528994-af01-4882-91b8-2913ac3afdca}"/>
        <w:style w:val=""/>
        <w:category>
          <w:name w:val="常规"/>
          <w:gallery w:val="placeholder"/>
        </w:category>
        <w:types>
          <w:type w:val="bbPlcHdr"/>
        </w:types>
        <w:behaviors>
          <w:behavior w:val="content"/>
        </w:behaviors>
        <w:description w:val=""/>
        <w:guid w:val="{0e528994-af01-4882-91b8-2913ac3afdca}"/>
      </w:docPartPr>
      <w:docPartBody>
        <w:p>
          <w:r>
            <w:rPr>
              <w:color w:val="808080"/>
            </w:rPr>
            <w:t>单击此处输入文字。</w:t>
          </w:r>
        </w:p>
      </w:docPartBody>
    </w:docPart>
    <w:docPart>
      <w:docPartPr>
        <w:name w:val="{74fc1dc1-bdc1-4442-8418-9c15dcab5702}"/>
        <w:style w:val=""/>
        <w:category>
          <w:name w:val="常规"/>
          <w:gallery w:val="placeholder"/>
        </w:category>
        <w:types>
          <w:type w:val="bbPlcHdr"/>
        </w:types>
        <w:behaviors>
          <w:behavior w:val="content"/>
        </w:behaviors>
        <w:description w:val=""/>
        <w:guid w:val="{74fc1dc1-bdc1-4442-8418-9c15dcab5702}"/>
      </w:docPartPr>
      <w:docPartBody>
        <w:p>
          <w:r>
            <w:rPr>
              <w:color w:val="808080"/>
            </w:rPr>
            <w:t>单击此处输入文字。</w:t>
          </w:r>
        </w:p>
      </w:docPartBody>
    </w:docPart>
    <w:docPart>
      <w:docPartPr>
        <w:name w:val="{886c97e1-724d-4e43-bc4a-9a00de08ce74}"/>
        <w:style w:val=""/>
        <w:category>
          <w:name w:val="常规"/>
          <w:gallery w:val="placeholder"/>
        </w:category>
        <w:types>
          <w:type w:val="bbPlcHdr"/>
        </w:types>
        <w:behaviors>
          <w:behavior w:val="content"/>
        </w:behaviors>
        <w:description w:val=""/>
        <w:guid w:val="{886c97e1-724d-4e43-bc4a-9a00de08ce74}"/>
      </w:docPartPr>
      <w:docPartBody>
        <w:p>
          <w:r>
            <w:rPr>
              <w:color w:val="808080"/>
            </w:rPr>
            <w:t>单击此处输入文字。</w:t>
          </w:r>
        </w:p>
      </w:docPartBody>
    </w:docPart>
    <w:docPart>
      <w:docPartPr>
        <w:name w:val="{df82d8df-e409-4f4e-8d35-c98f63cc5b0f}"/>
        <w:style w:val=""/>
        <w:category>
          <w:name w:val="常规"/>
          <w:gallery w:val="placeholder"/>
        </w:category>
        <w:types>
          <w:type w:val="bbPlcHdr"/>
        </w:types>
        <w:behaviors>
          <w:behavior w:val="content"/>
        </w:behaviors>
        <w:description w:val=""/>
        <w:guid w:val="{df82d8df-e409-4f4e-8d35-c98f63cc5b0f}"/>
      </w:docPartPr>
      <w:docPartBody>
        <w:p>
          <w:r>
            <w:rPr>
              <w:color w:val="808080"/>
            </w:rPr>
            <w:t>单击此处输入文字。</w:t>
          </w:r>
        </w:p>
      </w:docPartBody>
    </w:docPart>
    <w:docPart>
      <w:docPartPr>
        <w:name w:val="{3c5b5b62-6087-42ed-8ca9-4a9f3b4dea5e}"/>
        <w:style w:val=""/>
        <w:category>
          <w:name w:val="常规"/>
          <w:gallery w:val="placeholder"/>
        </w:category>
        <w:types>
          <w:type w:val="bbPlcHdr"/>
        </w:types>
        <w:behaviors>
          <w:behavior w:val="content"/>
        </w:behaviors>
        <w:description w:val=""/>
        <w:guid w:val="{3c5b5b62-6087-42ed-8ca9-4a9f3b4dea5e}"/>
      </w:docPartPr>
      <w:docPartBody>
        <w:p>
          <w:r>
            <w:rPr>
              <w:color w:val="808080"/>
            </w:rPr>
            <w:t>单击此处输入文字。</w:t>
          </w:r>
        </w:p>
      </w:docPartBody>
    </w:docPart>
    <w:docPart>
      <w:docPartPr>
        <w:name w:val="{39aa9dbe-888c-44d1-a770-1a41d930aab1}"/>
        <w:style w:val=""/>
        <w:category>
          <w:name w:val="常规"/>
          <w:gallery w:val="placeholder"/>
        </w:category>
        <w:types>
          <w:type w:val="bbPlcHdr"/>
        </w:types>
        <w:behaviors>
          <w:behavior w:val="content"/>
        </w:behaviors>
        <w:description w:val=""/>
        <w:guid w:val="{39aa9dbe-888c-44d1-a770-1a41d930aab1}"/>
      </w:docPartPr>
      <w:docPartBody>
        <w:p>
          <w:r>
            <w:rPr>
              <w:color w:val="808080"/>
            </w:rPr>
            <w:t>单击此处输入文字。</w:t>
          </w:r>
        </w:p>
      </w:docPartBody>
    </w:docPart>
    <w:docPart>
      <w:docPartPr>
        <w:name w:val="{c05d46c0-f3d9-46be-95da-1e89e0e9da14}"/>
        <w:style w:val=""/>
        <w:category>
          <w:name w:val="常规"/>
          <w:gallery w:val="placeholder"/>
        </w:category>
        <w:types>
          <w:type w:val="bbPlcHdr"/>
        </w:types>
        <w:behaviors>
          <w:behavior w:val="content"/>
        </w:behaviors>
        <w:description w:val=""/>
        <w:guid w:val="{c05d46c0-f3d9-46be-95da-1e89e0e9da14}"/>
      </w:docPartPr>
      <w:docPartBody>
        <w:p>
          <w:r>
            <w:rPr>
              <w:color w:val="808080"/>
            </w:rPr>
            <w:t>单击此处输入文字。</w:t>
          </w:r>
        </w:p>
      </w:docPartBody>
    </w:docPart>
    <w:docPart>
      <w:docPartPr>
        <w:name w:val="{a7a5cd53-59f9-4cdf-b6d0-993c09032da0}"/>
        <w:style w:val=""/>
        <w:category>
          <w:name w:val="常规"/>
          <w:gallery w:val="placeholder"/>
        </w:category>
        <w:types>
          <w:type w:val="bbPlcHdr"/>
        </w:types>
        <w:behaviors>
          <w:behavior w:val="content"/>
        </w:behaviors>
        <w:description w:val=""/>
        <w:guid w:val="{a7a5cd53-59f9-4cdf-b6d0-993c09032da0}"/>
      </w:docPartPr>
      <w:docPartBody>
        <w:p>
          <w:r>
            <w:rPr>
              <w:color w:val="808080"/>
            </w:rPr>
            <w:t>单击此处输入文字。</w:t>
          </w:r>
        </w:p>
      </w:docPartBody>
    </w:docPart>
    <w:docPart>
      <w:docPartPr>
        <w:name w:val="{39f7b5e8-d29e-4487-807d-6c5a221068bd}"/>
        <w:style w:val=""/>
        <w:category>
          <w:name w:val="常规"/>
          <w:gallery w:val="placeholder"/>
        </w:category>
        <w:types>
          <w:type w:val="bbPlcHdr"/>
        </w:types>
        <w:behaviors>
          <w:behavior w:val="content"/>
        </w:behaviors>
        <w:description w:val=""/>
        <w:guid w:val="{39f7b5e8-d29e-4487-807d-6c5a221068bd}"/>
      </w:docPartPr>
      <w:docPartBody>
        <w:p>
          <w:r>
            <w:rPr>
              <w:color w:val="808080"/>
            </w:rPr>
            <w:t>单击此处输入文字。</w:t>
          </w:r>
        </w:p>
      </w:docPartBody>
    </w:docPart>
    <w:docPart>
      <w:docPartPr>
        <w:name w:val="{f01e01c4-da6b-4b84-8811-f8ef83ababe1}"/>
        <w:style w:val=""/>
        <w:category>
          <w:name w:val="常规"/>
          <w:gallery w:val="placeholder"/>
        </w:category>
        <w:types>
          <w:type w:val="bbPlcHdr"/>
        </w:types>
        <w:behaviors>
          <w:behavior w:val="content"/>
        </w:behaviors>
        <w:description w:val=""/>
        <w:guid w:val="{f01e01c4-da6b-4b84-8811-f8ef83ababe1}"/>
      </w:docPartPr>
      <w:docPartBody>
        <w:p>
          <w:r>
            <w:rPr>
              <w:color w:val="808080"/>
            </w:rPr>
            <w:t>单击此处输入文字。</w:t>
          </w:r>
        </w:p>
      </w:docPartBody>
    </w:docPart>
    <w:docPart>
      <w:docPartPr>
        <w:name w:val="{bc85c69c-ea74-408c-ad60-45d2c67f4572}"/>
        <w:style w:val=""/>
        <w:category>
          <w:name w:val="常规"/>
          <w:gallery w:val="placeholder"/>
        </w:category>
        <w:types>
          <w:type w:val="bbPlcHdr"/>
        </w:types>
        <w:behaviors>
          <w:behavior w:val="content"/>
        </w:behaviors>
        <w:description w:val=""/>
        <w:guid w:val="{bc85c69c-ea74-408c-ad60-45d2c67f4572}"/>
      </w:docPartPr>
      <w:docPartBody>
        <w:p>
          <w:r>
            <w:rPr>
              <w:color w:val="808080"/>
            </w:rPr>
            <w:t>单击此处输入文字。</w:t>
          </w:r>
        </w:p>
      </w:docPartBody>
    </w:docPart>
    <w:docPart>
      <w:docPartPr>
        <w:name w:val="{eae95b62-93df-4169-acff-b17a98704d42}"/>
        <w:style w:val=""/>
        <w:category>
          <w:name w:val="常规"/>
          <w:gallery w:val="placeholder"/>
        </w:category>
        <w:types>
          <w:type w:val="bbPlcHdr"/>
        </w:types>
        <w:behaviors>
          <w:behavior w:val="content"/>
        </w:behaviors>
        <w:description w:val=""/>
        <w:guid w:val="{eae95b62-93df-4169-acff-b17a98704d42}"/>
      </w:docPartPr>
      <w:docPartBody>
        <w:p>
          <w:r>
            <w:rPr>
              <w:color w:val="808080"/>
            </w:rPr>
            <w:t>单击此处输入文字。</w:t>
          </w:r>
        </w:p>
      </w:docPartBody>
    </w:docPart>
    <w:docPart>
      <w:docPartPr>
        <w:name w:val="{693150ea-76ef-42b2-bba2-824a244d6bd9}"/>
        <w:style w:val=""/>
        <w:category>
          <w:name w:val="常规"/>
          <w:gallery w:val="placeholder"/>
        </w:category>
        <w:types>
          <w:type w:val="bbPlcHdr"/>
        </w:types>
        <w:behaviors>
          <w:behavior w:val="content"/>
        </w:behaviors>
        <w:description w:val=""/>
        <w:guid w:val="{693150ea-76ef-42b2-bba2-824a244d6bd9}"/>
      </w:docPartPr>
      <w:docPartBody>
        <w:p>
          <w:r>
            <w:rPr>
              <w:color w:val="808080"/>
            </w:rPr>
            <w:t>单击此处输入文字。</w:t>
          </w:r>
        </w:p>
      </w:docPartBody>
    </w:docPart>
    <w:docPart>
      <w:docPartPr>
        <w:name w:val="{38f563ba-4d94-4ed3-b628-0f9278e5d8ab}"/>
        <w:style w:val=""/>
        <w:category>
          <w:name w:val="常规"/>
          <w:gallery w:val="placeholder"/>
        </w:category>
        <w:types>
          <w:type w:val="bbPlcHdr"/>
        </w:types>
        <w:behaviors>
          <w:behavior w:val="content"/>
        </w:behaviors>
        <w:description w:val=""/>
        <w:guid w:val="{38f563ba-4d94-4ed3-b628-0f9278e5d8ab}"/>
      </w:docPartPr>
      <w:docPartBody>
        <w:p>
          <w:r>
            <w:rPr>
              <w:color w:val="808080"/>
            </w:rPr>
            <w:t>单击此处输入文字。</w:t>
          </w:r>
        </w:p>
      </w:docPartBody>
    </w:docPart>
    <w:docPart>
      <w:docPartPr>
        <w:name w:val="{766d11ea-fcaa-42f5-8332-d8b097aaba4e}"/>
        <w:style w:val=""/>
        <w:category>
          <w:name w:val="常规"/>
          <w:gallery w:val="placeholder"/>
        </w:category>
        <w:types>
          <w:type w:val="bbPlcHdr"/>
        </w:types>
        <w:behaviors>
          <w:behavior w:val="content"/>
        </w:behaviors>
        <w:description w:val=""/>
        <w:guid w:val="{766d11ea-fcaa-42f5-8332-d8b097aaba4e}"/>
      </w:docPartPr>
      <w:docPartBody>
        <w:p>
          <w:r>
            <w:rPr>
              <w:color w:val="808080"/>
            </w:rPr>
            <w:t>单击此处输入文字。</w:t>
          </w:r>
        </w:p>
      </w:docPartBody>
    </w:docPart>
    <w:docPart>
      <w:docPartPr>
        <w:name w:val="{6101d2fa-ffe9-4ab3-a013-dc027ddaeb72}"/>
        <w:style w:val=""/>
        <w:category>
          <w:name w:val="常规"/>
          <w:gallery w:val="placeholder"/>
        </w:category>
        <w:types>
          <w:type w:val="bbPlcHdr"/>
        </w:types>
        <w:behaviors>
          <w:behavior w:val="content"/>
        </w:behaviors>
        <w:description w:val=""/>
        <w:guid w:val="{6101d2fa-ffe9-4ab3-a013-dc027ddaeb72}"/>
      </w:docPartPr>
      <w:docPartBody>
        <w:p>
          <w:r>
            <w:rPr>
              <w:color w:val="808080"/>
            </w:rPr>
            <w:t>单击此处输入文字。</w:t>
          </w:r>
        </w:p>
      </w:docPartBody>
    </w:docPart>
    <w:docPart>
      <w:docPartPr>
        <w:name w:val="{d1b56d80-8218-4d01-9c14-13d2852fd334}"/>
        <w:style w:val=""/>
        <w:category>
          <w:name w:val="常规"/>
          <w:gallery w:val="placeholder"/>
        </w:category>
        <w:types>
          <w:type w:val="bbPlcHdr"/>
        </w:types>
        <w:behaviors>
          <w:behavior w:val="content"/>
        </w:behaviors>
        <w:description w:val=""/>
        <w:guid w:val="{d1b56d80-8218-4d01-9c14-13d2852fd334}"/>
      </w:docPartPr>
      <w:docPartBody>
        <w:p>
          <w:r>
            <w:rPr>
              <w:color w:val="808080"/>
            </w:rPr>
            <w:t>单击此处输入文字。</w:t>
          </w:r>
        </w:p>
      </w:docPartBody>
    </w:docPart>
    <w:docPart>
      <w:docPartPr>
        <w:name w:val="{1702720a-a7aa-4c55-a108-ae04d9bc9657}"/>
        <w:style w:val=""/>
        <w:category>
          <w:name w:val="常规"/>
          <w:gallery w:val="placeholder"/>
        </w:category>
        <w:types>
          <w:type w:val="bbPlcHdr"/>
        </w:types>
        <w:behaviors>
          <w:behavior w:val="content"/>
        </w:behaviors>
        <w:description w:val=""/>
        <w:guid w:val="{1702720a-a7aa-4c55-a108-ae04d9bc9657}"/>
      </w:docPartPr>
      <w:docPartBody>
        <w:p>
          <w:r>
            <w:rPr>
              <w:color w:val="808080"/>
            </w:rPr>
            <w:t>单击此处输入文字。</w:t>
          </w:r>
        </w:p>
      </w:docPartBody>
    </w:docPart>
    <w:docPart>
      <w:docPartPr>
        <w:name w:val="{e8ac5271-1621-4747-82d5-e9a6553034a2}"/>
        <w:style w:val=""/>
        <w:category>
          <w:name w:val="常规"/>
          <w:gallery w:val="placeholder"/>
        </w:category>
        <w:types>
          <w:type w:val="bbPlcHdr"/>
        </w:types>
        <w:behaviors>
          <w:behavior w:val="content"/>
        </w:behaviors>
        <w:description w:val=""/>
        <w:guid w:val="{e8ac5271-1621-4747-82d5-e9a6553034a2}"/>
      </w:docPartPr>
      <w:docPartBody>
        <w:p>
          <w:r>
            <w:rPr>
              <w:color w:val="808080"/>
            </w:rPr>
            <w:t>单击此处输入文字。</w:t>
          </w:r>
        </w:p>
      </w:docPartBody>
    </w:docPart>
    <w:docPart>
      <w:docPartPr>
        <w:name w:val="{98d562bf-4a41-45a6-91c7-7d957d9ab944}"/>
        <w:style w:val=""/>
        <w:category>
          <w:name w:val="常规"/>
          <w:gallery w:val="placeholder"/>
        </w:category>
        <w:types>
          <w:type w:val="bbPlcHdr"/>
        </w:types>
        <w:behaviors>
          <w:behavior w:val="content"/>
        </w:behaviors>
        <w:description w:val=""/>
        <w:guid w:val="{98d562bf-4a41-45a6-91c7-7d957d9ab944}"/>
      </w:docPartPr>
      <w:docPartBody>
        <w:p>
          <w:r>
            <w:rPr>
              <w:color w:val="808080"/>
            </w:rPr>
            <w:t>单击此处输入文字。</w:t>
          </w:r>
        </w:p>
      </w:docPartBody>
    </w:docPart>
    <w:docPart>
      <w:docPartPr>
        <w:name w:val="{266d8a41-33e4-47ee-9099-ef2f237ba83f}"/>
        <w:style w:val=""/>
        <w:category>
          <w:name w:val="常规"/>
          <w:gallery w:val="placeholder"/>
        </w:category>
        <w:types>
          <w:type w:val="bbPlcHdr"/>
        </w:types>
        <w:behaviors>
          <w:behavior w:val="content"/>
        </w:behaviors>
        <w:description w:val=""/>
        <w:guid w:val="{266d8a41-33e4-47ee-9099-ef2f237ba83f}"/>
      </w:docPartPr>
      <w:docPartBody>
        <w:p>
          <w:r>
            <w:rPr>
              <w:color w:val="808080"/>
            </w:rPr>
            <w:t>单击此处输入文字。</w:t>
          </w:r>
        </w:p>
      </w:docPartBody>
    </w:docPart>
    <w:docPart>
      <w:docPartPr>
        <w:name w:val="{84cd1669-d8c8-4175-a6b0-d40606c23ec6}"/>
        <w:style w:val=""/>
        <w:category>
          <w:name w:val="常规"/>
          <w:gallery w:val="placeholder"/>
        </w:category>
        <w:types>
          <w:type w:val="bbPlcHdr"/>
        </w:types>
        <w:behaviors>
          <w:behavior w:val="content"/>
        </w:behaviors>
        <w:description w:val=""/>
        <w:guid w:val="{84cd1669-d8c8-4175-a6b0-d40606c23ec6}"/>
      </w:docPartPr>
      <w:docPartBody>
        <w:p>
          <w:r>
            <w:rPr>
              <w:color w:val="808080"/>
            </w:rPr>
            <w:t>单击此处输入文字。</w:t>
          </w:r>
        </w:p>
      </w:docPartBody>
    </w:docPart>
    <w:docPart>
      <w:docPartPr>
        <w:name w:val="{c59c174e-1c40-40ee-a67e-a9b9d1615dfd}"/>
        <w:style w:val=""/>
        <w:category>
          <w:name w:val="常规"/>
          <w:gallery w:val="placeholder"/>
        </w:category>
        <w:types>
          <w:type w:val="bbPlcHdr"/>
        </w:types>
        <w:behaviors>
          <w:behavior w:val="content"/>
        </w:behaviors>
        <w:description w:val=""/>
        <w:guid w:val="{c59c174e-1c40-40ee-a67e-a9b9d1615dfd}"/>
      </w:docPartPr>
      <w:docPartBody>
        <w:p>
          <w:r>
            <w:rPr>
              <w:color w:val="808080"/>
            </w:rPr>
            <w:t>单击此处输入文字。</w:t>
          </w:r>
        </w:p>
      </w:docPartBody>
    </w:docPart>
    <w:docPart>
      <w:docPartPr>
        <w:name w:val="{508f2eb0-4c0b-4985-84f4-bdf35f2443d6}"/>
        <w:style w:val=""/>
        <w:category>
          <w:name w:val="常规"/>
          <w:gallery w:val="placeholder"/>
        </w:category>
        <w:types>
          <w:type w:val="bbPlcHdr"/>
        </w:types>
        <w:behaviors>
          <w:behavior w:val="content"/>
        </w:behaviors>
        <w:description w:val=""/>
        <w:guid w:val="{508f2eb0-4c0b-4985-84f4-bdf35f2443d6}"/>
      </w:docPartPr>
      <w:docPartBody>
        <w:p>
          <w:r>
            <w:rPr>
              <w:color w:val="808080"/>
            </w:rPr>
            <w:t>单击此处输入文字。</w:t>
          </w:r>
        </w:p>
      </w:docPartBody>
    </w:docPart>
    <w:docPart>
      <w:docPartPr>
        <w:name w:val="{07b033e9-49fd-460d-9a51-8b184bff8056}"/>
        <w:style w:val=""/>
        <w:category>
          <w:name w:val="常规"/>
          <w:gallery w:val="placeholder"/>
        </w:category>
        <w:types>
          <w:type w:val="bbPlcHdr"/>
        </w:types>
        <w:behaviors>
          <w:behavior w:val="content"/>
        </w:behaviors>
        <w:description w:val=""/>
        <w:guid w:val="{07b033e9-49fd-460d-9a51-8b184bff8056}"/>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1299</Words>
  <Characters>7410</Characters>
  <Lines>61</Lines>
  <Paragraphs>17</Paragraphs>
  <TotalTime>3</TotalTime>
  <ScaleCrop>false</ScaleCrop>
  <LinksUpToDate>false</LinksUpToDate>
  <CharactersWithSpaces>8692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admin</cp:lastModifiedBy>
  <cp:lastPrinted>2025-08-06T17:34:00Z</cp:lastPrinted>
  <dcterms:modified xsi:type="dcterms:W3CDTF">2025-10-31T02:00:57Z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04787F2533EB45DC91BCDE4AB213247F</vt:lpwstr>
  </property>
</Properties>
</file>