
<file path=[Content_Types].xml><?xml version="1.0" encoding="utf-8"?>
<Types xmlns="http://schemas.openxmlformats.org/package/2006/content-types">
  <Default Extension="xml" ContentType="application/xml"/>
  <Default Extension="xlsx" ContentType="application/vnd.openxmlformats-officedocument.spreadsheetml.sheet"/>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olors1.xml" ContentType="application/vnd.ms-office.chartcolorstyle+xml"/>
  <Override PartName="/word/charts/colors2.xml" ContentType="application/vnd.ms-office.chartcolorstyle+xml"/>
  <Override PartName="/word/charts/colors3.xml" ContentType="application/vnd.ms-office.chartcolorstyle+xml"/>
  <Override PartName="/word/charts/colors4.xml" ContentType="application/vnd.ms-office.chartcolorstyle+xml"/>
  <Override PartName="/word/charts/colors5.xml" ContentType="application/vnd.ms-office.chartcolorstyle+xml"/>
  <Override PartName="/word/charts/colors6.xml" ContentType="application/vnd.ms-office.chartcolorstyle+xml"/>
  <Override PartName="/word/charts/style1.xml" ContentType="application/vnd.ms-office.chartstyle+xml"/>
  <Override PartName="/word/charts/style2.xml" ContentType="application/vnd.ms-office.chartstyle+xml"/>
  <Override PartName="/word/charts/style3.xml" ContentType="application/vnd.ms-office.chartstyle+xml"/>
  <Override PartName="/word/charts/style4.xml" ContentType="application/vnd.ms-office.chartstyle+xml"/>
  <Override PartName="/word/charts/style5.xml" ContentType="application/vnd.ms-office.chartstyle+xml"/>
  <Override PartName="/word/charts/style6.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48D8BC0">
      <w:pPr>
        <w:pStyle w:val="2"/>
        <w:rPr>
          <w:rFonts w:hint="eastAsia" w:ascii="Times New Roman" w:hAnsi="Times New Roman" w:eastAsia="方正小标宋简体" w:cs="Times New Roman"/>
          <w:color w:val="auto"/>
          <w:kern w:val="2"/>
          <w:sz w:val="72"/>
          <w:szCs w:val="72"/>
          <w:highlight w:val="none"/>
          <w:lang w:val="en-US" w:eastAsia="zh-CN" w:bidi="ar-SA"/>
        </w:rPr>
      </w:pPr>
      <w:bookmarkStart w:id="0" w:name="_Toc15396475"/>
      <w:bookmarkStart w:id="1" w:name="_Toc15377193"/>
      <w:bookmarkStart w:id="2" w:name="_Toc15377425"/>
      <w:bookmarkStart w:id="3" w:name="_Toc15306267"/>
      <w:bookmarkStart w:id="4" w:name="_Toc15378441"/>
      <w:bookmarkStart w:id="5" w:name="_Toc15396597"/>
    </w:p>
    <w:p w14:paraId="7D35C917">
      <w:pPr>
        <w:pStyle w:val="2"/>
        <w:rPr>
          <w:rFonts w:hint="eastAsia" w:ascii="Times New Roman" w:hAnsi="Times New Roman" w:eastAsia="方正小标宋简体" w:cs="Times New Roman"/>
          <w:color w:val="auto"/>
          <w:kern w:val="2"/>
          <w:sz w:val="72"/>
          <w:szCs w:val="72"/>
          <w:highlight w:val="none"/>
          <w:lang w:val="en-US" w:eastAsia="zh-CN" w:bidi="ar-SA"/>
        </w:rPr>
      </w:pPr>
    </w:p>
    <w:p w14:paraId="0D368141">
      <w:pPr>
        <w:pStyle w:val="2"/>
        <w:rPr>
          <w:rFonts w:hint="eastAsia" w:ascii="Times New Roman" w:hAnsi="Times New Roman" w:eastAsia="方正小标宋简体" w:cs="Times New Roman"/>
          <w:color w:val="auto"/>
          <w:kern w:val="2"/>
          <w:sz w:val="72"/>
          <w:szCs w:val="72"/>
          <w:highlight w:val="none"/>
          <w:lang w:val="en-US" w:eastAsia="zh-CN" w:bidi="ar-SA"/>
        </w:rPr>
      </w:pPr>
    </w:p>
    <w:p w14:paraId="1F218DFB">
      <w:pPr>
        <w:pStyle w:val="2"/>
        <w:jc w:val="center"/>
        <w:rPr>
          <w:rFonts w:hint="eastAsia" w:ascii="黑体" w:hAnsi="黑体" w:eastAsia="黑体" w:cs="黑体"/>
          <w:b/>
          <w:bCs/>
          <w:color w:val="auto"/>
          <w:kern w:val="2"/>
          <w:sz w:val="52"/>
          <w:szCs w:val="52"/>
          <w:highlight w:val="none"/>
          <w:lang w:val="en-US" w:eastAsia="zh-CN" w:bidi="ar-SA"/>
        </w:rPr>
      </w:pPr>
      <w:r>
        <w:rPr>
          <w:rFonts w:hint="eastAsia" w:ascii="黑体" w:hAnsi="黑体" w:eastAsia="黑体" w:cs="黑体"/>
          <w:b/>
          <w:bCs/>
          <w:color w:val="auto"/>
          <w:kern w:val="2"/>
          <w:sz w:val="52"/>
          <w:szCs w:val="52"/>
          <w:highlight w:val="none"/>
          <w:lang w:val="en-US" w:eastAsia="zh-CN" w:bidi="ar-SA"/>
        </w:rPr>
        <w:t>2024年度</w:t>
      </w:r>
    </w:p>
    <w:p w14:paraId="43749F5B">
      <w:pPr>
        <w:pStyle w:val="2"/>
        <w:jc w:val="center"/>
        <w:rPr>
          <w:rFonts w:hint="eastAsia" w:ascii="黑体" w:hAnsi="黑体" w:eastAsia="黑体" w:cs="黑体"/>
          <w:b/>
          <w:bCs/>
          <w:color w:val="auto"/>
          <w:kern w:val="2"/>
          <w:sz w:val="52"/>
          <w:szCs w:val="52"/>
          <w:highlight w:val="none"/>
          <w:lang w:val="en-US" w:eastAsia="zh-CN" w:bidi="ar-SA"/>
        </w:rPr>
      </w:pPr>
      <w:r>
        <w:rPr>
          <w:rFonts w:hint="eastAsia" w:ascii="黑体" w:hAnsi="黑体" w:eastAsia="黑体" w:cs="黑体"/>
          <w:b/>
          <w:bCs/>
          <w:color w:val="auto"/>
          <w:kern w:val="2"/>
          <w:sz w:val="52"/>
          <w:szCs w:val="52"/>
          <w:highlight w:val="none"/>
          <w:lang w:val="en-US" w:eastAsia="zh-CN" w:bidi="ar-SA"/>
        </w:rPr>
        <w:t>四川省乐山市五通桥区反修水库</w:t>
      </w:r>
    </w:p>
    <w:p w14:paraId="03E9732B">
      <w:pPr>
        <w:pStyle w:val="2"/>
        <w:jc w:val="center"/>
        <w:rPr>
          <w:rFonts w:hint="eastAsia" w:ascii="黑体" w:hAnsi="黑体" w:eastAsia="黑体" w:cs="黑体"/>
          <w:b/>
          <w:bCs/>
          <w:color w:val="auto"/>
          <w:kern w:val="2"/>
          <w:sz w:val="52"/>
          <w:szCs w:val="52"/>
          <w:highlight w:val="none"/>
          <w:lang w:val="en-US" w:eastAsia="zh-CN" w:bidi="ar-SA"/>
        </w:rPr>
      </w:pPr>
      <w:r>
        <w:rPr>
          <w:rFonts w:hint="eastAsia" w:ascii="黑体" w:hAnsi="黑体" w:eastAsia="黑体" w:cs="黑体"/>
          <w:b/>
          <w:bCs/>
          <w:color w:val="auto"/>
          <w:kern w:val="2"/>
          <w:sz w:val="52"/>
          <w:szCs w:val="52"/>
          <w:highlight w:val="none"/>
          <w:lang w:val="en-US" w:eastAsia="zh-CN" w:bidi="ar-SA"/>
        </w:rPr>
        <w:t>管理所决算公开</w:t>
      </w:r>
    </w:p>
    <w:p w14:paraId="6374128E">
      <w:pPr>
        <w:rPr>
          <w:rFonts w:ascii="Times New Roman" w:hAnsi="Times New Roman"/>
        </w:rPr>
      </w:pPr>
    </w:p>
    <w:p w14:paraId="3EAF79A3">
      <w:pPr>
        <w:pStyle w:val="2"/>
        <w:jc w:val="center"/>
        <w:rPr>
          <w:rFonts w:hint="eastAsia" w:ascii="Times New Roman" w:hAnsi="Times New Roman" w:eastAsia="方正小标宋简体" w:cs="Times New Roman"/>
          <w:color w:val="auto"/>
          <w:kern w:val="2"/>
          <w:sz w:val="44"/>
          <w:szCs w:val="44"/>
          <w:highlight w:val="none"/>
          <w:lang w:val="en-US" w:eastAsia="zh-CN" w:bidi="ar-SA"/>
        </w:rPr>
      </w:pPr>
    </w:p>
    <w:p w14:paraId="176B7151">
      <w:pPr>
        <w:pStyle w:val="2"/>
        <w:jc w:val="center"/>
        <w:rPr>
          <w:rFonts w:hint="eastAsia" w:ascii="Times New Roman" w:hAnsi="Times New Roman" w:eastAsia="方正小标宋简体" w:cs="Times New Roman"/>
          <w:color w:val="auto"/>
          <w:kern w:val="2"/>
          <w:sz w:val="44"/>
          <w:szCs w:val="44"/>
          <w:highlight w:val="none"/>
          <w:lang w:val="en-US" w:eastAsia="zh-CN" w:bidi="ar-SA"/>
        </w:rPr>
      </w:pPr>
    </w:p>
    <w:p w14:paraId="7E06D541">
      <w:pPr>
        <w:pStyle w:val="2"/>
        <w:jc w:val="center"/>
        <w:rPr>
          <w:rFonts w:hint="eastAsia" w:ascii="Times New Roman" w:hAnsi="Times New Roman" w:eastAsia="方正小标宋简体" w:cs="Times New Roman"/>
          <w:color w:val="auto"/>
          <w:kern w:val="2"/>
          <w:sz w:val="44"/>
          <w:szCs w:val="44"/>
          <w:highlight w:val="none"/>
          <w:lang w:val="en-US" w:eastAsia="zh-CN" w:bidi="ar-SA"/>
        </w:rPr>
      </w:pPr>
    </w:p>
    <w:p w14:paraId="2575EAA3">
      <w:pPr>
        <w:pStyle w:val="2"/>
        <w:jc w:val="center"/>
        <w:rPr>
          <w:rFonts w:hint="eastAsia" w:ascii="Times New Roman" w:hAnsi="Times New Roman" w:eastAsia="方正小标宋简体" w:cs="Times New Roman"/>
          <w:color w:val="auto"/>
          <w:kern w:val="2"/>
          <w:sz w:val="44"/>
          <w:szCs w:val="44"/>
          <w:highlight w:val="none"/>
          <w:lang w:val="en-US" w:eastAsia="zh-CN" w:bidi="ar-SA"/>
        </w:rPr>
      </w:pPr>
    </w:p>
    <w:bookmarkEnd w:id="0"/>
    <w:bookmarkEnd w:id="1"/>
    <w:bookmarkEnd w:id="2"/>
    <w:bookmarkEnd w:id="3"/>
    <w:bookmarkEnd w:id="4"/>
    <w:bookmarkEnd w:id="5"/>
    <w:p w14:paraId="65979EE5">
      <w:pPr>
        <w:widowControl/>
        <w:jc w:val="center"/>
        <w:rPr>
          <w:rFonts w:ascii="Times New Roman" w:hAnsi="Times New Roman" w:eastAsia="黑体"/>
          <w:color w:val="auto"/>
          <w:sz w:val="48"/>
          <w:szCs w:val="48"/>
          <w:highlight w:val="none"/>
        </w:rPr>
      </w:pPr>
      <w:r>
        <w:rPr>
          <w:rFonts w:ascii="Times New Roman" w:hAnsi="Times New Roman" w:eastAsia="方正小标宋简体"/>
          <w:color w:val="auto"/>
          <w:sz w:val="36"/>
          <w:szCs w:val="36"/>
          <w:highlight w:val="none"/>
        </w:rPr>
        <w:br w:type="page"/>
      </w:r>
      <w:r>
        <w:rPr>
          <w:rFonts w:hint="eastAsia" w:ascii="Times New Roman" w:hAnsi="Times New Roman" w:eastAsia="黑体"/>
          <w:color w:val="auto"/>
          <w:sz w:val="48"/>
          <w:szCs w:val="48"/>
          <w:highlight w:val="none"/>
        </w:rPr>
        <w:t>目录</w:t>
      </w:r>
    </w:p>
    <w:p w14:paraId="5B4C24F3">
      <w:pPr>
        <w:widowControl/>
        <w:jc w:val="center"/>
        <w:rPr>
          <w:rFonts w:ascii="Times New Roman" w:hAnsi="Times New Roman" w:eastAsia="黑体" w:cstheme="minorBidi"/>
          <w:color w:val="auto"/>
          <w:sz w:val="28"/>
          <w:szCs w:val="28"/>
          <w:highlight w:val="none"/>
        </w:rPr>
      </w:pPr>
    </w:p>
    <w:p w14:paraId="178F1371">
      <w:pPr>
        <w:pStyle w:val="12"/>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公开时间：20</w:t>
      </w:r>
      <w:r>
        <w:rPr>
          <w:rFonts w:hint="eastAsia" w:ascii="Times New Roman" w:hAnsi="Times New Roman" w:eastAsia="仿宋_GB2312" w:cs="仿宋_GB2312"/>
          <w:color w:val="auto"/>
          <w:sz w:val="32"/>
          <w:szCs w:val="32"/>
          <w:highlight w:val="none"/>
          <w:lang w:val="en-US" w:eastAsia="zh-CN"/>
        </w:rPr>
        <w:t>25</w:t>
      </w:r>
      <w:bookmarkStart w:id="138" w:name="_GoBack"/>
      <w:bookmarkEnd w:id="138"/>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val="en-US" w:eastAsia="zh-CN"/>
        </w:rPr>
        <w:t xml:space="preserve"> 10 </w:t>
      </w:r>
      <w:r>
        <w:rPr>
          <w:rFonts w:hint="eastAsia" w:ascii="Times New Roman" w:hAnsi="Times New Roman" w:eastAsia="仿宋_GB2312" w:cs="仿宋_GB2312"/>
          <w:color w:val="auto"/>
          <w:sz w:val="32"/>
          <w:szCs w:val="32"/>
          <w:highlight w:val="none"/>
        </w:rPr>
        <w:t>月</w:t>
      </w:r>
      <w:r>
        <w:rPr>
          <w:rFonts w:hint="eastAsia" w:ascii="Times New Roman" w:hAnsi="Times New Roman" w:eastAsia="仿宋_GB2312" w:cs="仿宋_GB2312"/>
          <w:color w:val="auto"/>
          <w:sz w:val="32"/>
          <w:szCs w:val="32"/>
          <w:highlight w:val="none"/>
          <w:lang w:val="en-US" w:eastAsia="zh-CN"/>
        </w:rPr>
        <w:t xml:space="preserve"> 28 </w:t>
      </w:r>
      <w:r>
        <w:rPr>
          <w:rFonts w:hint="eastAsia" w:ascii="Times New Roman" w:hAnsi="Times New Roman" w:eastAsia="仿宋_GB2312" w:cs="仿宋_GB2312"/>
          <w:color w:val="auto"/>
          <w:sz w:val="32"/>
          <w:szCs w:val="32"/>
          <w:highlight w:val="none"/>
        </w:rPr>
        <w:t>日</w:t>
      </w:r>
    </w:p>
    <w:p w14:paraId="68E6622A">
      <w:pPr>
        <w:rPr>
          <w:rFonts w:ascii="Times New Roman" w:hAnsi="Times New Roman"/>
          <w:color w:val="auto"/>
          <w:highlight w:val="none"/>
        </w:rPr>
      </w:pPr>
    </w:p>
    <w:sdt>
      <w:sdtPr>
        <w:rPr>
          <w:rFonts w:ascii="宋体" w:hAnsi="宋体" w:eastAsia="宋体" w:cs="Times New Roman"/>
          <w:kern w:val="2"/>
          <w:sz w:val="21"/>
          <w:szCs w:val="24"/>
          <w:lang w:val="en-US" w:eastAsia="zh-CN" w:bidi="ar-SA"/>
        </w:rPr>
        <w:id w:val="147468315"/>
        <w15:color w:val="DBDBDB"/>
        <w:docPartObj>
          <w:docPartGallery w:val="Table of Contents"/>
          <w:docPartUnique/>
        </w:docPartObj>
      </w:sdtPr>
      <w:sdtEndPr>
        <w:rPr>
          <w:rFonts w:ascii="宋体" w:hAnsi="宋体" w:eastAsia="宋体" w:cs="Times New Roman"/>
          <w:kern w:val="2"/>
          <w:sz w:val="20"/>
          <w:szCs w:val="20"/>
          <w:lang w:val="en-US" w:eastAsia="zh-CN" w:bidi="ar-SA"/>
        </w:rPr>
      </w:sdtEndPr>
      <w:sdtContent>
        <w:p w14:paraId="4BC0D787">
          <w:pPr>
            <w:spacing w:before="0" w:beforeLines="0" w:after="0" w:afterLines="0" w:line="240" w:lineRule="auto"/>
            <w:ind w:left="0" w:leftChars="0" w:right="0" w:rightChars="0" w:firstLine="0" w:firstLineChars="0"/>
            <w:jc w:val="center"/>
          </w:pPr>
          <w:bookmarkStart w:id="6" w:name="_Toc4388_WPSOffice_Type3"/>
          <w:r>
            <w:rPr>
              <w:rFonts w:ascii="宋体" w:hAnsi="宋体" w:eastAsia="宋体"/>
              <w:sz w:val="21"/>
            </w:rPr>
            <w:t>目录</w:t>
          </w:r>
        </w:p>
        <w:p w14:paraId="642783FF">
          <w:pPr>
            <w:pStyle w:val="35"/>
            <w:tabs>
              <w:tab w:val="right" w:leader="dot" w:pos="8337"/>
            </w:tabs>
          </w:pPr>
          <w:r>
            <w:fldChar w:fldCharType="begin"/>
          </w:r>
          <w:r>
            <w:instrText xml:space="preserve"> HYPERLINK \l _Toc25669_WPSOffice_Level1 </w:instrText>
          </w:r>
          <w:r>
            <w:fldChar w:fldCharType="separate"/>
          </w:r>
          <w:sdt>
            <w:sdtPr>
              <w:rPr>
                <w:rFonts w:ascii="Times New Roman" w:hAnsi="Times New Roman" w:eastAsia="宋体" w:cs="Times New Roman"/>
                <w:b/>
                <w:bCs/>
                <w:kern w:val="44"/>
                <w:sz w:val="44"/>
                <w:szCs w:val="44"/>
                <w:lang w:val="en-US" w:eastAsia="zh-CN" w:bidi="ar-SA"/>
              </w:rPr>
              <w:id w:val="147454444"/>
              <w:placeholder>
                <w:docPart w:val="{29eac4cc-c8bb-43fe-a117-1495d9b0807a}"/>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方正小标宋简体" w:cs="方正小标宋简体"/>
                </w:rPr>
                <w:t>第一部分  部门概况</w:t>
              </w:r>
            </w:sdtContent>
          </w:sdt>
          <w:r>
            <w:tab/>
          </w:r>
          <w:bookmarkStart w:id="7" w:name="_Toc25669_WPSOffice_Level1Page"/>
          <w:r>
            <w:t>1</w:t>
          </w:r>
          <w:bookmarkEnd w:id="7"/>
          <w:r>
            <w:fldChar w:fldCharType="end"/>
          </w:r>
        </w:p>
        <w:p w14:paraId="7CEEB981">
          <w:pPr>
            <w:pStyle w:val="36"/>
            <w:tabs>
              <w:tab w:val="right" w:leader="dot" w:pos="8337"/>
            </w:tabs>
          </w:pPr>
          <w:r>
            <w:fldChar w:fldCharType="begin"/>
          </w:r>
          <w:r>
            <w:instrText xml:space="preserve"> HYPERLINK \l _Toc4388_WPSOffice_Level2 </w:instrText>
          </w:r>
          <w:r>
            <w:fldChar w:fldCharType="separate"/>
          </w:r>
          <w:sdt>
            <w:sdtPr>
              <w:rPr>
                <w:rFonts w:ascii="Times New Roman" w:hAnsi="Times New Roman" w:eastAsia="宋体" w:cs="Times New Roman"/>
                <w:b/>
                <w:bCs/>
                <w:kern w:val="44"/>
                <w:sz w:val="44"/>
                <w:szCs w:val="44"/>
                <w:lang w:val="en-US" w:eastAsia="zh-CN" w:bidi="ar-SA"/>
              </w:rPr>
              <w:id w:val="147478885"/>
              <w:placeholder>
                <w:docPart w:val="{8265eb70-0982-497e-97d4-99a139a49a5e}"/>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heme="majorBidi"/>
                </w:rPr>
                <w:t>一、 部门职责</w:t>
              </w:r>
            </w:sdtContent>
          </w:sdt>
          <w:r>
            <w:tab/>
          </w:r>
          <w:bookmarkStart w:id="8" w:name="_Toc4388_WPSOffice_Level2Page"/>
          <w:r>
            <w:t>1</w:t>
          </w:r>
          <w:bookmarkEnd w:id="8"/>
          <w:r>
            <w:fldChar w:fldCharType="end"/>
          </w:r>
        </w:p>
        <w:p w14:paraId="36A6E9DA">
          <w:pPr>
            <w:pStyle w:val="36"/>
            <w:tabs>
              <w:tab w:val="right" w:leader="dot" w:pos="8337"/>
            </w:tabs>
          </w:pPr>
          <w:r>
            <w:fldChar w:fldCharType="begin"/>
          </w:r>
          <w:r>
            <w:instrText xml:space="preserve"> HYPERLINK \l _Toc28931_WPSOffice_Level2 </w:instrText>
          </w:r>
          <w:r>
            <w:fldChar w:fldCharType="separate"/>
          </w:r>
          <w:sdt>
            <w:sdtPr>
              <w:rPr>
                <w:rFonts w:ascii="Times New Roman" w:hAnsi="Times New Roman" w:eastAsia="宋体" w:cs="Times New Roman"/>
                <w:b/>
                <w:bCs/>
                <w:kern w:val="44"/>
                <w:sz w:val="44"/>
                <w:szCs w:val="44"/>
                <w:lang w:val="en-US" w:eastAsia="zh-CN" w:bidi="ar-SA"/>
              </w:rPr>
              <w:id w:val="147464871"/>
              <w:placeholder>
                <w:docPart w:val="{7f67c2d4-aadb-49fd-a071-504bcb8a9aa2}"/>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heme="majorBidi"/>
                </w:rPr>
                <w:t>二、 机构设置</w:t>
              </w:r>
            </w:sdtContent>
          </w:sdt>
          <w:r>
            <w:tab/>
          </w:r>
          <w:bookmarkStart w:id="9" w:name="_Toc28931_WPSOffice_Level2Page"/>
          <w:r>
            <w:t>1</w:t>
          </w:r>
          <w:bookmarkEnd w:id="9"/>
          <w:r>
            <w:fldChar w:fldCharType="end"/>
          </w:r>
        </w:p>
        <w:p w14:paraId="4CAB8091">
          <w:pPr>
            <w:pStyle w:val="35"/>
            <w:tabs>
              <w:tab w:val="right" w:leader="dot" w:pos="8337"/>
            </w:tabs>
          </w:pPr>
          <w:r>
            <w:fldChar w:fldCharType="begin"/>
          </w:r>
          <w:r>
            <w:instrText xml:space="preserve"> HYPERLINK \l _Toc4388_WPSOffice_Level1 </w:instrText>
          </w:r>
          <w:r>
            <w:fldChar w:fldCharType="separate"/>
          </w:r>
          <w:sdt>
            <w:sdtPr>
              <w:rPr>
                <w:rFonts w:ascii="Times New Roman" w:hAnsi="Times New Roman" w:eastAsia="宋体" w:cs="Times New Roman"/>
                <w:b/>
                <w:bCs/>
                <w:kern w:val="44"/>
                <w:sz w:val="44"/>
                <w:szCs w:val="44"/>
                <w:lang w:val="en-US" w:eastAsia="zh-CN" w:bidi="ar-SA"/>
              </w:rPr>
              <w:id w:val="147481366"/>
              <w:placeholder>
                <w:docPart w:val="{38023a21-821b-4595-818c-3a9ab5ecc18e}"/>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方正小标宋简体" w:cs="方正小标宋简体"/>
                </w:rPr>
                <w:t>第二部分  2024年度部门决算情况说明</w:t>
              </w:r>
            </w:sdtContent>
          </w:sdt>
          <w:r>
            <w:tab/>
          </w:r>
          <w:bookmarkStart w:id="10" w:name="_Toc4388_WPSOffice_Level1Page"/>
          <w:r>
            <w:t>2</w:t>
          </w:r>
          <w:bookmarkEnd w:id="10"/>
          <w:r>
            <w:fldChar w:fldCharType="end"/>
          </w:r>
        </w:p>
        <w:p w14:paraId="70B747C1">
          <w:pPr>
            <w:pStyle w:val="36"/>
            <w:tabs>
              <w:tab w:val="right" w:leader="dot" w:pos="8337"/>
            </w:tabs>
          </w:pPr>
          <w:r>
            <w:fldChar w:fldCharType="begin"/>
          </w:r>
          <w:r>
            <w:instrText xml:space="preserve"> HYPERLINK \l _Toc5729_WPSOffice_Level2 </w:instrText>
          </w:r>
          <w:r>
            <w:fldChar w:fldCharType="separate"/>
          </w:r>
          <w:sdt>
            <w:sdtPr>
              <w:rPr>
                <w:rFonts w:ascii="Times New Roman" w:hAnsi="Times New Roman" w:eastAsia="宋体" w:cs="Times New Roman"/>
                <w:b/>
                <w:bCs/>
                <w:kern w:val="44"/>
                <w:sz w:val="44"/>
                <w:szCs w:val="44"/>
                <w:lang w:val="en-US" w:eastAsia="zh-CN" w:bidi="ar-SA"/>
              </w:rPr>
              <w:id w:val="147458164"/>
              <w:placeholder>
                <w:docPart w:val="{44b6928b-40f8-4dcf-a6fc-d55306f8cf36}"/>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一、收</w:t>
              </w:r>
              <w:r>
                <w:rPr>
                  <w:rFonts w:hint="eastAsia" w:ascii="Times New Roman" w:hAnsi="Times New Roman" w:eastAsia="黑体" w:cstheme="majorBidi"/>
                </w:rPr>
                <w:t>入支出决算总体情况说明</w:t>
              </w:r>
            </w:sdtContent>
          </w:sdt>
          <w:r>
            <w:tab/>
          </w:r>
          <w:bookmarkStart w:id="11" w:name="_Toc5729_WPSOffice_Level2Page"/>
          <w:r>
            <w:t>2</w:t>
          </w:r>
          <w:bookmarkEnd w:id="11"/>
          <w:r>
            <w:fldChar w:fldCharType="end"/>
          </w:r>
        </w:p>
        <w:p w14:paraId="55118EAF">
          <w:pPr>
            <w:pStyle w:val="36"/>
            <w:tabs>
              <w:tab w:val="right" w:leader="dot" w:pos="8337"/>
            </w:tabs>
          </w:pPr>
          <w:r>
            <w:fldChar w:fldCharType="begin"/>
          </w:r>
          <w:r>
            <w:instrText xml:space="preserve"> HYPERLINK \l _Toc8900_WPSOffice_Level2 </w:instrText>
          </w:r>
          <w:r>
            <w:fldChar w:fldCharType="separate"/>
          </w:r>
          <w:sdt>
            <w:sdtPr>
              <w:rPr>
                <w:rFonts w:ascii="Times New Roman" w:hAnsi="Times New Roman" w:eastAsia="宋体" w:cs="Times New Roman"/>
                <w:b/>
                <w:bCs/>
                <w:kern w:val="44"/>
                <w:sz w:val="44"/>
                <w:szCs w:val="44"/>
                <w:lang w:val="en-US" w:eastAsia="zh-CN" w:bidi="ar-SA"/>
              </w:rPr>
              <w:id w:val="147452519"/>
              <w:placeholder>
                <w:docPart w:val="{8d2c2389-5086-45c7-a556-cbc4a768d78d}"/>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二、收入决算情况说明</w:t>
              </w:r>
            </w:sdtContent>
          </w:sdt>
          <w:r>
            <w:tab/>
          </w:r>
          <w:bookmarkStart w:id="12" w:name="_Toc8900_WPSOffice_Level2Page"/>
          <w:r>
            <w:t>2</w:t>
          </w:r>
          <w:bookmarkEnd w:id="12"/>
          <w:r>
            <w:fldChar w:fldCharType="end"/>
          </w:r>
        </w:p>
        <w:p w14:paraId="63B0943F">
          <w:pPr>
            <w:pStyle w:val="36"/>
            <w:tabs>
              <w:tab w:val="right" w:leader="dot" w:pos="8337"/>
            </w:tabs>
          </w:pPr>
          <w:r>
            <w:fldChar w:fldCharType="begin"/>
          </w:r>
          <w:r>
            <w:instrText xml:space="preserve"> HYPERLINK \l _Toc26073_WPSOffice_Level2 </w:instrText>
          </w:r>
          <w:r>
            <w:fldChar w:fldCharType="separate"/>
          </w:r>
          <w:sdt>
            <w:sdtPr>
              <w:rPr>
                <w:rFonts w:ascii="Times New Roman" w:hAnsi="Times New Roman" w:eastAsia="宋体" w:cs="Times New Roman"/>
                <w:b/>
                <w:bCs/>
                <w:kern w:val="44"/>
                <w:sz w:val="44"/>
                <w:szCs w:val="44"/>
                <w:lang w:val="en-US" w:eastAsia="zh-CN" w:bidi="ar-SA"/>
              </w:rPr>
              <w:id w:val="147471421"/>
              <w:placeholder>
                <w:docPart w:val="{f2a03967-b5b4-4cc2-b542-294a0bbc038a}"/>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三、支</w:t>
              </w:r>
              <w:r>
                <w:rPr>
                  <w:rFonts w:hint="eastAsia" w:ascii="Times New Roman" w:hAnsi="Times New Roman" w:eastAsia="黑体" w:cstheme="majorBidi"/>
                </w:rPr>
                <w:t>出决算情况说明</w:t>
              </w:r>
            </w:sdtContent>
          </w:sdt>
          <w:r>
            <w:tab/>
          </w:r>
          <w:bookmarkStart w:id="13" w:name="_Toc26073_WPSOffice_Level2Page"/>
          <w:r>
            <w:t>3</w:t>
          </w:r>
          <w:bookmarkEnd w:id="13"/>
          <w:r>
            <w:fldChar w:fldCharType="end"/>
          </w:r>
        </w:p>
        <w:p w14:paraId="6BF018F2">
          <w:pPr>
            <w:pStyle w:val="36"/>
            <w:tabs>
              <w:tab w:val="right" w:leader="dot" w:pos="8337"/>
            </w:tabs>
          </w:pPr>
          <w:r>
            <w:fldChar w:fldCharType="begin"/>
          </w:r>
          <w:r>
            <w:instrText xml:space="preserve"> HYPERLINK \l _Toc2770_WPSOffice_Level2 </w:instrText>
          </w:r>
          <w:r>
            <w:fldChar w:fldCharType="separate"/>
          </w:r>
          <w:sdt>
            <w:sdtPr>
              <w:rPr>
                <w:rFonts w:ascii="Times New Roman" w:hAnsi="Times New Roman" w:eastAsia="宋体" w:cs="Times New Roman"/>
                <w:b/>
                <w:bCs/>
                <w:kern w:val="44"/>
                <w:sz w:val="44"/>
                <w:szCs w:val="44"/>
                <w:lang w:val="en-US" w:eastAsia="zh-CN" w:bidi="ar-SA"/>
              </w:rPr>
              <w:id w:val="147473983"/>
              <w:placeholder>
                <w:docPart w:val="{24cde4d6-047d-4b7f-8ac0-68a4b3915a7d}"/>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四、财</w:t>
              </w:r>
              <w:r>
                <w:rPr>
                  <w:rFonts w:hint="eastAsia" w:ascii="Times New Roman" w:hAnsi="Times New Roman" w:eastAsia="黑体" w:cstheme="majorBidi"/>
                </w:rPr>
                <w:t>政拨款收入支出决算总体情况说明</w:t>
              </w:r>
            </w:sdtContent>
          </w:sdt>
          <w:r>
            <w:tab/>
          </w:r>
          <w:bookmarkStart w:id="14" w:name="_Toc2770_WPSOffice_Level2Page"/>
          <w:r>
            <w:t>4</w:t>
          </w:r>
          <w:bookmarkEnd w:id="14"/>
          <w:r>
            <w:fldChar w:fldCharType="end"/>
          </w:r>
        </w:p>
        <w:p w14:paraId="575923E9">
          <w:pPr>
            <w:pStyle w:val="36"/>
            <w:tabs>
              <w:tab w:val="right" w:leader="dot" w:pos="8337"/>
            </w:tabs>
          </w:pPr>
          <w:r>
            <w:fldChar w:fldCharType="begin"/>
          </w:r>
          <w:r>
            <w:instrText xml:space="preserve"> HYPERLINK \l _Toc7275_WPSOffice_Level2 </w:instrText>
          </w:r>
          <w:r>
            <w:fldChar w:fldCharType="separate"/>
          </w:r>
          <w:sdt>
            <w:sdtPr>
              <w:rPr>
                <w:rFonts w:ascii="Times New Roman" w:hAnsi="Times New Roman" w:eastAsia="宋体" w:cs="Times New Roman"/>
                <w:b/>
                <w:bCs/>
                <w:kern w:val="44"/>
                <w:sz w:val="44"/>
                <w:szCs w:val="44"/>
                <w:lang w:val="en-US" w:eastAsia="zh-CN" w:bidi="ar-SA"/>
              </w:rPr>
              <w:id w:val="147469819"/>
              <w:placeholder>
                <w:docPart w:val="{e39bf067-7f8b-43ac-91be-1e66ac8df889}"/>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五、一</w:t>
              </w:r>
              <w:r>
                <w:rPr>
                  <w:rFonts w:hint="eastAsia" w:ascii="Times New Roman" w:hAnsi="Times New Roman" w:eastAsia="黑体" w:cstheme="majorBidi"/>
                </w:rPr>
                <w:t>般公共预算财政拨款支出决算情况说明</w:t>
              </w:r>
            </w:sdtContent>
          </w:sdt>
          <w:r>
            <w:tab/>
          </w:r>
          <w:bookmarkStart w:id="15" w:name="_Toc7275_WPSOffice_Level2Page"/>
          <w:r>
            <w:t>5</w:t>
          </w:r>
          <w:bookmarkEnd w:id="15"/>
          <w:r>
            <w:fldChar w:fldCharType="end"/>
          </w:r>
        </w:p>
        <w:p w14:paraId="2F4BBBE8">
          <w:pPr>
            <w:pStyle w:val="37"/>
            <w:tabs>
              <w:tab w:val="right" w:leader="dot" w:pos="8337"/>
            </w:tabs>
          </w:pPr>
          <w:r>
            <w:fldChar w:fldCharType="begin"/>
          </w:r>
          <w:r>
            <w:instrText xml:space="preserve"> HYPERLINK \l _Toc4388_WPSOffice_Level3 </w:instrText>
          </w:r>
          <w:r>
            <w:fldChar w:fldCharType="separate"/>
          </w:r>
          <w:sdt>
            <w:sdtPr>
              <w:rPr>
                <w:rFonts w:ascii="Times New Roman" w:hAnsi="Times New Roman" w:eastAsia="宋体" w:cs="Times New Roman"/>
                <w:b/>
                <w:bCs/>
                <w:kern w:val="44"/>
                <w:sz w:val="44"/>
                <w:szCs w:val="44"/>
                <w:lang w:val="en-US" w:eastAsia="zh-CN" w:bidi="ar-SA"/>
              </w:rPr>
              <w:id w:val="147468434"/>
              <w:placeholder>
                <w:docPart w:val="{f805b1ea-e18f-461a-8481-73194bfd5dce}"/>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（一）一般公共预算财政拨款支出决算总体情况</w:t>
              </w:r>
            </w:sdtContent>
          </w:sdt>
          <w:r>
            <w:tab/>
          </w:r>
          <w:bookmarkStart w:id="16" w:name="_Toc4388_WPSOffice_Level3Page"/>
          <w:r>
            <w:t>5</w:t>
          </w:r>
          <w:bookmarkEnd w:id="16"/>
          <w:r>
            <w:fldChar w:fldCharType="end"/>
          </w:r>
        </w:p>
        <w:p w14:paraId="64BE6C82">
          <w:pPr>
            <w:pStyle w:val="37"/>
            <w:tabs>
              <w:tab w:val="right" w:leader="dot" w:pos="8337"/>
            </w:tabs>
          </w:pPr>
          <w:r>
            <w:fldChar w:fldCharType="begin"/>
          </w:r>
          <w:r>
            <w:instrText xml:space="preserve"> HYPERLINK \l _Toc28931_WPSOffice_Level3 </w:instrText>
          </w:r>
          <w:r>
            <w:fldChar w:fldCharType="separate"/>
          </w:r>
          <w:sdt>
            <w:sdtPr>
              <w:rPr>
                <w:rFonts w:ascii="Times New Roman" w:hAnsi="Times New Roman" w:eastAsia="宋体" w:cs="Times New Roman"/>
                <w:b/>
                <w:bCs/>
                <w:kern w:val="44"/>
                <w:sz w:val="44"/>
                <w:szCs w:val="44"/>
                <w:lang w:val="en-US" w:eastAsia="zh-CN" w:bidi="ar-SA"/>
              </w:rPr>
              <w:id w:val="147475001"/>
              <w:placeholder>
                <w:docPart w:val="{6c4cde6a-7081-4acb-8793-886aea4399fe}"/>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（二）一般公共预算财政拨款支出决算结构情况</w:t>
              </w:r>
            </w:sdtContent>
          </w:sdt>
          <w:r>
            <w:tab/>
          </w:r>
          <w:bookmarkStart w:id="17" w:name="_Toc28931_WPSOffice_Level3Page"/>
          <w:r>
            <w:t>6</w:t>
          </w:r>
          <w:bookmarkEnd w:id="17"/>
          <w:r>
            <w:fldChar w:fldCharType="end"/>
          </w:r>
        </w:p>
        <w:p w14:paraId="55B09002">
          <w:pPr>
            <w:pStyle w:val="37"/>
            <w:tabs>
              <w:tab w:val="right" w:leader="dot" w:pos="8337"/>
            </w:tabs>
          </w:pPr>
          <w:r>
            <w:fldChar w:fldCharType="begin"/>
          </w:r>
          <w:r>
            <w:instrText xml:space="preserve"> HYPERLINK \l _Toc5729_WPSOffice_Level3 </w:instrText>
          </w:r>
          <w:r>
            <w:fldChar w:fldCharType="separate"/>
          </w:r>
          <w:sdt>
            <w:sdtPr>
              <w:rPr>
                <w:rFonts w:ascii="Times New Roman" w:hAnsi="Times New Roman" w:eastAsia="宋体" w:cs="Times New Roman"/>
                <w:b/>
                <w:bCs/>
                <w:kern w:val="44"/>
                <w:sz w:val="44"/>
                <w:szCs w:val="44"/>
                <w:lang w:val="en-US" w:eastAsia="zh-CN" w:bidi="ar-SA"/>
              </w:rPr>
              <w:id w:val="147451020"/>
              <w:placeholder>
                <w:docPart w:val="{dc1c3e0b-bc84-4be2-9d89-cc72c086561c}"/>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（三）一般公共预算财政拨款支出决算具体情况</w:t>
              </w:r>
            </w:sdtContent>
          </w:sdt>
          <w:r>
            <w:tab/>
          </w:r>
          <w:bookmarkStart w:id="18" w:name="_Toc5729_WPSOffice_Level3Page"/>
          <w:r>
            <w:t>7</w:t>
          </w:r>
          <w:bookmarkEnd w:id="18"/>
          <w:r>
            <w:fldChar w:fldCharType="end"/>
          </w:r>
        </w:p>
        <w:p w14:paraId="70FF4F13">
          <w:pPr>
            <w:pStyle w:val="36"/>
            <w:tabs>
              <w:tab w:val="right" w:leader="dot" w:pos="8337"/>
            </w:tabs>
          </w:pPr>
          <w:r>
            <w:fldChar w:fldCharType="begin"/>
          </w:r>
          <w:r>
            <w:instrText xml:space="preserve"> HYPERLINK \l _Toc17537_WPSOffice_Level2 </w:instrText>
          </w:r>
          <w:r>
            <w:fldChar w:fldCharType="separate"/>
          </w:r>
          <w:sdt>
            <w:sdtPr>
              <w:rPr>
                <w:rFonts w:ascii="Times New Roman" w:hAnsi="Times New Roman" w:eastAsia="宋体" w:cs="Times New Roman"/>
                <w:b/>
                <w:bCs/>
                <w:kern w:val="44"/>
                <w:sz w:val="44"/>
                <w:szCs w:val="44"/>
                <w:lang w:val="en-US" w:eastAsia="zh-CN" w:bidi="ar-SA"/>
              </w:rPr>
              <w:id w:val="147477775"/>
              <w:placeholder>
                <w:docPart w:val="{28278273-5497-4d1a-b828-c10acfafe7a3}"/>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六、一</w:t>
              </w:r>
              <w:r>
                <w:rPr>
                  <w:rFonts w:hint="eastAsia" w:ascii="Times New Roman" w:hAnsi="Times New Roman" w:eastAsia="黑体" w:cstheme="majorBidi"/>
                </w:rPr>
                <w:t>般公共预算财政拨款基本支出决算情况说明</w:t>
              </w:r>
            </w:sdtContent>
          </w:sdt>
          <w:r>
            <w:tab/>
          </w:r>
          <w:bookmarkStart w:id="19" w:name="_Toc17537_WPSOffice_Level2Page"/>
          <w:r>
            <w:t>8</w:t>
          </w:r>
          <w:bookmarkEnd w:id="19"/>
          <w:r>
            <w:fldChar w:fldCharType="end"/>
          </w:r>
        </w:p>
        <w:p w14:paraId="5FD9C927">
          <w:pPr>
            <w:pStyle w:val="36"/>
            <w:tabs>
              <w:tab w:val="right" w:leader="dot" w:pos="8337"/>
            </w:tabs>
          </w:pPr>
          <w:r>
            <w:fldChar w:fldCharType="begin"/>
          </w:r>
          <w:r>
            <w:instrText xml:space="preserve"> HYPERLINK \l _Toc23114_WPSOffice_Level2 </w:instrText>
          </w:r>
          <w:r>
            <w:fldChar w:fldCharType="separate"/>
          </w:r>
          <w:sdt>
            <w:sdtPr>
              <w:rPr>
                <w:rFonts w:ascii="Times New Roman" w:hAnsi="Times New Roman" w:eastAsia="宋体" w:cs="Times New Roman"/>
                <w:b/>
                <w:bCs/>
                <w:kern w:val="44"/>
                <w:sz w:val="44"/>
                <w:szCs w:val="44"/>
                <w:lang w:val="en-US" w:eastAsia="zh-CN" w:bidi="ar-SA"/>
              </w:rPr>
              <w:id w:val="147461413"/>
              <w:placeholder>
                <w:docPart w:val="{0376f466-8b80-41eb-9d7c-7824389a1609}"/>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七、</w:t>
              </w:r>
              <w:r>
                <w:rPr>
                  <w:rFonts w:hint="eastAsia" w:ascii="Times New Roman" w:hAnsi="Times New Roman" w:eastAsia="黑体" w:cstheme="majorBidi"/>
                </w:rPr>
                <w:t>财政拨款“三公”经费支出决算情况说明</w:t>
              </w:r>
            </w:sdtContent>
          </w:sdt>
          <w:r>
            <w:tab/>
          </w:r>
          <w:bookmarkStart w:id="20" w:name="_Toc23114_WPSOffice_Level2Page"/>
          <w:r>
            <w:t>8</w:t>
          </w:r>
          <w:bookmarkEnd w:id="20"/>
          <w:r>
            <w:fldChar w:fldCharType="end"/>
          </w:r>
        </w:p>
        <w:p w14:paraId="63223F6E">
          <w:pPr>
            <w:pStyle w:val="37"/>
            <w:tabs>
              <w:tab w:val="right" w:leader="dot" w:pos="8337"/>
            </w:tabs>
          </w:pPr>
          <w:r>
            <w:fldChar w:fldCharType="begin"/>
          </w:r>
          <w:r>
            <w:instrText xml:space="preserve"> HYPERLINK \l _Toc8900_WPSOffice_Level3 </w:instrText>
          </w:r>
          <w:r>
            <w:fldChar w:fldCharType="separate"/>
          </w:r>
          <w:sdt>
            <w:sdtPr>
              <w:rPr>
                <w:rFonts w:ascii="Times New Roman" w:hAnsi="Times New Roman" w:eastAsia="宋体" w:cs="Times New Roman"/>
                <w:b/>
                <w:bCs/>
                <w:kern w:val="44"/>
                <w:sz w:val="44"/>
                <w:szCs w:val="44"/>
                <w:lang w:val="en-US" w:eastAsia="zh-CN" w:bidi="ar-SA"/>
              </w:rPr>
              <w:id w:val="147451861"/>
              <w:placeholder>
                <w:docPart w:val="{f2bce504-515f-4f36-b08c-ecf359ddcc1c}"/>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（一）“三公”经费财政拨款支出决算总体情况说明</w:t>
              </w:r>
            </w:sdtContent>
          </w:sdt>
          <w:r>
            <w:tab/>
          </w:r>
          <w:bookmarkStart w:id="21" w:name="_Toc8900_WPSOffice_Level3Page"/>
          <w:r>
            <w:t>8</w:t>
          </w:r>
          <w:bookmarkEnd w:id="21"/>
          <w:r>
            <w:fldChar w:fldCharType="end"/>
          </w:r>
        </w:p>
        <w:p w14:paraId="0925DF1A">
          <w:pPr>
            <w:pStyle w:val="37"/>
            <w:tabs>
              <w:tab w:val="right" w:leader="dot" w:pos="8337"/>
            </w:tabs>
          </w:pPr>
          <w:r>
            <w:fldChar w:fldCharType="begin"/>
          </w:r>
          <w:r>
            <w:instrText xml:space="preserve"> HYPERLINK \l _Toc26073_WPSOffice_Level3 </w:instrText>
          </w:r>
          <w:r>
            <w:fldChar w:fldCharType="separate"/>
          </w:r>
          <w:sdt>
            <w:sdtPr>
              <w:rPr>
                <w:rFonts w:ascii="Times New Roman" w:hAnsi="Times New Roman" w:eastAsia="宋体" w:cs="Times New Roman"/>
                <w:b/>
                <w:bCs/>
                <w:kern w:val="44"/>
                <w:sz w:val="44"/>
                <w:szCs w:val="44"/>
                <w:lang w:val="en-US" w:eastAsia="zh-CN" w:bidi="ar-SA"/>
              </w:rPr>
              <w:id w:val="147470210"/>
              <w:placeholder>
                <w:docPart w:val="{900d3af5-084d-4590-ae35-25b92b83f2ed}"/>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（二）“三公”经费财政拨款支出决算具体情况说明</w:t>
              </w:r>
            </w:sdtContent>
          </w:sdt>
          <w:r>
            <w:tab/>
          </w:r>
          <w:bookmarkStart w:id="22" w:name="_Toc26073_WPSOffice_Level3Page"/>
          <w:r>
            <w:t>9</w:t>
          </w:r>
          <w:bookmarkEnd w:id="22"/>
          <w:r>
            <w:fldChar w:fldCharType="end"/>
          </w:r>
        </w:p>
        <w:p w14:paraId="33A3C2C1">
          <w:pPr>
            <w:pStyle w:val="36"/>
            <w:tabs>
              <w:tab w:val="right" w:leader="dot" w:pos="8337"/>
            </w:tabs>
          </w:pPr>
          <w:r>
            <w:fldChar w:fldCharType="begin"/>
          </w:r>
          <w:r>
            <w:instrText xml:space="preserve"> HYPERLINK \l _Toc16572_WPSOffice_Level2 </w:instrText>
          </w:r>
          <w:r>
            <w:fldChar w:fldCharType="separate"/>
          </w:r>
          <w:sdt>
            <w:sdtPr>
              <w:rPr>
                <w:rFonts w:ascii="Times New Roman" w:hAnsi="Times New Roman" w:eastAsia="宋体" w:cs="Times New Roman"/>
                <w:b/>
                <w:bCs/>
                <w:kern w:val="44"/>
                <w:sz w:val="44"/>
                <w:szCs w:val="44"/>
                <w:lang w:val="en-US" w:eastAsia="zh-CN" w:bidi="ar-SA"/>
              </w:rPr>
              <w:id w:val="147464082"/>
              <w:placeholder>
                <w:docPart w:val="{b5f6a1ff-299d-4958-ab8a-3f886c637e40}"/>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八、</w:t>
              </w:r>
              <w:r>
                <w:rPr>
                  <w:rFonts w:hint="eastAsia" w:ascii="Times New Roman" w:hAnsi="Times New Roman" w:eastAsia="黑体" w:cstheme="majorBidi"/>
                </w:rPr>
                <w:t>政府性基金预算支出决算情况说明</w:t>
              </w:r>
            </w:sdtContent>
          </w:sdt>
          <w:r>
            <w:tab/>
          </w:r>
          <w:bookmarkStart w:id="23" w:name="_Toc16572_WPSOffice_Level2Page"/>
          <w:r>
            <w:t>9</w:t>
          </w:r>
          <w:bookmarkEnd w:id="23"/>
          <w:r>
            <w:fldChar w:fldCharType="end"/>
          </w:r>
        </w:p>
        <w:p w14:paraId="52420786">
          <w:pPr>
            <w:pStyle w:val="36"/>
            <w:tabs>
              <w:tab w:val="right" w:leader="dot" w:pos="8337"/>
            </w:tabs>
          </w:pPr>
          <w:r>
            <w:fldChar w:fldCharType="begin"/>
          </w:r>
          <w:r>
            <w:instrText xml:space="preserve"> HYPERLINK \l _Toc24625_WPSOffice_Level2 </w:instrText>
          </w:r>
          <w:r>
            <w:fldChar w:fldCharType="separate"/>
          </w:r>
          <w:sdt>
            <w:sdtPr>
              <w:rPr>
                <w:rFonts w:ascii="Times New Roman" w:hAnsi="Times New Roman" w:eastAsia="宋体" w:cs="Times New Roman"/>
                <w:b/>
                <w:bCs/>
                <w:kern w:val="44"/>
                <w:sz w:val="44"/>
                <w:szCs w:val="44"/>
                <w:lang w:val="en-US" w:eastAsia="zh-CN" w:bidi="ar-SA"/>
              </w:rPr>
              <w:id w:val="147461929"/>
              <w:placeholder>
                <w:docPart w:val="{4dc8a533-262f-4bba-8798-83f63978f65b}"/>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heme="majorBidi"/>
                </w:rPr>
                <w:t>九、国有资本经营预算支出决算情况说明</w:t>
              </w:r>
            </w:sdtContent>
          </w:sdt>
          <w:r>
            <w:tab/>
          </w:r>
          <w:bookmarkStart w:id="24" w:name="_Toc24625_WPSOffice_Level2Page"/>
          <w:r>
            <w:t>10</w:t>
          </w:r>
          <w:bookmarkEnd w:id="24"/>
          <w:r>
            <w:fldChar w:fldCharType="end"/>
          </w:r>
        </w:p>
        <w:p w14:paraId="0B3A94B5">
          <w:pPr>
            <w:pStyle w:val="36"/>
            <w:tabs>
              <w:tab w:val="right" w:leader="dot" w:pos="8337"/>
            </w:tabs>
          </w:pPr>
          <w:r>
            <w:fldChar w:fldCharType="begin"/>
          </w:r>
          <w:r>
            <w:instrText xml:space="preserve"> HYPERLINK \l _Toc27365_WPSOffice_Level2 </w:instrText>
          </w:r>
          <w:r>
            <w:fldChar w:fldCharType="separate"/>
          </w:r>
          <w:sdt>
            <w:sdtPr>
              <w:rPr>
                <w:rFonts w:ascii="Times New Roman" w:hAnsi="Times New Roman" w:eastAsia="宋体" w:cs="Times New Roman"/>
                <w:b/>
                <w:bCs/>
                <w:kern w:val="44"/>
                <w:sz w:val="44"/>
                <w:szCs w:val="44"/>
                <w:lang w:val="en-US" w:eastAsia="zh-CN" w:bidi="ar-SA"/>
              </w:rPr>
              <w:id w:val="147462620"/>
              <w:placeholder>
                <w:docPart w:val="{b722290d-2a9f-4dd3-bada-64717b3acd05}"/>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heme="majorBidi"/>
                </w:rPr>
                <w:t>十、其他重要事项的情况说明</w:t>
              </w:r>
            </w:sdtContent>
          </w:sdt>
          <w:r>
            <w:tab/>
          </w:r>
          <w:bookmarkStart w:id="25" w:name="_Toc27365_WPSOffice_Level2Page"/>
          <w:r>
            <w:t>10</w:t>
          </w:r>
          <w:bookmarkEnd w:id="25"/>
          <w:r>
            <w:fldChar w:fldCharType="end"/>
          </w:r>
        </w:p>
        <w:p w14:paraId="2E341855">
          <w:pPr>
            <w:pStyle w:val="37"/>
            <w:tabs>
              <w:tab w:val="right" w:leader="dot" w:pos="8337"/>
            </w:tabs>
          </w:pPr>
          <w:r>
            <w:fldChar w:fldCharType="begin"/>
          </w:r>
          <w:r>
            <w:instrText xml:space="preserve"> HYPERLINK \l _Toc2770_WPSOffice_Level3 </w:instrText>
          </w:r>
          <w:r>
            <w:fldChar w:fldCharType="separate"/>
          </w:r>
          <w:sdt>
            <w:sdtPr>
              <w:rPr>
                <w:rFonts w:ascii="Times New Roman" w:hAnsi="Times New Roman" w:eastAsia="宋体" w:cs="Times New Roman"/>
                <w:b/>
                <w:bCs/>
                <w:kern w:val="44"/>
                <w:sz w:val="44"/>
                <w:szCs w:val="44"/>
                <w:lang w:val="en-US" w:eastAsia="zh-CN" w:bidi="ar-SA"/>
              </w:rPr>
              <w:id w:val="147466987"/>
              <w:placeholder>
                <w:docPart w:val="{1f11bfa5-4e87-40b6-9276-8e1fbd452c75}"/>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（一）机关运行经费支出情况</w:t>
              </w:r>
            </w:sdtContent>
          </w:sdt>
          <w:r>
            <w:tab/>
          </w:r>
          <w:bookmarkStart w:id="26" w:name="_Toc2770_WPSOffice_Level3Page"/>
          <w:r>
            <w:t>10</w:t>
          </w:r>
          <w:bookmarkEnd w:id="26"/>
          <w:r>
            <w:fldChar w:fldCharType="end"/>
          </w:r>
        </w:p>
        <w:p w14:paraId="6FFF3E99">
          <w:pPr>
            <w:pStyle w:val="37"/>
            <w:tabs>
              <w:tab w:val="right" w:leader="dot" w:pos="8337"/>
            </w:tabs>
          </w:pPr>
          <w:r>
            <w:fldChar w:fldCharType="begin"/>
          </w:r>
          <w:r>
            <w:instrText xml:space="preserve"> HYPERLINK \l _Toc7275_WPSOffice_Level3 </w:instrText>
          </w:r>
          <w:r>
            <w:fldChar w:fldCharType="separate"/>
          </w:r>
          <w:sdt>
            <w:sdtPr>
              <w:rPr>
                <w:rFonts w:ascii="Times New Roman" w:hAnsi="Times New Roman" w:eastAsia="宋体" w:cs="Times New Roman"/>
                <w:b/>
                <w:bCs/>
                <w:kern w:val="44"/>
                <w:sz w:val="44"/>
                <w:szCs w:val="44"/>
                <w:lang w:val="en-US" w:eastAsia="zh-CN" w:bidi="ar-SA"/>
              </w:rPr>
              <w:id w:val="147483544"/>
              <w:placeholder>
                <w:docPart w:val="{8783aa7b-6c21-43c9-b61f-e45753384978}"/>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（二）政府采购支出情况</w:t>
              </w:r>
            </w:sdtContent>
          </w:sdt>
          <w:r>
            <w:tab/>
          </w:r>
          <w:bookmarkStart w:id="27" w:name="_Toc7275_WPSOffice_Level3Page"/>
          <w:r>
            <w:t>10</w:t>
          </w:r>
          <w:bookmarkEnd w:id="27"/>
          <w:r>
            <w:fldChar w:fldCharType="end"/>
          </w:r>
        </w:p>
        <w:p w14:paraId="2F48AD40">
          <w:pPr>
            <w:pStyle w:val="37"/>
            <w:tabs>
              <w:tab w:val="right" w:leader="dot" w:pos="8337"/>
            </w:tabs>
          </w:pPr>
          <w:r>
            <w:fldChar w:fldCharType="begin"/>
          </w:r>
          <w:r>
            <w:instrText xml:space="preserve"> HYPERLINK \l _Toc17537_WPSOffice_Level3 </w:instrText>
          </w:r>
          <w:r>
            <w:fldChar w:fldCharType="separate"/>
          </w:r>
          <w:sdt>
            <w:sdtPr>
              <w:rPr>
                <w:rFonts w:ascii="Times New Roman" w:hAnsi="Times New Roman" w:eastAsia="宋体" w:cs="Times New Roman"/>
                <w:b/>
                <w:bCs/>
                <w:kern w:val="44"/>
                <w:sz w:val="44"/>
                <w:szCs w:val="44"/>
                <w:lang w:val="en-US" w:eastAsia="zh-CN" w:bidi="ar-SA"/>
              </w:rPr>
              <w:id w:val="147476503"/>
              <w:placeholder>
                <w:docPart w:val="{85bb57a3-62f7-4a0e-bf31-83da99b11765}"/>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（三）国有资产占有使用情况</w:t>
              </w:r>
            </w:sdtContent>
          </w:sdt>
          <w:r>
            <w:tab/>
          </w:r>
          <w:bookmarkStart w:id="28" w:name="_Toc17537_WPSOffice_Level3Page"/>
          <w:r>
            <w:t>10</w:t>
          </w:r>
          <w:bookmarkEnd w:id="28"/>
          <w:r>
            <w:fldChar w:fldCharType="end"/>
          </w:r>
        </w:p>
        <w:p w14:paraId="0BD00E33">
          <w:pPr>
            <w:pStyle w:val="37"/>
            <w:tabs>
              <w:tab w:val="right" w:leader="dot" w:pos="8337"/>
            </w:tabs>
          </w:pPr>
          <w:r>
            <w:fldChar w:fldCharType="begin"/>
          </w:r>
          <w:r>
            <w:instrText xml:space="preserve"> HYPERLINK \l _Toc23114_WPSOffice_Level3 </w:instrText>
          </w:r>
          <w:r>
            <w:fldChar w:fldCharType="separate"/>
          </w:r>
          <w:sdt>
            <w:sdtPr>
              <w:rPr>
                <w:rFonts w:ascii="Times New Roman" w:hAnsi="Times New Roman" w:eastAsia="宋体" w:cs="Times New Roman"/>
                <w:b/>
                <w:bCs/>
                <w:kern w:val="44"/>
                <w:sz w:val="44"/>
                <w:szCs w:val="44"/>
                <w:lang w:val="en-US" w:eastAsia="zh-CN" w:bidi="ar-SA"/>
              </w:rPr>
              <w:id w:val="147482844"/>
              <w:placeholder>
                <w:docPart w:val="{ded15ce4-8c4d-4b46-be4b-851dd780981f}"/>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楷体_GB2312" w:cs="楷体_GB2312"/>
                </w:rPr>
                <w:t>（四）预算绩效管理情况</w:t>
              </w:r>
            </w:sdtContent>
          </w:sdt>
          <w:r>
            <w:tab/>
          </w:r>
          <w:bookmarkStart w:id="29" w:name="_Toc23114_WPSOffice_Level3Page"/>
          <w:r>
            <w:t>10</w:t>
          </w:r>
          <w:bookmarkEnd w:id="29"/>
          <w:r>
            <w:fldChar w:fldCharType="end"/>
          </w:r>
        </w:p>
        <w:p w14:paraId="015B5930">
          <w:pPr>
            <w:pStyle w:val="35"/>
            <w:tabs>
              <w:tab w:val="right" w:leader="dot" w:pos="8337"/>
            </w:tabs>
          </w:pPr>
          <w:r>
            <w:fldChar w:fldCharType="begin"/>
          </w:r>
          <w:r>
            <w:instrText xml:space="preserve"> HYPERLINK \l _Toc28931_WPSOffice_Level1 </w:instrText>
          </w:r>
          <w:r>
            <w:fldChar w:fldCharType="separate"/>
          </w:r>
          <w:sdt>
            <w:sdtPr>
              <w:rPr>
                <w:rFonts w:ascii="Times New Roman" w:hAnsi="Times New Roman" w:eastAsia="宋体" w:cs="Times New Roman"/>
                <w:b/>
                <w:bCs/>
                <w:kern w:val="44"/>
                <w:sz w:val="44"/>
                <w:szCs w:val="44"/>
                <w:lang w:val="en-US" w:eastAsia="zh-CN" w:bidi="ar-SA"/>
              </w:rPr>
              <w:id w:val="147480146"/>
              <w:placeholder>
                <w:docPart w:val="{e6cce27e-817b-4ca6-8b13-dd9fd2b25c80}"/>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第三部分  名词解释</w:t>
              </w:r>
            </w:sdtContent>
          </w:sdt>
          <w:r>
            <w:tab/>
          </w:r>
          <w:bookmarkStart w:id="30" w:name="_Toc28931_WPSOffice_Level1Page"/>
          <w:r>
            <w:t>11</w:t>
          </w:r>
          <w:bookmarkEnd w:id="30"/>
          <w:r>
            <w:fldChar w:fldCharType="end"/>
          </w:r>
        </w:p>
        <w:p w14:paraId="2486CF9F">
          <w:pPr>
            <w:pStyle w:val="35"/>
            <w:tabs>
              <w:tab w:val="right" w:leader="dot" w:pos="8337"/>
            </w:tabs>
          </w:pPr>
          <w:r>
            <w:fldChar w:fldCharType="begin"/>
          </w:r>
          <w:r>
            <w:instrText xml:space="preserve"> HYPERLINK \l _Toc5729_WPSOffice_Level1 </w:instrText>
          </w:r>
          <w:r>
            <w:fldChar w:fldCharType="separate"/>
          </w:r>
          <w:sdt>
            <w:sdtPr>
              <w:rPr>
                <w:rFonts w:ascii="Times New Roman" w:hAnsi="Times New Roman" w:eastAsia="宋体" w:cs="Times New Roman"/>
                <w:b/>
                <w:bCs/>
                <w:kern w:val="44"/>
                <w:sz w:val="44"/>
                <w:szCs w:val="44"/>
                <w:lang w:val="en-US" w:eastAsia="zh-CN" w:bidi="ar-SA"/>
              </w:rPr>
              <w:id w:val="147474160"/>
              <w:placeholder>
                <w:docPart w:val="{61f71245-a337-4242-aad7-e54ccc3bb3b6}"/>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第四部分  附件</w:t>
              </w:r>
            </w:sdtContent>
          </w:sdt>
          <w:r>
            <w:tab/>
          </w:r>
          <w:bookmarkStart w:id="31" w:name="_Toc5729_WPSOffice_Level1Page"/>
          <w:r>
            <w:t>14</w:t>
          </w:r>
          <w:bookmarkEnd w:id="31"/>
          <w:r>
            <w:fldChar w:fldCharType="end"/>
          </w:r>
        </w:p>
        <w:p w14:paraId="46E5B823">
          <w:pPr>
            <w:pStyle w:val="35"/>
            <w:tabs>
              <w:tab w:val="right" w:leader="dot" w:pos="8337"/>
            </w:tabs>
          </w:pPr>
          <w:r>
            <w:fldChar w:fldCharType="begin"/>
          </w:r>
          <w:r>
            <w:instrText xml:space="preserve"> HYPERLINK \l _Toc8900_WPSOffice_Level1 </w:instrText>
          </w:r>
          <w:r>
            <w:fldChar w:fldCharType="separate"/>
          </w:r>
          <w:sdt>
            <w:sdtPr>
              <w:rPr>
                <w:rFonts w:ascii="Times New Roman" w:hAnsi="Times New Roman" w:eastAsia="宋体" w:cs="Times New Roman"/>
                <w:b/>
                <w:bCs/>
                <w:kern w:val="44"/>
                <w:sz w:val="44"/>
                <w:szCs w:val="44"/>
                <w:lang w:val="en-US" w:eastAsia="zh-CN" w:bidi="ar-SA"/>
              </w:rPr>
              <w:id w:val="147478826"/>
              <w:placeholder>
                <w:docPart w:val="{0a767ab3-c778-4927-8d5c-944d77db455e}"/>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黑体" w:cs="Times New Roman"/>
                </w:rPr>
                <w:t>第五部分 附表</w:t>
              </w:r>
            </w:sdtContent>
          </w:sdt>
          <w:r>
            <w:tab/>
          </w:r>
          <w:bookmarkStart w:id="32" w:name="_Toc8900_WPSOffice_Level1Page"/>
          <w:r>
            <w:t>14</w:t>
          </w:r>
          <w:bookmarkEnd w:id="32"/>
          <w:r>
            <w:fldChar w:fldCharType="end"/>
          </w:r>
        </w:p>
        <w:p w14:paraId="5BBA6B58">
          <w:pPr>
            <w:pStyle w:val="36"/>
            <w:tabs>
              <w:tab w:val="right" w:leader="dot" w:pos="8337"/>
            </w:tabs>
          </w:pPr>
          <w:r>
            <w:fldChar w:fldCharType="begin"/>
          </w:r>
          <w:r>
            <w:instrText xml:space="preserve"> HYPERLINK \l _Toc11071_WPSOffice_Level2 </w:instrText>
          </w:r>
          <w:r>
            <w:fldChar w:fldCharType="separate"/>
          </w:r>
          <w:sdt>
            <w:sdtPr>
              <w:rPr>
                <w:rFonts w:ascii="Times New Roman" w:hAnsi="Times New Roman" w:eastAsia="宋体" w:cs="Times New Roman"/>
                <w:b/>
                <w:bCs/>
                <w:kern w:val="44"/>
                <w:sz w:val="44"/>
                <w:szCs w:val="44"/>
                <w:lang w:val="en-US" w:eastAsia="zh-CN" w:bidi="ar-SA"/>
              </w:rPr>
              <w:id w:val="147458317"/>
              <w:placeholder>
                <w:docPart w:val="{ec3bbeb3-91b9-4be8-ab2a-6fe7d9f95486}"/>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一、收入支出决算总表</w:t>
              </w:r>
            </w:sdtContent>
          </w:sdt>
          <w:r>
            <w:tab/>
          </w:r>
          <w:bookmarkStart w:id="33" w:name="_Toc11071_WPSOffice_Level2Page"/>
          <w:r>
            <w:t>14</w:t>
          </w:r>
          <w:bookmarkEnd w:id="33"/>
          <w:r>
            <w:fldChar w:fldCharType="end"/>
          </w:r>
        </w:p>
        <w:p w14:paraId="7CB16A84">
          <w:pPr>
            <w:pStyle w:val="36"/>
            <w:tabs>
              <w:tab w:val="right" w:leader="dot" w:pos="8337"/>
            </w:tabs>
          </w:pPr>
          <w:r>
            <w:fldChar w:fldCharType="begin"/>
          </w:r>
          <w:r>
            <w:instrText xml:space="preserve"> HYPERLINK \l _Toc13759_WPSOffice_Level2 </w:instrText>
          </w:r>
          <w:r>
            <w:fldChar w:fldCharType="separate"/>
          </w:r>
          <w:sdt>
            <w:sdtPr>
              <w:rPr>
                <w:rFonts w:ascii="Times New Roman" w:hAnsi="Times New Roman" w:eastAsia="宋体" w:cs="Times New Roman"/>
                <w:b/>
                <w:bCs/>
                <w:kern w:val="44"/>
                <w:sz w:val="44"/>
                <w:szCs w:val="44"/>
                <w:lang w:val="en-US" w:eastAsia="zh-CN" w:bidi="ar-SA"/>
              </w:rPr>
              <w:id w:val="147465533"/>
              <w:placeholder>
                <w:docPart w:val="{e46d27e8-58d4-45fc-915c-116a962860bb}"/>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二、收入决算表</w:t>
              </w:r>
            </w:sdtContent>
          </w:sdt>
          <w:r>
            <w:tab/>
          </w:r>
          <w:bookmarkStart w:id="34" w:name="_Toc13759_WPSOffice_Level2Page"/>
          <w:r>
            <w:t>14</w:t>
          </w:r>
          <w:bookmarkEnd w:id="34"/>
          <w:r>
            <w:fldChar w:fldCharType="end"/>
          </w:r>
        </w:p>
        <w:p w14:paraId="21D1CAD2">
          <w:pPr>
            <w:pStyle w:val="36"/>
            <w:tabs>
              <w:tab w:val="right" w:leader="dot" w:pos="8337"/>
            </w:tabs>
          </w:pPr>
          <w:r>
            <w:fldChar w:fldCharType="begin"/>
          </w:r>
          <w:r>
            <w:instrText xml:space="preserve"> HYPERLINK \l _Toc11465_WPSOffice_Level2 </w:instrText>
          </w:r>
          <w:r>
            <w:fldChar w:fldCharType="separate"/>
          </w:r>
          <w:sdt>
            <w:sdtPr>
              <w:rPr>
                <w:rFonts w:ascii="Times New Roman" w:hAnsi="Times New Roman" w:eastAsia="宋体" w:cs="Times New Roman"/>
                <w:b/>
                <w:bCs/>
                <w:kern w:val="44"/>
                <w:sz w:val="44"/>
                <w:szCs w:val="44"/>
                <w:lang w:val="en-US" w:eastAsia="zh-CN" w:bidi="ar-SA"/>
              </w:rPr>
              <w:id w:val="147451510"/>
              <w:placeholder>
                <w:docPart w:val="{eeeedbd4-bb45-4c96-986c-97956308f6eb}"/>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三、支出决算表</w:t>
              </w:r>
            </w:sdtContent>
          </w:sdt>
          <w:r>
            <w:tab/>
          </w:r>
          <w:bookmarkStart w:id="35" w:name="_Toc11465_WPSOffice_Level2Page"/>
          <w:r>
            <w:t>14</w:t>
          </w:r>
          <w:bookmarkEnd w:id="35"/>
          <w:r>
            <w:fldChar w:fldCharType="end"/>
          </w:r>
        </w:p>
        <w:p w14:paraId="3F832DED">
          <w:pPr>
            <w:pStyle w:val="36"/>
            <w:tabs>
              <w:tab w:val="right" w:leader="dot" w:pos="8337"/>
            </w:tabs>
          </w:pPr>
          <w:r>
            <w:fldChar w:fldCharType="begin"/>
          </w:r>
          <w:r>
            <w:instrText xml:space="preserve"> HYPERLINK \l _Toc22651_WPSOffice_Level2 </w:instrText>
          </w:r>
          <w:r>
            <w:fldChar w:fldCharType="separate"/>
          </w:r>
          <w:sdt>
            <w:sdtPr>
              <w:rPr>
                <w:rFonts w:ascii="Times New Roman" w:hAnsi="Times New Roman" w:eastAsia="宋体" w:cs="Times New Roman"/>
                <w:b/>
                <w:bCs/>
                <w:kern w:val="44"/>
                <w:sz w:val="44"/>
                <w:szCs w:val="44"/>
                <w:lang w:val="en-US" w:eastAsia="zh-CN" w:bidi="ar-SA"/>
              </w:rPr>
              <w:id w:val="147461508"/>
              <w:placeholder>
                <w:docPart w:val="{77fd0523-f5da-408b-88c8-60822ceab759}"/>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四、财政拨款收入支出决算总表</w:t>
              </w:r>
            </w:sdtContent>
          </w:sdt>
          <w:r>
            <w:tab/>
          </w:r>
          <w:bookmarkStart w:id="36" w:name="_Toc22651_WPSOffice_Level2Page"/>
          <w:r>
            <w:t>14</w:t>
          </w:r>
          <w:bookmarkEnd w:id="36"/>
          <w:r>
            <w:fldChar w:fldCharType="end"/>
          </w:r>
        </w:p>
        <w:p w14:paraId="06447E3A">
          <w:pPr>
            <w:pStyle w:val="36"/>
            <w:tabs>
              <w:tab w:val="right" w:leader="dot" w:pos="8337"/>
            </w:tabs>
          </w:pPr>
          <w:r>
            <w:fldChar w:fldCharType="begin"/>
          </w:r>
          <w:r>
            <w:instrText xml:space="preserve"> HYPERLINK \l _Toc26018_WPSOffice_Level2 </w:instrText>
          </w:r>
          <w:r>
            <w:fldChar w:fldCharType="separate"/>
          </w:r>
          <w:sdt>
            <w:sdtPr>
              <w:rPr>
                <w:rFonts w:ascii="Times New Roman" w:hAnsi="Times New Roman" w:eastAsia="宋体" w:cs="Times New Roman"/>
                <w:b/>
                <w:bCs/>
                <w:kern w:val="44"/>
                <w:sz w:val="44"/>
                <w:szCs w:val="44"/>
                <w:lang w:val="en-US" w:eastAsia="zh-CN" w:bidi="ar-SA"/>
              </w:rPr>
              <w:id w:val="147473407"/>
              <w:placeholder>
                <w:docPart w:val="{89db0406-4692-4079-98d4-6aad33472ca3}"/>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五、财政拨款支出决算明细表</w:t>
              </w:r>
            </w:sdtContent>
          </w:sdt>
          <w:r>
            <w:tab/>
          </w:r>
          <w:bookmarkStart w:id="37" w:name="_Toc26018_WPSOffice_Level2Page"/>
          <w:r>
            <w:t>14</w:t>
          </w:r>
          <w:bookmarkEnd w:id="37"/>
          <w:r>
            <w:fldChar w:fldCharType="end"/>
          </w:r>
        </w:p>
        <w:p w14:paraId="4C2BA230">
          <w:pPr>
            <w:pStyle w:val="36"/>
            <w:tabs>
              <w:tab w:val="right" w:leader="dot" w:pos="8337"/>
            </w:tabs>
          </w:pPr>
          <w:r>
            <w:fldChar w:fldCharType="begin"/>
          </w:r>
          <w:r>
            <w:instrText xml:space="preserve"> HYPERLINK \l _Toc1382_WPSOffice_Level2 </w:instrText>
          </w:r>
          <w:r>
            <w:fldChar w:fldCharType="separate"/>
          </w:r>
          <w:sdt>
            <w:sdtPr>
              <w:rPr>
                <w:rFonts w:ascii="Times New Roman" w:hAnsi="Times New Roman" w:eastAsia="宋体" w:cs="Times New Roman"/>
                <w:b/>
                <w:bCs/>
                <w:kern w:val="44"/>
                <w:sz w:val="44"/>
                <w:szCs w:val="44"/>
                <w:lang w:val="en-US" w:eastAsia="zh-CN" w:bidi="ar-SA"/>
              </w:rPr>
              <w:id w:val="147458604"/>
              <w:placeholder>
                <w:docPart w:val="{04665f1f-4a1f-4260-a78f-eff856278041}"/>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六、一般公共预算财政拨款支出决算表</w:t>
              </w:r>
            </w:sdtContent>
          </w:sdt>
          <w:r>
            <w:tab/>
          </w:r>
          <w:bookmarkStart w:id="38" w:name="_Toc1382_WPSOffice_Level2Page"/>
          <w:r>
            <w:t>14</w:t>
          </w:r>
          <w:bookmarkEnd w:id="38"/>
          <w:r>
            <w:fldChar w:fldCharType="end"/>
          </w:r>
        </w:p>
        <w:p w14:paraId="11804EEC">
          <w:pPr>
            <w:pStyle w:val="36"/>
            <w:tabs>
              <w:tab w:val="right" w:leader="dot" w:pos="8337"/>
            </w:tabs>
          </w:pPr>
          <w:r>
            <w:fldChar w:fldCharType="begin"/>
          </w:r>
          <w:r>
            <w:instrText xml:space="preserve"> HYPERLINK \l _Toc10403_WPSOffice_Level2 </w:instrText>
          </w:r>
          <w:r>
            <w:fldChar w:fldCharType="separate"/>
          </w:r>
          <w:sdt>
            <w:sdtPr>
              <w:rPr>
                <w:rFonts w:ascii="Times New Roman" w:hAnsi="Times New Roman" w:eastAsia="宋体" w:cs="Times New Roman"/>
                <w:b/>
                <w:bCs/>
                <w:kern w:val="44"/>
                <w:sz w:val="44"/>
                <w:szCs w:val="44"/>
                <w:lang w:val="en-US" w:eastAsia="zh-CN" w:bidi="ar-SA"/>
              </w:rPr>
              <w:id w:val="147475738"/>
              <w:placeholder>
                <w:docPart w:val="{665254a2-8260-467e-8447-c0d17f85c27a}"/>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七、一般公共预算财政拨款支出决算明细表</w:t>
              </w:r>
            </w:sdtContent>
          </w:sdt>
          <w:r>
            <w:tab/>
          </w:r>
          <w:bookmarkStart w:id="39" w:name="_Toc10403_WPSOffice_Level2Page"/>
          <w:r>
            <w:t>14</w:t>
          </w:r>
          <w:bookmarkEnd w:id="39"/>
          <w:r>
            <w:fldChar w:fldCharType="end"/>
          </w:r>
        </w:p>
        <w:p w14:paraId="66D094A4">
          <w:pPr>
            <w:pStyle w:val="36"/>
            <w:tabs>
              <w:tab w:val="right" w:leader="dot" w:pos="8337"/>
            </w:tabs>
          </w:pPr>
          <w:r>
            <w:fldChar w:fldCharType="begin"/>
          </w:r>
          <w:r>
            <w:instrText xml:space="preserve"> HYPERLINK \l _Toc28358_WPSOffice_Level2 </w:instrText>
          </w:r>
          <w:r>
            <w:fldChar w:fldCharType="separate"/>
          </w:r>
          <w:sdt>
            <w:sdtPr>
              <w:rPr>
                <w:rFonts w:ascii="Times New Roman" w:hAnsi="Times New Roman" w:eastAsia="宋体" w:cs="Times New Roman"/>
                <w:b/>
                <w:bCs/>
                <w:kern w:val="44"/>
                <w:sz w:val="44"/>
                <w:szCs w:val="44"/>
                <w:lang w:val="en-US" w:eastAsia="zh-CN" w:bidi="ar-SA"/>
              </w:rPr>
              <w:id w:val="147481858"/>
              <w:placeholder>
                <w:docPart w:val="{5ee9f625-d4a4-4f03-8060-0ca734d3b239}"/>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八、一般公共预算财政拨款基本支出决算表</w:t>
              </w:r>
            </w:sdtContent>
          </w:sdt>
          <w:r>
            <w:tab/>
          </w:r>
          <w:bookmarkStart w:id="40" w:name="_Toc28358_WPSOffice_Level2Page"/>
          <w:r>
            <w:t>14</w:t>
          </w:r>
          <w:bookmarkEnd w:id="40"/>
          <w:r>
            <w:fldChar w:fldCharType="end"/>
          </w:r>
        </w:p>
        <w:p w14:paraId="2F6CD48E">
          <w:pPr>
            <w:pStyle w:val="36"/>
            <w:tabs>
              <w:tab w:val="right" w:leader="dot" w:pos="8337"/>
            </w:tabs>
          </w:pPr>
          <w:r>
            <w:fldChar w:fldCharType="begin"/>
          </w:r>
          <w:r>
            <w:instrText xml:space="preserve"> HYPERLINK \l _Toc9851_WPSOffice_Level2 </w:instrText>
          </w:r>
          <w:r>
            <w:fldChar w:fldCharType="separate"/>
          </w:r>
          <w:sdt>
            <w:sdtPr>
              <w:rPr>
                <w:rFonts w:ascii="Times New Roman" w:hAnsi="Times New Roman" w:eastAsia="宋体" w:cs="Times New Roman"/>
                <w:b/>
                <w:bCs/>
                <w:kern w:val="44"/>
                <w:sz w:val="44"/>
                <w:szCs w:val="44"/>
                <w:lang w:val="en-US" w:eastAsia="zh-CN" w:bidi="ar-SA"/>
              </w:rPr>
              <w:id w:val="147478533"/>
              <w:placeholder>
                <w:docPart w:val="{ffd555a3-be85-4358-9a72-312e9f0980ca}"/>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九、一般公共预算财政拨款项目支出决算表</w:t>
              </w:r>
            </w:sdtContent>
          </w:sdt>
          <w:r>
            <w:tab/>
          </w:r>
          <w:bookmarkStart w:id="41" w:name="_Toc9851_WPSOffice_Level2Page"/>
          <w:r>
            <w:t>14</w:t>
          </w:r>
          <w:bookmarkEnd w:id="41"/>
          <w:r>
            <w:fldChar w:fldCharType="end"/>
          </w:r>
        </w:p>
        <w:p w14:paraId="1E4B72E0">
          <w:pPr>
            <w:pStyle w:val="36"/>
            <w:tabs>
              <w:tab w:val="right" w:leader="dot" w:pos="8337"/>
            </w:tabs>
          </w:pPr>
          <w:r>
            <w:fldChar w:fldCharType="begin"/>
          </w:r>
          <w:r>
            <w:instrText xml:space="preserve"> HYPERLINK \l _Toc21484_WPSOffice_Level2 </w:instrText>
          </w:r>
          <w:r>
            <w:fldChar w:fldCharType="separate"/>
          </w:r>
          <w:sdt>
            <w:sdtPr>
              <w:rPr>
                <w:rFonts w:ascii="Times New Roman" w:hAnsi="Times New Roman" w:eastAsia="宋体" w:cs="Times New Roman"/>
                <w:b/>
                <w:bCs/>
                <w:kern w:val="44"/>
                <w:sz w:val="44"/>
                <w:szCs w:val="44"/>
                <w:lang w:val="en-US" w:eastAsia="zh-CN" w:bidi="ar-SA"/>
              </w:rPr>
              <w:id w:val="147454036"/>
              <w:placeholder>
                <w:docPart w:val="{f7686993-a809-4687-8d7b-1fefd996c619}"/>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十、政府性基金预算财政拨款收入支出决算表</w:t>
              </w:r>
            </w:sdtContent>
          </w:sdt>
          <w:r>
            <w:tab/>
          </w:r>
          <w:bookmarkStart w:id="42" w:name="_Toc21484_WPSOffice_Level2Page"/>
          <w:r>
            <w:t>14</w:t>
          </w:r>
          <w:bookmarkEnd w:id="42"/>
          <w:r>
            <w:fldChar w:fldCharType="end"/>
          </w:r>
        </w:p>
        <w:p w14:paraId="01E9BB58">
          <w:pPr>
            <w:pStyle w:val="36"/>
            <w:tabs>
              <w:tab w:val="right" w:leader="dot" w:pos="8337"/>
            </w:tabs>
          </w:pPr>
          <w:r>
            <w:fldChar w:fldCharType="begin"/>
          </w:r>
          <w:r>
            <w:instrText xml:space="preserve"> HYPERLINK \l _Toc13592_WPSOffice_Level2 </w:instrText>
          </w:r>
          <w:r>
            <w:fldChar w:fldCharType="separate"/>
          </w:r>
          <w:sdt>
            <w:sdtPr>
              <w:rPr>
                <w:rFonts w:ascii="Times New Roman" w:hAnsi="Times New Roman" w:eastAsia="宋体" w:cs="Times New Roman"/>
                <w:b/>
                <w:bCs/>
                <w:kern w:val="44"/>
                <w:sz w:val="44"/>
                <w:szCs w:val="44"/>
                <w:lang w:val="en-US" w:eastAsia="zh-CN" w:bidi="ar-SA"/>
              </w:rPr>
              <w:id w:val="147451566"/>
              <w:placeholder>
                <w:docPart w:val="{78541446-3021-4965-86fe-d7c036925c7c}"/>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十一、国有资本经营预算财政拨款收入支出决算表</w:t>
              </w:r>
            </w:sdtContent>
          </w:sdt>
          <w:r>
            <w:tab/>
          </w:r>
          <w:bookmarkStart w:id="43" w:name="_Toc13592_WPSOffice_Level2Page"/>
          <w:r>
            <w:t>14</w:t>
          </w:r>
          <w:bookmarkEnd w:id="43"/>
          <w:r>
            <w:fldChar w:fldCharType="end"/>
          </w:r>
        </w:p>
        <w:p w14:paraId="56AF198E">
          <w:pPr>
            <w:pStyle w:val="36"/>
            <w:tabs>
              <w:tab w:val="right" w:leader="dot" w:pos="8337"/>
            </w:tabs>
          </w:pPr>
          <w:r>
            <w:fldChar w:fldCharType="begin"/>
          </w:r>
          <w:r>
            <w:instrText xml:space="preserve"> HYPERLINK \l _Toc24453_WPSOffice_Level2 </w:instrText>
          </w:r>
          <w:r>
            <w:fldChar w:fldCharType="separate"/>
          </w:r>
          <w:sdt>
            <w:sdtPr>
              <w:rPr>
                <w:rFonts w:ascii="Times New Roman" w:hAnsi="Times New Roman" w:eastAsia="宋体" w:cs="Times New Roman"/>
                <w:b/>
                <w:bCs/>
                <w:kern w:val="44"/>
                <w:sz w:val="44"/>
                <w:szCs w:val="44"/>
                <w:lang w:val="en-US" w:eastAsia="zh-CN" w:bidi="ar-SA"/>
              </w:rPr>
              <w:id w:val="147454943"/>
              <w:placeholder>
                <w:docPart w:val="{b16d2cdb-2d7c-4b03-be5e-06a75ef5a66d}"/>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十二、国有资本经营预算财政拨款支出决算表</w:t>
              </w:r>
            </w:sdtContent>
          </w:sdt>
          <w:r>
            <w:tab/>
          </w:r>
          <w:bookmarkStart w:id="44" w:name="_Toc24453_WPSOffice_Level2Page"/>
          <w:r>
            <w:t>14</w:t>
          </w:r>
          <w:bookmarkEnd w:id="44"/>
          <w:r>
            <w:fldChar w:fldCharType="end"/>
          </w:r>
        </w:p>
        <w:p w14:paraId="281C37B4">
          <w:pPr>
            <w:pStyle w:val="36"/>
            <w:tabs>
              <w:tab w:val="right" w:leader="dot" w:pos="8337"/>
            </w:tabs>
          </w:pPr>
          <w:r>
            <w:fldChar w:fldCharType="begin"/>
          </w:r>
          <w:r>
            <w:instrText xml:space="preserve"> HYPERLINK \l _Toc5919_WPSOffice_Level2 </w:instrText>
          </w:r>
          <w:r>
            <w:fldChar w:fldCharType="separate"/>
          </w:r>
          <w:sdt>
            <w:sdtPr>
              <w:rPr>
                <w:rFonts w:ascii="Times New Roman" w:hAnsi="Times New Roman" w:eastAsia="宋体" w:cs="Times New Roman"/>
                <w:b/>
                <w:bCs/>
                <w:kern w:val="44"/>
                <w:sz w:val="44"/>
                <w:szCs w:val="44"/>
                <w:lang w:val="en-US" w:eastAsia="zh-CN" w:bidi="ar-SA"/>
              </w:rPr>
              <w:id w:val="147480932"/>
              <w:placeholder>
                <w:docPart w:val="{646f1c8d-6a49-4b87-9d74-e3138419f1f1}"/>
              </w:placeholder>
              <w15:color w:val="509DF3"/>
            </w:sdtPr>
            <w:sdtEndPr>
              <w:rPr>
                <w:rFonts w:ascii="Times New Roman" w:hAnsi="Times New Roman" w:eastAsia="宋体" w:cs="Times New Roman"/>
                <w:b/>
                <w:bCs/>
                <w:kern w:val="44"/>
                <w:sz w:val="44"/>
                <w:szCs w:val="44"/>
                <w:lang w:val="en-US" w:eastAsia="zh-CN" w:bidi="ar-SA"/>
              </w:rPr>
            </w:sdtEndPr>
            <w:sdtContent>
              <w:r>
                <w:rPr>
                  <w:rFonts w:hint="eastAsia" w:ascii="Times New Roman" w:hAnsi="Times New Roman" w:eastAsia="仿宋_GB2312" w:cs="仿宋_GB2312"/>
                </w:rPr>
                <w:t>十三、财政拨款“三公”经费支出决算表</w:t>
              </w:r>
            </w:sdtContent>
          </w:sdt>
          <w:r>
            <w:tab/>
          </w:r>
          <w:bookmarkStart w:id="45" w:name="_Toc5919_WPSOffice_Level2Page"/>
          <w:r>
            <w:t>14</w:t>
          </w:r>
          <w:bookmarkEnd w:id="45"/>
          <w:r>
            <w:fldChar w:fldCharType="end"/>
          </w:r>
          <w:bookmarkEnd w:id="6"/>
        </w:p>
      </w:sdtContent>
    </w:sdt>
    <w:p w14:paraId="712911BF">
      <w:pPr>
        <w:pStyle w:val="3"/>
        <w:jc w:val="center"/>
        <w:rPr>
          <w:rFonts w:hint="eastAsia" w:ascii="Times New Roman" w:hAnsi="Times New Roman" w:eastAsia="方正小标宋简体" w:cs="方正小标宋简体"/>
          <w:b w:val="0"/>
          <w:color w:val="auto"/>
          <w:highlight w:val="none"/>
        </w:rPr>
        <w:sectPr>
          <w:headerReference r:id="rId3" w:type="default"/>
          <w:footerReference r:id="rId4" w:type="default"/>
          <w:pgSz w:w="11907" w:h="16839"/>
          <w:pgMar w:top="1431" w:right="1785" w:bottom="1395" w:left="1785" w:header="0" w:footer="1167" w:gutter="0"/>
          <w:cols w:space="720" w:num="1"/>
        </w:sectPr>
      </w:pPr>
    </w:p>
    <w:p w14:paraId="062FA120">
      <w:pPr>
        <w:pStyle w:val="3"/>
        <w:jc w:val="center"/>
        <w:rPr>
          <w:rStyle w:val="28"/>
          <w:rFonts w:hint="eastAsia" w:ascii="Times New Roman" w:hAnsi="Times New Roman" w:eastAsia="方正小标宋简体" w:cs="方正小标宋简体"/>
          <w:b/>
          <w:bCs w:val="0"/>
          <w:color w:val="auto"/>
          <w:highlight w:val="none"/>
        </w:rPr>
      </w:pPr>
      <w:bookmarkStart w:id="46" w:name="_Toc25669_WPSOffice_Level1"/>
      <w:r>
        <w:rPr>
          <w:rFonts w:hint="eastAsia" w:ascii="Times New Roman" w:hAnsi="Times New Roman" w:eastAsia="方正小标宋简体" w:cs="方正小标宋简体"/>
          <w:b w:val="0"/>
          <w:color w:val="auto"/>
          <w:highlight w:val="none"/>
        </w:rPr>
        <w:t>第一部分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Style w:val="28"/>
          <w:rFonts w:hint="eastAsia" w:ascii="Times New Roman" w:hAnsi="Times New Roman" w:eastAsia="方正小标宋简体" w:cs="方正小标宋简体"/>
          <w:b w:val="0"/>
          <w:bCs w:val="0"/>
          <w:color w:val="auto"/>
          <w:highlight w:val="none"/>
        </w:rPr>
        <w:t>部门概况</w:t>
      </w:r>
      <w:bookmarkEnd w:id="46"/>
    </w:p>
    <w:p w14:paraId="3F33505B">
      <w:pPr>
        <w:widowControl/>
        <w:jc w:val="left"/>
        <w:rPr>
          <w:rFonts w:ascii="Times New Roman" w:hAnsi="Times New Roman" w:eastAsia="黑体"/>
          <w:color w:val="auto"/>
          <w:sz w:val="32"/>
          <w:szCs w:val="32"/>
          <w:highlight w:val="none"/>
        </w:rPr>
      </w:pPr>
    </w:p>
    <w:p w14:paraId="18FEC050">
      <w:pPr>
        <w:pStyle w:val="4"/>
        <w:numPr>
          <w:ilvl w:val="0"/>
          <w:numId w:val="1"/>
        </w:numPr>
        <w:rPr>
          <w:rFonts w:hint="eastAsia" w:ascii="Times New Roman" w:hAnsi="Times New Roman" w:eastAsia="黑体"/>
          <w:b w:val="0"/>
          <w:color w:val="auto"/>
          <w:highlight w:val="none"/>
          <w:lang w:eastAsia="zh-CN"/>
        </w:rPr>
      </w:pPr>
      <w:bookmarkStart w:id="47" w:name="_Toc4388_WPSOffice_Level2"/>
      <w:r>
        <w:rPr>
          <w:rFonts w:hint="eastAsia" w:ascii="Times New Roman" w:hAnsi="Times New Roman" w:eastAsia="黑体"/>
          <w:b w:val="0"/>
          <w:color w:val="auto"/>
          <w:highlight w:val="none"/>
          <w:lang w:eastAsia="zh-CN"/>
        </w:rPr>
        <w:t>部门职责</w:t>
      </w:r>
      <w:bookmarkEnd w:id="47"/>
    </w:p>
    <w:p w14:paraId="0F8669F1">
      <w:pPr>
        <w:keepNext w:val="0"/>
        <w:keepLines w:val="0"/>
        <w:pageBreakBefore w:val="0"/>
        <w:widowControl w:val="0"/>
        <w:kinsoku/>
        <w:wordWrap/>
        <w:overflowPunct/>
        <w:topLinePunct w:val="0"/>
        <w:autoSpaceDE/>
        <w:autoSpaceDN/>
        <w:bidi w:val="0"/>
        <w:adjustRightInd/>
        <w:spacing w:line="600" w:lineRule="exact"/>
        <w:ind w:firstLine="800" w:firstLineChars="25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乐山市五通桥区反修水库管理所主要负责反修水库和五一水库的正常运行、日常维护、机械设备运行、安全监测等管理工作。主要承担农业灌溉、防洪排涝、为辖区城乡居民提供生活源水等公益性任务。</w:t>
      </w:r>
    </w:p>
    <w:p w14:paraId="7D1B9E66">
      <w:pPr>
        <w:pStyle w:val="13"/>
        <w:keepNext w:val="0"/>
        <w:keepLines w:val="0"/>
        <w:pageBreakBefore w:val="0"/>
        <w:widowControl w:val="0"/>
        <w:kinsoku/>
        <w:wordWrap/>
        <w:overflowPunct/>
        <w:topLinePunct w:val="0"/>
        <w:autoSpaceDE/>
        <w:autoSpaceDN/>
        <w:bidi w:val="0"/>
        <w:adjustRightInd/>
        <w:spacing w:line="600" w:lineRule="exact"/>
        <w:textAlignment w:val="auto"/>
        <w:rPr>
          <w:rFonts w:hint="eastAsia" w:ascii="Times New Roman" w:hAnsi="Times New Roman" w:eastAsia="仿宋_GB2312" w:cs="仿宋_GB2312"/>
          <w:color w:val="auto"/>
          <w:kern w:val="2"/>
          <w:sz w:val="32"/>
          <w:szCs w:val="32"/>
          <w:highlight w:val="none"/>
          <w:lang w:val="en-US" w:eastAsia="zh-CN" w:bidi="ar-SA"/>
        </w:rPr>
      </w:pPr>
    </w:p>
    <w:p w14:paraId="7AF1498C">
      <w:pPr>
        <w:pStyle w:val="7"/>
        <w:rPr>
          <w:rFonts w:hint="eastAsia"/>
          <w:lang w:eastAsia="zh-CN"/>
        </w:rPr>
      </w:pPr>
    </w:p>
    <w:p w14:paraId="0871E2B5">
      <w:pPr>
        <w:pStyle w:val="4"/>
        <w:numPr>
          <w:ilvl w:val="0"/>
          <w:numId w:val="1"/>
        </w:numPr>
        <w:spacing w:before="0" w:after="0" w:line="240" w:lineRule="auto"/>
        <w:ind w:left="0" w:leftChars="0" w:firstLine="0" w:firstLineChars="0"/>
        <w:rPr>
          <w:rStyle w:val="29"/>
          <w:rFonts w:hint="eastAsia" w:ascii="Times New Roman" w:hAnsi="Times New Roman" w:eastAsia="黑体"/>
          <w:b w:val="0"/>
          <w:bCs w:val="0"/>
          <w:color w:val="auto"/>
          <w:highlight w:val="none"/>
        </w:rPr>
      </w:pPr>
      <w:bookmarkStart w:id="48" w:name="_Toc28931_WPSOffice_Level2"/>
      <w:bookmarkStart w:id="49" w:name="_Toc15377200"/>
      <w:bookmarkStart w:id="50" w:name="_Toc15396601"/>
      <w:r>
        <w:rPr>
          <w:rFonts w:hint="eastAsia" w:ascii="Times New Roman" w:hAnsi="Times New Roman" w:eastAsia="黑体"/>
          <w:b w:val="0"/>
          <w:color w:val="auto"/>
          <w:highlight w:val="none"/>
        </w:rPr>
        <w:t>机</w:t>
      </w:r>
      <w:r>
        <w:rPr>
          <w:rStyle w:val="29"/>
          <w:rFonts w:hint="eastAsia" w:ascii="Times New Roman" w:hAnsi="Times New Roman" w:eastAsia="黑体"/>
          <w:b w:val="0"/>
          <w:bCs w:val="0"/>
          <w:color w:val="auto"/>
          <w:highlight w:val="none"/>
        </w:rPr>
        <w:t>构设置</w:t>
      </w:r>
      <w:bookmarkEnd w:id="48"/>
      <w:bookmarkEnd w:id="49"/>
      <w:bookmarkEnd w:id="50"/>
    </w:p>
    <w:p w14:paraId="5E0CCD56">
      <w:pPr>
        <w:numPr>
          <w:ilvl w:val="0"/>
          <w:numId w:val="0"/>
        </w:numPr>
        <w:ind w:leftChars="0"/>
      </w:pPr>
    </w:p>
    <w:p w14:paraId="58DFCFA3">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乐山市五通桥区反修水库管理所为乐山市五通桥区水务局下属事业单位，设所长（股级） 1 名，内设一室一股，即办公室、工程灌溉股。</w:t>
      </w:r>
    </w:p>
    <w:p w14:paraId="6CEF2902">
      <w:pPr>
        <w:keepNext w:val="0"/>
        <w:keepLines w:val="0"/>
        <w:pageBreakBefore w:val="0"/>
        <w:widowControl w:val="0"/>
        <w:kinsoku/>
        <w:wordWrap/>
        <w:overflowPunct/>
        <w:topLinePunct w:val="0"/>
        <w:autoSpaceDE/>
        <w:autoSpaceDN/>
        <w:bidi w:val="0"/>
        <w:adjustRightInd/>
        <w:snapToGrid/>
        <w:spacing w:line="600" w:lineRule="exact"/>
        <w:ind w:firstLine="800" w:firstLineChars="250"/>
        <w:textAlignment w:val="auto"/>
        <w:rPr>
          <w:rFonts w:hint="eastAsia" w:ascii="Times New Roman" w:hAnsi="Times New Roman" w:eastAsia="仿宋_GB2312" w:cs="仿宋_GB2312"/>
          <w:color w:val="auto"/>
          <w:kern w:val="2"/>
          <w:sz w:val="32"/>
          <w:szCs w:val="32"/>
          <w:highlight w:val="none"/>
          <w:lang w:val="en-US" w:eastAsia="zh-CN" w:bidi="ar-SA"/>
        </w:rPr>
        <w:sectPr>
          <w:footerReference r:id="rId5" w:type="default"/>
          <w:pgSz w:w="11907" w:h="16839"/>
          <w:pgMar w:top="1431" w:right="1785" w:bottom="1395" w:left="1785" w:header="0" w:footer="1167" w:gutter="0"/>
          <w:pgNumType w:fmt="decimal" w:start="1"/>
          <w:cols w:space="720" w:num="1"/>
        </w:sectPr>
      </w:pPr>
    </w:p>
    <w:p w14:paraId="33698C09">
      <w:pPr>
        <w:widowControl/>
        <w:jc w:val="left"/>
        <w:rPr>
          <w:rFonts w:ascii="Times New Roman" w:hAnsi="Times New Roman" w:eastAsia="仿宋"/>
          <w:color w:val="auto"/>
          <w:kern w:val="0"/>
          <w:sz w:val="32"/>
          <w:szCs w:val="32"/>
          <w:highlight w:val="none"/>
        </w:rPr>
      </w:pPr>
    </w:p>
    <w:p w14:paraId="3EAEE3BE">
      <w:pPr>
        <w:pStyle w:val="3"/>
        <w:jc w:val="center"/>
        <w:rPr>
          <w:rFonts w:hint="eastAsia" w:ascii="Times New Roman" w:hAnsi="Times New Roman" w:eastAsia="方正小标宋简体" w:cs="方正小标宋简体"/>
          <w:b w:val="0"/>
          <w:color w:val="auto"/>
          <w:highlight w:val="none"/>
        </w:rPr>
      </w:pPr>
      <w:bookmarkStart w:id="51" w:name="_Toc4388_WPSOffice_Level1"/>
      <w:bookmarkStart w:id="52" w:name="_Toc15396602"/>
      <w:bookmarkStart w:id="53" w:name="_Toc15377204"/>
      <w:r>
        <w:rPr>
          <w:rFonts w:hint="eastAsia" w:ascii="Times New Roman" w:hAnsi="Times New Roman" w:eastAsia="方正小标宋简体" w:cs="方正小标宋简体"/>
          <w:b w:val="0"/>
          <w:color w:val="auto"/>
          <w:highlight w:val="none"/>
        </w:rPr>
        <w:t>第二部分</w:t>
      </w:r>
      <w:r>
        <w:rPr>
          <w:rFonts w:hint="eastAsia" w:ascii="Times New Roman" w:hAnsi="Times New Roman" w:eastAsia="方正小标宋简体" w:cs="方正小标宋简体"/>
          <w:b w:val="0"/>
          <w:color w:val="auto"/>
          <w:highlight w:val="none"/>
          <w:lang w:val="en-US" w:eastAsia="zh-CN"/>
        </w:rPr>
        <w:t xml:space="preserve"> </w:t>
      </w:r>
      <w:r>
        <w:rPr>
          <w:rFonts w:hint="eastAsia" w:ascii="Times New Roman" w:hAnsi="Times New Roman" w:eastAsia="方正小标宋简体" w:cs="方正小标宋简体"/>
          <w:b w:val="0"/>
          <w:color w:val="auto"/>
          <w:highlight w:val="none"/>
        </w:rPr>
        <w:t xml:space="preserve"> </w:t>
      </w:r>
      <w:r>
        <w:rPr>
          <w:rFonts w:hint="eastAsia" w:ascii="Times New Roman" w:hAnsi="Times New Roman" w:eastAsia="方正小标宋简体" w:cs="方正小标宋简体"/>
          <w:b w:val="0"/>
          <w:color w:val="auto"/>
          <w:highlight w:val="none"/>
          <w:lang w:val="en-US" w:eastAsia="zh-CN"/>
        </w:rPr>
        <w:t>2024年度</w:t>
      </w:r>
      <w:r>
        <w:rPr>
          <w:rFonts w:hint="eastAsia" w:ascii="Times New Roman" w:hAnsi="Times New Roman" w:eastAsia="方正小标宋简体" w:cs="方正小标宋简体"/>
          <w:b w:val="0"/>
          <w:color w:val="auto"/>
          <w:highlight w:val="none"/>
        </w:rPr>
        <w:t>部门决算情况说明</w:t>
      </w:r>
      <w:bookmarkEnd w:id="51"/>
      <w:bookmarkEnd w:id="52"/>
      <w:bookmarkEnd w:id="53"/>
    </w:p>
    <w:p w14:paraId="2ED72369">
      <w:pPr>
        <w:rPr>
          <w:rFonts w:ascii="Times New Roman" w:hAnsi="Times New Roman"/>
          <w:color w:val="auto"/>
          <w:highlight w:val="none"/>
        </w:rPr>
      </w:pPr>
    </w:p>
    <w:p w14:paraId="0FF78FC5">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54" w:name="_Toc15377205"/>
      <w:bookmarkStart w:id="55" w:name="_Toc5729_WPSOffice_Level2"/>
      <w:bookmarkStart w:id="56" w:name="_Toc15396603"/>
      <w:r>
        <w:rPr>
          <w:rFonts w:hint="eastAsia" w:ascii="Times New Roman" w:hAnsi="Times New Roman" w:eastAsia="黑体"/>
          <w:color w:val="auto"/>
          <w:sz w:val="32"/>
          <w:szCs w:val="32"/>
          <w:highlight w:val="none"/>
          <w:lang w:eastAsia="zh-CN"/>
        </w:rPr>
        <w:t>一、</w:t>
      </w:r>
      <w:r>
        <w:rPr>
          <w:rFonts w:hint="eastAsia" w:ascii="Times New Roman" w:hAnsi="Times New Roman" w:eastAsia="黑体"/>
          <w:color w:val="auto"/>
          <w:sz w:val="32"/>
          <w:szCs w:val="32"/>
          <w:highlight w:val="none"/>
        </w:rPr>
        <w:t>收</w:t>
      </w:r>
      <w:r>
        <w:rPr>
          <w:rStyle w:val="29"/>
          <w:rFonts w:hint="eastAsia" w:ascii="Times New Roman" w:hAnsi="Times New Roman" w:eastAsia="黑体"/>
          <w:b w:val="0"/>
          <w:color w:val="auto"/>
          <w:highlight w:val="none"/>
        </w:rPr>
        <w:t>入支出决算总体情况说明</w:t>
      </w:r>
      <w:bookmarkEnd w:id="54"/>
      <w:bookmarkEnd w:id="55"/>
      <w:bookmarkEnd w:id="56"/>
    </w:p>
    <w:p w14:paraId="6129E3D6">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default" w:ascii="Times New Roman" w:hAnsi="Times New Roman" w:eastAsia="仿宋_GB2312" w:cs="仿宋_GB2312"/>
          <w:color w:val="auto"/>
          <w:sz w:val="32"/>
          <w:szCs w:val="32"/>
          <w:highlight w:val="none"/>
          <w:lang w:val="en-US" w:eastAsia="zh-CN"/>
        </w:rPr>
      </w:pPr>
      <w:r>
        <w:rPr>
          <w:rFonts w:hint="eastAsia" w:ascii="Times New Roman" w:hAnsi="Times New Roman" w:eastAsia="仿宋_GB2312" w:cs="仿宋_GB2312"/>
          <w:color w:val="auto"/>
          <w:sz w:val="32"/>
          <w:szCs w:val="32"/>
          <w:highlight w:val="none"/>
          <w:lang w:eastAsia="zh-CN"/>
        </w:rPr>
        <w:t>2024年度收入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w:t>
      </w:r>
      <w:r>
        <w:rPr>
          <w:rFonts w:hint="eastAsia" w:ascii="Times New Roman" w:hAnsi="Times New Roman" w:eastAsia="仿宋_GB2312" w:cs="仿宋_GB2312"/>
          <w:color w:val="auto"/>
          <w:sz w:val="32"/>
          <w:szCs w:val="32"/>
          <w:highlight w:val="none"/>
          <w:lang w:eastAsia="zh-CN"/>
        </w:rPr>
        <w:t>均为</w:t>
      </w:r>
      <w:r>
        <w:rPr>
          <w:rFonts w:hint="eastAsia" w:ascii="仿宋_GB2312" w:hAnsi="仿宋_GB2312" w:eastAsia="仿宋_GB2312" w:cs="仿宋_GB2312"/>
          <w:sz w:val="32"/>
          <w:szCs w:val="32"/>
        </w:rPr>
        <w:t>69.69</w:t>
      </w:r>
      <w:r>
        <w:rPr>
          <w:rFonts w:hint="eastAsia" w:ascii="Times New Roman" w:hAnsi="Times New Roman" w:eastAsia="仿宋_GB2312" w:cs="仿宋_GB2312"/>
          <w:color w:val="auto"/>
          <w:sz w:val="32"/>
          <w:szCs w:val="32"/>
          <w:highlight w:val="none"/>
        </w:rPr>
        <w:t>万元。与</w:t>
      </w:r>
      <w:r>
        <w:rPr>
          <w:rFonts w:hint="eastAsia" w:ascii="Times New Roman" w:hAnsi="Times New Roman" w:eastAsia="仿宋_GB2312" w:cs="仿宋_GB2312"/>
          <w:color w:val="auto"/>
          <w:sz w:val="32"/>
          <w:szCs w:val="32"/>
          <w:highlight w:val="none"/>
          <w:lang w:eastAsia="zh-CN"/>
        </w:rPr>
        <w:t>202</w:t>
      </w:r>
      <w:r>
        <w:rPr>
          <w:rFonts w:hint="eastAsia" w:ascii="Times New Roman" w:hAnsi="Times New Roman" w:eastAsia="仿宋_GB2312" w:cs="仿宋_GB2312"/>
          <w:color w:val="auto"/>
          <w:sz w:val="32"/>
          <w:szCs w:val="32"/>
          <w:highlight w:val="none"/>
          <w:lang w:val="en-US" w:eastAsia="zh-CN"/>
        </w:rPr>
        <w:t>3</w:t>
      </w:r>
      <w:r>
        <w:rPr>
          <w:rFonts w:hint="eastAsia" w:ascii="Times New Roman" w:hAnsi="Times New Roman" w:eastAsia="仿宋_GB2312" w:cs="仿宋_GB2312"/>
          <w:color w:val="auto"/>
          <w:sz w:val="32"/>
          <w:szCs w:val="32"/>
          <w:highlight w:val="none"/>
        </w:rPr>
        <w:t>年</w:t>
      </w:r>
      <w:r>
        <w:rPr>
          <w:rFonts w:hint="eastAsia" w:ascii="Times New Roman" w:hAnsi="Times New Roman" w:eastAsia="仿宋_GB2312" w:cs="仿宋_GB2312"/>
          <w:color w:val="auto"/>
          <w:sz w:val="32"/>
          <w:szCs w:val="32"/>
          <w:highlight w:val="none"/>
          <w:lang w:eastAsia="zh-CN"/>
        </w:rPr>
        <w:t>度</w:t>
      </w:r>
      <w:r>
        <w:rPr>
          <w:rFonts w:hint="eastAsia" w:eastAsia="仿宋_GB2312" w:cs="仿宋_GB2312"/>
          <w:color w:val="auto"/>
          <w:sz w:val="32"/>
          <w:szCs w:val="32"/>
          <w:highlight w:val="none"/>
          <w:lang w:val="en-US" w:eastAsia="zh-CN"/>
        </w:rPr>
        <w:t>57.51</w:t>
      </w:r>
      <w:r>
        <w:rPr>
          <w:rFonts w:hint="eastAsia" w:ascii="Times New Roman" w:hAnsi="Times New Roman" w:eastAsia="仿宋_GB2312" w:cs="仿宋_GB2312"/>
          <w:color w:val="auto"/>
          <w:sz w:val="32"/>
          <w:szCs w:val="32"/>
          <w:highlight w:val="none"/>
        </w:rPr>
        <w:t>相比，</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总计各增加</w:t>
      </w:r>
      <w:r>
        <w:rPr>
          <w:rFonts w:hint="eastAsia" w:eastAsia="仿宋_GB2312" w:cs="仿宋_GB2312"/>
          <w:color w:val="auto"/>
          <w:sz w:val="32"/>
          <w:szCs w:val="32"/>
          <w:highlight w:val="none"/>
          <w:lang w:val="en-US" w:eastAsia="zh-CN"/>
        </w:rPr>
        <w:t>12.18</w:t>
      </w:r>
      <w:r>
        <w:rPr>
          <w:rFonts w:hint="eastAsia" w:ascii="Times New Roman" w:hAnsi="Times New Roman" w:eastAsia="仿宋_GB2312" w:cs="仿宋_GB2312"/>
          <w:color w:val="auto"/>
          <w:sz w:val="32"/>
          <w:szCs w:val="32"/>
          <w:highlight w:val="none"/>
        </w:rPr>
        <w:t>万元，增长</w:t>
      </w:r>
      <w:r>
        <w:rPr>
          <w:rFonts w:hint="eastAsia" w:eastAsia="仿宋_GB2312" w:cs="仿宋_GB2312"/>
          <w:color w:val="auto"/>
          <w:sz w:val="32"/>
          <w:szCs w:val="32"/>
          <w:highlight w:val="none"/>
          <w:lang w:val="en-US" w:eastAsia="zh-CN"/>
        </w:rPr>
        <w:t>21.18</w:t>
      </w:r>
      <w:r>
        <w:rPr>
          <w:rFonts w:hint="eastAsia" w:ascii="Times New Roman" w:hAnsi="Times New Roman" w:eastAsia="仿宋_GB2312" w:cs="仿宋_GB2312"/>
          <w:color w:val="auto"/>
          <w:sz w:val="32"/>
          <w:szCs w:val="32"/>
          <w:highlight w:val="none"/>
        </w:rPr>
        <w:t>%。主要变动原因是人员增加，工资上调导致</w:t>
      </w:r>
      <w:r>
        <w:rPr>
          <w:rFonts w:hint="eastAsia" w:eastAsia="仿宋_GB2312" w:cs="仿宋_GB2312"/>
          <w:color w:val="auto"/>
          <w:sz w:val="32"/>
          <w:szCs w:val="32"/>
          <w:highlight w:val="none"/>
          <w:lang w:val="en-US" w:eastAsia="zh-CN"/>
        </w:rPr>
        <w:t>人员经费和公用经费增加，本年度收入，支出相应增加。</w:t>
      </w:r>
    </w:p>
    <w:p w14:paraId="22D1E18B">
      <w:pPr>
        <w:keepNext w:val="0"/>
        <w:keepLines w:val="0"/>
        <w:pageBreakBefore w:val="0"/>
        <w:widowControl w:val="0"/>
        <w:kinsoku/>
        <w:wordWrap/>
        <w:overflowPunct/>
        <w:topLinePunct w:val="0"/>
        <w:autoSpaceDE/>
        <w:autoSpaceDN/>
        <w:bidi w:val="0"/>
        <w:adjustRightInd/>
        <w:snapToGrid/>
        <w:ind w:firstLine="640" w:firstLineChars="200"/>
        <w:textAlignment w:val="auto"/>
        <w:rPr>
          <w:rFonts w:hint="eastAsia" w:ascii="Times New Roman" w:hAnsi="Times New Roman" w:eastAsia="仿宋_GB2312" w:cs="仿宋_GB2312"/>
          <w:color w:val="auto"/>
          <w:sz w:val="32"/>
          <w:szCs w:val="32"/>
          <w:highlight w:val="none"/>
        </w:rPr>
      </w:pPr>
      <w:r>
        <w:rPr>
          <w:rFonts w:hint="eastAsia" w:ascii="Times New Roman" w:hAnsi="Times New Roman" w:eastAsia="仿宋_GB2312" w:cs="仿宋_GB2312"/>
          <w:color w:val="auto"/>
          <w:sz w:val="32"/>
          <w:szCs w:val="32"/>
          <w:highlight w:val="none"/>
        </w:rPr>
        <w:t>（图1：</w:t>
      </w:r>
      <w:r>
        <w:rPr>
          <w:rFonts w:hint="eastAsia" w:ascii="Times New Roman" w:hAnsi="Times New Roman" w:eastAsia="仿宋_GB2312" w:cs="仿宋_GB2312"/>
          <w:color w:val="auto"/>
          <w:sz w:val="32"/>
          <w:szCs w:val="32"/>
          <w:highlight w:val="none"/>
          <w:lang w:eastAsia="zh-CN"/>
        </w:rPr>
        <w:t>收入</w:t>
      </w:r>
      <w:r>
        <w:rPr>
          <w:rFonts w:hint="eastAsia" w:ascii="Times New Roman" w:hAnsi="Times New Roman" w:eastAsia="仿宋_GB2312" w:cs="仿宋_GB2312"/>
          <w:color w:val="auto"/>
          <w:sz w:val="32"/>
          <w:szCs w:val="32"/>
          <w:highlight w:val="none"/>
        </w:rPr>
        <w:t>、</w:t>
      </w:r>
      <w:r>
        <w:rPr>
          <w:rFonts w:hint="eastAsia" w:ascii="Times New Roman" w:hAnsi="Times New Roman" w:eastAsia="仿宋_GB2312" w:cs="仿宋_GB2312"/>
          <w:color w:val="auto"/>
          <w:sz w:val="32"/>
          <w:szCs w:val="32"/>
          <w:highlight w:val="none"/>
          <w:lang w:eastAsia="zh-CN"/>
        </w:rPr>
        <w:t>支出</w:t>
      </w:r>
      <w:r>
        <w:rPr>
          <w:rFonts w:hint="eastAsia" w:ascii="Times New Roman" w:hAnsi="Times New Roman" w:eastAsia="仿宋_GB2312" w:cs="仿宋_GB2312"/>
          <w:color w:val="auto"/>
          <w:sz w:val="32"/>
          <w:szCs w:val="32"/>
          <w:highlight w:val="none"/>
        </w:rPr>
        <w:t>决算总计变动情况图）（柱状图）</w:t>
      </w:r>
    </w:p>
    <w:p w14:paraId="419BBF1E">
      <w:pPr>
        <w:pStyle w:val="13"/>
        <w:rPr>
          <w:rFonts w:hint="eastAsia" w:ascii="Times New Roman" w:hAnsi="Times New Roman" w:eastAsia="仿宋_GB2312" w:cs="仿宋_GB2312"/>
          <w:color w:val="auto"/>
          <w:sz w:val="32"/>
          <w:szCs w:val="32"/>
          <w:highlight w:val="none"/>
        </w:rPr>
      </w:pPr>
      <w:r>
        <w:rPr>
          <w:rFonts w:hint="eastAsia" w:eastAsia="仿宋_GB2312"/>
          <w:lang w:eastAsia="zh-CN"/>
        </w:rPr>
        <w:drawing>
          <wp:inline distT="0" distB="0" distL="114300" distR="114300">
            <wp:extent cx="5080000" cy="3810000"/>
            <wp:effectExtent l="4445" t="4445" r="20955" b="14605"/>
            <wp:docPr id="1" name="图表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090F1B46">
      <w:pPr>
        <w:pStyle w:val="7"/>
        <w:ind w:left="0" w:leftChars="0" w:firstLine="0" w:firstLineChars="0"/>
        <w:rPr>
          <w:rFonts w:hint="eastAsia" w:ascii="Times New Roman" w:hAnsi="Times New Roman" w:eastAsia="仿宋_GB2312" w:cs="仿宋_GB2312"/>
          <w:color w:val="auto"/>
          <w:sz w:val="32"/>
          <w:szCs w:val="32"/>
          <w:highlight w:val="none"/>
        </w:rPr>
      </w:pPr>
    </w:p>
    <w:p w14:paraId="6D5802A8">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黑体"/>
          <w:color w:val="auto"/>
          <w:sz w:val="32"/>
          <w:szCs w:val="32"/>
          <w:highlight w:val="none"/>
          <w:lang w:eastAsia="zh-CN"/>
        </w:rPr>
      </w:pPr>
      <w:bookmarkStart w:id="57" w:name="_Toc8900_WPSOffice_Level2"/>
      <w:bookmarkStart w:id="58" w:name="_Toc15396604"/>
      <w:bookmarkStart w:id="59" w:name="_Toc15377206"/>
      <w:r>
        <w:rPr>
          <w:rFonts w:hint="eastAsia" w:ascii="Times New Roman" w:hAnsi="Times New Roman" w:eastAsia="黑体"/>
          <w:color w:val="auto"/>
          <w:sz w:val="32"/>
          <w:szCs w:val="32"/>
          <w:highlight w:val="none"/>
          <w:lang w:eastAsia="zh-CN"/>
        </w:rPr>
        <w:t>二、收入决算情况说明</w:t>
      </w:r>
      <w:bookmarkEnd w:id="57"/>
      <w:bookmarkEnd w:id="58"/>
      <w:bookmarkEnd w:id="59"/>
    </w:p>
    <w:p w14:paraId="55DE1086">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b/>
          <w:bCs/>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2024年度本年收入合计</w:t>
      </w:r>
      <w:r>
        <w:rPr>
          <w:rFonts w:hint="eastAsia" w:ascii="仿宋_GB2312" w:hAnsi="仿宋_GB2312" w:eastAsia="仿宋_GB2312" w:cs="仿宋_GB2312"/>
          <w:sz w:val="32"/>
          <w:szCs w:val="32"/>
        </w:rPr>
        <w:t>68.47万元，其中：一般公共预算财政拨款收入65.47</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95.61</w:t>
      </w:r>
      <w:r>
        <w:rPr>
          <w:rFonts w:hint="eastAsia" w:ascii="仿宋_GB2312" w:hAnsi="仿宋_GB2312" w:eastAsia="仿宋_GB2312" w:cs="仿宋_GB2312"/>
          <w:color w:val="auto"/>
          <w:sz w:val="32"/>
          <w:szCs w:val="32"/>
          <w:highlight w:val="none"/>
          <w:lang w:eastAsia="zh-CN"/>
        </w:rPr>
        <w:t>%；政府性基金预算财政拨款收入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%；国有资本经营预算财政拨款收入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%；上级补助收入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%；事业收入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%；附属单位上缴收入</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%；其他收入</w:t>
      </w:r>
      <w:r>
        <w:rPr>
          <w:rFonts w:hint="eastAsia" w:ascii="仿宋_GB2312" w:hAnsi="仿宋_GB2312" w:eastAsia="仿宋_GB2312" w:cs="仿宋_GB2312"/>
          <w:sz w:val="32"/>
          <w:szCs w:val="32"/>
        </w:rPr>
        <w:t>3</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4.38</w:t>
      </w:r>
      <w:r>
        <w:rPr>
          <w:rFonts w:hint="eastAsia" w:ascii="仿宋_GB2312" w:hAnsi="仿宋_GB2312" w:eastAsia="仿宋_GB2312" w:cs="仿宋_GB2312"/>
          <w:color w:val="auto"/>
          <w:sz w:val="32"/>
          <w:szCs w:val="32"/>
          <w:highlight w:val="none"/>
          <w:lang w:eastAsia="zh-CN"/>
        </w:rPr>
        <w:t>%。</w:t>
      </w:r>
    </w:p>
    <w:p w14:paraId="179EDEA3">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（图2：收入决算结构图）（饼状图）</w:t>
      </w:r>
    </w:p>
    <w:p w14:paraId="3D0827C8">
      <w:pPr>
        <w:pStyle w:val="7"/>
        <w:rPr>
          <w:rFonts w:hint="eastAsia" w:ascii="Times New Roman" w:hAnsi="Times New Roman" w:eastAsia="仿宋_GB2312" w:cs="仿宋_GB2312"/>
          <w:color w:val="auto"/>
          <w:sz w:val="32"/>
          <w:szCs w:val="32"/>
          <w:highlight w:val="none"/>
          <w:lang w:eastAsia="zh-CN"/>
        </w:rPr>
      </w:pPr>
      <w:r>
        <w:rPr>
          <w:rFonts w:hint="eastAsia" w:ascii="仿宋" w:hAnsi="仿宋" w:eastAsia="仿宋"/>
          <w:sz w:val="32"/>
          <w:szCs w:val="32"/>
          <w:lang w:eastAsia="zh-CN"/>
        </w:rPr>
        <w:drawing>
          <wp:inline distT="0" distB="0" distL="114300" distR="114300">
            <wp:extent cx="5080000" cy="3810000"/>
            <wp:effectExtent l="4445" t="4445" r="20955" b="14605"/>
            <wp:docPr id="2" name="图表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00B9F63C">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Style w:val="29"/>
          <w:rFonts w:hint="eastAsia" w:ascii="Times New Roman" w:hAnsi="Times New Roman" w:eastAsia="黑体"/>
          <w:b w:val="0"/>
          <w:color w:val="auto"/>
          <w:highlight w:val="none"/>
        </w:rPr>
      </w:pPr>
      <w:bookmarkStart w:id="60" w:name="_Toc26073_WPSOffice_Level2"/>
      <w:bookmarkStart w:id="61" w:name="_Toc15377207"/>
      <w:bookmarkStart w:id="62" w:name="_Toc15396605"/>
      <w:r>
        <w:rPr>
          <w:rFonts w:hint="eastAsia" w:ascii="Times New Roman" w:hAnsi="Times New Roman" w:eastAsia="黑体"/>
          <w:color w:val="auto"/>
          <w:sz w:val="32"/>
          <w:szCs w:val="32"/>
          <w:highlight w:val="none"/>
          <w:lang w:eastAsia="zh-CN"/>
        </w:rPr>
        <w:t>三、</w:t>
      </w:r>
      <w:r>
        <w:rPr>
          <w:rFonts w:hint="eastAsia" w:ascii="Times New Roman" w:hAnsi="Times New Roman" w:eastAsia="黑体"/>
          <w:color w:val="auto"/>
          <w:sz w:val="32"/>
          <w:szCs w:val="32"/>
          <w:highlight w:val="none"/>
        </w:rPr>
        <w:t>支</w:t>
      </w:r>
      <w:r>
        <w:rPr>
          <w:rStyle w:val="29"/>
          <w:rFonts w:hint="eastAsia" w:ascii="Times New Roman" w:hAnsi="Times New Roman" w:eastAsia="黑体"/>
          <w:b w:val="0"/>
          <w:color w:val="auto"/>
          <w:highlight w:val="none"/>
        </w:rPr>
        <w:t>出决算情况说明</w:t>
      </w:r>
      <w:bookmarkEnd w:id="60"/>
      <w:bookmarkEnd w:id="61"/>
      <w:bookmarkEnd w:id="62"/>
    </w:p>
    <w:p w14:paraId="1E8F6B7C">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jc w:val="left"/>
        <w:textAlignment w:val="auto"/>
        <w:outlineLvl w:val="1"/>
        <w:rPr>
          <w:rFonts w:hint="eastAsia" w:ascii="Times New Roman" w:hAnsi="Times New Roman" w:eastAsia="仿宋_GB2312" w:cs="仿宋_GB2312"/>
          <w:color w:val="auto"/>
          <w:sz w:val="32"/>
          <w:szCs w:val="32"/>
          <w:highlight w:val="none"/>
          <w:lang w:eastAsia="zh-CN"/>
        </w:rPr>
      </w:pPr>
      <w:r>
        <w:rPr>
          <w:rFonts w:hint="eastAsia" w:ascii="仿宋_GB2312" w:hAnsi="仿宋_GB2312" w:eastAsia="仿宋_GB2312" w:cs="仿宋_GB2312"/>
          <w:color w:val="auto"/>
          <w:sz w:val="32"/>
          <w:szCs w:val="32"/>
          <w:highlight w:val="none"/>
          <w:lang w:eastAsia="zh-CN"/>
        </w:rPr>
        <w:t>2024年度本年支出合计</w:t>
      </w:r>
      <w:r>
        <w:rPr>
          <w:rFonts w:hint="eastAsia" w:ascii="仿宋_GB2312" w:hAnsi="仿宋_GB2312" w:eastAsia="仿宋_GB2312" w:cs="仿宋_GB2312"/>
          <w:sz w:val="32"/>
          <w:szCs w:val="32"/>
        </w:rPr>
        <w:t>67.45</w:t>
      </w:r>
      <w:r>
        <w:rPr>
          <w:rFonts w:hint="eastAsia" w:ascii="仿宋_GB2312" w:hAnsi="仿宋_GB2312" w:eastAsia="仿宋_GB2312" w:cs="仿宋_GB2312"/>
          <w:color w:val="auto"/>
          <w:sz w:val="32"/>
          <w:szCs w:val="32"/>
          <w:highlight w:val="none"/>
          <w:lang w:eastAsia="zh-CN"/>
        </w:rPr>
        <w:t>万元，其中：基本支出</w:t>
      </w:r>
      <w:r>
        <w:rPr>
          <w:rFonts w:hint="eastAsia" w:ascii="仿宋_GB2312" w:hAnsi="仿宋_GB2312" w:eastAsia="仿宋_GB2312" w:cs="仿宋_GB2312"/>
          <w:sz w:val="32"/>
          <w:szCs w:val="32"/>
        </w:rPr>
        <w:t>67.45</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100</w:t>
      </w:r>
      <w:r>
        <w:rPr>
          <w:rFonts w:hint="eastAsia" w:ascii="仿宋_GB2312" w:hAnsi="仿宋_GB2312" w:eastAsia="仿宋_GB2312" w:cs="仿宋_GB2312"/>
          <w:color w:val="auto"/>
          <w:sz w:val="32"/>
          <w:szCs w:val="32"/>
          <w:highlight w:val="none"/>
          <w:lang w:eastAsia="zh-CN"/>
        </w:rPr>
        <w:t>%；项目支出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%；上缴上级支出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%；经营支出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%；对附属单位补助支出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万元，占</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sz w:val="32"/>
          <w:szCs w:val="32"/>
          <w:highlight w:val="none"/>
          <w:lang w:eastAsia="zh-CN"/>
        </w:rPr>
        <w:t>。</w:t>
      </w:r>
    </w:p>
    <w:p w14:paraId="675E42AF">
      <w:pPr>
        <w:ind w:firstLine="800" w:firstLineChars="250"/>
        <w:rPr>
          <w:rFonts w:hint="eastAsia" w:ascii="Times New Roman" w:hAnsi="Times New Roman" w:eastAsia="仿宋_GB2312" w:cs="仿宋_GB2312"/>
          <w:color w:val="auto"/>
          <w:sz w:val="32"/>
          <w:szCs w:val="32"/>
          <w:highlight w:val="none"/>
          <w:lang w:eastAsia="zh-CN"/>
        </w:rPr>
      </w:pPr>
      <w:r>
        <w:rPr>
          <w:rFonts w:hint="eastAsia" w:ascii="Times New Roman" w:hAnsi="Times New Roman" w:eastAsia="仿宋_GB2312" w:cs="仿宋_GB2312"/>
          <w:color w:val="auto"/>
          <w:sz w:val="32"/>
          <w:szCs w:val="32"/>
          <w:highlight w:val="none"/>
          <w:lang w:eastAsia="zh-CN"/>
        </w:rPr>
        <w:t>（图3：支出决算结构图）（饼状图）</w:t>
      </w:r>
    </w:p>
    <w:p w14:paraId="52B37A49">
      <w:pPr>
        <w:pStyle w:val="13"/>
        <w:rPr>
          <w:rFonts w:hint="eastAsia" w:ascii="Times New Roman" w:hAnsi="Times New Roman" w:eastAsia="仿宋_GB2312" w:cs="仿宋_GB2312"/>
          <w:color w:val="auto"/>
          <w:sz w:val="32"/>
          <w:szCs w:val="32"/>
          <w:highlight w:val="none"/>
          <w:lang w:eastAsia="zh-CN"/>
        </w:rPr>
      </w:pPr>
    </w:p>
    <w:p w14:paraId="6AFE2A86">
      <w:pPr>
        <w:pStyle w:val="7"/>
        <w:rPr>
          <w:rFonts w:hint="eastAsia" w:ascii="Times New Roman" w:hAnsi="Times New Roman" w:eastAsia="仿宋_GB2312" w:cs="仿宋_GB2312"/>
          <w:color w:val="auto"/>
          <w:sz w:val="32"/>
          <w:szCs w:val="32"/>
          <w:highlight w:val="none"/>
          <w:lang w:eastAsia="zh-CN"/>
        </w:rPr>
      </w:pPr>
      <w:r>
        <w:rPr>
          <w:rFonts w:hint="eastAsia" w:ascii="仿宋" w:hAnsi="仿宋" w:eastAsia="仿宋"/>
          <w:sz w:val="32"/>
          <w:szCs w:val="32"/>
          <w:shd w:val="pct10" w:color="auto" w:fill="FFFFFF"/>
          <w:lang w:eastAsia="zh-CN"/>
        </w:rPr>
        <w:drawing>
          <wp:inline distT="0" distB="0" distL="114300" distR="114300">
            <wp:extent cx="5080000" cy="3144520"/>
            <wp:effectExtent l="4445" t="4445" r="20955" b="13335"/>
            <wp:docPr id="3" name="图表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FF0B939">
      <w:pPr>
        <w:spacing w:line="600" w:lineRule="exact"/>
        <w:ind w:firstLine="640" w:firstLineChars="200"/>
        <w:outlineLvl w:val="1"/>
        <w:rPr>
          <w:rStyle w:val="29"/>
          <w:rFonts w:ascii="Times New Roman" w:hAnsi="Times New Roman" w:eastAsia="黑体"/>
          <w:b w:val="0"/>
          <w:color w:val="auto"/>
          <w:highlight w:val="none"/>
        </w:rPr>
      </w:pPr>
      <w:bookmarkStart w:id="63" w:name="_Toc2770_WPSOffice_Level2"/>
      <w:bookmarkStart w:id="64" w:name="_Toc15377208"/>
      <w:bookmarkStart w:id="65" w:name="_Toc15396606"/>
      <w:r>
        <w:rPr>
          <w:rFonts w:hint="eastAsia" w:ascii="Times New Roman" w:hAnsi="Times New Roman" w:eastAsia="黑体"/>
          <w:color w:val="auto"/>
          <w:sz w:val="32"/>
          <w:szCs w:val="32"/>
          <w:highlight w:val="none"/>
        </w:rPr>
        <w:t>四、财</w:t>
      </w:r>
      <w:r>
        <w:rPr>
          <w:rStyle w:val="29"/>
          <w:rFonts w:hint="eastAsia" w:ascii="Times New Roman" w:hAnsi="Times New Roman" w:eastAsia="黑体"/>
          <w:b w:val="0"/>
          <w:color w:val="auto"/>
          <w:highlight w:val="none"/>
        </w:rPr>
        <w:t>政拨款收入支出决算总体情况说明</w:t>
      </w:r>
      <w:bookmarkEnd w:id="63"/>
      <w:bookmarkEnd w:id="64"/>
      <w:bookmarkEnd w:id="65"/>
    </w:p>
    <w:p w14:paraId="7F5745DE">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2024年度财政拨款收入、支出总计均为</w:t>
      </w:r>
      <w:r>
        <w:rPr>
          <w:rFonts w:hint="eastAsia" w:ascii="仿宋_GB2312" w:hAnsi="仿宋_GB2312" w:eastAsia="仿宋_GB2312" w:cs="仿宋_GB2312"/>
          <w:sz w:val="32"/>
          <w:szCs w:val="32"/>
        </w:rPr>
        <w:t>65.47</w:t>
      </w:r>
      <w:r>
        <w:rPr>
          <w:rFonts w:hint="eastAsia" w:ascii="Times New Roman" w:hAnsi="Times New Roman" w:eastAsia="仿宋_GB2312" w:cs="仿宋_GB2312"/>
          <w:color w:val="auto"/>
          <w:kern w:val="2"/>
          <w:sz w:val="32"/>
          <w:szCs w:val="32"/>
          <w:highlight w:val="none"/>
          <w:lang w:val="en-US" w:eastAsia="zh-CN" w:bidi="ar-SA"/>
        </w:rPr>
        <w:t>万元。与2023年度</w:t>
      </w:r>
      <w:r>
        <w:rPr>
          <w:rFonts w:hint="eastAsia" w:eastAsia="仿宋_GB2312" w:cs="仿宋_GB2312"/>
          <w:color w:val="auto"/>
          <w:kern w:val="2"/>
          <w:sz w:val="32"/>
          <w:szCs w:val="32"/>
          <w:highlight w:val="none"/>
          <w:lang w:val="en-US" w:eastAsia="zh-CN" w:bidi="ar-SA"/>
        </w:rPr>
        <w:t>49.15万元</w:t>
      </w:r>
      <w:r>
        <w:rPr>
          <w:rFonts w:hint="eastAsia" w:ascii="Times New Roman" w:hAnsi="Times New Roman" w:eastAsia="仿宋_GB2312" w:cs="仿宋_GB2312"/>
          <w:color w:val="auto"/>
          <w:kern w:val="2"/>
          <w:sz w:val="32"/>
          <w:szCs w:val="32"/>
          <w:highlight w:val="none"/>
          <w:lang w:val="en-US" w:eastAsia="zh-CN" w:bidi="ar-SA"/>
        </w:rPr>
        <w:t>相比，财政拨款收入总计、支出总计各增加</w:t>
      </w:r>
      <w:r>
        <w:rPr>
          <w:rFonts w:hint="eastAsia" w:eastAsia="仿宋_GB2312" w:cs="仿宋_GB2312"/>
          <w:color w:val="auto"/>
          <w:kern w:val="2"/>
          <w:sz w:val="32"/>
          <w:szCs w:val="32"/>
          <w:highlight w:val="none"/>
          <w:lang w:val="en-US" w:eastAsia="zh-CN" w:bidi="ar-SA"/>
        </w:rPr>
        <w:t>16.32</w:t>
      </w:r>
      <w:r>
        <w:rPr>
          <w:rFonts w:hint="eastAsia" w:ascii="Times New Roman" w:hAnsi="Times New Roman" w:eastAsia="仿宋_GB2312" w:cs="仿宋_GB2312"/>
          <w:color w:val="auto"/>
          <w:kern w:val="2"/>
          <w:sz w:val="32"/>
          <w:szCs w:val="32"/>
          <w:highlight w:val="none"/>
          <w:lang w:val="en-US" w:eastAsia="zh-CN" w:bidi="ar-SA"/>
        </w:rPr>
        <w:t>万元，增长</w:t>
      </w:r>
      <w:r>
        <w:rPr>
          <w:rFonts w:hint="eastAsia" w:eastAsia="仿宋_GB2312" w:cs="仿宋_GB2312"/>
          <w:color w:val="auto"/>
          <w:kern w:val="2"/>
          <w:sz w:val="32"/>
          <w:szCs w:val="32"/>
          <w:highlight w:val="none"/>
          <w:lang w:val="en-US" w:eastAsia="zh-CN" w:bidi="ar-SA"/>
        </w:rPr>
        <w:t>33.2</w:t>
      </w:r>
      <w:r>
        <w:rPr>
          <w:rFonts w:hint="eastAsia" w:ascii="Times New Roman" w:hAnsi="Times New Roman"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sz w:val="32"/>
          <w:szCs w:val="32"/>
          <w:highlight w:val="none"/>
        </w:rPr>
        <w:t>主要变动原因是人员增加，工资上调导致</w:t>
      </w:r>
      <w:r>
        <w:rPr>
          <w:rFonts w:hint="eastAsia" w:eastAsia="仿宋_GB2312" w:cs="仿宋_GB2312"/>
          <w:color w:val="auto"/>
          <w:sz w:val="32"/>
          <w:szCs w:val="32"/>
          <w:highlight w:val="none"/>
          <w:lang w:val="en-US" w:eastAsia="zh-CN"/>
        </w:rPr>
        <w:t>人员经费和公用经费增加，本年度财政拨款收入，支出相应增加。</w:t>
      </w:r>
    </w:p>
    <w:p w14:paraId="6CF25DFB">
      <w:pPr>
        <w:spacing w:line="600" w:lineRule="exact"/>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（图4：财政拨款收、支决算总计变动情况）（柱状图）</w:t>
      </w:r>
    </w:p>
    <w:p w14:paraId="395C2679">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14:paraId="09C80B4E">
      <w:pPr>
        <w:pStyle w:val="13"/>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2993390"/>
            <wp:effectExtent l="4445" t="4445" r="20955" b="12065"/>
            <wp:docPr id="4" name="图表 4"/>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6285BF32">
      <w:pPr>
        <w:spacing w:line="600" w:lineRule="exact"/>
        <w:ind w:firstLine="640" w:firstLineChars="200"/>
        <w:outlineLvl w:val="1"/>
        <w:rPr>
          <w:rStyle w:val="29"/>
          <w:rFonts w:ascii="Times New Roman" w:hAnsi="Times New Roman" w:eastAsia="黑体"/>
          <w:b w:val="0"/>
          <w:color w:val="auto"/>
          <w:highlight w:val="none"/>
        </w:rPr>
      </w:pPr>
      <w:bookmarkStart w:id="66" w:name="_Toc7275_WPSOffice_Level2"/>
      <w:bookmarkStart w:id="67" w:name="_Toc15396607"/>
      <w:bookmarkStart w:id="68" w:name="_Toc15377209"/>
      <w:r>
        <w:rPr>
          <w:rFonts w:hint="eastAsia" w:ascii="Times New Roman" w:hAnsi="Times New Roman" w:eastAsia="黑体"/>
          <w:color w:val="auto"/>
          <w:sz w:val="32"/>
          <w:szCs w:val="32"/>
          <w:highlight w:val="none"/>
        </w:rPr>
        <w:t>五、</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般公共预算财政拨款支出决算情况说明</w:t>
      </w:r>
      <w:bookmarkEnd w:id="66"/>
      <w:bookmarkEnd w:id="67"/>
      <w:bookmarkEnd w:id="68"/>
    </w:p>
    <w:p w14:paraId="20B70CAC">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69" w:name="_Toc15377210"/>
      <w:bookmarkStart w:id="70" w:name="_Toc4388_WPSOffice_Level3"/>
      <w:r>
        <w:rPr>
          <w:rFonts w:hint="eastAsia" w:ascii="Times New Roman" w:hAnsi="Times New Roman" w:eastAsia="楷体_GB2312" w:cs="楷体_GB2312"/>
          <w:b/>
          <w:color w:val="auto"/>
          <w:sz w:val="32"/>
          <w:szCs w:val="32"/>
          <w:highlight w:val="none"/>
        </w:rPr>
        <w:t>（一）一般公共预算财政拨款支出决算总体情况</w:t>
      </w:r>
      <w:bookmarkEnd w:id="69"/>
      <w:bookmarkEnd w:id="70"/>
    </w:p>
    <w:p w14:paraId="4B354FA8">
      <w:pPr>
        <w:pStyle w:val="27"/>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outlineLvl w:val="1"/>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65.47</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97.06</w:t>
      </w:r>
      <w:r>
        <w:rPr>
          <w:rFonts w:hint="eastAsia" w:ascii="仿宋_GB2312" w:hAnsi="仿宋_GB2312" w:eastAsia="仿宋_GB2312" w:cs="仿宋_GB2312"/>
          <w:color w:val="auto"/>
          <w:kern w:val="2"/>
          <w:sz w:val="32"/>
          <w:szCs w:val="32"/>
          <w:highlight w:val="none"/>
          <w:lang w:val="en-US" w:eastAsia="zh-CN" w:bidi="ar-SA"/>
        </w:rPr>
        <w:t>%。与2023年度49.15万元相比，一般公共预算财政拨款支出增加16.32万元，增长33.2%。</w:t>
      </w:r>
      <w:r>
        <w:rPr>
          <w:rFonts w:hint="eastAsia" w:ascii="Times New Roman" w:hAnsi="Times New Roman" w:eastAsia="仿宋_GB2312" w:cs="仿宋_GB2312"/>
          <w:color w:val="auto"/>
          <w:sz w:val="32"/>
          <w:szCs w:val="32"/>
          <w:highlight w:val="none"/>
        </w:rPr>
        <w:t>主要变动原因是人员增加，工资上调导致</w:t>
      </w:r>
      <w:r>
        <w:rPr>
          <w:rFonts w:hint="eastAsia" w:eastAsia="仿宋_GB2312" w:cs="仿宋_GB2312"/>
          <w:color w:val="auto"/>
          <w:sz w:val="32"/>
          <w:szCs w:val="32"/>
          <w:highlight w:val="none"/>
          <w:lang w:val="en-US" w:eastAsia="zh-CN"/>
        </w:rPr>
        <w:t>人员经费和公用经费增加，本年度一般公共财政拨款收入，支出相应增加。</w:t>
      </w:r>
    </w:p>
    <w:p w14:paraId="43292A10">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（图5：一般公共预算财政拨款支出决算变动情况）（柱状图）</w:t>
      </w:r>
    </w:p>
    <w:p w14:paraId="62604DAD">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14:paraId="33D8C95B">
      <w:pPr>
        <w:pStyle w:val="13"/>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173095"/>
            <wp:effectExtent l="4445" t="4445" r="20955" b="22860"/>
            <wp:docPr id="5" name="图表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9C10D8E">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71" w:name="_Toc28931_WPSOffice_Level3"/>
      <w:bookmarkStart w:id="72" w:name="_Toc15377211"/>
      <w:r>
        <w:rPr>
          <w:rFonts w:hint="eastAsia" w:ascii="Times New Roman" w:hAnsi="Times New Roman" w:eastAsia="楷体_GB2312" w:cs="楷体_GB2312"/>
          <w:b/>
          <w:color w:val="auto"/>
          <w:sz w:val="32"/>
          <w:szCs w:val="32"/>
          <w:highlight w:val="none"/>
        </w:rPr>
        <w:t>（二）一般公共预算财政拨款支出决算结构情况</w:t>
      </w:r>
      <w:bookmarkEnd w:id="71"/>
      <w:bookmarkEnd w:id="72"/>
    </w:p>
    <w:p w14:paraId="27903721">
      <w:pPr>
        <w:spacing w:line="600" w:lineRule="exact"/>
        <w:ind w:firstLine="640"/>
        <w:rPr>
          <w:sz w:val="31"/>
          <w:szCs w:val="31"/>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2024年度一般公共预算财政拨款支出</w:t>
      </w:r>
      <w:r>
        <w:rPr>
          <w:rFonts w:hint="eastAsia" w:ascii="仿宋_GB2312" w:hAnsi="仿宋_GB2312" w:eastAsia="仿宋_GB2312" w:cs="仿宋_GB2312"/>
          <w:sz w:val="32"/>
          <w:szCs w:val="32"/>
        </w:rPr>
        <w:t>65.47</w:t>
      </w:r>
      <w:r>
        <w:rPr>
          <w:rFonts w:hint="eastAsia" w:ascii="仿宋_GB2312" w:hAnsi="仿宋_GB2312" w:eastAsia="仿宋_GB2312" w:cs="仿宋_GB2312"/>
          <w:color w:val="auto"/>
          <w:kern w:val="2"/>
          <w:sz w:val="32"/>
          <w:szCs w:val="32"/>
          <w:highlight w:val="none"/>
          <w:lang w:val="en-US" w:eastAsia="zh-CN" w:bidi="ar-SA"/>
        </w:rPr>
        <w:t>万元</w:t>
      </w:r>
      <w:r>
        <w:rPr>
          <w:rFonts w:hint="eastAsia" w:ascii="Times New Roman" w:hAnsi="Times New Roman" w:eastAsia="仿宋_GB2312" w:cs="仿宋_GB2312"/>
          <w:color w:val="auto"/>
          <w:kern w:val="2"/>
          <w:sz w:val="32"/>
          <w:szCs w:val="32"/>
          <w:highlight w:val="none"/>
          <w:lang w:val="en-US" w:eastAsia="zh-CN" w:bidi="ar-SA"/>
        </w:rPr>
        <w:t>，主要用于以下方面</w:t>
      </w:r>
      <w:r>
        <w:rPr>
          <w:rFonts w:hint="eastAsia"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社会保障和就业支出</w:t>
      </w:r>
      <w:r>
        <w:rPr>
          <w:rFonts w:hint="eastAsia" w:eastAsia="仿宋_GB2312" w:cs="仿宋_GB2312"/>
          <w:color w:val="auto"/>
          <w:kern w:val="2"/>
          <w:sz w:val="32"/>
          <w:szCs w:val="32"/>
          <w:highlight w:val="none"/>
          <w:lang w:val="en-US" w:eastAsia="zh-CN" w:bidi="ar-SA"/>
        </w:rPr>
        <w:t>22.51</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34.38</w:t>
      </w:r>
      <w:r>
        <w:rPr>
          <w:rFonts w:hint="eastAsia" w:ascii="Times New Roman" w:hAnsi="Times New Roman" w:eastAsia="仿宋_GB2312" w:cs="仿宋_GB2312"/>
          <w:color w:val="auto"/>
          <w:kern w:val="2"/>
          <w:sz w:val="32"/>
          <w:szCs w:val="32"/>
          <w:highlight w:val="none"/>
          <w:lang w:val="en-US" w:eastAsia="zh-CN" w:bidi="ar-SA"/>
        </w:rPr>
        <w:t>%；卫生健康支出</w:t>
      </w:r>
      <w:r>
        <w:rPr>
          <w:rFonts w:hint="eastAsia" w:eastAsia="仿宋_GB2312" w:cs="仿宋_GB2312"/>
          <w:color w:val="auto"/>
          <w:kern w:val="2"/>
          <w:sz w:val="32"/>
          <w:szCs w:val="32"/>
          <w:highlight w:val="none"/>
          <w:lang w:val="en-US" w:eastAsia="zh-CN" w:bidi="ar-SA"/>
        </w:rPr>
        <w:t>3.06</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4.67</w:t>
      </w:r>
      <w:r>
        <w:rPr>
          <w:rFonts w:hint="eastAsia" w:ascii="Times New Roman" w:hAnsi="Times New Roman" w:eastAsia="仿宋_GB2312" w:cs="仿宋_GB2312"/>
          <w:color w:val="auto"/>
          <w:kern w:val="2"/>
          <w:sz w:val="32"/>
          <w:szCs w:val="32"/>
          <w:highlight w:val="none"/>
          <w:lang w:val="en-US" w:eastAsia="zh-CN" w:bidi="ar-SA"/>
        </w:rPr>
        <w:t>%；</w:t>
      </w:r>
      <w:r>
        <w:rPr>
          <w:rFonts w:hint="eastAsia" w:eastAsia="仿宋_GB2312" w:cs="仿宋_GB2312"/>
          <w:color w:val="auto"/>
          <w:kern w:val="2"/>
          <w:sz w:val="32"/>
          <w:szCs w:val="32"/>
          <w:highlight w:val="none"/>
          <w:lang w:val="en-US" w:eastAsia="zh-CN" w:bidi="ar-SA"/>
        </w:rPr>
        <w:t>农林水利支出36.37万元占55.55%，</w:t>
      </w:r>
      <w:r>
        <w:rPr>
          <w:rFonts w:hint="eastAsia" w:ascii="Times New Roman" w:hAnsi="Times New Roman" w:eastAsia="仿宋_GB2312" w:cs="仿宋_GB2312"/>
          <w:color w:val="auto"/>
          <w:kern w:val="2"/>
          <w:sz w:val="32"/>
          <w:szCs w:val="32"/>
          <w:highlight w:val="none"/>
          <w:lang w:val="en-US" w:eastAsia="zh-CN" w:bidi="ar-SA"/>
        </w:rPr>
        <w:t>住房保障支出</w:t>
      </w:r>
      <w:r>
        <w:rPr>
          <w:rFonts w:hint="eastAsia" w:eastAsia="仿宋_GB2312" w:cs="仿宋_GB2312"/>
          <w:color w:val="auto"/>
          <w:kern w:val="2"/>
          <w:sz w:val="32"/>
          <w:szCs w:val="32"/>
          <w:highlight w:val="none"/>
          <w:lang w:val="en-US" w:eastAsia="zh-CN" w:bidi="ar-SA"/>
        </w:rPr>
        <w:t>3.53</w:t>
      </w:r>
      <w:r>
        <w:rPr>
          <w:rFonts w:hint="eastAsia" w:ascii="Times New Roman" w:hAnsi="Times New Roman" w:eastAsia="仿宋_GB2312" w:cs="仿宋_GB2312"/>
          <w:color w:val="auto"/>
          <w:kern w:val="2"/>
          <w:sz w:val="32"/>
          <w:szCs w:val="32"/>
          <w:highlight w:val="none"/>
          <w:lang w:val="en-US" w:eastAsia="zh-CN" w:bidi="ar-SA"/>
        </w:rPr>
        <w:t>万元，占</w:t>
      </w:r>
      <w:r>
        <w:rPr>
          <w:rFonts w:hint="eastAsia" w:eastAsia="仿宋_GB2312" w:cs="仿宋_GB2312"/>
          <w:color w:val="auto"/>
          <w:kern w:val="2"/>
          <w:sz w:val="32"/>
          <w:szCs w:val="32"/>
          <w:highlight w:val="none"/>
          <w:lang w:val="en-US" w:eastAsia="zh-CN" w:bidi="ar-SA"/>
        </w:rPr>
        <w:t>5.4</w:t>
      </w:r>
      <w:r>
        <w:rPr>
          <w:rFonts w:hint="eastAsia" w:ascii="Times New Roman" w:hAnsi="Times New Roman" w:eastAsia="仿宋_GB2312" w:cs="仿宋_GB2312"/>
          <w:color w:val="auto"/>
          <w:kern w:val="2"/>
          <w:sz w:val="32"/>
          <w:szCs w:val="32"/>
          <w:highlight w:val="none"/>
          <w:lang w:val="en-US" w:eastAsia="zh-CN" w:bidi="ar-SA"/>
        </w:rPr>
        <w:t>%；</w:t>
      </w:r>
    </w:p>
    <w:p w14:paraId="663934AB">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（图6：一般公共预算财政拨款支出决算结构）（饼状图）</w:t>
      </w:r>
    </w:p>
    <w:p w14:paraId="10545AF2">
      <w:pPr>
        <w:pStyle w:val="2"/>
        <w:rPr>
          <w:rFonts w:hint="eastAsia" w:ascii="Times New Roman" w:hAnsi="Times New Roman" w:eastAsia="仿宋_GB2312" w:cs="仿宋_GB2312"/>
          <w:color w:val="auto"/>
          <w:kern w:val="2"/>
          <w:sz w:val="32"/>
          <w:szCs w:val="32"/>
          <w:highlight w:val="none"/>
          <w:lang w:val="en-US" w:eastAsia="zh-CN" w:bidi="ar-SA"/>
        </w:rPr>
      </w:pPr>
      <w:r>
        <w:rPr>
          <w:rFonts w:hint="eastAsia" w:ascii="仿宋" w:hAnsi="仿宋" w:eastAsia="仿宋"/>
          <w:sz w:val="32"/>
          <w:szCs w:val="32"/>
          <w:lang w:eastAsia="zh-CN"/>
        </w:rPr>
        <w:drawing>
          <wp:inline distT="0" distB="0" distL="114300" distR="114300">
            <wp:extent cx="5080000" cy="3171825"/>
            <wp:effectExtent l="4445" t="4445" r="20955" b="5080"/>
            <wp:docPr id="6" name="图表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1A03A83">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73" w:name="_Toc5729_WPSOffice_Level3"/>
      <w:bookmarkStart w:id="74" w:name="_Toc15377212"/>
      <w:r>
        <w:rPr>
          <w:rFonts w:hint="eastAsia" w:ascii="Times New Roman" w:hAnsi="Times New Roman" w:eastAsia="楷体_GB2312" w:cs="楷体_GB2312"/>
          <w:b/>
          <w:color w:val="auto"/>
          <w:sz w:val="32"/>
          <w:szCs w:val="32"/>
          <w:highlight w:val="none"/>
        </w:rPr>
        <w:t>（三）一般公共预算财政拨款支出决算具体情况</w:t>
      </w:r>
      <w:bookmarkEnd w:id="73"/>
      <w:bookmarkEnd w:id="74"/>
    </w:p>
    <w:p w14:paraId="0C9E0589">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bookmarkStart w:id="75" w:name="_Toc15377213"/>
      <w:bookmarkStart w:id="76" w:name="_Toc15378460"/>
      <w:bookmarkStart w:id="77" w:name="_Toc15377444"/>
      <w:r>
        <w:rPr>
          <w:rFonts w:hint="eastAsia" w:ascii="Times New Roman" w:hAnsi="Times New Roman" w:eastAsia="仿宋_GB2312" w:cs="仿宋_GB2312"/>
          <w:color w:val="auto"/>
          <w:kern w:val="2"/>
          <w:sz w:val="32"/>
          <w:szCs w:val="32"/>
          <w:highlight w:val="none"/>
          <w:lang w:val="en-US" w:eastAsia="zh-CN" w:bidi="ar-SA"/>
        </w:rPr>
        <w:t>2024年度一般公共预算财政拨款支出决算数为</w:t>
      </w:r>
      <w:r>
        <w:rPr>
          <w:rFonts w:hint="eastAsia" w:ascii="仿宋_GB2312" w:hAnsi="仿宋_GB2312" w:eastAsia="仿宋_GB2312" w:cs="仿宋_GB2312"/>
          <w:sz w:val="32"/>
          <w:szCs w:val="32"/>
        </w:rPr>
        <w:t>65.47</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完成预算</w:t>
      </w:r>
      <w:r>
        <w:rPr>
          <w:rFonts w:hint="eastAsia" w:eastAsia="仿宋_GB2312" w:cs="仿宋_GB2312"/>
          <w:color w:val="auto"/>
          <w:kern w:val="2"/>
          <w:sz w:val="32"/>
          <w:szCs w:val="32"/>
          <w:highlight w:val="none"/>
          <w:lang w:val="en-US" w:eastAsia="zh-CN" w:bidi="ar-SA"/>
        </w:rPr>
        <w:t>100</w:t>
      </w:r>
      <w:r>
        <w:rPr>
          <w:rFonts w:hint="eastAsia" w:ascii="Times New Roman" w:hAnsi="Times New Roman" w:eastAsia="仿宋_GB2312" w:cs="仿宋_GB2312"/>
          <w:color w:val="auto"/>
          <w:kern w:val="2"/>
          <w:sz w:val="32"/>
          <w:szCs w:val="32"/>
          <w:highlight w:val="none"/>
          <w:lang w:val="en-US" w:eastAsia="zh-CN" w:bidi="ar-SA"/>
        </w:rPr>
        <w:t>%。其中：</w:t>
      </w:r>
      <w:bookmarkEnd w:id="75"/>
      <w:bookmarkEnd w:id="76"/>
      <w:bookmarkEnd w:id="77"/>
    </w:p>
    <w:p w14:paraId="5FE89E28">
      <w:pPr>
        <w:spacing w:line="600" w:lineRule="exact"/>
        <w:ind w:firstLine="643" w:firstLineChars="200"/>
        <w:rPr>
          <w:rStyle w:val="17"/>
          <w:rFonts w:hint="eastAsia" w:ascii="仿宋" w:hAnsi="仿宋" w:eastAsia="仿宋"/>
          <w:b w:val="0"/>
          <w:bCs/>
          <w:color w:val="000000"/>
          <w:sz w:val="32"/>
          <w:szCs w:val="32"/>
        </w:rPr>
      </w:pPr>
      <w:r>
        <w:rPr>
          <w:rStyle w:val="17"/>
          <w:rFonts w:hint="eastAsia" w:ascii="仿宋" w:hAnsi="仿宋" w:eastAsia="仿宋"/>
          <w:bCs/>
          <w:color w:val="000000"/>
          <w:sz w:val="32"/>
          <w:szCs w:val="32"/>
        </w:rPr>
        <w:t>1</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社会保障和就业支出（类）行政事业单位养老支出（款）机关事业单位基本养老保险缴费支出（项）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4.65</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66547DEC">
      <w:pPr>
        <w:spacing w:line="600" w:lineRule="exact"/>
        <w:ind w:firstLine="643" w:firstLineChars="200"/>
        <w:rPr>
          <w:rFonts w:ascii="仿宋" w:hAnsi="仿宋" w:eastAsia="仿宋"/>
          <w:b/>
          <w:color w:val="000000"/>
          <w:sz w:val="32"/>
          <w:szCs w:val="32"/>
        </w:rPr>
      </w:pPr>
      <w:r>
        <w:rPr>
          <w:rStyle w:val="17"/>
          <w:rFonts w:hint="eastAsia" w:ascii="仿宋" w:hAnsi="仿宋" w:eastAsia="仿宋"/>
          <w:bCs/>
          <w:color w:val="000000"/>
          <w:sz w:val="32"/>
          <w:szCs w:val="32"/>
        </w:rPr>
        <w:t>2</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社会保障和就业支出（类）行政事业单位养老支出（款）机关事业单位职业年金缴费支出（项）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2.32</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3FEEA5BE">
      <w:pPr>
        <w:spacing w:line="600" w:lineRule="exact"/>
        <w:ind w:firstLine="643" w:firstLineChars="200"/>
        <w:rPr>
          <w:rStyle w:val="17"/>
          <w:rFonts w:hint="eastAsia" w:ascii="仿宋" w:hAnsi="仿宋" w:eastAsia="仿宋"/>
          <w:b w:val="0"/>
          <w:bCs/>
          <w:color w:val="000000"/>
          <w:sz w:val="32"/>
          <w:szCs w:val="32"/>
        </w:rPr>
      </w:pPr>
      <w:r>
        <w:rPr>
          <w:rStyle w:val="17"/>
          <w:rFonts w:hint="eastAsia" w:ascii="仿宋" w:hAnsi="仿宋" w:eastAsia="仿宋"/>
          <w:bCs/>
          <w:color w:val="000000"/>
          <w:sz w:val="32"/>
          <w:szCs w:val="32"/>
        </w:rPr>
        <w:t>3</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社会保障和就业支出（类）行政事业单位养老支出（款）其他行政事业单位养老支出（项）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9.61</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40FF5437">
      <w:pPr>
        <w:pStyle w:val="2"/>
        <w:ind w:firstLine="640" w:firstLineChars="200"/>
        <w:rPr>
          <w:rStyle w:val="17"/>
          <w:rFonts w:hint="eastAsia" w:ascii="仿宋" w:hAnsi="仿宋" w:eastAsia="仿宋"/>
          <w:b w:val="0"/>
          <w:bCs/>
          <w:color w:val="000000"/>
          <w:sz w:val="32"/>
          <w:szCs w:val="32"/>
        </w:rPr>
      </w:pPr>
      <w:r>
        <w:rPr>
          <w:rFonts w:hint="eastAsia" w:ascii="Times New Roman" w:hAnsi="Times New Roman" w:eastAsia="仿宋_GB2312" w:cs="仿宋_GB2312"/>
          <w:color w:val="auto"/>
          <w:kern w:val="2"/>
          <w:sz w:val="32"/>
          <w:szCs w:val="32"/>
          <w:highlight w:val="none"/>
          <w:lang w:val="en-US" w:eastAsia="zh-CN" w:bidi="ar-SA"/>
        </w:rPr>
        <w:t>4.</w:t>
      </w:r>
      <w:r>
        <w:rPr>
          <w:rStyle w:val="17"/>
          <w:rFonts w:hint="eastAsia" w:ascii="仿宋" w:hAnsi="仿宋" w:eastAsia="仿宋"/>
          <w:bCs/>
          <w:color w:val="000000"/>
          <w:sz w:val="32"/>
          <w:szCs w:val="32"/>
        </w:rPr>
        <w:t>社会保障和就业支出（类）</w:t>
      </w:r>
      <w:r>
        <w:rPr>
          <w:rStyle w:val="17"/>
          <w:rFonts w:hint="eastAsia" w:ascii="仿宋" w:hAnsi="仿宋" w:eastAsia="仿宋"/>
          <w:bCs/>
          <w:color w:val="000000"/>
          <w:sz w:val="32"/>
          <w:szCs w:val="32"/>
          <w:lang w:val="en-US" w:eastAsia="zh-CN"/>
        </w:rPr>
        <w:t>其他社会保障和就业支出</w:t>
      </w:r>
      <w:r>
        <w:rPr>
          <w:rStyle w:val="17"/>
          <w:rFonts w:hint="eastAsia" w:ascii="仿宋" w:hAnsi="仿宋" w:eastAsia="仿宋"/>
          <w:bCs/>
          <w:color w:val="000000"/>
          <w:sz w:val="32"/>
          <w:szCs w:val="32"/>
        </w:rPr>
        <w:t>（款）</w:t>
      </w:r>
      <w:r>
        <w:rPr>
          <w:rStyle w:val="17"/>
          <w:rFonts w:hint="eastAsia" w:ascii="仿宋" w:hAnsi="仿宋" w:eastAsia="仿宋"/>
          <w:bCs/>
          <w:color w:val="000000"/>
          <w:sz w:val="32"/>
          <w:szCs w:val="32"/>
          <w:lang w:val="en-US" w:eastAsia="zh-CN"/>
        </w:rPr>
        <w:t>其他社会保障和就业支出</w:t>
      </w:r>
      <w:r>
        <w:rPr>
          <w:rStyle w:val="17"/>
          <w:rFonts w:hint="eastAsia" w:ascii="仿宋" w:hAnsi="仿宋" w:eastAsia="仿宋"/>
          <w:bCs/>
          <w:color w:val="000000"/>
          <w:sz w:val="32"/>
          <w:szCs w:val="32"/>
        </w:rPr>
        <w:t>（项）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0.48</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5137BC80">
      <w:pPr>
        <w:pStyle w:val="2"/>
        <w:ind w:firstLine="643" w:firstLineChars="200"/>
        <w:rPr>
          <w:rStyle w:val="17"/>
          <w:rFonts w:hint="default" w:ascii="仿宋" w:hAnsi="仿宋" w:eastAsia="仿宋"/>
          <w:b w:val="0"/>
          <w:bCs/>
          <w:color w:val="000000"/>
          <w:sz w:val="32"/>
          <w:szCs w:val="32"/>
          <w:lang w:val="en-US" w:eastAsia="zh-CN"/>
        </w:rPr>
      </w:pPr>
      <w:r>
        <w:rPr>
          <w:rStyle w:val="17"/>
          <w:rFonts w:hint="eastAsia" w:ascii="仿宋" w:hAnsi="仿宋" w:eastAsia="仿宋"/>
          <w:bCs/>
          <w:color w:val="000000"/>
          <w:sz w:val="32"/>
          <w:szCs w:val="32"/>
          <w:lang w:val="en-US" w:eastAsia="zh-CN"/>
        </w:rPr>
        <w:t>5.</w:t>
      </w:r>
      <w:r>
        <w:rPr>
          <w:rStyle w:val="17"/>
          <w:rFonts w:hint="eastAsia" w:ascii="仿宋" w:hAnsi="仿宋" w:eastAsia="仿宋"/>
          <w:bCs/>
          <w:color w:val="000000"/>
          <w:sz w:val="32"/>
          <w:szCs w:val="32"/>
        </w:rPr>
        <w:t>社会保障和就业支出（类）</w:t>
      </w:r>
      <w:r>
        <w:rPr>
          <w:rStyle w:val="17"/>
          <w:rFonts w:hint="eastAsia" w:ascii="仿宋" w:hAnsi="仿宋" w:eastAsia="仿宋"/>
          <w:bCs/>
          <w:color w:val="000000"/>
          <w:sz w:val="32"/>
          <w:szCs w:val="32"/>
          <w:lang w:val="en-US" w:eastAsia="zh-CN"/>
        </w:rPr>
        <w:t>抚恤</w:t>
      </w:r>
      <w:r>
        <w:rPr>
          <w:rStyle w:val="17"/>
          <w:rFonts w:hint="eastAsia" w:ascii="仿宋" w:hAnsi="仿宋" w:eastAsia="仿宋"/>
          <w:bCs/>
          <w:color w:val="000000"/>
          <w:sz w:val="32"/>
          <w:szCs w:val="32"/>
        </w:rPr>
        <w:t>（款）</w:t>
      </w:r>
      <w:r>
        <w:rPr>
          <w:rStyle w:val="17"/>
          <w:rFonts w:hint="eastAsia" w:ascii="仿宋" w:hAnsi="仿宋" w:eastAsia="仿宋"/>
          <w:bCs/>
          <w:color w:val="000000"/>
          <w:sz w:val="32"/>
          <w:szCs w:val="32"/>
          <w:lang w:val="en-US" w:eastAsia="zh-CN"/>
        </w:rPr>
        <w:t>死亡抚恤</w:t>
      </w:r>
      <w:r>
        <w:rPr>
          <w:rStyle w:val="17"/>
          <w:rFonts w:hint="eastAsia" w:ascii="仿宋" w:hAnsi="仿宋" w:eastAsia="仿宋"/>
          <w:bCs/>
          <w:color w:val="000000"/>
          <w:sz w:val="32"/>
          <w:szCs w:val="32"/>
        </w:rPr>
        <w:t>（项）</w:t>
      </w:r>
      <w:r>
        <w:rPr>
          <w:rStyle w:val="17"/>
          <w:rFonts w:ascii="仿宋" w:hAnsi="仿宋" w:eastAsia="仿宋"/>
          <w:bCs/>
          <w:color w:val="000000"/>
          <w:sz w:val="32"/>
          <w:szCs w:val="32"/>
        </w:rPr>
        <w:t>:</w:t>
      </w:r>
      <w:r>
        <w:rPr>
          <w:rStyle w:val="17"/>
          <w:rFonts w:ascii="仿宋" w:hAnsi="仿宋" w:eastAsia="仿宋"/>
          <w:b w:val="0"/>
          <w:bCs/>
          <w:color w:val="000000"/>
          <w:sz w:val="32"/>
          <w:szCs w:val="32"/>
        </w:rPr>
        <w:t xml:space="preserve"> </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5.45</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381535CA">
      <w:pPr>
        <w:spacing w:line="600" w:lineRule="exact"/>
        <w:ind w:firstLine="643" w:firstLineChars="200"/>
        <w:rPr>
          <w:rFonts w:ascii="仿宋" w:hAnsi="仿宋" w:eastAsia="仿宋"/>
          <w:b/>
          <w:color w:val="000000"/>
          <w:sz w:val="32"/>
          <w:szCs w:val="32"/>
        </w:rPr>
      </w:pPr>
      <w:r>
        <w:rPr>
          <w:rFonts w:hint="eastAsia" w:ascii="仿宋" w:hAnsi="仿宋" w:eastAsia="仿宋"/>
          <w:b/>
          <w:bCs/>
          <w:color w:val="000000"/>
          <w:sz w:val="32"/>
          <w:szCs w:val="32"/>
          <w:lang w:val="en-US" w:eastAsia="zh-CN"/>
        </w:rPr>
        <w:t>6.</w:t>
      </w:r>
      <w:r>
        <w:rPr>
          <w:rFonts w:hint="eastAsia" w:ascii="仿宋" w:hAnsi="仿宋" w:eastAsia="仿宋"/>
          <w:b/>
          <w:bCs/>
          <w:color w:val="000000"/>
          <w:sz w:val="32"/>
          <w:szCs w:val="32"/>
        </w:rPr>
        <w:t>卫生健康支出</w:t>
      </w:r>
      <w:r>
        <w:rPr>
          <w:rStyle w:val="17"/>
          <w:rFonts w:hint="eastAsia" w:ascii="仿宋" w:hAnsi="仿宋" w:eastAsia="仿宋"/>
          <w:bCs/>
          <w:color w:val="000000"/>
          <w:sz w:val="32"/>
          <w:szCs w:val="32"/>
        </w:rPr>
        <w:t>（类）行政事业单位医疗（款）事业单位医疗（项）</w:t>
      </w:r>
      <w:r>
        <w:rPr>
          <w:rStyle w:val="17"/>
          <w:rFonts w:ascii="仿宋" w:hAnsi="仿宋" w:eastAsia="仿宋"/>
          <w:bCs/>
          <w:color w:val="000000"/>
          <w:sz w:val="32"/>
          <w:szCs w:val="32"/>
        </w:rPr>
        <w:t>:</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1.75</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7E287EED">
      <w:pPr>
        <w:spacing w:line="600" w:lineRule="exact"/>
        <w:ind w:firstLine="643" w:firstLineChars="200"/>
        <w:rPr>
          <w:rFonts w:ascii="仿宋" w:hAnsi="仿宋" w:eastAsia="仿宋"/>
          <w:b/>
          <w:color w:val="000000"/>
          <w:sz w:val="32"/>
          <w:szCs w:val="32"/>
        </w:rPr>
      </w:pPr>
      <w:r>
        <w:rPr>
          <w:rStyle w:val="17"/>
          <w:rFonts w:hint="eastAsia" w:ascii="仿宋" w:hAnsi="仿宋" w:eastAsia="仿宋"/>
          <w:bCs/>
          <w:color w:val="000000"/>
          <w:sz w:val="32"/>
          <w:szCs w:val="32"/>
          <w:lang w:val="en-US" w:eastAsia="zh-CN"/>
        </w:rPr>
        <w:t>7</w:t>
      </w:r>
      <w:r>
        <w:rPr>
          <w:rStyle w:val="17"/>
          <w:rFonts w:ascii="仿宋" w:hAnsi="仿宋" w:eastAsia="仿宋"/>
          <w:bCs/>
          <w:color w:val="000000"/>
          <w:sz w:val="32"/>
          <w:szCs w:val="32"/>
        </w:rPr>
        <w:t>.</w:t>
      </w:r>
      <w:r>
        <w:rPr>
          <w:rFonts w:hint="eastAsia" w:ascii="仿宋" w:hAnsi="仿宋" w:eastAsia="仿宋"/>
          <w:b/>
          <w:bCs/>
          <w:color w:val="000000"/>
          <w:sz w:val="32"/>
          <w:szCs w:val="32"/>
        </w:rPr>
        <w:t>卫生健康支出</w:t>
      </w:r>
      <w:r>
        <w:rPr>
          <w:rStyle w:val="17"/>
          <w:rFonts w:hint="eastAsia" w:ascii="仿宋" w:hAnsi="仿宋" w:eastAsia="仿宋"/>
          <w:bCs/>
          <w:color w:val="000000"/>
          <w:sz w:val="32"/>
          <w:szCs w:val="32"/>
        </w:rPr>
        <w:t>（类）行政事业单位医疗（款）</w:t>
      </w:r>
      <w:r>
        <w:rPr>
          <w:rStyle w:val="17"/>
          <w:rFonts w:hint="eastAsia" w:ascii="仿宋" w:hAnsi="仿宋" w:eastAsia="仿宋"/>
          <w:bCs/>
          <w:color w:val="000000"/>
          <w:sz w:val="32"/>
          <w:szCs w:val="32"/>
          <w:lang w:val="en-US" w:eastAsia="zh-CN"/>
        </w:rPr>
        <w:t>公务员医疗补助</w:t>
      </w:r>
      <w:r>
        <w:rPr>
          <w:rStyle w:val="17"/>
          <w:rFonts w:hint="eastAsia" w:ascii="仿宋" w:hAnsi="仿宋" w:eastAsia="仿宋"/>
          <w:bCs/>
          <w:color w:val="000000"/>
          <w:sz w:val="32"/>
          <w:szCs w:val="32"/>
        </w:rPr>
        <w:t>（项）</w:t>
      </w:r>
      <w:r>
        <w:rPr>
          <w:rStyle w:val="17"/>
          <w:rFonts w:ascii="仿宋" w:hAnsi="仿宋" w:eastAsia="仿宋"/>
          <w:bCs/>
          <w:color w:val="000000"/>
          <w:sz w:val="32"/>
          <w:szCs w:val="32"/>
        </w:rPr>
        <w:t>:</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1.3</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75C967A2">
      <w:pPr>
        <w:spacing w:line="600" w:lineRule="exact"/>
        <w:ind w:firstLine="643" w:firstLineChars="200"/>
        <w:rPr>
          <w:rStyle w:val="17"/>
          <w:rFonts w:hint="eastAsia" w:ascii="仿宋" w:hAnsi="仿宋" w:eastAsia="仿宋"/>
          <w:b w:val="0"/>
          <w:bCs/>
          <w:color w:val="000000"/>
          <w:sz w:val="32"/>
          <w:szCs w:val="32"/>
        </w:rPr>
      </w:pPr>
      <w:r>
        <w:rPr>
          <w:rStyle w:val="17"/>
          <w:rFonts w:hint="eastAsia" w:ascii="仿宋" w:hAnsi="仿宋" w:eastAsia="仿宋"/>
          <w:bCs/>
          <w:color w:val="000000"/>
          <w:sz w:val="32"/>
          <w:szCs w:val="32"/>
          <w:lang w:val="en-US" w:eastAsia="zh-CN"/>
        </w:rPr>
        <w:t>8</w:t>
      </w:r>
      <w:r>
        <w:rPr>
          <w:rStyle w:val="17"/>
          <w:rFonts w:ascii="仿宋" w:hAnsi="仿宋" w:eastAsia="仿宋"/>
          <w:bCs/>
          <w:color w:val="000000"/>
          <w:sz w:val="32"/>
          <w:szCs w:val="32"/>
        </w:rPr>
        <w:t>.</w:t>
      </w:r>
      <w:r>
        <w:rPr>
          <w:rStyle w:val="17"/>
          <w:rFonts w:hint="eastAsia" w:ascii="仿宋" w:hAnsi="仿宋" w:eastAsia="仿宋"/>
          <w:bCs/>
          <w:color w:val="000000"/>
          <w:sz w:val="32"/>
          <w:szCs w:val="32"/>
        </w:rPr>
        <w:t>农林水支出（类）</w:t>
      </w:r>
      <w:r>
        <w:rPr>
          <w:rStyle w:val="17"/>
          <w:rFonts w:hint="eastAsia" w:ascii="仿宋" w:hAnsi="仿宋" w:eastAsia="仿宋"/>
          <w:bCs/>
          <w:color w:val="000000"/>
          <w:sz w:val="32"/>
          <w:szCs w:val="32"/>
          <w:lang w:val="en-US" w:eastAsia="zh-CN"/>
        </w:rPr>
        <w:t>水利</w:t>
      </w:r>
      <w:r>
        <w:rPr>
          <w:rStyle w:val="17"/>
          <w:rFonts w:hint="eastAsia" w:ascii="仿宋" w:hAnsi="仿宋" w:eastAsia="仿宋"/>
          <w:bCs/>
          <w:color w:val="000000"/>
          <w:sz w:val="32"/>
          <w:szCs w:val="32"/>
        </w:rPr>
        <w:t>（款）</w:t>
      </w:r>
      <w:r>
        <w:rPr>
          <w:rStyle w:val="17"/>
          <w:rFonts w:hint="eastAsia" w:ascii="仿宋" w:hAnsi="仿宋" w:eastAsia="仿宋"/>
          <w:bCs/>
          <w:color w:val="000000"/>
          <w:sz w:val="32"/>
          <w:szCs w:val="32"/>
          <w:lang w:val="en-US" w:eastAsia="zh-CN"/>
        </w:rPr>
        <w:t>水资源节约管理与保护</w:t>
      </w:r>
      <w:r>
        <w:rPr>
          <w:rStyle w:val="17"/>
          <w:rFonts w:hint="eastAsia" w:ascii="仿宋" w:hAnsi="仿宋" w:eastAsia="仿宋"/>
          <w:bCs/>
          <w:color w:val="000000"/>
          <w:sz w:val="32"/>
          <w:szCs w:val="32"/>
        </w:rPr>
        <w:t>（项）</w:t>
      </w:r>
      <w:r>
        <w:rPr>
          <w:rStyle w:val="17"/>
          <w:rFonts w:hint="eastAsia" w:ascii="仿宋" w:hAnsi="仿宋" w:eastAsia="仿宋"/>
          <w:bCs/>
          <w:color w:val="000000"/>
          <w:sz w:val="32"/>
          <w:szCs w:val="32"/>
          <w:lang w:eastAsia="zh-CN"/>
        </w:rPr>
        <w:t>：</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36.36</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2E31EA24">
      <w:pPr>
        <w:spacing w:line="600" w:lineRule="exact"/>
        <w:ind w:firstLine="640" w:firstLineChars="200"/>
        <w:rPr>
          <w:rStyle w:val="17"/>
          <w:rFonts w:hint="default" w:ascii="仿宋" w:hAnsi="仿宋" w:eastAsia="仿宋" w:cs="Times New Roman"/>
          <w:bCs/>
          <w:color w:val="000000"/>
          <w:kern w:val="2"/>
          <w:sz w:val="32"/>
          <w:szCs w:val="32"/>
          <w:lang w:val="en-US" w:eastAsia="zh-CN" w:bidi="ar-SA"/>
        </w:rPr>
      </w:pPr>
      <w:r>
        <w:rPr>
          <w:rStyle w:val="17"/>
          <w:rFonts w:hint="eastAsia" w:ascii="仿宋" w:hAnsi="仿宋" w:eastAsia="仿宋"/>
          <w:b w:val="0"/>
          <w:bCs/>
          <w:color w:val="000000"/>
          <w:sz w:val="32"/>
          <w:szCs w:val="32"/>
          <w:lang w:val="en-US" w:eastAsia="zh-CN"/>
        </w:rPr>
        <w:t>9.</w:t>
      </w:r>
      <w:r>
        <w:rPr>
          <w:rStyle w:val="17"/>
          <w:rFonts w:hint="eastAsia" w:ascii="仿宋" w:hAnsi="仿宋" w:eastAsia="仿宋" w:cs="Times New Roman"/>
          <w:bCs/>
          <w:color w:val="000000"/>
          <w:kern w:val="2"/>
          <w:sz w:val="32"/>
          <w:szCs w:val="32"/>
          <w:lang w:val="en-US" w:eastAsia="zh-CN" w:bidi="ar-SA"/>
        </w:rPr>
        <w:t>住房保障支出（类）住房改革支出（款）住房公积金（项）</w:t>
      </w:r>
      <w:r>
        <w:rPr>
          <w:rStyle w:val="17"/>
          <w:rFonts w:hint="eastAsia" w:ascii="仿宋" w:hAnsi="仿宋" w:eastAsia="仿宋"/>
          <w:b w:val="0"/>
          <w:bCs/>
          <w:color w:val="000000"/>
          <w:sz w:val="32"/>
          <w:szCs w:val="32"/>
        </w:rPr>
        <w:t>支出决算为</w:t>
      </w:r>
      <w:r>
        <w:rPr>
          <w:rStyle w:val="17"/>
          <w:rFonts w:hint="eastAsia" w:ascii="仿宋" w:hAnsi="仿宋" w:eastAsia="仿宋"/>
          <w:b w:val="0"/>
          <w:bCs/>
          <w:color w:val="000000"/>
          <w:sz w:val="32"/>
          <w:szCs w:val="32"/>
          <w:lang w:val="en-US" w:eastAsia="zh-CN"/>
        </w:rPr>
        <w:t>3.53</w:t>
      </w:r>
      <w:r>
        <w:rPr>
          <w:rStyle w:val="17"/>
          <w:rFonts w:hint="eastAsia" w:ascii="仿宋" w:hAnsi="仿宋" w:eastAsia="仿宋"/>
          <w:b w:val="0"/>
          <w:bCs/>
          <w:color w:val="000000"/>
          <w:sz w:val="32"/>
          <w:szCs w:val="32"/>
        </w:rPr>
        <w:t>万元，完成预算100</w:t>
      </w:r>
      <w:r>
        <w:rPr>
          <w:rStyle w:val="17"/>
          <w:rFonts w:ascii="仿宋" w:hAnsi="仿宋" w:eastAsia="仿宋"/>
          <w:b w:val="0"/>
          <w:bCs/>
          <w:color w:val="000000"/>
          <w:sz w:val="32"/>
          <w:szCs w:val="32"/>
        </w:rPr>
        <w:t>%</w:t>
      </w:r>
      <w:r>
        <w:rPr>
          <w:rStyle w:val="17"/>
          <w:rFonts w:hint="eastAsia" w:ascii="仿宋" w:hAnsi="仿宋" w:eastAsia="仿宋"/>
          <w:b w:val="0"/>
          <w:bCs/>
          <w:color w:val="000000"/>
          <w:sz w:val="32"/>
          <w:szCs w:val="32"/>
        </w:rPr>
        <w:t>，决算数等于预算数。</w:t>
      </w:r>
    </w:p>
    <w:p w14:paraId="274195C7">
      <w:pPr>
        <w:tabs>
          <w:tab w:val="right" w:pos="8306"/>
        </w:tabs>
        <w:spacing w:line="600" w:lineRule="exact"/>
        <w:ind w:firstLine="640"/>
        <w:outlineLvl w:val="1"/>
        <w:rPr>
          <w:rStyle w:val="29"/>
          <w:rFonts w:ascii="Times New Roman" w:hAnsi="Times New Roman"/>
          <w:color w:val="auto"/>
          <w:highlight w:val="none"/>
        </w:rPr>
      </w:pPr>
      <w:bookmarkStart w:id="78" w:name="_Toc15377214"/>
      <w:bookmarkStart w:id="79" w:name="_Toc15396608"/>
      <w:bookmarkStart w:id="80" w:name="_Toc17537_WPSOffice_Level2"/>
      <w:r>
        <w:rPr>
          <w:rFonts w:hint="eastAsia" w:ascii="Times New Roman" w:hAnsi="Times New Roman" w:eastAsia="黑体"/>
          <w:color w:val="auto"/>
          <w:sz w:val="32"/>
          <w:szCs w:val="32"/>
          <w:highlight w:val="none"/>
        </w:rPr>
        <w:t>六</w:t>
      </w:r>
      <w:r>
        <w:rPr>
          <w:rFonts w:hint="eastAsia" w:ascii="Times New Roman" w:hAnsi="Times New Roman" w:eastAsia="黑体"/>
          <w:b/>
          <w:color w:val="auto"/>
          <w:sz w:val="32"/>
          <w:szCs w:val="32"/>
          <w:highlight w:val="none"/>
        </w:rPr>
        <w:t>、一</w:t>
      </w:r>
      <w:r>
        <w:rPr>
          <w:rStyle w:val="29"/>
          <w:rFonts w:hint="eastAsia" w:ascii="Times New Roman" w:hAnsi="Times New Roman" w:eastAsia="黑体"/>
          <w:b w:val="0"/>
          <w:color w:val="auto"/>
          <w:highlight w:val="none"/>
        </w:rPr>
        <w:t>般公共预算财政拨款基本支出决算情况说明</w:t>
      </w:r>
      <w:bookmarkEnd w:id="78"/>
      <w:bookmarkEnd w:id="79"/>
      <w:bookmarkEnd w:id="80"/>
      <w:r>
        <w:rPr>
          <w:rStyle w:val="29"/>
          <w:rFonts w:ascii="Times New Roman" w:hAnsi="Times New Roman" w:eastAsia="黑体"/>
          <w:b w:val="0"/>
          <w:color w:val="auto"/>
          <w:highlight w:val="none"/>
        </w:rPr>
        <w:tab/>
      </w:r>
    </w:p>
    <w:p w14:paraId="05669EE0">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2024年度一般公共预算财政拨款基本支出</w:t>
      </w:r>
      <w:r>
        <w:rPr>
          <w:rFonts w:hint="eastAsia" w:ascii="仿宋_GB2312" w:hAnsi="仿宋_GB2312" w:eastAsia="仿宋_GB2312" w:cs="仿宋_GB2312"/>
          <w:sz w:val="32"/>
          <w:szCs w:val="32"/>
        </w:rPr>
        <w:t>65.47</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元，其中：</w:t>
      </w:r>
    </w:p>
    <w:p w14:paraId="43D1847F">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人员经费</w:t>
      </w:r>
      <w:r>
        <w:rPr>
          <w:rFonts w:hint="eastAsia" w:ascii="仿宋_GB2312" w:hAnsi="仿宋_GB2312" w:eastAsia="仿宋_GB2312" w:cs="仿宋_GB2312"/>
          <w:sz w:val="32"/>
          <w:szCs w:val="32"/>
        </w:rPr>
        <w:t>63.02</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基本工资、津贴补贴、奖金、伙食补助费、绩效工资、机关事业单位基本养老保险缴费、职业年金缴费、其他社会保障缴费、其他工资福利支出、离休费、退休费、抚恤金、生活补助、医疗费补助、奖励金、住房公积金、其他对个人和家庭的补助支出等。</w:t>
      </w:r>
      <w:r>
        <w:rPr>
          <w:rFonts w:hint="eastAsia" w:ascii="Times New Roman" w:hAnsi="Times New Roman" w:eastAsia="仿宋_GB2312" w:cs="仿宋_GB2312"/>
          <w:color w:val="auto"/>
          <w:kern w:val="2"/>
          <w:sz w:val="32"/>
          <w:szCs w:val="32"/>
          <w:highlight w:val="none"/>
          <w:lang w:val="en-US" w:eastAsia="zh-CN" w:bidi="ar-SA"/>
        </w:rPr>
        <w:br w:type="textWrapping"/>
      </w:r>
      <w:r>
        <w:rPr>
          <w:rFonts w:hint="eastAsia" w:ascii="Times New Roman" w:hAnsi="Times New Roman" w:eastAsia="仿宋_GB2312" w:cs="仿宋_GB2312"/>
          <w:color w:val="auto"/>
          <w:kern w:val="2"/>
          <w:sz w:val="32"/>
          <w:szCs w:val="32"/>
          <w:highlight w:val="none"/>
          <w:lang w:val="en-US" w:eastAsia="zh-CN" w:bidi="ar-SA"/>
        </w:rPr>
        <w:t>　　公用经费</w:t>
      </w:r>
      <w:r>
        <w:rPr>
          <w:rFonts w:hint="eastAsia" w:ascii="仿宋_GB2312" w:hAnsi="仿宋_GB2312" w:eastAsia="仿宋_GB2312" w:cs="仿宋_GB2312"/>
          <w:sz w:val="32"/>
          <w:szCs w:val="32"/>
        </w:rPr>
        <w:t>2.44</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主要包括：办公费、印刷费、咨询费、手续费、水费、电费、邮电费、取暖费、物业管理费、差旅费、因公出国（境）费用、维修（护）费、租赁费、会议费、培训费、公务接待费、劳务费、委托业务费、工会经费、福利费、公务用车运行维护费、其他交通费、税金及附加费用、其他商品和服务支出、办公设备购置、专用设备购置、信息网络及软件购置更新、其他资本性支出等。</w:t>
      </w:r>
    </w:p>
    <w:p w14:paraId="4AB1DDBC">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14:paraId="5BE00721">
      <w:pPr>
        <w:spacing w:line="600" w:lineRule="exact"/>
        <w:ind w:firstLine="640"/>
        <w:outlineLvl w:val="1"/>
        <w:rPr>
          <w:rStyle w:val="29"/>
          <w:rFonts w:ascii="Times New Roman" w:hAnsi="Times New Roman" w:eastAsia="黑体"/>
          <w:b w:val="0"/>
          <w:color w:val="auto"/>
          <w:highlight w:val="none"/>
        </w:rPr>
      </w:pPr>
      <w:bookmarkStart w:id="81" w:name="_Toc15396609"/>
      <w:bookmarkStart w:id="82" w:name="_Toc15377215"/>
      <w:bookmarkStart w:id="83" w:name="_Toc23114_WPSOffice_Level2"/>
      <w:r>
        <w:rPr>
          <w:rFonts w:hint="eastAsia" w:ascii="Times New Roman" w:hAnsi="Times New Roman" w:eastAsia="黑体"/>
          <w:color w:val="auto"/>
          <w:sz w:val="32"/>
          <w:szCs w:val="32"/>
          <w:highlight w:val="none"/>
        </w:rPr>
        <w:t>七、</w:t>
      </w:r>
      <w:r>
        <w:rPr>
          <w:rStyle w:val="29"/>
          <w:rFonts w:hint="eastAsia" w:ascii="Times New Roman" w:hAnsi="Times New Roman" w:eastAsia="黑体"/>
          <w:b w:val="0"/>
          <w:color w:val="auto"/>
          <w:highlight w:val="none"/>
        </w:rPr>
        <w:t>财政拨款</w:t>
      </w:r>
      <w:r>
        <w:rPr>
          <w:rStyle w:val="29"/>
          <w:rFonts w:hint="eastAsia" w:ascii="Times New Roman" w:hAnsi="Times New Roman" w:eastAsia="黑体"/>
          <w:color w:val="auto"/>
          <w:highlight w:val="none"/>
        </w:rPr>
        <w:t>“</w:t>
      </w:r>
      <w:r>
        <w:rPr>
          <w:rStyle w:val="29"/>
          <w:rFonts w:hint="eastAsia" w:ascii="Times New Roman" w:hAnsi="Times New Roman" w:eastAsia="黑体"/>
          <w:b w:val="0"/>
          <w:color w:val="auto"/>
          <w:highlight w:val="none"/>
        </w:rPr>
        <w:t>三公”经费支出决算情况说明</w:t>
      </w:r>
      <w:bookmarkEnd w:id="81"/>
      <w:bookmarkEnd w:id="82"/>
      <w:bookmarkEnd w:id="83"/>
    </w:p>
    <w:p w14:paraId="1F6910FC">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84" w:name="_Toc15377216"/>
      <w:bookmarkStart w:id="85" w:name="_Toc8900_WPSOffice_Level3"/>
      <w:r>
        <w:rPr>
          <w:rFonts w:hint="eastAsia" w:ascii="Times New Roman" w:hAnsi="Times New Roman" w:eastAsia="楷体_GB2312" w:cs="楷体_GB2312"/>
          <w:b/>
          <w:color w:val="auto"/>
          <w:sz w:val="32"/>
          <w:szCs w:val="32"/>
          <w:highlight w:val="none"/>
        </w:rPr>
        <w:t>（一）“三公”经费财政拨款支出决算总体情况说明</w:t>
      </w:r>
      <w:bookmarkEnd w:id="84"/>
      <w:bookmarkEnd w:id="85"/>
    </w:p>
    <w:p w14:paraId="7E30829E">
      <w:pPr>
        <w:spacing w:line="600" w:lineRule="exact"/>
        <w:ind w:firstLine="640"/>
        <w:rPr>
          <w:rFonts w:hint="eastAsia" w:ascii="Times New Roman" w:hAnsi="Times New Roman" w:eastAsia="仿宋_GB2312" w:cs="仿宋_GB2312"/>
          <w:b/>
          <w:bCs/>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2024年度“三公”经费财政拨款支出决算为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万元，完成预算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较上年度</w:t>
      </w:r>
      <w:r>
        <w:rPr>
          <w:rFonts w:hint="eastAsia" w:eastAsia="仿宋_GB2312" w:cs="仿宋_GB2312"/>
          <w:color w:val="auto"/>
          <w:kern w:val="2"/>
          <w:sz w:val="32"/>
          <w:szCs w:val="32"/>
          <w:highlight w:val="none"/>
          <w:lang w:val="en-US" w:eastAsia="zh-CN" w:bidi="ar-SA"/>
        </w:rPr>
        <w:t>无增减变动。</w:t>
      </w:r>
    </w:p>
    <w:p w14:paraId="10712DB3">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86" w:name="_Toc15377217"/>
      <w:bookmarkStart w:id="87" w:name="_Toc26073_WPSOffice_Level3"/>
      <w:r>
        <w:rPr>
          <w:rFonts w:hint="eastAsia" w:ascii="Times New Roman" w:hAnsi="Times New Roman" w:eastAsia="楷体_GB2312" w:cs="楷体_GB2312"/>
          <w:b/>
          <w:color w:val="auto"/>
          <w:sz w:val="32"/>
          <w:szCs w:val="32"/>
          <w:highlight w:val="none"/>
        </w:rPr>
        <w:t>（二）“三公”经费财政拨款支出决算具体情况说明</w:t>
      </w:r>
      <w:bookmarkEnd w:id="86"/>
      <w:bookmarkEnd w:id="87"/>
    </w:p>
    <w:p w14:paraId="6B5C5D6B">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2024年度“三公”经费财政拨款支出决算中，因公出国（境）费支出决算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万元，占0%；公务用车购置及运行维护费支出决算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万元，占0%；公务接待费支出决算</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万元，占0%。</w:t>
      </w:r>
    </w:p>
    <w:p w14:paraId="65CC7B3A">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1.因公出国（境）经费支出</w:t>
      </w:r>
      <w:r>
        <w:rPr>
          <w:rFonts w:hint="eastAsia" w:eastAsia="仿宋_GB2312" w:cs="仿宋_GB2312"/>
          <w:b/>
          <w:bCs/>
          <w:color w:val="auto"/>
          <w:kern w:val="2"/>
          <w:sz w:val="32"/>
          <w:szCs w:val="32"/>
          <w:highlight w:val="none"/>
          <w:lang w:val="en-US" w:eastAsia="zh-CN" w:bidi="ar-SA"/>
        </w:rPr>
        <w:t>0</w:t>
      </w:r>
      <w:r>
        <w:rPr>
          <w:rFonts w:hint="eastAsia" w:ascii="Times New Roman" w:hAnsi="Times New Roman" w:eastAsia="仿宋_GB2312" w:cs="仿宋_GB2312"/>
          <w:b/>
          <w:bCs/>
          <w:color w:val="auto"/>
          <w:kern w:val="2"/>
          <w:sz w:val="32"/>
          <w:szCs w:val="32"/>
          <w:highlight w:val="none"/>
          <w:lang w:val="en-US" w:eastAsia="zh-CN" w:bidi="ar-SA"/>
        </w:rPr>
        <w:t>万元，完成预算</w:t>
      </w:r>
      <w:r>
        <w:rPr>
          <w:rFonts w:hint="eastAsia" w:eastAsia="仿宋_GB2312" w:cs="仿宋_GB2312"/>
          <w:b/>
          <w:bCs/>
          <w:color w:val="auto"/>
          <w:kern w:val="2"/>
          <w:sz w:val="32"/>
          <w:szCs w:val="32"/>
          <w:highlight w:val="none"/>
          <w:lang w:val="en-US" w:eastAsia="zh-CN" w:bidi="ar-SA"/>
        </w:rPr>
        <w:t>0</w:t>
      </w:r>
      <w:r>
        <w:rPr>
          <w:rFonts w:hint="eastAsia" w:ascii="Times New Roman" w:hAnsi="Times New Roman"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全年安排因公出国（境）团</w:t>
      </w:r>
      <w:r>
        <w:rPr>
          <w:rFonts w:hint="eastAsia" w:ascii="仿宋_GB2312" w:hAnsi="仿宋_GB2312" w:eastAsia="仿宋_GB2312" w:cs="仿宋_GB2312"/>
          <w:color w:val="auto"/>
          <w:kern w:val="2"/>
          <w:sz w:val="32"/>
          <w:szCs w:val="32"/>
          <w:highlight w:val="none"/>
          <w:lang w:val="en-US" w:eastAsia="zh-CN" w:bidi="ar-SA"/>
        </w:rPr>
        <w:t>组</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次，出国（境）</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人</w:t>
      </w:r>
      <w:r>
        <w:rPr>
          <w:rFonts w:hint="eastAsia" w:ascii="Times New Roman" w:hAnsi="Times New Roman" w:eastAsia="仿宋_GB2312" w:cs="仿宋_GB2312"/>
          <w:color w:val="auto"/>
          <w:kern w:val="2"/>
          <w:sz w:val="32"/>
          <w:szCs w:val="32"/>
          <w:highlight w:val="none"/>
          <w:lang w:val="en-US" w:eastAsia="zh-CN" w:bidi="ar-SA"/>
        </w:rPr>
        <w:t>。因公出国（境）支出决算比2023年</w:t>
      </w:r>
      <w:r>
        <w:rPr>
          <w:rFonts w:hint="eastAsia" w:eastAsia="仿宋_GB2312" w:cs="仿宋_GB2312"/>
          <w:color w:val="auto"/>
          <w:kern w:val="2"/>
          <w:sz w:val="32"/>
          <w:szCs w:val="32"/>
          <w:highlight w:val="none"/>
          <w:lang w:val="en-US" w:eastAsia="zh-CN" w:bidi="ar-SA"/>
        </w:rPr>
        <w:t>无增减变动。</w:t>
      </w:r>
    </w:p>
    <w:p w14:paraId="3CABCB00">
      <w:p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2.公务用车购置及运行维护费支出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w:t>
      </w:r>
      <w:r>
        <w:rPr>
          <w:rFonts w:hint="eastAsia"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b/>
          <w:bCs/>
          <w:color w:val="auto"/>
          <w:kern w:val="2"/>
          <w:sz w:val="32"/>
          <w:szCs w:val="32"/>
          <w:highlight w:val="none"/>
          <w:lang w:val="en-US" w:eastAsia="zh-CN" w:bidi="ar-SA"/>
        </w:rPr>
        <w:t>完成预算</w:t>
      </w:r>
      <w:r>
        <w:rPr>
          <w:rFonts w:hint="eastAsia" w:eastAsia="仿宋_GB2312" w:cs="仿宋_GB2312"/>
          <w:b/>
          <w:bCs/>
          <w:color w:val="auto"/>
          <w:kern w:val="2"/>
          <w:sz w:val="32"/>
          <w:szCs w:val="32"/>
          <w:highlight w:val="none"/>
          <w:lang w:val="en-US" w:eastAsia="zh-CN" w:bidi="ar-SA"/>
        </w:rPr>
        <w:t>0</w:t>
      </w:r>
      <w:r>
        <w:rPr>
          <w:rFonts w:hint="eastAsia" w:ascii="Times New Roman" w:hAnsi="Times New Roman"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公务用车购置及运行维护费支出决算比2023年度</w:t>
      </w:r>
      <w:r>
        <w:rPr>
          <w:rFonts w:hint="eastAsia" w:eastAsia="仿宋_GB2312" w:cs="仿宋_GB2312"/>
          <w:color w:val="auto"/>
          <w:kern w:val="2"/>
          <w:sz w:val="32"/>
          <w:szCs w:val="32"/>
          <w:highlight w:val="none"/>
          <w:lang w:val="en-US" w:eastAsia="zh-CN" w:bidi="ar-SA"/>
        </w:rPr>
        <w:t>无增减变动。</w:t>
      </w:r>
    </w:p>
    <w:p w14:paraId="2809F9E7">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其中：公务用车购置支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万元。全年按规定更新购置公务用车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辆，其中：轿车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万元，越野车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万元，载客汽车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辆、金额</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万元。截至2024年12月31日，单位共有公务用车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辆，其中：轿车**辆、越野车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辆、载客汽车</w:t>
      </w:r>
      <w:r>
        <w:rPr>
          <w:rFonts w:hint="eastAsia" w:eastAsia="仿宋_GB2312" w:cs="仿宋_GB2312"/>
          <w:color w:val="auto"/>
          <w:kern w:val="2"/>
          <w:sz w:val="32"/>
          <w:szCs w:val="32"/>
          <w:highlight w:val="none"/>
          <w:lang w:val="en-US" w:eastAsia="zh-CN" w:bidi="ar-SA"/>
        </w:rPr>
        <w:t>0</w:t>
      </w:r>
      <w:r>
        <w:rPr>
          <w:rFonts w:hint="eastAsia" w:ascii="Times New Roman" w:hAnsi="Times New Roman" w:eastAsia="仿宋_GB2312" w:cs="仿宋_GB2312"/>
          <w:color w:val="auto"/>
          <w:kern w:val="2"/>
          <w:sz w:val="32"/>
          <w:szCs w:val="32"/>
          <w:highlight w:val="none"/>
          <w:lang w:val="en-US" w:eastAsia="zh-CN" w:bidi="ar-SA"/>
        </w:rPr>
        <w:t>辆。</w:t>
      </w:r>
    </w:p>
    <w:p w14:paraId="0EFA9762">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公务用车运行维护费支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Times New Roman" w:hAnsi="Times New Roman" w:eastAsia="仿宋_GB2312" w:cs="仿宋_GB2312"/>
          <w:color w:val="auto"/>
          <w:kern w:val="2"/>
          <w:sz w:val="32"/>
          <w:szCs w:val="32"/>
          <w:highlight w:val="none"/>
          <w:lang w:val="en-US" w:eastAsia="zh-CN" w:bidi="ar-SA"/>
        </w:rPr>
        <w:t>万元。</w:t>
      </w:r>
    </w:p>
    <w:p w14:paraId="6FE75A24">
      <w:pPr>
        <w:numPr>
          <w:ilvl w:val="0"/>
          <w:numId w:val="2"/>
        </w:numPr>
        <w:spacing w:line="600" w:lineRule="exact"/>
        <w:ind w:firstLine="640"/>
        <w:rPr>
          <w:rFonts w:hint="eastAsia" w:eastAsia="仿宋_GB2312" w:cs="仿宋_GB2312"/>
          <w:color w:val="auto"/>
          <w:kern w:val="2"/>
          <w:sz w:val="32"/>
          <w:szCs w:val="32"/>
          <w:highlight w:val="none"/>
          <w:lang w:val="en-US" w:eastAsia="zh-CN" w:bidi="ar-SA"/>
        </w:rPr>
      </w:pPr>
      <w:r>
        <w:rPr>
          <w:rFonts w:hint="eastAsia" w:ascii="Times New Roman" w:hAnsi="Times New Roman" w:eastAsia="仿宋_GB2312" w:cs="仿宋_GB2312"/>
          <w:b/>
          <w:bCs/>
          <w:color w:val="auto"/>
          <w:kern w:val="2"/>
          <w:sz w:val="32"/>
          <w:szCs w:val="32"/>
          <w:highlight w:val="none"/>
          <w:lang w:val="en-US" w:eastAsia="zh-CN" w:bidi="ar-SA"/>
        </w:rPr>
        <w:t>公务接待费支出</w:t>
      </w:r>
      <w:r>
        <w:rPr>
          <w:rFonts w:hint="eastAsia" w:ascii="仿宋_GB2312" w:hAnsi="仿宋_GB2312" w:eastAsia="仿宋_GB2312" w:cs="仿宋_GB2312"/>
          <w:b/>
          <w:bCs/>
          <w:color w:val="auto"/>
          <w:kern w:val="2"/>
          <w:sz w:val="32"/>
          <w:szCs w:val="32"/>
          <w:highlight w:val="none"/>
          <w:lang w:val="en-US" w:eastAsia="zh-CN" w:bidi="ar-SA"/>
        </w:rPr>
        <w:t>0万</w:t>
      </w:r>
      <w:r>
        <w:rPr>
          <w:rFonts w:hint="eastAsia" w:ascii="Times New Roman" w:hAnsi="Times New Roman" w:eastAsia="仿宋_GB2312" w:cs="仿宋_GB2312"/>
          <w:b/>
          <w:bCs/>
          <w:color w:val="auto"/>
          <w:kern w:val="2"/>
          <w:sz w:val="32"/>
          <w:szCs w:val="32"/>
          <w:highlight w:val="none"/>
          <w:lang w:val="en-US" w:eastAsia="zh-CN" w:bidi="ar-SA"/>
        </w:rPr>
        <w:t>元，完成预算</w:t>
      </w:r>
      <w:r>
        <w:rPr>
          <w:rFonts w:hint="eastAsia" w:eastAsia="仿宋_GB2312" w:cs="仿宋_GB2312"/>
          <w:b/>
          <w:bCs/>
          <w:color w:val="auto"/>
          <w:kern w:val="2"/>
          <w:sz w:val="32"/>
          <w:szCs w:val="32"/>
          <w:highlight w:val="none"/>
          <w:lang w:val="en-US" w:eastAsia="zh-CN" w:bidi="ar-SA"/>
        </w:rPr>
        <w:t>0</w:t>
      </w:r>
      <w:r>
        <w:rPr>
          <w:rFonts w:hint="eastAsia" w:ascii="Times New Roman" w:hAnsi="Times New Roman" w:eastAsia="仿宋_GB2312" w:cs="仿宋_GB2312"/>
          <w:b/>
          <w:bCs/>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公务接待费支出决算比2023年度</w:t>
      </w:r>
      <w:r>
        <w:rPr>
          <w:rFonts w:hint="eastAsia" w:eastAsia="仿宋_GB2312" w:cs="仿宋_GB2312"/>
          <w:color w:val="auto"/>
          <w:kern w:val="2"/>
          <w:sz w:val="32"/>
          <w:szCs w:val="32"/>
          <w:highlight w:val="none"/>
          <w:lang w:val="en-US" w:eastAsia="zh-CN" w:bidi="ar-SA"/>
        </w:rPr>
        <w:t>无增减变动。</w:t>
      </w:r>
    </w:p>
    <w:p w14:paraId="69337D0C">
      <w:pPr>
        <w:numPr>
          <w:ilvl w:val="0"/>
          <w:numId w:val="0"/>
        </w:numPr>
        <w:spacing w:line="600" w:lineRule="exact"/>
        <w:ind w:firstLine="640" w:firstLineChars="20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外事接待支</w:t>
      </w:r>
      <w:r>
        <w:rPr>
          <w:rFonts w:hint="eastAsia" w:ascii="仿宋_GB2312" w:hAnsi="仿宋_GB2312" w:eastAsia="仿宋_GB2312" w:cs="仿宋_GB2312"/>
          <w:color w:val="auto"/>
          <w:kern w:val="2"/>
          <w:sz w:val="32"/>
          <w:szCs w:val="32"/>
          <w:highlight w:val="none"/>
          <w:lang w:val="en-US" w:eastAsia="zh-CN" w:bidi="ar-SA"/>
        </w:rPr>
        <w:t>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w:t>
      </w:r>
      <w:r>
        <w:rPr>
          <w:rFonts w:hint="eastAsia" w:ascii="Times New Roman" w:hAnsi="Times New Roman" w:eastAsia="仿宋_GB2312" w:cs="仿宋_GB2312"/>
          <w:color w:val="auto"/>
          <w:kern w:val="2"/>
          <w:sz w:val="32"/>
          <w:szCs w:val="32"/>
          <w:highlight w:val="none"/>
          <w:lang w:val="en-US" w:eastAsia="zh-CN" w:bidi="ar-SA"/>
        </w:rPr>
        <w:t>。</w:t>
      </w:r>
      <w:bookmarkStart w:id="88" w:name="_Toc15396610"/>
      <w:bookmarkStart w:id="89" w:name="_Toc15377218"/>
    </w:p>
    <w:p w14:paraId="1E6A4214">
      <w:pPr>
        <w:spacing w:line="600" w:lineRule="exact"/>
        <w:ind w:firstLine="640"/>
        <w:outlineLvl w:val="1"/>
        <w:rPr>
          <w:rStyle w:val="29"/>
          <w:rFonts w:ascii="Times New Roman" w:hAnsi="Times New Roman" w:eastAsia="黑体"/>
          <w:color w:val="auto"/>
          <w:highlight w:val="none"/>
        </w:rPr>
      </w:pPr>
      <w:bookmarkStart w:id="90" w:name="_Toc16572_WPSOffice_Level2"/>
      <w:r>
        <w:rPr>
          <w:rFonts w:hint="eastAsia" w:ascii="Times New Roman" w:hAnsi="Times New Roman" w:eastAsia="黑体"/>
          <w:color w:val="auto"/>
          <w:sz w:val="32"/>
          <w:szCs w:val="32"/>
          <w:highlight w:val="none"/>
        </w:rPr>
        <w:t>八、</w:t>
      </w:r>
      <w:r>
        <w:rPr>
          <w:rStyle w:val="29"/>
          <w:rFonts w:hint="eastAsia" w:ascii="Times New Roman" w:hAnsi="Times New Roman" w:eastAsia="黑体"/>
          <w:b w:val="0"/>
          <w:color w:val="auto"/>
          <w:highlight w:val="none"/>
        </w:rPr>
        <w:t>政府性基金预算支出决算情况说明</w:t>
      </w:r>
      <w:bookmarkEnd w:id="88"/>
      <w:bookmarkEnd w:id="89"/>
      <w:bookmarkEnd w:id="90"/>
    </w:p>
    <w:p w14:paraId="320C3DF8">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2024年度政府性基金预算财政拨款支出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万元，占本年支出合计的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r>
        <w:rPr>
          <w:rFonts w:hint="eastAsia" w:ascii="Times New Roman" w:hAnsi="Times New Roman" w:eastAsia="仿宋_GB2312" w:cs="仿宋_GB2312"/>
          <w:color w:val="auto"/>
          <w:kern w:val="2"/>
          <w:sz w:val="32"/>
          <w:szCs w:val="32"/>
          <w:highlight w:val="none"/>
          <w:lang w:val="en-US" w:eastAsia="zh-CN" w:bidi="ar-SA"/>
        </w:rPr>
        <w:t>。与2023年度相比</w:t>
      </w:r>
      <w:r>
        <w:rPr>
          <w:rFonts w:hint="eastAsia" w:eastAsia="仿宋_GB2312" w:cs="仿宋_GB2312"/>
          <w:color w:val="auto"/>
          <w:kern w:val="2"/>
          <w:sz w:val="32"/>
          <w:szCs w:val="32"/>
          <w:highlight w:val="none"/>
          <w:lang w:val="en-US" w:eastAsia="zh-CN" w:bidi="ar-SA"/>
        </w:rPr>
        <w:t>无增减变动。</w:t>
      </w:r>
    </w:p>
    <w:p w14:paraId="07CB7C1A">
      <w:pPr>
        <w:numPr>
          <w:ilvl w:val="0"/>
          <w:numId w:val="0"/>
        </w:numPr>
        <w:spacing w:line="600" w:lineRule="exact"/>
        <w:ind w:left="630" w:leftChars="0"/>
        <w:outlineLvl w:val="1"/>
        <w:rPr>
          <w:rStyle w:val="29"/>
          <w:rFonts w:ascii="Times New Roman" w:hAnsi="Times New Roman" w:eastAsia="黑体"/>
          <w:b w:val="0"/>
          <w:color w:val="auto"/>
          <w:highlight w:val="none"/>
        </w:rPr>
      </w:pPr>
      <w:bookmarkStart w:id="91" w:name="_Toc15396611"/>
      <w:bookmarkStart w:id="92" w:name="_Toc15377219"/>
      <w:bookmarkStart w:id="93" w:name="_Toc24625_WPSOffice_Level2"/>
      <w:r>
        <w:rPr>
          <w:rStyle w:val="29"/>
          <w:rFonts w:hint="eastAsia" w:ascii="Times New Roman" w:hAnsi="Times New Roman" w:eastAsia="黑体"/>
          <w:b w:val="0"/>
          <w:color w:val="auto"/>
          <w:highlight w:val="none"/>
          <w:lang w:eastAsia="zh-CN"/>
        </w:rPr>
        <w:t>九、</w:t>
      </w:r>
      <w:r>
        <w:rPr>
          <w:rStyle w:val="29"/>
          <w:rFonts w:hint="eastAsia" w:ascii="Times New Roman" w:hAnsi="Times New Roman" w:eastAsia="黑体"/>
          <w:b w:val="0"/>
          <w:color w:val="auto"/>
          <w:highlight w:val="none"/>
        </w:rPr>
        <w:t>国有资本经营预算支出决算情况说明</w:t>
      </w:r>
      <w:bookmarkEnd w:id="91"/>
      <w:bookmarkEnd w:id="92"/>
      <w:bookmarkEnd w:id="93"/>
    </w:p>
    <w:p w14:paraId="637EFFD9">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2024年度国有资本经营预算财政拨款支出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w:t>
      </w:r>
    </w:p>
    <w:p w14:paraId="726C1627">
      <w:pPr>
        <w:numPr>
          <w:ilvl w:val="0"/>
          <w:numId w:val="0"/>
        </w:numPr>
        <w:spacing w:line="600" w:lineRule="exact"/>
        <w:ind w:left="630" w:leftChars="0"/>
        <w:outlineLvl w:val="1"/>
        <w:rPr>
          <w:rStyle w:val="29"/>
          <w:rFonts w:hint="eastAsia" w:ascii="Times New Roman" w:hAnsi="Times New Roman" w:eastAsia="黑体"/>
          <w:b w:val="0"/>
          <w:color w:val="auto"/>
          <w:highlight w:val="none"/>
        </w:rPr>
      </w:pPr>
      <w:bookmarkStart w:id="94" w:name="_Toc15396612"/>
      <w:bookmarkStart w:id="95" w:name="_Toc15377221"/>
      <w:bookmarkStart w:id="96" w:name="_Toc27365_WPSOffice_Level2"/>
      <w:r>
        <w:rPr>
          <w:rStyle w:val="29"/>
          <w:rFonts w:hint="eastAsia" w:ascii="Times New Roman" w:hAnsi="Times New Roman" w:eastAsia="黑体"/>
          <w:b w:val="0"/>
          <w:color w:val="auto"/>
          <w:highlight w:val="none"/>
          <w:lang w:eastAsia="zh-CN"/>
        </w:rPr>
        <w:t>十、</w:t>
      </w:r>
      <w:r>
        <w:rPr>
          <w:rStyle w:val="29"/>
          <w:rFonts w:hint="eastAsia" w:ascii="Times New Roman" w:hAnsi="Times New Roman" w:eastAsia="黑体"/>
          <w:b w:val="0"/>
          <w:color w:val="auto"/>
          <w:highlight w:val="none"/>
        </w:rPr>
        <w:t>其他重要事项的情况说明</w:t>
      </w:r>
      <w:bookmarkEnd w:id="94"/>
      <w:bookmarkEnd w:id="95"/>
      <w:bookmarkEnd w:id="96"/>
    </w:p>
    <w:p w14:paraId="762EDA0C">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97" w:name="_Toc15377222"/>
      <w:bookmarkStart w:id="98" w:name="_Toc2770_WPSOffice_Level3"/>
      <w:r>
        <w:rPr>
          <w:rFonts w:hint="eastAsia" w:ascii="Times New Roman" w:hAnsi="Times New Roman" w:eastAsia="楷体_GB2312" w:cs="楷体_GB2312"/>
          <w:b/>
          <w:color w:val="auto"/>
          <w:sz w:val="32"/>
          <w:szCs w:val="32"/>
          <w:highlight w:val="none"/>
        </w:rPr>
        <w:t>（一）机关运行经费支出情况</w:t>
      </w:r>
      <w:bookmarkEnd w:id="97"/>
      <w:bookmarkEnd w:id="98"/>
    </w:p>
    <w:p w14:paraId="661EDD0C">
      <w:pPr>
        <w:spacing w:line="600" w:lineRule="exact"/>
        <w:ind w:firstLine="640"/>
        <w:rPr>
          <w:rFonts w:hint="default" w:ascii="Times New Roman" w:hAnsi="Times New Roman" w:eastAsia="仿宋_GB2312" w:cs="仿宋_GB2312"/>
          <w:color w:val="auto"/>
          <w:kern w:val="2"/>
          <w:sz w:val="32"/>
          <w:szCs w:val="32"/>
          <w:highlight w:val="none"/>
          <w:lang w:val="en-US" w:eastAsia="zh-CN" w:bidi="ar-SA"/>
        </w:rPr>
      </w:pPr>
      <w:r>
        <w:rPr>
          <w:rFonts w:hint="eastAsia" w:ascii="Times New Roman" w:hAnsi="Times New Roman"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color w:val="auto"/>
          <w:kern w:val="2"/>
          <w:sz w:val="32"/>
          <w:szCs w:val="32"/>
          <w:highlight w:val="none"/>
          <w:lang w:val="en-US" w:eastAsia="zh-CN" w:bidi="ar-SA"/>
        </w:rPr>
        <w:t>，</w:t>
      </w:r>
      <w:r>
        <w:rPr>
          <w:rFonts w:hint="eastAsia" w:ascii="仿宋_GB2312" w:hAnsi="仿宋_GB2312" w:eastAsia="仿宋_GB2312" w:cs="仿宋_GB2312"/>
          <w:sz w:val="32"/>
          <w:szCs w:val="32"/>
        </w:rPr>
        <w:t>乐山市五通桥区反修水库管理所</w:t>
      </w:r>
      <w:r>
        <w:rPr>
          <w:rFonts w:hint="eastAsia" w:ascii="仿宋_GB2312" w:hAnsi="仿宋_GB2312" w:eastAsia="仿宋_GB2312" w:cs="仿宋_GB2312"/>
          <w:color w:val="auto"/>
          <w:kern w:val="2"/>
          <w:sz w:val="32"/>
          <w:szCs w:val="32"/>
          <w:highlight w:val="none"/>
          <w:lang w:val="en-US" w:eastAsia="zh-CN" w:bidi="ar-SA"/>
        </w:rPr>
        <w:t>机关运行经费支出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w:t>
      </w:r>
      <w:r>
        <w:rPr>
          <w:rFonts w:hint="eastAsia" w:ascii="Times New Roman" w:hAnsi="Times New Roman" w:eastAsia="仿宋_GB2312" w:cs="仿宋_GB2312"/>
          <w:color w:val="auto"/>
          <w:kern w:val="2"/>
          <w:sz w:val="32"/>
          <w:szCs w:val="32"/>
          <w:highlight w:val="none"/>
          <w:lang w:val="en-US" w:eastAsia="zh-CN" w:bidi="ar-SA"/>
        </w:rPr>
        <w:t>元，比2023年度</w:t>
      </w:r>
      <w:r>
        <w:rPr>
          <w:rFonts w:hint="eastAsia" w:eastAsia="仿宋_GB2312" w:cs="仿宋_GB2312"/>
          <w:color w:val="auto"/>
          <w:kern w:val="2"/>
          <w:sz w:val="32"/>
          <w:szCs w:val="32"/>
          <w:highlight w:val="none"/>
          <w:lang w:val="en-US" w:eastAsia="zh-CN" w:bidi="ar-SA"/>
        </w:rPr>
        <w:t>无增减变动。</w:t>
      </w:r>
    </w:p>
    <w:p w14:paraId="03070C99">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99" w:name="_Toc15377223"/>
      <w:bookmarkStart w:id="100" w:name="_Toc7275_WPSOffice_Level3"/>
      <w:r>
        <w:rPr>
          <w:rFonts w:hint="eastAsia" w:ascii="Times New Roman" w:hAnsi="Times New Roman" w:eastAsia="楷体_GB2312" w:cs="楷体_GB2312"/>
          <w:b/>
          <w:color w:val="auto"/>
          <w:sz w:val="32"/>
          <w:szCs w:val="32"/>
          <w:highlight w:val="none"/>
        </w:rPr>
        <w:t>（二）政府采购支出情况</w:t>
      </w:r>
      <w:bookmarkEnd w:id="99"/>
      <w:bookmarkEnd w:id="100"/>
    </w:p>
    <w:p w14:paraId="6F47F132">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2024年度，</w:t>
      </w:r>
      <w:r>
        <w:rPr>
          <w:rFonts w:hint="eastAsia" w:ascii="仿宋_GB2312" w:hAnsi="仿宋_GB2312" w:eastAsia="仿宋_GB2312" w:cs="仿宋_GB2312"/>
          <w:sz w:val="32"/>
          <w:szCs w:val="32"/>
        </w:rPr>
        <w:t>乐山市五通桥区反修水库管理所</w:t>
      </w:r>
      <w:r>
        <w:rPr>
          <w:rFonts w:hint="eastAsia" w:ascii="仿宋_GB2312" w:hAnsi="仿宋_GB2312" w:eastAsia="仿宋_GB2312" w:cs="仿宋_GB2312"/>
          <w:color w:val="auto"/>
          <w:kern w:val="2"/>
          <w:sz w:val="32"/>
          <w:szCs w:val="32"/>
          <w:highlight w:val="none"/>
          <w:lang w:val="en-US" w:eastAsia="zh-CN" w:bidi="ar-SA"/>
        </w:rPr>
        <w:t>政府采购支出总额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万元，其中：政府采购货物支出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万元、政府采购工程支出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万元、政府采购服务支出</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万元。授予中小企业合同金额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%，其中：授予小微企业合同金额</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万元，占政府采购支出总额的</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w:t>
      </w:r>
    </w:p>
    <w:p w14:paraId="793AE92C">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101" w:name="_Toc15377224"/>
      <w:bookmarkStart w:id="102" w:name="_Toc17537_WPSOffice_Level3"/>
      <w:r>
        <w:rPr>
          <w:rFonts w:hint="eastAsia" w:ascii="Times New Roman" w:hAnsi="Times New Roman" w:eastAsia="楷体_GB2312" w:cs="楷体_GB2312"/>
          <w:b/>
          <w:color w:val="auto"/>
          <w:sz w:val="32"/>
          <w:szCs w:val="32"/>
          <w:highlight w:val="none"/>
        </w:rPr>
        <w:t>（三）国有资产占有使用情况</w:t>
      </w:r>
      <w:bookmarkEnd w:id="101"/>
      <w:bookmarkEnd w:id="102"/>
    </w:p>
    <w:p w14:paraId="12D3E204">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截至2024年12月31日，</w:t>
      </w:r>
      <w:r>
        <w:rPr>
          <w:rFonts w:hint="eastAsia" w:ascii="仿宋_GB2312" w:hAnsi="仿宋_GB2312" w:eastAsia="仿宋_GB2312" w:cs="仿宋_GB2312"/>
          <w:sz w:val="32"/>
          <w:szCs w:val="32"/>
        </w:rPr>
        <w:t>乐山市五通桥区反修水库管理所</w:t>
      </w:r>
      <w:r>
        <w:rPr>
          <w:rFonts w:hint="eastAsia" w:ascii="仿宋_GB2312" w:hAnsi="仿宋_GB2312" w:eastAsia="仿宋_GB2312" w:cs="仿宋_GB2312"/>
          <w:color w:val="auto"/>
          <w:kern w:val="2"/>
          <w:sz w:val="32"/>
          <w:szCs w:val="32"/>
          <w:highlight w:val="none"/>
          <w:lang w:val="en-US" w:eastAsia="zh-CN" w:bidi="ar-SA"/>
        </w:rPr>
        <w:t>共有车辆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辆，其中：主要负责人用车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辆、机要通信用车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辆、应急保障用车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辆、其他用车</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辆。单价100万元（含）以上设备（不含车辆）</w:t>
      </w:r>
      <w:r>
        <w:rPr>
          <w:rFonts w:hint="eastAsia" w:ascii="仿宋_GB2312" w:hAnsi="仿宋_GB2312" w:eastAsia="仿宋_GB2312" w:cs="仿宋_GB2312"/>
          <w:sz w:val="32"/>
          <w:szCs w:val="32"/>
        </w:rPr>
        <w:t>0</w:t>
      </w:r>
      <w:r>
        <w:rPr>
          <w:rFonts w:hint="eastAsia" w:ascii="仿宋_GB2312" w:hAnsi="仿宋_GB2312" w:eastAsia="仿宋_GB2312" w:cs="仿宋_GB2312"/>
          <w:color w:val="auto"/>
          <w:kern w:val="2"/>
          <w:sz w:val="32"/>
          <w:szCs w:val="32"/>
          <w:highlight w:val="none"/>
          <w:lang w:val="en-US" w:eastAsia="zh-CN" w:bidi="ar-SA"/>
        </w:rPr>
        <w:t>台（套）</w:t>
      </w:r>
      <w:r>
        <w:rPr>
          <w:rFonts w:hint="eastAsia" w:ascii="Times New Roman" w:hAnsi="Times New Roman" w:eastAsia="仿宋_GB2312" w:cs="仿宋_GB2312"/>
          <w:color w:val="auto"/>
          <w:kern w:val="2"/>
          <w:sz w:val="32"/>
          <w:szCs w:val="32"/>
          <w:highlight w:val="none"/>
          <w:lang w:val="en-US" w:eastAsia="zh-CN" w:bidi="ar-SA"/>
        </w:rPr>
        <w:t>。</w:t>
      </w:r>
    </w:p>
    <w:p w14:paraId="51DDBD9E">
      <w:pPr>
        <w:spacing w:line="600" w:lineRule="exact"/>
        <w:ind w:firstLine="643" w:firstLineChars="200"/>
        <w:outlineLvl w:val="2"/>
        <w:rPr>
          <w:rFonts w:hint="eastAsia" w:ascii="Times New Roman" w:hAnsi="Times New Roman" w:eastAsia="楷体_GB2312" w:cs="楷体_GB2312"/>
          <w:b/>
          <w:color w:val="auto"/>
          <w:sz w:val="32"/>
          <w:szCs w:val="32"/>
          <w:highlight w:val="none"/>
        </w:rPr>
      </w:pPr>
      <w:bookmarkStart w:id="103" w:name="_Toc23114_WPSOffice_Level3"/>
      <w:r>
        <w:rPr>
          <w:rFonts w:hint="eastAsia" w:ascii="Times New Roman" w:hAnsi="Times New Roman" w:eastAsia="楷体_GB2312" w:cs="楷体_GB2312"/>
          <w:b/>
          <w:color w:val="auto"/>
          <w:sz w:val="32"/>
          <w:szCs w:val="32"/>
          <w:highlight w:val="none"/>
        </w:rPr>
        <w:t>（四）预算绩效管理情况</w:t>
      </w:r>
      <w:bookmarkEnd w:id="103"/>
    </w:p>
    <w:p w14:paraId="7B11BF68">
      <w:pPr>
        <w:pStyle w:val="2"/>
        <w:spacing w:before="266" w:line="371" w:lineRule="auto"/>
        <w:ind w:left="36" w:right="16" w:firstLine="626"/>
        <w:jc w:val="both"/>
        <w:rPr>
          <w:rFonts w:hint="eastAsia" w:ascii="仿宋_GB2312" w:hAnsi="仿宋_GB2312" w:eastAsia="仿宋_GB2312" w:cs="仿宋_GB2312"/>
          <w:color w:val="auto"/>
          <w:kern w:val="2"/>
          <w:sz w:val="32"/>
          <w:szCs w:val="32"/>
          <w:highlight w:val="none"/>
          <w:lang w:val="en-US" w:eastAsia="zh-CN" w:bidi="ar-SA"/>
        </w:rPr>
      </w:pPr>
      <w:r>
        <w:rPr>
          <w:rFonts w:hint="eastAsia" w:ascii="仿宋_GB2312" w:hAnsi="仿宋_GB2312" w:eastAsia="仿宋_GB2312" w:cs="仿宋_GB2312"/>
          <w:color w:val="auto"/>
          <w:kern w:val="2"/>
          <w:sz w:val="32"/>
          <w:szCs w:val="32"/>
          <w:highlight w:val="none"/>
          <w:lang w:val="en-US" w:eastAsia="zh-CN" w:bidi="ar-SA"/>
        </w:rPr>
        <w:t>根据预算绩效管理要求，因本单位仅有基本支出，无项目支出，在 202</w:t>
      </w:r>
      <w:r>
        <w:rPr>
          <w:rFonts w:hint="eastAsia" w:hAnsi="仿宋_GB2312" w:cs="仿宋_GB2312"/>
          <w:color w:val="auto"/>
          <w:kern w:val="2"/>
          <w:sz w:val="32"/>
          <w:szCs w:val="32"/>
          <w:highlight w:val="none"/>
          <w:lang w:val="en-US" w:eastAsia="zh-CN" w:bidi="ar-SA"/>
        </w:rPr>
        <w:t>4</w:t>
      </w:r>
      <w:r>
        <w:rPr>
          <w:rFonts w:hint="eastAsia" w:ascii="仿宋_GB2312" w:hAnsi="仿宋_GB2312" w:eastAsia="仿宋_GB2312" w:cs="仿宋_GB2312"/>
          <w:color w:val="auto"/>
          <w:kern w:val="2"/>
          <w:sz w:val="32"/>
          <w:szCs w:val="32"/>
          <w:highlight w:val="none"/>
          <w:lang w:val="en-US" w:eastAsia="zh-CN" w:bidi="ar-SA"/>
        </w:rPr>
        <w:t>年度预算编制阶段，未组织开展预算事前绩效评估，开展绩效监控等工作。</w:t>
      </w:r>
    </w:p>
    <w:p w14:paraId="075C77BC">
      <w:pPr>
        <w:spacing w:line="371" w:lineRule="auto"/>
        <w:rPr>
          <w:rFonts w:hint="eastAsia" w:ascii="仿宋_GB2312" w:hAnsi="仿宋_GB2312" w:eastAsia="仿宋_GB2312" w:cs="仿宋_GB2312"/>
          <w:color w:val="auto"/>
          <w:kern w:val="2"/>
          <w:sz w:val="32"/>
          <w:szCs w:val="32"/>
          <w:highlight w:val="none"/>
          <w:lang w:val="en-US" w:eastAsia="zh-CN" w:bidi="ar-SA"/>
        </w:rPr>
        <w:sectPr>
          <w:footerReference r:id="rId6" w:type="default"/>
          <w:pgSz w:w="11907" w:h="16839"/>
          <w:pgMar w:top="1431" w:right="1785" w:bottom="1395" w:left="1785" w:header="0" w:footer="1168" w:gutter="0"/>
          <w:pgNumType w:fmt="decimal"/>
          <w:cols w:space="720" w:num="1"/>
        </w:sectPr>
      </w:pPr>
    </w:p>
    <w:p w14:paraId="28221B9E">
      <w:pPr>
        <w:spacing w:line="600" w:lineRule="exact"/>
        <w:ind w:firstLine="640"/>
        <w:rPr>
          <w:rFonts w:hint="eastAsia" w:ascii="Times New Roman" w:hAnsi="Times New Roman" w:eastAsia="仿宋_GB2312" w:cs="仿宋_GB2312"/>
          <w:color w:val="auto"/>
          <w:kern w:val="2"/>
          <w:sz w:val="32"/>
          <w:szCs w:val="32"/>
          <w:highlight w:val="none"/>
          <w:lang w:val="en-US" w:eastAsia="zh-CN" w:bidi="ar-SA"/>
        </w:rPr>
      </w:pPr>
    </w:p>
    <w:p w14:paraId="1BA3081E">
      <w:pPr>
        <w:numPr>
          <w:ilvl w:val="0"/>
          <w:numId w:val="0"/>
        </w:numPr>
        <w:spacing w:line="600" w:lineRule="exact"/>
        <w:jc w:val="center"/>
        <w:outlineLvl w:val="0"/>
        <w:rPr>
          <w:rFonts w:hint="eastAsia" w:ascii="Times New Roman" w:hAnsi="Times New Roman" w:eastAsia="黑体"/>
          <w:color w:val="auto"/>
          <w:sz w:val="44"/>
          <w:szCs w:val="44"/>
          <w:highlight w:val="none"/>
        </w:rPr>
      </w:pPr>
      <w:bookmarkStart w:id="104" w:name="_Toc28931_WPSOffice_Level1"/>
      <w:bookmarkStart w:id="105" w:name="_Toc15396613"/>
      <w:bookmarkStart w:id="106" w:name="_Toc15377225"/>
      <w:r>
        <w:rPr>
          <w:rFonts w:hint="eastAsia" w:ascii="Times New Roman" w:hAnsi="Times New Roman" w:eastAsia="黑体"/>
          <w:color w:val="auto"/>
          <w:sz w:val="44"/>
          <w:szCs w:val="44"/>
          <w:highlight w:val="none"/>
        </w:rPr>
        <w:t>第</w:t>
      </w:r>
      <w:r>
        <w:rPr>
          <w:rFonts w:hint="eastAsia" w:eastAsia="黑体"/>
          <w:color w:val="auto"/>
          <w:sz w:val="44"/>
          <w:szCs w:val="44"/>
          <w:highlight w:val="none"/>
          <w:lang w:eastAsia="zh-CN"/>
        </w:rPr>
        <w:t>三</w:t>
      </w:r>
      <w:r>
        <w:rPr>
          <w:rFonts w:hint="eastAsia" w:ascii="Times New Roman" w:hAnsi="Times New Roman" w:eastAsia="黑体"/>
          <w:color w:val="auto"/>
          <w:sz w:val="44"/>
          <w:szCs w:val="44"/>
          <w:highlight w:val="none"/>
        </w:rPr>
        <w:t>部分</w:t>
      </w:r>
      <w:r>
        <w:rPr>
          <w:rFonts w:hint="eastAsia" w:ascii="Times New Roman" w:hAnsi="Times New Roman" w:eastAsia="黑体"/>
          <w:color w:val="auto"/>
          <w:sz w:val="44"/>
          <w:szCs w:val="44"/>
          <w:highlight w:val="none"/>
          <w:lang w:val="en-US" w:eastAsia="zh-CN"/>
        </w:rPr>
        <w:t xml:space="preserve"> </w:t>
      </w:r>
      <w:r>
        <w:rPr>
          <w:rFonts w:hint="eastAsia"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名词解释</w:t>
      </w:r>
      <w:bookmarkEnd w:id="104"/>
      <w:bookmarkEnd w:id="105"/>
      <w:bookmarkEnd w:id="106"/>
    </w:p>
    <w:p w14:paraId="4C90A23C">
      <w:pPr>
        <w:spacing w:line="600" w:lineRule="exact"/>
        <w:jc w:val="left"/>
        <w:rPr>
          <w:rFonts w:ascii="Times New Roman" w:hAnsi="Times New Roman"/>
          <w:b/>
          <w:color w:val="auto"/>
          <w:sz w:val="44"/>
          <w:szCs w:val="44"/>
          <w:highlight w:val="none"/>
        </w:rPr>
      </w:pPr>
    </w:p>
    <w:p w14:paraId="75ECAF3E">
      <w:pPr>
        <w:pStyle w:val="26"/>
        <w:spacing w:line="560" w:lineRule="exact"/>
        <w:ind w:firstLine="640" w:firstLineChars="200"/>
        <w:rPr>
          <w:rFonts w:ascii="仿宋_GB2312" w:eastAsia="仿宋_GB2312"/>
          <w:color w:val="auto"/>
          <w:sz w:val="32"/>
          <w:szCs w:val="32"/>
        </w:rPr>
      </w:pPr>
      <w:bookmarkStart w:id="107" w:name="_Toc15396614"/>
      <w:bookmarkStart w:id="108" w:name="_Toc15377226"/>
      <w:r>
        <w:rPr>
          <w:rFonts w:ascii="仿宋_GB2312" w:eastAsia="仿宋_GB2312"/>
          <w:color w:val="auto"/>
          <w:sz w:val="32"/>
          <w:szCs w:val="32"/>
        </w:rPr>
        <w:t>1.</w:t>
      </w:r>
      <w:r>
        <w:rPr>
          <w:rFonts w:hint="eastAsia" w:ascii="仿宋_GB2312" w:eastAsia="仿宋_GB2312"/>
          <w:color w:val="auto"/>
          <w:sz w:val="32"/>
          <w:szCs w:val="32"/>
        </w:rPr>
        <w:t>财政拨款收入：指单位从同级财政部门取得的财政预算资金。</w:t>
      </w:r>
    </w:p>
    <w:p w14:paraId="62918DB6">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2.</w:t>
      </w:r>
      <w:r>
        <w:rPr>
          <w:rFonts w:hint="eastAsia" w:ascii="仿宋_GB2312" w:eastAsia="仿宋_GB2312"/>
          <w:color w:val="auto"/>
          <w:sz w:val="32"/>
          <w:szCs w:val="32"/>
        </w:rPr>
        <w:t>事业收入：指事业单位开展专业业务活动及辅助活动取得的收入。</w:t>
      </w:r>
    </w:p>
    <w:p w14:paraId="412D60F6">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经营收入：指事业单位在专业业务活动及其辅助活动之外开展非独立核算经营活动取得的收入。</w:t>
      </w:r>
    </w:p>
    <w:p w14:paraId="7B79219F">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4.</w:t>
      </w:r>
      <w:r>
        <w:rPr>
          <w:rFonts w:hint="eastAsia" w:ascii="仿宋_GB2312" w:eastAsia="仿宋_GB2312"/>
          <w:color w:val="auto"/>
          <w:sz w:val="32"/>
          <w:szCs w:val="32"/>
        </w:rPr>
        <w:t>其他收入：指单位取得的除上述收入以外的各项收入。主要是</w:t>
      </w:r>
      <w:r>
        <w:rPr>
          <w:rFonts w:hint="eastAsia" w:ascii="仿宋_GB2312" w:eastAsia="仿宋_GB2312"/>
          <w:sz w:val="32"/>
          <w:szCs w:val="32"/>
        </w:rPr>
        <w:t>利息</w:t>
      </w:r>
      <w:r>
        <w:rPr>
          <w:rFonts w:hint="eastAsia" w:ascii="仿宋_GB2312" w:eastAsia="仿宋_GB2312"/>
          <w:color w:val="auto"/>
          <w:sz w:val="32"/>
          <w:szCs w:val="32"/>
        </w:rPr>
        <w:t>收入等。</w:t>
      </w:r>
      <w:r>
        <w:rPr>
          <w:rFonts w:ascii="仿宋_GB2312" w:eastAsia="仿宋_GB2312"/>
          <w:color w:val="auto"/>
          <w:sz w:val="32"/>
          <w:szCs w:val="32"/>
        </w:rPr>
        <w:t xml:space="preserve"> </w:t>
      </w:r>
    </w:p>
    <w:p w14:paraId="4766EF5F">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5.</w:t>
      </w:r>
      <w:r>
        <w:rPr>
          <w:rFonts w:hint="eastAsia" w:ascii="仿宋_GB2312" w:eastAsia="仿宋_GB2312"/>
          <w:color w:val="auto"/>
          <w:sz w:val="32"/>
          <w:szCs w:val="32"/>
        </w:rPr>
        <w:t>使用非财政拨款结余：指事业单位使用以前年度积累的非财政拨款结余弥补当年收支差额的金额。</w:t>
      </w:r>
      <w:r>
        <w:rPr>
          <w:rFonts w:ascii="仿宋_GB2312" w:eastAsia="仿宋_GB2312"/>
          <w:color w:val="auto"/>
          <w:sz w:val="32"/>
          <w:szCs w:val="32"/>
        </w:rPr>
        <w:t xml:space="preserve"> </w:t>
      </w:r>
    </w:p>
    <w:p w14:paraId="11229B92">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6.</w:t>
      </w:r>
      <w:r>
        <w:rPr>
          <w:rFonts w:hint="eastAsia" w:ascii="仿宋_GB2312" w:eastAsia="仿宋_GB2312"/>
          <w:color w:val="auto"/>
          <w:sz w:val="32"/>
          <w:szCs w:val="32"/>
        </w:rPr>
        <w:t>年初结转和结余：指以前年度尚未完成、结转到本年按有关规定继续使用的资金。</w:t>
      </w:r>
      <w:r>
        <w:rPr>
          <w:rFonts w:ascii="仿宋_GB2312" w:eastAsia="仿宋_GB2312"/>
          <w:color w:val="auto"/>
          <w:sz w:val="32"/>
          <w:szCs w:val="32"/>
        </w:rPr>
        <w:t xml:space="preserve"> </w:t>
      </w:r>
    </w:p>
    <w:p w14:paraId="7332ED83">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7.</w:t>
      </w:r>
      <w:r>
        <w:rPr>
          <w:rFonts w:hint="eastAsia" w:ascii="仿宋_GB2312" w:eastAsia="仿宋_GB2312"/>
          <w:color w:val="auto"/>
          <w:sz w:val="32"/>
          <w:szCs w:val="32"/>
        </w:rPr>
        <w:t>结余分配：指事业单位按照会计制度规定缴纳的所得税、提取的专用结余以及转入非财政拨款结余的金额等。</w:t>
      </w:r>
    </w:p>
    <w:p w14:paraId="6ACA14B0">
      <w:pPr>
        <w:pStyle w:val="26"/>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8</w:t>
      </w:r>
      <w:r>
        <w:rPr>
          <w:rFonts w:hint="eastAsia" w:ascii="仿宋_GB2312" w:eastAsia="仿宋_GB2312"/>
          <w:color w:val="auto"/>
          <w:sz w:val="32"/>
          <w:szCs w:val="32"/>
        </w:rPr>
        <w:t>、年末结转和结余：指单位按有关规定结转到下年或以后年度继续使用的资金。</w:t>
      </w:r>
    </w:p>
    <w:p w14:paraId="7E5E0219">
      <w:pPr>
        <w:ind w:firstLine="640" w:firstLineChars="200"/>
        <w:rPr>
          <w:rFonts w:ascii="仿宋_GB2312" w:eastAsia="仿宋_GB2312"/>
          <w:sz w:val="32"/>
          <w:szCs w:val="32"/>
        </w:rPr>
      </w:pPr>
      <w:r>
        <w:rPr>
          <w:rFonts w:ascii="仿宋_GB2312" w:eastAsia="仿宋_GB2312"/>
          <w:sz w:val="32"/>
          <w:szCs w:val="32"/>
        </w:rPr>
        <w:t>9.</w:t>
      </w:r>
      <w:r>
        <w:rPr>
          <w:rFonts w:hint="eastAsia" w:ascii="仿宋_GB2312" w:eastAsia="仿宋_GB2312"/>
          <w:sz w:val="32"/>
          <w:szCs w:val="32"/>
        </w:rPr>
        <w:t>社会保障和就业支出（类）行政事业单位养老支出（款）机关事业单位基本养老保险缴费支出（项）：</w:t>
      </w:r>
      <w:r>
        <w:rPr>
          <w:rFonts w:hint="eastAsia" w:ascii="仿宋_GB2312" w:hAnsi="sans-serif" w:eastAsia="仿宋_GB2312" w:cs="sans-serif"/>
          <w:sz w:val="32"/>
          <w:szCs w:val="32"/>
        </w:rPr>
        <w:t>指用于机关事业单位基本养老保险缴费支出</w:t>
      </w:r>
      <w:r>
        <w:rPr>
          <w:rFonts w:hint="eastAsia" w:ascii="仿宋_GB2312" w:eastAsia="仿宋_GB2312"/>
          <w:sz w:val="32"/>
          <w:szCs w:val="32"/>
        </w:rPr>
        <w:t>。</w:t>
      </w:r>
    </w:p>
    <w:p w14:paraId="3776E826">
      <w:pPr>
        <w:ind w:firstLine="640" w:firstLineChars="200"/>
        <w:rPr>
          <w:rFonts w:ascii="仿宋_GB2312" w:eastAsia="仿宋_GB2312"/>
          <w:sz w:val="32"/>
          <w:szCs w:val="32"/>
        </w:rPr>
      </w:pPr>
      <w:r>
        <w:rPr>
          <w:rFonts w:ascii="仿宋_GB2312" w:eastAsia="仿宋_GB2312"/>
          <w:sz w:val="32"/>
          <w:szCs w:val="32"/>
        </w:rPr>
        <w:t>10.</w:t>
      </w:r>
      <w:r>
        <w:rPr>
          <w:rFonts w:hint="eastAsia" w:ascii="仿宋_GB2312" w:hAnsi="sans-serif" w:eastAsia="仿宋_GB2312" w:cs="sans-serif"/>
          <w:sz w:val="32"/>
          <w:szCs w:val="32"/>
        </w:rPr>
        <w:t>社会保障和就业支出（类）行政事业单位养老支出（款）机关事业单位职业年金缴费支出（项）：指用于机关事业单位职业年金缴费支出</w:t>
      </w:r>
      <w:r>
        <w:rPr>
          <w:rFonts w:hint="eastAsia" w:ascii="仿宋_GB2312" w:eastAsia="仿宋_GB2312"/>
          <w:sz w:val="32"/>
          <w:szCs w:val="32"/>
        </w:rPr>
        <w:t>。</w:t>
      </w:r>
    </w:p>
    <w:p w14:paraId="4190A630">
      <w:pPr>
        <w:pStyle w:val="26"/>
        <w:spacing w:line="560" w:lineRule="exact"/>
        <w:ind w:firstLine="640" w:firstLineChars="200"/>
        <w:rPr>
          <w:rFonts w:ascii="仿宋_GB2312" w:eastAsia="仿宋_GB2312"/>
          <w:sz w:val="32"/>
          <w:szCs w:val="32"/>
        </w:rPr>
      </w:pPr>
      <w:r>
        <w:rPr>
          <w:rFonts w:ascii="仿宋_GB2312" w:eastAsia="仿宋_GB2312"/>
          <w:sz w:val="32"/>
          <w:szCs w:val="32"/>
        </w:rPr>
        <w:t>11.</w:t>
      </w:r>
      <w:r>
        <w:rPr>
          <w:rFonts w:hint="eastAsia" w:ascii="仿宋_GB2312" w:hAnsi="sans-serif" w:eastAsia="仿宋_GB2312" w:cs="sans-serif"/>
          <w:sz w:val="32"/>
          <w:szCs w:val="32"/>
        </w:rPr>
        <w:t>社会保障和就业支出（类）行政事业单位养老支出（款）其他行政事业单位养老支出（项）：指离退休人员的支出</w:t>
      </w:r>
      <w:r>
        <w:rPr>
          <w:rFonts w:hint="eastAsia" w:ascii="仿宋_GB2312" w:eastAsia="仿宋_GB2312"/>
          <w:sz w:val="32"/>
          <w:szCs w:val="32"/>
        </w:rPr>
        <w:t>。</w:t>
      </w:r>
    </w:p>
    <w:p w14:paraId="3031C84C">
      <w:pPr>
        <w:ind w:firstLine="640" w:firstLineChars="200"/>
        <w:rPr>
          <w:rFonts w:ascii="仿宋_GB2312" w:eastAsia="仿宋_GB2312"/>
          <w:sz w:val="32"/>
          <w:szCs w:val="32"/>
        </w:rPr>
      </w:pPr>
      <w:r>
        <w:rPr>
          <w:rFonts w:ascii="仿宋_GB2312" w:eastAsia="仿宋_GB2312"/>
          <w:sz w:val="32"/>
          <w:szCs w:val="32"/>
        </w:rPr>
        <w:t>12.</w:t>
      </w:r>
      <w:r>
        <w:rPr>
          <w:rFonts w:hint="eastAsia" w:ascii="仿宋_GB2312" w:hAnsi="sans-serif" w:eastAsia="仿宋_GB2312" w:cs="sans-serif"/>
          <w:sz w:val="32"/>
          <w:szCs w:val="32"/>
        </w:rPr>
        <w:t>卫生健康支出（类）行政事业单位医疗（款）事业单位医疗（项）：指用于按政策规定为单位职工缴纳医疗保险金等支出</w:t>
      </w:r>
      <w:r>
        <w:rPr>
          <w:rFonts w:hint="eastAsia" w:ascii="仿宋_GB2312" w:eastAsia="仿宋_GB2312"/>
          <w:sz w:val="32"/>
          <w:szCs w:val="32"/>
        </w:rPr>
        <w:t>。</w:t>
      </w:r>
    </w:p>
    <w:p w14:paraId="74DE7C8A">
      <w:pPr>
        <w:ind w:firstLine="640" w:firstLineChars="200"/>
        <w:rPr>
          <w:rFonts w:ascii="仿宋_GB2312" w:eastAsia="仿宋_GB2312"/>
          <w:sz w:val="32"/>
          <w:szCs w:val="32"/>
        </w:rPr>
      </w:pPr>
      <w:r>
        <w:rPr>
          <w:rFonts w:ascii="仿宋_GB2312" w:eastAsia="仿宋_GB2312"/>
          <w:sz w:val="32"/>
          <w:szCs w:val="32"/>
        </w:rPr>
        <w:t>13.</w:t>
      </w:r>
      <w:r>
        <w:rPr>
          <w:rFonts w:hint="eastAsia" w:ascii="仿宋_GB2312" w:hAnsi="sans-serif" w:eastAsia="仿宋_GB2312" w:cs="sans-serif"/>
          <w:sz w:val="32"/>
          <w:szCs w:val="32"/>
        </w:rPr>
        <w:t>交通运输支出（类）公路水路运输（款）公路养护（项）：指用于道路维修维护等支出</w:t>
      </w:r>
      <w:r>
        <w:rPr>
          <w:rFonts w:hint="eastAsia" w:ascii="仿宋_GB2312" w:eastAsia="仿宋_GB2312"/>
          <w:sz w:val="32"/>
          <w:szCs w:val="32"/>
        </w:rPr>
        <w:t>。</w:t>
      </w:r>
    </w:p>
    <w:p w14:paraId="7D0F82CD">
      <w:pPr>
        <w:ind w:firstLine="640" w:firstLineChars="200"/>
        <w:rPr>
          <w:rFonts w:ascii="仿宋_GB2312" w:eastAsia="仿宋_GB2312"/>
          <w:sz w:val="32"/>
          <w:szCs w:val="32"/>
        </w:rPr>
      </w:pPr>
      <w:r>
        <w:rPr>
          <w:rFonts w:ascii="仿宋_GB2312" w:eastAsia="仿宋_GB2312"/>
          <w:sz w:val="32"/>
          <w:szCs w:val="32"/>
        </w:rPr>
        <w:t>14.</w:t>
      </w:r>
      <w:r>
        <w:rPr>
          <w:rFonts w:hint="eastAsia" w:ascii="仿宋_GB2312" w:hAnsi="sans-serif" w:eastAsia="仿宋_GB2312" w:cs="sans-serif"/>
          <w:sz w:val="32"/>
          <w:szCs w:val="32"/>
        </w:rPr>
        <w:t>交通运输支出（类）公路水路运输（款）其他公路水路运输支出（项）：指公路应急抢险救灾物资、设备、人员等支出</w:t>
      </w:r>
      <w:r>
        <w:rPr>
          <w:rFonts w:hint="eastAsia" w:ascii="仿宋_GB2312" w:eastAsia="仿宋_GB2312"/>
          <w:sz w:val="32"/>
          <w:szCs w:val="32"/>
        </w:rPr>
        <w:t>。</w:t>
      </w:r>
    </w:p>
    <w:p w14:paraId="50DA7434">
      <w:pPr>
        <w:ind w:firstLine="640" w:firstLineChars="200"/>
        <w:rPr>
          <w:rFonts w:ascii="仿宋_GB2312" w:eastAsia="仿宋_GB2312"/>
          <w:sz w:val="32"/>
          <w:szCs w:val="32"/>
        </w:rPr>
      </w:pPr>
      <w:r>
        <w:rPr>
          <w:rFonts w:ascii="仿宋_GB2312" w:eastAsia="仿宋_GB2312"/>
          <w:sz w:val="32"/>
          <w:szCs w:val="32"/>
        </w:rPr>
        <w:t>15.</w:t>
      </w:r>
      <w:r>
        <w:rPr>
          <w:rFonts w:hint="eastAsia" w:ascii="仿宋_GB2312" w:hAnsi="sans-serif" w:eastAsia="仿宋_GB2312" w:cs="sans-serif"/>
          <w:sz w:val="32"/>
          <w:szCs w:val="32"/>
        </w:rPr>
        <w:t>住房保障支出（类）住房改革支出（款）住房公积金（项）：指用于按政策规定为职工缴纳的住房公积金支出</w:t>
      </w:r>
      <w:r>
        <w:rPr>
          <w:rFonts w:hint="eastAsia" w:ascii="仿宋_GB2312" w:eastAsia="仿宋_GB2312"/>
          <w:sz w:val="32"/>
          <w:szCs w:val="32"/>
        </w:rPr>
        <w:t>。</w:t>
      </w:r>
    </w:p>
    <w:p w14:paraId="5D177F80">
      <w:pPr>
        <w:ind w:firstLine="640" w:firstLineChars="200"/>
        <w:rPr>
          <w:rFonts w:ascii="仿宋_GB2312" w:eastAsia="仿宋_GB2312"/>
          <w:sz w:val="32"/>
          <w:szCs w:val="32"/>
        </w:rPr>
      </w:pPr>
      <w:r>
        <w:rPr>
          <w:rFonts w:hint="eastAsia" w:ascii="仿宋_GB2312" w:eastAsia="仿宋_GB2312"/>
          <w:sz w:val="32"/>
          <w:szCs w:val="32"/>
          <w:lang w:val="en-US" w:eastAsia="zh-CN"/>
        </w:rPr>
        <w:t>16</w:t>
      </w:r>
      <w:r>
        <w:rPr>
          <w:rFonts w:ascii="仿宋_GB2312" w:eastAsia="仿宋_GB2312"/>
          <w:sz w:val="32"/>
          <w:szCs w:val="32"/>
        </w:rPr>
        <w:t>.</w:t>
      </w:r>
      <w:r>
        <w:rPr>
          <w:rFonts w:hint="eastAsia" w:ascii="仿宋_GB2312" w:eastAsia="仿宋_GB2312"/>
          <w:sz w:val="32"/>
          <w:szCs w:val="32"/>
        </w:rPr>
        <w:t>基本支出：指为保障机构正常运转、完成日常工作任务而发生的人员支出和公用支出。</w:t>
      </w:r>
    </w:p>
    <w:p w14:paraId="135AA557">
      <w:pPr>
        <w:ind w:firstLine="640" w:firstLineChars="200"/>
        <w:rPr>
          <w:rFonts w:ascii="仿宋_GB2312" w:eastAsia="仿宋_GB2312"/>
          <w:sz w:val="32"/>
          <w:szCs w:val="32"/>
        </w:rPr>
      </w:pPr>
      <w:r>
        <w:rPr>
          <w:rFonts w:hint="eastAsia" w:ascii="仿宋_GB2312" w:eastAsia="仿宋_GB2312"/>
          <w:sz w:val="32"/>
          <w:szCs w:val="32"/>
          <w:lang w:val="en-US" w:eastAsia="zh-CN"/>
        </w:rPr>
        <w:t>17</w:t>
      </w:r>
      <w:r>
        <w:rPr>
          <w:rFonts w:ascii="仿宋_GB2312" w:eastAsia="仿宋_GB2312"/>
          <w:sz w:val="32"/>
          <w:szCs w:val="32"/>
        </w:rPr>
        <w:t>.</w:t>
      </w:r>
      <w:r>
        <w:rPr>
          <w:rFonts w:hint="eastAsia" w:ascii="仿宋_GB2312" w:eastAsia="仿宋_GB2312"/>
          <w:sz w:val="32"/>
          <w:szCs w:val="32"/>
        </w:rPr>
        <w:t>项目支出：指在基本支出之外为完成特定行政任务和事业发展目标所发生的支出。</w:t>
      </w:r>
      <w:r>
        <w:rPr>
          <w:rFonts w:ascii="仿宋_GB2312" w:eastAsia="仿宋_GB2312"/>
          <w:sz w:val="32"/>
          <w:szCs w:val="32"/>
        </w:rPr>
        <w:t xml:space="preserve"> </w:t>
      </w:r>
    </w:p>
    <w:p w14:paraId="6F2E187E">
      <w:pPr>
        <w:ind w:firstLine="640" w:firstLineChars="200"/>
        <w:rPr>
          <w:rFonts w:ascii="仿宋_GB2312" w:eastAsia="仿宋_GB2312"/>
          <w:sz w:val="32"/>
          <w:szCs w:val="32"/>
        </w:rPr>
      </w:pPr>
      <w:r>
        <w:rPr>
          <w:rFonts w:hint="eastAsia" w:ascii="仿宋_GB2312" w:eastAsia="仿宋_GB2312"/>
          <w:sz w:val="32"/>
          <w:szCs w:val="32"/>
          <w:lang w:val="en-US" w:eastAsia="zh-CN"/>
        </w:rPr>
        <w:t>18</w:t>
      </w:r>
      <w:r>
        <w:rPr>
          <w:rFonts w:ascii="仿宋_GB2312" w:eastAsia="仿宋_GB2312"/>
          <w:sz w:val="32"/>
          <w:szCs w:val="32"/>
        </w:rPr>
        <w:t>.</w:t>
      </w:r>
      <w:r>
        <w:rPr>
          <w:rFonts w:hint="eastAsia" w:ascii="仿宋_GB2312" w:eastAsia="仿宋_GB2312"/>
          <w:sz w:val="32"/>
          <w:szCs w:val="32"/>
        </w:rPr>
        <w:t>经营支出：指事业单位在专业业务活动及其辅助活动之外开展非独立核算经营活动发生的支出。</w:t>
      </w:r>
    </w:p>
    <w:p w14:paraId="08F8D042">
      <w:pPr>
        <w:pStyle w:val="2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19</w:t>
      </w:r>
      <w:r>
        <w:rPr>
          <w:rFonts w:ascii="仿宋_GB2312" w:eastAsia="仿宋_GB2312"/>
          <w:color w:val="auto"/>
          <w:sz w:val="32"/>
          <w:szCs w:val="32"/>
        </w:rPr>
        <w:t>.</w:t>
      </w:r>
      <w:r>
        <w:rPr>
          <w:rFonts w:hint="eastAsia" w:ascii="仿宋_GB2312" w:eastAsia="仿宋_GB2312"/>
          <w:color w:val="auto"/>
          <w:sz w:val="32"/>
          <w:szCs w:val="32"/>
        </w:rPr>
        <w:t>“三公”经费：指单位用财政拨款安排的因公出国（境）费、公务用车购置及运行费和公务接待费。其中，因公出国（境）费反映单位公务出国（境）的国际旅费、国外城市间交通费、住宿费、伙食费、培训费、公杂费等支出；公务用车购置及运行费反映单位公务用车车辆购置支出（含车辆购置税）及租用费、燃料费、维修费、过路过桥费、保险费等支出；公务接待费反映单位按规定开支的各类公务接待（含外宾接待）支出。</w:t>
      </w:r>
    </w:p>
    <w:p w14:paraId="021961FB">
      <w:pPr>
        <w:pStyle w:val="26"/>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lang w:val="en-US" w:eastAsia="zh-CN"/>
        </w:rPr>
        <w:t>20</w:t>
      </w:r>
      <w:r>
        <w:rPr>
          <w:rFonts w:ascii="仿宋_GB2312" w:eastAsia="仿宋_GB2312"/>
          <w:color w:val="auto"/>
          <w:sz w:val="32"/>
          <w:szCs w:val="32"/>
        </w:rPr>
        <w:t>.</w:t>
      </w:r>
      <w:r>
        <w:rPr>
          <w:rFonts w:hint="eastAsia" w:ascii="仿宋_GB2312" w:eastAsia="仿宋_GB2312"/>
          <w:color w:val="auto"/>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E67CEF5">
      <w:pPr>
        <w:spacing w:line="600" w:lineRule="exact"/>
        <w:jc w:val="center"/>
        <w:rPr>
          <w:rFonts w:hint="eastAsia" w:ascii="Times New Roman" w:hAnsi="Times New Roman" w:eastAsia="黑体"/>
          <w:color w:val="auto"/>
          <w:sz w:val="44"/>
          <w:szCs w:val="44"/>
          <w:highlight w:val="none"/>
        </w:rPr>
      </w:pPr>
    </w:p>
    <w:p w14:paraId="0F4F7724">
      <w:pPr>
        <w:spacing w:line="600" w:lineRule="exact"/>
        <w:jc w:val="center"/>
        <w:rPr>
          <w:rFonts w:hint="eastAsia" w:ascii="Times New Roman" w:hAnsi="Times New Roman" w:eastAsia="黑体"/>
          <w:color w:val="auto"/>
          <w:sz w:val="44"/>
          <w:szCs w:val="44"/>
          <w:highlight w:val="none"/>
        </w:rPr>
      </w:pPr>
    </w:p>
    <w:p w14:paraId="094E266D">
      <w:pPr>
        <w:spacing w:line="600" w:lineRule="exact"/>
        <w:jc w:val="center"/>
        <w:rPr>
          <w:rFonts w:hint="eastAsia" w:ascii="Times New Roman" w:hAnsi="Times New Roman" w:eastAsia="黑体"/>
          <w:color w:val="auto"/>
          <w:sz w:val="44"/>
          <w:szCs w:val="44"/>
          <w:highlight w:val="none"/>
        </w:rPr>
      </w:pPr>
    </w:p>
    <w:p w14:paraId="21DB0DB9">
      <w:pPr>
        <w:spacing w:line="600" w:lineRule="exact"/>
        <w:jc w:val="center"/>
        <w:rPr>
          <w:rFonts w:hint="eastAsia" w:ascii="Times New Roman" w:hAnsi="Times New Roman" w:eastAsia="黑体"/>
          <w:color w:val="auto"/>
          <w:sz w:val="44"/>
          <w:szCs w:val="44"/>
          <w:highlight w:val="none"/>
        </w:rPr>
      </w:pPr>
    </w:p>
    <w:p w14:paraId="49B5D457">
      <w:pPr>
        <w:spacing w:line="600" w:lineRule="exact"/>
        <w:jc w:val="center"/>
        <w:rPr>
          <w:rFonts w:hint="eastAsia" w:ascii="Times New Roman" w:hAnsi="Times New Roman" w:eastAsia="黑体"/>
          <w:color w:val="auto"/>
          <w:sz w:val="44"/>
          <w:szCs w:val="44"/>
          <w:highlight w:val="none"/>
        </w:rPr>
      </w:pPr>
    </w:p>
    <w:p w14:paraId="206ACF94">
      <w:pPr>
        <w:spacing w:line="600" w:lineRule="exact"/>
        <w:jc w:val="center"/>
        <w:rPr>
          <w:rFonts w:hint="eastAsia" w:ascii="Times New Roman" w:hAnsi="Times New Roman" w:eastAsia="黑体"/>
          <w:color w:val="auto"/>
          <w:sz w:val="44"/>
          <w:szCs w:val="44"/>
          <w:highlight w:val="none"/>
        </w:rPr>
      </w:pPr>
    </w:p>
    <w:p w14:paraId="3E96E5B1">
      <w:pPr>
        <w:spacing w:line="600" w:lineRule="exact"/>
        <w:jc w:val="center"/>
        <w:rPr>
          <w:rFonts w:hint="eastAsia" w:ascii="Times New Roman" w:hAnsi="Times New Roman" w:eastAsia="黑体"/>
          <w:color w:val="auto"/>
          <w:sz w:val="44"/>
          <w:szCs w:val="44"/>
          <w:highlight w:val="none"/>
        </w:rPr>
      </w:pPr>
    </w:p>
    <w:p w14:paraId="117A7846">
      <w:pPr>
        <w:spacing w:line="600" w:lineRule="exact"/>
        <w:jc w:val="center"/>
        <w:rPr>
          <w:rFonts w:hint="eastAsia" w:ascii="Times New Roman" w:hAnsi="Times New Roman" w:eastAsia="黑体"/>
          <w:color w:val="auto"/>
          <w:sz w:val="44"/>
          <w:szCs w:val="44"/>
          <w:highlight w:val="none"/>
        </w:rPr>
      </w:pPr>
    </w:p>
    <w:p w14:paraId="0EDE394A">
      <w:pPr>
        <w:spacing w:line="600" w:lineRule="exact"/>
        <w:jc w:val="center"/>
        <w:rPr>
          <w:rFonts w:hint="eastAsia" w:ascii="Times New Roman" w:hAnsi="Times New Roman" w:eastAsia="黑体"/>
          <w:color w:val="auto"/>
          <w:sz w:val="44"/>
          <w:szCs w:val="44"/>
          <w:highlight w:val="none"/>
        </w:rPr>
      </w:pPr>
    </w:p>
    <w:p w14:paraId="3D240F2D">
      <w:pPr>
        <w:spacing w:line="600" w:lineRule="exact"/>
        <w:jc w:val="center"/>
        <w:rPr>
          <w:rFonts w:hint="eastAsia" w:ascii="Times New Roman" w:hAnsi="Times New Roman" w:eastAsia="黑体"/>
          <w:color w:val="auto"/>
          <w:sz w:val="44"/>
          <w:szCs w:val="44"/>
          <w:highlight w:val="none"/>
        </w:rPr>
      </w:pPr>
    </w:p>
    <w:p w14:paraId="3030A992">
      <w:pPr>
        <w:spacing w:line="600" w:lineRule="exact"/>
        <w:jc w:val="center"/>
        <w:rPr>
          <w:rFonts w:hint="eastAsia" w:ascii="Times New Roman" w:hAnsi="Times New Roman" w:eastAsia="黑体"/>
          <w:color w:val="auto"/>
          <w:sz w:val="44"/>
          <w:szCs w:val="44"/>
          <w:highlight w:val="none"/>
        </w:rPr>
      </w:pPr>
    </w:p>
    <w:p w14:paraId="5983EC1B">
      <w:pPr>
        <w:spacing w:line="600" w:lineRule="exact"/>
        <w:jc w:val="center"/>
        <w:rPr>
          <w:rFonts w:hint="eastAsia" w:ascii="Times New Roman" w:hAnsi="Times New Roman" w:eastAsia="黑体"/>
          <w:color w:val="auto"/>
          <w:sz w:val="44"/>
          <w:szCs w:val="44"/>
          <w:highlight w:val="none"/>
        </w:rPr>
      </w:pPr>
    </w:p>
    <w:p w14:paraId="251B1AC0">
      <w:pPr>
        <w:spacing w:line="600" w:lineRule="exact"/>
        <w:jc w:val="center"/>
        <w:rPr>
          <w:rStyle w:val="28"/>
          <w:rFonts w:hint="eastAsia" w:ascii="Times New Roman" w:hAnsi="Times New Roman" w:eastAsia="黑体"/>
          <w:b w:val="0"/>
          <w:color w:val="auto"/>
          <w:highlight w:val="none"/>
          <w:lang w:eastAsia="zh-CN"/>
        </w:rPr>
      </w:pPr>
      <w:bookmarkStart w:id="109" w:name="_Toc5729_WPSOffice_Level1"/>
      <w:r>
        <w:rPr>
          <w:rFonts w:hint="eastAsia" w:ascii="Times New Roman" w:hAnsi="Times New Roman" w:eastAsia="黑体"/>
          <w:color w:val="auto"/>
          <w:sz w:val="44"/>
          <w:szCs w:val="44"/>
          <w:highlight w:val="none"/>
        </w:rPr>
        <w:t>第四部分</w:t>
      </w:r>
      <w:r>
        <w:rPr>
          <w:rFonts w:hint="eastAsia" w:ascii="Times New Roman" w:hAnsi="Times New Roman" w:eastAsia="黑体"/>
          <w:color w:val="auto"/>
          <w:sz w:val="44"/>
          <w:szCs w:val="44"/>
          <w:highlight w:val="none"/>
          <w:lang w:val="en-US" w:eastAsia="zh-CN"/>
        </w:rPr>
        <w:t xml:space="preserve"> </w:t>
      </w:r>
      <w:r>
        <w:rPr>
          <w:rFonts w:hint="eastAsia" w:ascii="Times New Roman" w:hAnsi="Times New Roman" w:eastAsia="黑体"/>
          <w:color w:val="auto"/>
          <w:sz w:val="44"/>
          <w:szCs w:val="44"/>
          <w:highlight w:val="none"/>
        </w:rPr>
        <w:t xml:space="preserve"> 附件</w:t>
      </w:r>
      <w:bookmarkEnd w:id="107"/>
      <w:bookmarkEnd w:id="109"/>
    </w:p>
    <w:p w14:paraId="2AC851F9">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黑体"/>
          <w:color w:val="FF0000"/>
          <w:sz w:val="32"/>
          <w:szCs w:val="32"/>
          <w:highlight w:val="none"/>
        </w:rPr>
      </w:pPr>
    </w:p>
    <w:p w14:paraId="4AEE0D17">
      <w:pPr>
        <w:keepNext w:val="0"/>
        <w:keepLines w:val="0"/>
        <w:pageBreakBefore w:val="0"/>
        <w:kinsoku/>
        <w:wordWrap/>
        <w:overflowPunct/>
        <w:topLinePunct w:val="0"/>
        <w:autoSpaceDE/>
        <w:autoSpaceDN/>
        <w:bidi w:val="0"/>
        <w:spacing w:line="572" w:lineRule="exact"/>
        <w:jc w:val="left"/>
        <w:textAlignment w:val="auto"/>
        <w:outlineLvl w:val="0"/>
        <w:rPr>
          <w:rFonts w:hint="eastAsia" w:ascii="Times New Roman" w:hAnsi="Times New Roman" w:eastAsia="黑体" w:cs="方正小标宋简体"/>
          <w:color w:val="auto"/>
          <w:sz w:val="44"/>
          <w:szCs w:val="44"/>
          <w:highlight w:val="none"/>
          <w:lang w:val="en-US" w:eastAsia="zh-CN"/>
        </w:rPr>
      </w:pPr>
      <w:r>
        <w:rPr>
          <w:rFonts w:hint="eastAsia" w:ascii="Times New Roman" w:hAnsi="Times New Roman" w:eastAsia="黑体" w:cs="黑体"/>
          <w:color w:val="auto"/>
          <w:sz w:val="32"/>
          <w:szCs w:val="32"/>
          <w:highlight w:val="none"/>
        </w:rPr>
        <w:t>附件</w:t>
      </w:r>
      <w:r>
        <w:rPr>
          <w:rFonts w:hint="eastAsia" w:ascii="Times New Roman" w:hAnsi="Times New Roman" w:eastAsia="黑体" w:cs="黑体"/>
          <w:color w:val="auto"/>
          <w:sz w:val="32"/>
          <w:szCs w:val="32"/>
          <w:highlight w:val="none"/>
          <w:lang w:val="en-US" w:eastAsia="zh-CN"/>
        </w:rPr>
        <w:t>1</w:t>
      </w:r>
    </w:p>
    <w:p w14:paraId="699622FF">
      <w:pPr>
        <w:keepNext w:val="0"/>
        <w:keepLines w:val="0"/>
        <w:pageBreakBefore w:val="0"/>
        <w:widowControl/>
        <w:kinsoku/>
        <w:wordWrap/>
        <w:overflowPunct/>
        <w:topLinePunct w:val="0"/>
        <w:autoSpaceDE/>
        <w:autoSpaceDN/>
        <w:bidi w:val="0"/>
        <w:spacing w:line="578" w:lineRule="exact"/>
        <w:contextualSpacing/>
        <w:jc w:val="center"/>
        <w:textAlignment w:val="auto"/>
        <w:outlineLvl w:val="9"/>
        <w:rPr>
          <w:rFonts w:hint="default" w:ascii="Times New Roman" w:hAnsi="Times New Roman" w:eastAsia="方正小标宋简体" w:cs="Times New Roman"/>
          <w:b w:val="0"/>
          <w:bCs/>
          <w:sz w:val="44"/>
          <w:szCs w:val="44"/>
          <w:highlight w:val="none"/>
          <w:shd w:val="clear" w:color="auto" w:fill="FFFFFF"/>
        </w:rPr>
      </w:pPr>
    </w:p>
    <w:p w14:paraId="4F6ED976">
      <w:pPr>
        <w:pStyle w:val="2"/>
        <w:spacing w:before="198" w:line="348" w:lineRule="auto"/>
        <w:ind w:left="36" w:right="12" w:firstLine="643"/>
        <w:rPr>
          <w:spacing w:val="7"/>
          <w:sz w:val="31"/>
          <w:szCs w:val="31"/>
        </w:rPr>
      </w:pPr>
      <w:bookmarkStart w:id="110" w:name="_Toc15396618"/>
      <w:r>
        <w:rPr>
          <w:spacing w:val="4"/>
          <w:sz w:val="31"/>
          <w:szCs w:val="31"/>
        </w:rPr>
        <w:t>202</w:t>
      </w:r>
      <w:r>
        <w:rPr>
          <w:rFonts w:hint="eastAsia"/>
          <w:spacing w:val="4"/>
          <w:sz w:val="31"/>
          <w:szCs w:val="31"/>
          <w:lang w:val="en-US" w:eastAsia="zh-CN"/>
        </w:rPr>
        <w:t>4</w:t>
      </w:r>
      <w:r>
        <w:rPr>
          <w:spacing w:val="-58"/>
          <w:sz w:val="31"/>
          <w:szCs w:val="31"/>
        </w:rPr>
        <w:t xml:space="preserve"> </w:t>
      </w:r>
      <w:r>
        <w:rPr>
          <w:spacing w:val="4"/>
          <w:sz w:val="31"/>
          <w:szCs w:val="31"/>
        </w:rPr>
        <w:t>年度，乐山市</w:t>
      </w:r>
      <w:r>
        <w:rPr>
          <w:rFonts w:hint="eastAsia"/>
          <w:spacing w:val="4"/>
          <w:sz w:val="31"/>
          <w:szCs w:val="31"/>
          <w:lang w:val="en-US" w:eastAsia="zh-CN"/>
        </w:rPr>
        <w:t>反修水库</w:t>
      </w:r>
      <w:r>
        <w:rPr>
          <w:spacing w:val="4"/>
          <w:sz w:val="31"/>
          <w:szCs w:val="31"/>
        </w:rPr>
        <w:t>支出均</w:t>
      </w:r>
      <w:r>
        <w:rPr>
          <w:spacing w:val="7"/>
          <w:sz w:val="31"/>
          <w:szCs w:val="31"/>
        </w:rPr>
        <w:t>为基本支出，无项目支出，故无项目支出绩效自评表。</w:t>
      </w:r>
    </w:p>
    <w:p w14:paraId="77DFB62D">
      <w:pPr>
        <w:pStyle w:val="2"/>
        <w:spacing w:before="198" w:line="348" w:lineRule="auto"/>
        <w:ind w:left="36" w:right="12" w:firstLine="643"/>
        <w:rPr>
          <w:spacing w:val="7"/>
          <w:sz w:val="31"/>
          <w:szCs w:val="31"/>
        </w:rPr>
      </w:pPr>
    </w:p>
    <w:p w14:paraId="67B82C37">
      <w:pPr>
        <w:pStyle w:val="2"/>
        <w:spacing w:before="198" w:line="348" w:lineRule="auto"/>
        <w:ind w:left="36" w:right="12" w:firstLine="643"/>
        <w:rPr>
          <w:spacing w:val="7"/>
          <w:sz w:val="31"/>
          <w:szCs w:val="31"/>
        </w:rPr>
      </w:pPr>
    </w:p>
    <w:p w14:paraId="0B467486">
      <w:pPr>
        <w:widowControl/>
        <w:jc w:val="center"/>
        <w:rPr>
          <w:rFonts w:hint="eastAsia" w:ascii="Times New Roman" w:hAnsi="Times New Roman" w:eastAsia="仿宋"/>
          <w:b w:val="0"/>
          <w:color w:val="auto"/>
          <w:highlight w:val="none"/>
        </w:rPr>
      </w:pPr>
      <w:bookmarkStart w:id="111" w:name="_Toc8900_WPSOffice_Level1"/>
      <w:r>
        <w:rPr>
          <w:rFonts w:hint="eastAsia" w:ascii="Times New Roman" w:hAnsi="Times New Roman" w:eastAsia="黑体"/>
          <w:color w:val="auto"/>
          <w:sz w:val="44"/>
          <w:szCs w:val="44"/>
          <w:highlight w:val="none"/>
        </w:rPr>
        <w:t>第</w:t>
      </w:r>
      <w:r>
        <w:rPr>
          <w:rStyle w:val="28"/>
          <w:rFonts w:hint="eastAsia" w:ascii="Times New Roman" w:hAnsi="Times New Roman" w:eastAsia="黑体"/>
          <w:b w:val="0"/>
          <w:color w:val="auto"/>
          <w:highlight w:val="none"/>
        </w:rPr>
        <w:t>五部分 附表</w:t>
      </w:r>
      <w:bookmarkEnd w:id="108"/>
      <w:bookmarkEnd w:id="110"/>
      <w:bookmarkEnd w:id="111"/>
      <w:bookmarkStart w:id="112" w:name="_Toc15396619"/>
    </w:p>
    <w:p w14:paraId="0E53F478">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p>
    <w:p w14:paraId="68FE68F1">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3" w:name="_Toc11071_WPSOffice_Level2"/>
      <w:r>
        <w:rPr>
          <w:rFonts w:hint="eastAsia" w:ascii="Times New Roman" w:hAnsi="Times New Roman" w:eastAsia="仿宋_GB2312" w:cs="仿宋_GB2312"/>
          <w:color w:val="auto"/>
          <w:sz w:val="32"/>
          <w:szCs w:val="32"/>
          <w:highlight w:val="none"/>
        </w:rPr>
        <w:t>一、收入支出决算总表</w:t>
      </w:r>
      <w:bookmarkEnd w:id="112"/>
      <w:bookmarkEnd w:id="113"/>
    </w:p>
    <w:p w14:paraId="181A6DD7">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4" w:name="_Toc15396620"/>
      <w:bookmarkStart w:id="115" w:name="_Toc13759_WPSOffice_Level2"/>
      <w:r>
        <w:rPr>
          <w:rFonts w:hint="eastAsia" w:ascii="Times New Roman" w:hAnsi="Times New Roman" w:eastAsia="仿宋_GB2312" w:cs="仿宋_GB2312"/>
          <w:color w:val="auto"/>
          <w:sz w:val="32"/>
          <w:szCs w:val="32"/>
          <w:highlight w:val="none"/>
        </w:rPr>
        <w:t>二、收入决算表</w:t>
      </w:r>
      <w:bookmarkEnd w:id="114"/>
      <w:bookmarkEnd w:id="115"/>
    </w:p>
    <w:p w14:paraId="5728A1AC">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6" w:name="_Toc15396621"/>
      <w:bookmarkStart w:id="117" w:name="_Toc11465_WPSOffice_Level2"/>
      <w:r>
        <w:rPr>
          <w:rFonts w:hint="eastAsia" w:ascii="Times New Roman" w:hAnsi="Times New Roman" w:eastAsia="仿宋_GB2312" w:cs="仿宋_GB2312"/>
          <w:color w:val="auto"/>
          <w:sz w:val="32"/>
          <w:szCs w:val="32"/>
          <w:highlight w:val="none"/>
        </w:rPr>
        <w:t>三、支出决算表</w:t>
      </w:r>
      <w:bookmarkEnd w:id="116"/>
      <w:bookmarkEnd w:id="117"/>
    </w:p>
    <w:p w14:paraId="43257A04">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18" w:name="_Toc15396622"/>
      <w:bookmarkStart w:id="119" w:name="_Toc22651_WPSOffice_Level2"/>
      <w:r>
        <w:rPr>
          <w:rFonts w:hint="eastAsia" w:ascii="Times New Roman" w:hAnsi="Times New Roman" w:eastAsia="仿宋_GB2312" w:cs="仿宋_GB2312"/>
          <w:color w:val="auto"/>
          <w:sz w:val="32"/>
          <w:szCs w:val="32"/>
          <w:highlight w:val="none"/>
        </w:rPr>
        <w:t>四、财政拨款收入支出决算总表</w:t>
      </w:r>
      <w:bookmarkEnd w:id="118"/>
      <w:bookmarkEnd w:id="119"/>
    </w:p>
    <w:p w14:paraId="527CB658">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0" w:name="_Toc15396623"/>
      <w:bookmarkStart w:id="121" w:name="_Toc26018_WPSOffice_Level2"/>
      <w:r>
        <w:rPr>
          <w:rFonts w:hint="eastAsia" w:ascii="Times New Roman" w:hAnsi="Times New Roman" w:eastAsia="仿宋_GB2312" w:cs="仿宋_GB2312"/>
          <w:color w:val="auto"/>
          <w:sz w:val="32"/>
          <w:szCs w:val="32"/>
          <w:highlight w:val="none"/>
        </w:rPr>
        <w:t>五、财政拨款支出决算明细表</w:t>
      </w:r>
      <w:bookmarkEnd w:id="120"/>
      <w:bookmarkEnd w:id="121"/>
      <w:bookmarkStart w:id="122" w:name="_Toc15396624"/>
    </w:p>
    <w:p w14:paraId="058F9CFF">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3" w:name="_Toc1382_WPSOffice_Level2"/>
      <w:r>
        <w:rPr>
          <w:rFonts w:hint="eastAsia" w:ascii="Times New Roman" w:hAnsi="Times New Roman" w:eastAsia="仿宋_GB2312" w:cs="仿宋_GB2312"/>
          <w:color w:val="auto"/>
          <w:sz w:val="32"/>
          <w:szCs w:val="32"/>
          <w:highlight w:val="none"/>
        </w:rPr>
        <w:t>六、一般公共预算财政拨款支出决算表</w:t>
      </w:r>
      <w:bookmarkEnd w:id="122"/>
      <w:bookmarkEnd w:id="123"/>
    </w:p>
    <w:p w14:paraId="3D37F1E6">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4" w:name="_Toc15396625"/>
      <w:bookmarkStart w:id="125" w:name="_Toc10403_WPSOffice_Level2"/>
      <w:r>
        <w:rPr>
          <w:rFonts w:hint="eastAsia" w:ascii="Times New Roman" w:hAnsi="Times New Roman" w:eastAsia="仿宋_GB2312" w:cs="仿宋_GB2312"/>
          <w:color w:val="auto"/>
          <w:sz w:val="32"/>
          <w:szCs w:val="32"/>
          <w:highlight w:val="none"/>
        </w:rPr>
        <w:t>七、一般公共预算财政拨款支出决算明细表</w:t>
      </w:r>
      <w:bookmarkEnd w:id="124"/>
      <w:bookmarkEnd w:id="125"/>
    </w:p>
    <w:p w14:paraId="0E715690">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6" w:name="_Toc15396626"/>
      <w:bookmarkStart w:id="127" w:name="_Toc28358_WPSOffice_Level2"/>
      <w:r>
        <w:rPr>
          <w:rFonts w:hint="eastAsia" w:ascii="Times New Roman" w:hAnsi="Times New Roman" w:eastAsia="仿宋_GB2312" w:cs="仿宋_GB2312"/>
          <w:color w:val="auto"/>
          <w:sz w:val="32"/>
          <w:szCs w:val="32"/>
          <w:highlight w:val="none"/>
        </w:rPr>
        <w:t>八、一般公共预算财政拨款基本支出决算表</w:t>
      </w:r>
      <w:bookmarkEnd w:id="126"/>
      <w:bookmarkEnd w:id="127"/>
    </w:p>
    <w:p w14:paraId="1CFE95C6">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28" w:name="_Toc15396627"/>
      <w:bookmarkStart w:id="129" w:name="_Toc9851_WPSOffice_Level2"/>
      <w:r>
        <w:rPr>
          <w:rFonts w:hint="eastAsia" w:ascii="Times New Roman" w:hAnsi="Times New Roman" w:eastAsia="仿宋_GB2312" w:cs="仿宋_GB2312"/>
          <w:color w:val="auto"/>
          <w:sz w:val="32"/>
          <w:szCs w:val="32"/>
          <w:highlight w:val="none"/>
        </w:rPr>
        <w:t>九、一般公共预算财政拨款项目支出决算表</w:t>
      </w:r>
      <w:bookmarkEnd w:id="128"/>
      <w:bookmarkEnd w:id="129"/>
    </w:p>
    <w:p w14:paraId="24F18B2E">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0" w:name="_Toc15396628"/>
      <w:bookmarkStart w:id="131" w:name="_Toc21484_WPSOffice_Level2"/>
      <w:r>
        <w:rPr>
          <w:rFonts w:hint="eastAsia" w:ascii="Times New Roman" w:hAnsi="Times New Roman" w:eastAsia="仿宋_GB2312" w:cs="仿宋_GB2312"/>
          <w:color w:val="auto"/>
          <w:sz w:val="32"/>
          <w:szCs w:val="32"/>
          <w:highlight w:val="none"/>
        </w:rPr>
        <w:t>十、</w:t>
      </w:r>
      <w:bookmarkEnd w:id="130"/>
      <w:r>
        <w:rPr>
          <w:rFonts w:hint="eastAsia" w:ascii="Times New Roman" w:hAnsi="Times New Roman" w:eastAsia="仿宋_GB2312" w:cs="仿宋_GB2312"/>
          <w:color w:val="auto"/>
          <w:sz w:val="32"/>
          <w:szCs w:val="32"/>
          <w:highlight w:val="none"/>
        </w:rPr>
        <w:t>政府性基金预算财政拨款收入支出决算表</w:t>
      </w:r>
      <w:bookmarkEnd w:id="131"/>
    </w:p>
    <w:p w14:paraId="689EDD95">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2" w:name="_Toc15396629"/>
      <w:bookmarkStart w:id="133" w:name="_Toc13592_WPSOffice_Level2"/>
      <w:r>
        <w:rPr>
          <w:rFonts w:hint="eastAsia" w:ascii="Times New Roman" w:hAnsi="Times New Roman" w:eastAsia="仿宋_GB2312" w:cs="仿宋_GB2312"/>
          <w:color w:val="auto"/>
          <w:sz w:val="32"/>
          <w:szCs w:val="32"/>
          <w:highlight w:val="none"/>
        </w:rPr>
        <w:t>十一、</w:t>
      </w:r>
      <w:bookmarkEnd w:id="132"/>
      <w:r>
        <w:rPr>
          <w:rFonts w:hint="eastAsia" w:ascii="Times New Roman" w:hAnsi="Times New Roman" w:eastAsia="仿宋_GB2312" w:cs="仿宋_GB2312"/>
          <w:color w:val="auto"/>
          <w:sz w:val="32"/>
          <w:szCs w:val="32"/>
          <w:highlight w:val="none"/>
        </w:rPr>
        <w:t>国有资本经营预算</w:t>
      </w:r>
      <w:r>
        <w:rPr>
          <w:rFonts w:hint="eastAsia" w:ascii="Times New Roman" w:hAnsi="Times New Roman" w:eastAsia="仿宋_GB2312" w:cs="仿宋_GB2312"/>
          <w:color w:val="auto"/>
          <w:sz w:val="32"/>
          <w:szCs w:val="32"/>
          <w:highlight w:val="none"/>
          <w:lang w:eastAsia="zh-CN"/>
        </w:rPr>
        <w:t>财政拨款收入</w:t>
      </w:r>
      <w:r>
        <w:rPr>
          <w:rFonts w:hint="eastAsia" w:ascii="Times New Roman" w:hAnsi="Times New Roman" w:eastAsia="仿宋_GB2312" w:cs="仿宋_GB2312"/>
          <w:color w:val="auto"/>
          <w:sz w:val="32"/>
          <w:szCs w:val="32"/>
          <w:highlight w:val="none"/>
        </w:rPr>
        <w:t>支出决算表</w:t>
      </w:r>
      <w:bookmarkEnd w:id="133"/>
    </w:p>
    <w:p w14:paraId="3676D4C1">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rPr>
      </w:pPr>
      <w:bookmarkStart w:id="134" w:name="_Toc15396630"/>
      <w:bookmarkStart w:id="135" w:name="_Toc24453_WPSOffice_Level2"/>
      <w:r>
        <w:rPr>
          <w:rFonts w:hint="eastAsia" w:ascii="Times New Roman" w:hAnsi="Times New Roman" w:eastAsia="仿宋_GB2312" w:cs="仿宋_GB2312"/>
          <w:color w:val="auto"/>
          <w:sz w:val="32"/>
          <w:szCs w:val="32"/>
          <w:highlight w:val="none"/>
        </w:rPr>
        <w:t>十二、</w:t>
      </w:r>
      <w:bookmarkEnd w:id="134"/>
      <w:r>
        <w:rPr>
          <w:rFonts w:hint="eastAsia" w:ascii="Times New Roman" w:hAnsi="Times New Roman" w:eastAsia="仿宋_GB2312" w:cs="仿宋_GB2312"/>
          <w:color w:val="auto"/>
          <w:sz w:val="32"/>
          <w:szCs w:val="32"/>
          <w:highlight w:val="none"/>
          <w:lang w:eastAsia="zh-CN"/>
        </w:rPr>
        <w:t>国有资本经营预算财政拨款支出决算表</w:t>
      </w:r>
      <w:bookmarkEnd w:id="135"/>
    </w:p>
    <w:p w14:paraId="6C806760">
      <w:pPr>
        <w:pStyle w:val="14"/>
        <w:keepNext w:val="0"/>
        <w:keepLines w:val="0"/>
        <w:pageBreakBefore w:val="0"/>
        <w:kinsoku/>
        <w:wordWrap/>
        <w:overflowPunct/>
        <w:topLinePunct w:val="0"/>
        <w:autoSpaceDE/>
        <w:autoSpaceDN/>
        <w:bidi w:val="0"/>
        <w:adjustRightInd w:val="0"/>
        <w:snapToGrid w:val="0"/>
        <w:spacing w:line="560" w:lineRule="exact"/>
        <w:jc w:val="left"/>
        <w:textAlignment w:val="auto"/>
        <w:rPr>
          <w:rFonts w:hint="eastAsia" w:ascii="Times New Roman" w:hAnsi="Times New Roman" w:eastAsia="仿宋_GB2312" w:cs="仿宋_GB2312"/>
          <w:color w:val="auto"/>
          <w:sz w:val="32"/>
          <w:szCs w:val="32"/>
          <w:highlight w:val="none"/>
          <w:lang w:eastAsia="zh-CN"/>
        </w:rPr>
      </w:pPr>
      <w:bookmarkStart w:id="136" w:name="_Toc15396631"/>
      <w:bookmarkStart w:id="137" w:name="_Toc5919_WPSOffice_Level2"/>
      <w:r>
        <w:rPr>
          <w:rFonts w:hint="eastAsia" w:ascii="Times New Roman" w:hAnsi="Times New Roman" w:eastAsia="仿宋_GB2312" w:cs="仿宋_GB2312"/>
          <w:color w:val="auto"/>
          <w:sz w:val="32"/>
          <w:szCs w:val="32"/>
          <w:highlight w:val="none"/>
        </w:rPr>
        <w:t>十三、</w:t>
      </w:r>
      <w:bookmarkEnd w:id="136"/>
      <w:r>
        <w:rPr>
          <w:rFonts w:hint="eastAsia" w:ascii="Times New Roman" w:hAnsi="Times New Roman" w:eastAsia="仿宋_GB2312" w:cs="仿宋_GB2312"/>
          <w:color w:val="auto"/>
          <w:sz w:val="32"/>
          <w:szCs w:val="32"/>
          <w:highlight w:val="none"/>
          <w:lang w:eastAsia="zh-CN"/>
        </w:rPr>
        <w:t>财政拨款“三公”经费支出决算表</w:t>
      </w:r>
      <w:bookmarkEnd w:id="137"/>
    </w:p>
    <w:p w14:paraId="5113B00A">
      <w:pPr>
        <w:rPr>
          <w:rFonts w:hint="eastAsia" w:ascii="Times New Roman" w:hAnsi="Times New Roman"/>
          <w:lang w:eastAsia="zh-CN"/>
        </w:rPr>
      </w:pPr>
    </w:p>
    <w:sectPr>
      <w:footerReference r:id="rId8" w:type="first"/>
      <w:footerReference r:id="rId7" w:type="default"/>
      <w:pgSz w:w="11906" w:h="16838"/>
      <w:pgMar w:top="1440" w:right="1800" w:bottom="1440" w:left="1800" w:header="851" w:footer="992" w:gutter="0"/>
      <w:pgNumType w:fmt="decimal"/>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
    <w:altName w:val="Segoe Print"/>
    <w:panose1 w:val="00000000000000000000"/>
    <w:charset w:val="00"/>
    <w:family w:val="roman"/>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方正小标宋简体">
    <w:panose1 w:val="03000509000000000000"/>
    <w:charset w:val="86"/>
    <w:family w:val="script"/>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sans-serif">
    <w:altName w:val="Times New Roman"/>
    <w:panose1 w:val="00000000000000000000"/>
    <w:charset w:val="00"/>
    <w:family w:val="auto"/>
    <w:pitch w:val="default"/>
    <w:sig w:usb0="00000000" w:usb1="00000000" w:usb2="00000000"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737D22C">
    <w:pPr>
      <w:spacing w:line="237" w:lineRule="auto"/>
      <w:ind w:left="4125"/>
      <w:rPr>
        <w:rFonts w:ascii="Calibri" w:hAnsi="Calibri" w:eastAsia="Calibri" w:cs="Calibri"/>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2" name="文本框 2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E0AAB50">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EhxuIy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ESHG4jICAABjBAAADgAAAAAAAAABACAAAAAfAQAAZHJzL2Uyb0RvYy54bWxQSwUG&#10;AAAAAAYABgBZAQAAwwUAAAAA&#10;">
              <v:fill on="f" focussize="0,0"/>
              <v:stroke on="f" weight="0.5pt"/>
              <v:imagedata o:title=""/>
              <o:lock v:ext="edit" aspectratio="f"/>
              <v:textbox inset="0mm,0mm,0mm,0mm" style="mso-fit-shape-to-text:t;">
                <w:txbxContent>
                  <w:p w14:paraId="5E0AAB50">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12801C">
    <w:pPr>
      <w:spacing w:line="237" w:lineRule="auto"/>
      <w:ind w:left="4125"/>
      <w:rPr>
        <w:rFonts w:ascii="Calibri" w:hAnsi="Calibri" w:eastAsia="Calibri" w:cs="Calibri"/>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23" name="文本框 2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67A6560">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OJUQ0zAgAAYwQAAA4AAABkcnMvZTJvRG9jLnhtbK1US44TMRDdI3EH&#10;y3vSSUa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6/ejt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OJUQ0zAgAAYwQAAA4AAAAAAAAAAQAgAAAAHwEAAGRycy9lMm9Eb2MueG1sUEsF&#10;BgAAAAAGAAYAWQEAAMQFAAAAAA==&#10;">
              <v:fill on="f" focussize="0,0"/>
              <v:stroke on="f" weight="0.5pt"/>
              <v:imagedata o:title=""/>
              <o:lock v:ext="edit" aspectratio="f"/>
              <v:textbox inset="0mm,0mm,0mm,0mm" style="mso-fit-shape-to-text:t;">
                <w:txbxContent>
                  <w:p w14:paraId="367A6560">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632F16">
    <w:pPr>
      <w:spacing w:line="236" w:lineRule="auto"/>
      <w:ind w:left="4091"/>
      <w:rPr>
        <w:rFonts w:ascii="Calibri" w:hAnsi="Calibri" w:eastAsia="Calibri" w:cs="Calibri"/>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24" name="文本框 2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12A7589">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7aJO4zAgAAYwQAAA4AAABkcnMvZTJvRG9jLnhtbK1UzY7TMBC+I/EO&#10;lu80aYFV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F7aJO4zAgAAYwQAAA4AAAAAAAAAAQAgAAAAHwEAAGRycy9lMm9Eb2MueG1sUEsF&#10;BgAAAAAGAAYAWQEAAMQFAAAAAA==&#10;">
              <v:fill on="f" focussize="0,0"/>
              <v:stroke on="f" weight="0.5pt"/>
              <v:imagedata o:title=""/>
              <o:lock v:ext="edit" aspectratio="f"/>
              <v:textbox inset="0mm,0mm,0mm,0mm" style="mso-fit-shape-to-text:t;">
                <w:txbxContent>
                  <w:p w14:paraId="512A7589">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A7BA13D">
    <w:pPr>
      <w:pStyle w:val="10"/>
      <w:jc w:val="cente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25" name="文本框 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372195F">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BxyswEzAgAAYwQAAA4AAAAAAAAAAQAgAAAAHwEAAGRycy9lMm9Eb2MueG1sUEsF&#10;BgAAAAAGAAYAWQEAAMQFAAAAAA==&#10;">
              <v:fill on="f" focussize="0,0"/>
              <v:stroke on="f" weight="0.5pt"/>
              <v:imagedata o:title=""/>
              <o:lock v:ext="edit" aspectratio="f"/>
              <v:textbox inset="0mm,0mm,0mm,0mm" style="mso-fit-shape-to-text:t;">
                <w:txbxContent>
                  <w:p w14:paraId="1372195F">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p w14:paraId="155E16F8">
    <w:pPr>
      <w:pStyle w:val="1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C62B29">
    <w:pPr>
      <w:pStyle w:val="10"/>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6" name="文本框 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9178B61">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uMeuo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m4x66jICAABjBAAADgAAAAAAAAABACAAAAAfAQAAZHJzL2Uyb0RvYy54bWxQSwUG&#10;AAAAAAYABgBZAQAAwwUAAAAA&#10;">
              <v:fill on="f" focussize="0,0"/>
              <v:stroke on="f" weight="0.5pt"/>
              <v:imagedata o:title=""/>
              <o:lock v:ext="edit" aspectratio="f"/>
              <v:textbox inset="0mm,0mm,0mm,0mm" style="mso-fit-shape-to-text:t;">
                <w:txbxContent>
                  <w:p w14:paraId="59178B61">
                    <w:pPr>
                      <w:pStyle w:val="10"/>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41A5718">
    <w:pPr>
      <w:pStyle w:val="11"/>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F210A35"/>
    <w:multiLevelType w:val="singleLevel"/>
    <w:tmpl w:val="CF210A35"/>
    <w:lvl w:ilvl="0" w:tentative="0">
      <w:start w:val="1"/>
      <w:numFmt w:val="chineseCounting"/>
      <w:suff w:val="nothing"/>
      <w:lvlText w:val="%1、"/>
      <w:lvlJc w:val="left"/>
      <w:rPr>
        <w:rFonts w:hint="eastAsia"/>
      </w:rPr>
    </w:lvl>
  </w:abstractNum>
  <w:abstractNum w:abstractNumId="1">
    <w:nsid w:val="D0C54BC2"/>
    <w:multiLevelType w:val="singleLevel"/>
    <w:tmpl w:val="D0C54BC2"/>
    <w:lvl w:ilvl="0" w:tentative="0">
      <w:start w:val="3"/>
      <w:numFmt w:val="decimal"/>
      <w:lvlText w:val="%1."/>
      <w:lvlJc w:val="left"/>
      <w:pPr>
        <w:tabs>
          <w:tab w:val="left" w:pos="312"/>
        </w:tabs>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361C"/>
    <w:rsid w:val="000222C6"/>
    <w:rsid w:val="0002549F"/>
    <w:rsid w:val="000468DB"/>
    <w:rsid w:val="0006487A"/>
    <w:rsid w:val="00065F8F"/>
    <w:rsid w:val="00070A43"/>
    <w:rsid w:val="000768F2"/>
    <w:rsid w:val="0009184B"/>
    <w:rsid w:val="00094236"/>
    <w:rsid w:val="0009593C"/>
    <w:rsid w:val="00097322"/>
    <w:rsid w:val="000A6A92"/>
    <w:rsid w:val="000B047F"/>
    <w:rsid w:val="000B5923"/>
    <w:rsid w:val="000B5A48"/>
    <w:rsid w:val="000B6FF3"/>
    <w:rsid w:val="000C3467"/>
    <w:rsid w:val="000C3CA6"/>
    <w:rsid w:val="000D1267"/>
    <w:rsid w:val="000D1D50"/>
    <w:rsid w:val="000D5782"/>
    <w:rsid w:val="000E6613"/>
    <w:rsid w:val="000E7119"/>
    <w:rsid w:val="00114E9B"/>
    <w:rsid w:val="00142216"/>
    <w:rsid w:val="00144D6A"/>
    <w:rsid w:val="0014729F"/>
    <w:rsid w:val="00157BAB"/>
    <w:rsid w:val="001654D1"/>
    <w:rsid w:val="00174518"/>
    <w:rsid w:val="0018106D"/>
    <w:rsid w:val="001877A7"/>
    <w:rsid w:val="00191536"/>
    <w:rsid w:val="00196687"/>
    <w:rsid w:val="001C0962"/>
    <w:rsid w:val="001D7531"/>
    <w:rsid w:val="001E737D"/>
    <w:rsid w:val="001F0592"/>
    <w:rsid w:val="001F7506"/>
    <w:rsid w:val="002006CD"/>
    <w:rsid w:val="00202B36"/>
    <w:rsid w:val="00204B7A"/>
    <w:rsid w:val="00204CDE"/>
    <w:rsid w:val="0021101A"/>
    <w:rsid w:val="00220536"/>
    <w:rsid w:val="00235629"/>
    <w:rsid w:val="00260C38"/>
    <w:rsid w:val="002616C0"/>
    <w:rsid w:val="00265372"/>
    <w:rsid w:val="002662AA"/>
    <w:rsid w:val="00280496"/>
    <w:rsid w:val="00294DC9"/>
    <w:rsid w:val="00295495"/>
    <w:rsid w:val="002A31DE"/>
    <w:rsid w:val="002B2613"/>
    <w:rsid w:val="002D6D05"/>
    <w:rsid w:val="002F1818"/>
    <w:rsid w:val="002F567B"/>
    <w:rsid w:val="003216A9"/>
    <w:rsid w:val="00335A74"/>
    <w:rsid w:val="0036561B"/>
    <w:rsid w:val="0037013F"/>
    <w:rsid w:val="00380C92"/>
    <w:rsid w:val="003A484F"/>
    <w:rsid w:val="003A4883"/>
    <w:rsid w:val="003B0BE0"/>
    <w:rsid w:val="003B0C1B"/>
    <w:rsid w:val="003B688C"/>
    <w:rsid w:val="003C0291"/>
    <w:rsid w:val="003C39AE"/>
    <w:rsid w:val="003C7B60"/>
    <w:rsid w:val="003D0C0F"/>
    <w:rsid w:val="003D1FB2"/>
    <w:rsid w:val="003D66DA"/>
    <w:rsid w:val="003E1310"/>
    <w:rsid w:val="003E6F55"/>
    <w:rsid w:val="00406254"/>
    <w:rsid w:val="004223DE"/>
    <w:rsid w:val="00434489"/>
    <w:rsid w:val="00437085"/>
    <w:rsid w:val="00443880"/>
    <w:rsid w:val="004464F4"/>
    <w:rsid w:val="00471401"/>
    <w:rsid w:val="00473F31"/>
    <w:rsid w:val="0048263A"/>
    <w:rsid w:val="00487E5D"/>
    <w:rsid w:val="004A711F"/>
    <w:rsid w:val="004B199D"/>
    <w:rsid w:val="004B4690"/>
    <w:rsid w:val="004E0A2D"/>
    <w:rsid w:val="004E206B"/>
    <w:rsid w:val="004E6DF7"/>
    <w:rsid w:val="004F0FBD"/>
    <w:rsid w:val="00505A47"/>
    <w:rsid w:val="00512FDA"/>
    <w:rsid w:val="00520DA0"/>
    <w:rsid w:val="005664BB"/>
    <w:rsid w:val="00566FFA"/>
    <w:rsid w:val="0057481D"/>
    <w:rsid w:val="0058486E"/>
    <w:rsid w:val="00585B33"/>
    <w:rsid w:val="0059014D"/>
    <w:rsid w:val="005B5C64"/>
    <w:rsid w:val="005C5337"/>
    <w:rsid w:val="005C6BD0"/>
    <w:rsid w:val="005D1C8B"/>
    <w:rsid w:val="005D468D"/>
    <w:rsid w:val="005D5CED"/>
    <w:rsid w:val="005F1A4C"/>
    <w:rsid w:val="00605688"/>
    <w:rsid w:val="006070AF"/>
    <w:rsid w:val="00607E6C"/>
    <w:rsid w:val="006101B1"/>
    <w:rsid w:val="00614E44"/>
    <w:rsid w:val="0062270A"/>
    <w:rsid w:val="00622830"/>
    <w:rsid w:val="00623DA0"/>
    <w:rsid w:val="00630AEF"/>
    <w:rsid w:val="006325F8"/>
    <w:rsid w:val="00633463"/>
    <w:rsid w:val="00634C9A"/>
    <w:rsid w:val="006440E4"/>
    <w:rsid w:val="0066343B"/>
    <w:rsid w:val="00664777"/>
    <w:rsid w:val="006748A4"/>
    <w:rsid w:val="00681A31"/>
    <w:rsid w:val="00683E73"/>
    <w:rsid w:val="006A3141"/>
    <w:rsid w:val="006A5E34"/>
    <w:rsid w:val="006B2422"/>
    <w:rsid w:val="006B2B9A"/>
    <w:rsid w:val="006C1937"/>
    <w:rsid w:val="006F020C"/>
    <w:rsid w:val="007127B7"/>
    <w:rsid w:val="0071798E"/>
    <w:rsid w:val="007416B6"/>
    <w:rsid w:val="00746F48"/>
    <w:rsid w:val="0075404D"/>
    <w:rsid w:val="0076182A"/>
    <w:rsid w:val="00767B7E"/>
    <w:rsid w:val="007770C3"/>
    <w:rsid w:val="00784D24"/>
    <w:rsid w:val="00785FBA"/>
    <w:rsid w:val="00786E4A"/>
    <w:rsid w:val="007875EB"/>
    <w:rsid w:val="0079426B"/>
    <w:rsid w:val="007D1682"/>
    <w:rsid w:val="007D312A"/>
    <w:rsid w:val="007D3F19"/>
    <w:rsid w:val="007E23B0"/>
    <w:rsid w:val="007E23E5"/>
    <w:rsid w:val="007F1991"/>
    <w:rsid w:val="007F2C2F"/>
    <w:rsid w:val="007F55FC"/>
    <w:rsid w:val="007F5665"/>
    <w:rsid w:val="00800112"/>
    <w:rsid w:val="00813348"/>
    <w:rsid w:val="008253BB"/>
    <w:rsid w:val="0083706E"/>
    <w:rsid w:val="008408F6"/>
    <w:rsid w:val="008423A5"/>
    <w:rsid w:val="00850625"/>
    <w:rsid w:val="00853718"/>
    <w:rsid w:val="00855221"/>
    <w:rsid w:val="00860645"/>
    <w:rsid w:val="00871F71"/>
    <w:rsid w:val="00872FD8"/>
    <w:rsid w:val="00885AF4"/>
    <w:rsid w:val="008939CD"/>
    <w:rsid w:val="008B768C"/>
    <w:rsid w:val="008C4DB1"/>
    <w:rsid w:val="008C4EAF"/>
    <w:rsid w:val="008C5176"/>
    <w:rsid w:val="008C7FD0"/>
    <w:rsid w:val="008E1DE7"/>
    <w:rsid w:val="008E707C"/>
    <w:rsid w:val="00900B08"/>
    <w:rsid w:val="00902155"/>
    <w:rsid w:val="00902FA3"/>
    <w:rsid w:val="00923564"/>
    <w:rsid w:val="0092392E"/>
    <w:rsid w:val="009315F9"/>
    <w:rsid w:val="00933499"/>
    <w:rsid w:val="00935C98"/>
    <w:rsid w:val="00946945"/>
    <w:rsid w:val="00951248"/>
    <w:rsid w:val="0095152F"/>
    <w:rsid w:val="00954C49"/>
    <w:rsid w:val="00955E37"/>
    <w:rsid w:val="0097099F"/>
    <w:rsid w:val="00971997"/>
    <w:rsid w:val="00971FFC"/>
    <w:rsid w:val="0098660A"/>
    <w:rsid w:val="009931C3"/>
    <w:rsid w:val="009B2C43"/>
    <w:rsid w:val="009B4EAE"/>
    <w:rsid w:val="009B7573"/>
    <w:rsid w:val="009C22F4"/>
    <w:rsid w:val="009C2A4B"/>
    <w:rsid w:val="009C2E98"/>
    <w:rsid w:val="009D3447"/>
    <w:rsid w:val="009D4711"/>
    <w:rsid w:val="009F1185"/>
    <w:rsid w:val="009F18CD"/>
    <w:rsid w:val="009F2A13"/>
    <w:rsid w:val="009F7527"/>
    <w:rsid w:val="00A04EB0"/>
    <w:rsid w:val="00A13CC1"/>
    <w:rsid w:val="00A16847"/>
    <w:rsid w:val="00A237D8"/>
    <w:rsid w:val="00A268C4"/>
    <w:rsid w:val="00A307CD"/>
    <w:rsid w:val="00A331C8"/>
    <w:rsid w:val="00A40A00"/>
    <w:rsid w:val="00A4142F"/>
    <w:rsid w:val="00A422EB"/>
    <w:rsid w:val="00A45BB7"/>
    <w:rsid w:val="00A56DF2"/>
    <w:rsid w:val="00A56E6E"/>
    <w:rsid w:val="00A67AB5"/>
    <w:rsid w:val="00A733B2"/>
    <w:rsid w:val="00A741C2"/>
    <w:rsid w:val="00A91760"/>
    <w:rsid w:val="00A93B00"/>
    <w:rsid w:val="00A93C21"/>
    <w:rsid w:val="00AB64C9"/>
    <w:rsid w:val="00AC3C6A"/>
    <w:rsid w:val="00AD5620"/>
    <w:rsid w:val="00AD656B"/>
    <w:rsid w:val="00AD7C1B"/>
    <w:rsid w:val="00AE16BA"/>
    <w:rsid w:val="00AE1EBE"/>
    <w:rsid w:val="00B03C9D"/>
    <w:rsid w:val="00B060AE"/>
    <w:rsid w:val="00B10517"/>
    <w:rsid w:val="00B14E76"/>
    <w:rsid w:val="00B161B8"/>
    <w:rsid w:val="00B2048C"/>
    <w:rsid w:val="00B310B9"/>
    <w:rsid w:val="00B35F3F"/>
    <w:rsid w:val="00B36CBB"/>
    <w:rsid w:val="00B425E0"/>
    <w:rsid w:val="00B440AA"/>
    <w:rsid w:val="00B44B70"/>
    <w:rsid w:val="00B53C56"/>
    <w:rsid w:val="00B57DAF"/>
    <w:rsid w:val="00B77EA6"/>
    <w:rsid w:val="00B81598"/>
    <w:rsid w:val="00B841F1"/>
    <w:rsid w:val="00B944D6"/>
    <w:rsid w:val="00BB4DF0"/>
    <w:rsid w:val="00BC289F"/>
    <w:rsid w:val="00BC2D50"/>
    <w:rsid w:val="00BC5361"/>
    <w:rsid w:val="00BC5460"/>
    <w:rsid w:val="00BC6B50"/>
    <w:rsid w:val="00BD0E25"/>
    <w:rsid w:val="00BF5BD6"/>
    <w:rsid w:val="00C03E31"/>
    <w:rsid w:val="00C33E72"/>
    <w:rsid w:val="00C354B2"/>
    <w:rsid w:val="00C35554"/>
    <w:rsid w:val="00C42709"/>
    <w:rsid w:val="00C533CC"/>
    <w:rsid w:val="00C5751C"/>
    <w:rsid w:val="00C61BFC"/>
    <w:rsid w:val="00C62B85"/>
    <w:rsid w:val="00C65438"/>
    <w:rsid w:val="00C87FD8"/>
    <w:rsid w:val="00C91381"/>
    <w:rsid w:val="00C91CBB"/>
    <w:rsid w:val="00CB4E70"/>
    <w:rsid w:val="00CC09B6"/>
    <w:rsid w:val="00CC666F"/>
    <w:rsid w:val="00CD1E3F"/>
    <w:rsid w:val="00CE44F6"/>
    <w:rsid w:val="00CE49DA"/>
    <w:rsid w:val="00CE7B61"/>
    <w:rsid w:val="00D00095"/>
    <w:rsid w:val="00D114F0"/>
    <w:rsid w:val="00D20620"/>
    <w:rsid w:val="00D254F7"/>
    <w:rsid w:val="00D26091"/>
    <w:rsid w:val="00D2685C"/>
    <w:rsid w:val="00D34E7C"/>
    <w:rsid w:val="00D35489"/>
    <w:rsid w:val="00D36AFE"/>
    <w:rsid w:val="00D51276"/>
    <w:rsid w:val="00D7035F"/>
    <w:rsid w:val="00DA634F"/>
    <w:rsid w:val="00DA65AC"/>
    <w:rsid w:val="00DB1913"/>
    <w:rsid w:val="00DC410D"/>
    <w:rsid w:val="00DC5A81"/>
    <w:rsid w:val="00DC68CA"/>
    <w:rsid w:val="00DC7CBA"/>
    <w:rsid w:val="00DD73B7"/>
    <w:rsid w:val="00DF28BC"/>
    <w:rsid w:val="00DF34B9"/>
    <w:rsid w:val="00E01053"/>
    <w:rsid w:val="00E07ACF"/>
    <w:rsid w:val="00E331A1"/>
    <w:rsid w:val="00E33202"/>
    <w:rsid w:val="00E336A9"/>
    <w:rsid w:val="00E472B1"/>
    <w:rsid w:val="00E50624"/>
    <w:rsid w:val="00E54633"/>
    <w:rsid w:val="00E568DF"/>
    <w:rsid w:val="00E64269"/>
    <w:rsid w:val="00E82267"/>
    <w:rsid w:val="00E853CE"/>
    <w:rsid w:val="00E867B6"/>
    <w:rsid w:val="00EA010F"/>
    <w:rsid w:val="00ED1B63"/>
    <w:rsid w:val="00ED3C1F"/>
    <w:rsid w:val="00ED4085"/>
    <w:rsid w:val="00ED420E"/>
    <w:rsid w:val="00ED6FBE"/>
    <w:rsid w:val="00EE2F57"/>
    <w:rsid w:val="00EF4C34"/>
    <w:rsid w:val="00EF77C6"/>
    <w:rsid w:val="00F05438"/>
    <w:rsid w:val="00F1361C"/>
    <w:rsid w:val="00F156F0"/>
    <w:rsid w:val="00F160C7"/>
    <w:rsid w:val="00F2408F"/>
    <w:rsid w:val="00F240E9"/>
    <w:rsid w:val="00F36D8F"/>
    <w:rsid w:val="00F417B1"/>
    <w:rsid w:val="00F45853"/>
    <w:rsid w:val="00F602DF"/>
    <w:rsid w:val="00F754A1"/>
    <w:rsid w:val="00F81FD9"/>
    <w:rsid w:val="00F841AA"/>
    <w:rsid w:val="00F84A94"/>
    <w:rsid w:val="00F87E96"/>
    <w:rsid w:val="00FA23E8"/>
    <w:rsid w:val="00FD3CC1"/>
    <w:rsid w:val="00FF1E02"/>
    <w:rsid w:val="00FF30B4"/>
    <w:rsid w:val="012A5EC2"/>
    <w:rsid w:val="015975B8"/>
    <w:rsid w:val="02FEBE30"/>
    <w:rsid w:val="04916F1E"/>
    <w:rsid w:val="04D86C9F"/>
    <w:rsid w:val="061E35DE"/>
    <w:rsid w:val="066E0107"/>
    <w:rsid w:val="07996F6E"/>
    <w:rsid w:val="07DFD8BA"/>
    <w:rsid w:val="09867E8F"/>
    <w:rsid w:val="0A2032A3"/>
    <w:rsid w:val="0CA8290A"/>
    <w:rsid w:val="0D35B1ED"/>
    <w:rsid w:val="0E254B6B"/>
    <w:rsid w:val="0F98263C"/>
    <w:rsid w:val="101860EC"/>
    <w:rsid w:val="101F47CC"/>
    <w:rsid w:val="10C055FF"/>
    <w:rsid w:val="11694EBD"/>
    <w:rsid w:val="11772AA4"/>
    <w:rsid w:val="118107EC"/>
    <w:rsid w:val="12E24EE2"/>
    <w:rsid w:val="13D50BC4"/>
    <w:rsid w:val="14B17F78"/>
    <w:rsid w:val="165E0673"/>
    <w:rsid w:val="16B831D5"/>
    <w:rsid w:val="16BB723D"/>
    <w:rsid w:val="17E50567"/>
    <w:rsid w:val="186504BB"/>
    <w:rsid w:val="19A445FC"/>
    <w:rsid w:val="1BE8440E"/>
    <w:rsid w:val="1D155CEE"/>
    <w:rsid w:val="1D1638FE"/>
    <w:rsid w:val="1E312DEB"/>
    <w:rsid w:val="1E740ACF"/>
    <w:rsid w:val="1FF35744"/>
    <w:rsid w:val="1FF6BC77"/>
    <w:rsid w:val="2186353C"/>
    <w:rsid w:val="23860B96"/>
    <w:rsid w:val="240371BF"/>
    <w:rsid w:val="244F3473"/>
    <w:rsid w:val="24C97D99"/>
    <w:rsid w:val="25A718F0"/>
    <w:rsid w:val="25BB59F6"/>
    <w:rsid w:val="260F557C"/>
    <w:rsid w:val="26970054"/>
    <w:rsid w:val="281408E2"/>
    <w:rsid w:val="29FD04D3"/>
    <w:rsid w:val="2BFF7BC6"/>
    <w:rsid w:val="2C8A61B5"/>
    <w:rsid w:val="2DF04E50"/>
    <w:rsid w:val="2E586DFA"/>
    <w:rsid w:val="2F040D46"/>
    <w:rsid w:val="2F6B035B"/>
    <w:rsid w:val="2FAE5751"/>
    <w:rsid w:val="2FB1A395"/>
    <w:rsid w:val="2FD9A7D8"/>
    <w:rsid w:val="2FDBF714"/>
    <w:rsid w:val="30AB6865"/>
    <w:rsid w:val="319F7F4E"/>
    <w:rsid w:val="32BD1EF1"/>
    <w:rsid w:val="3304709D"/>
    <w:rsid w:val="33A773CB"/>
    <w:rsid w:val="349D6851"/>
    <w:rsid w:val="36AA5135"/>
    <w:rsid w:val="36BE0DA7"/>
    <w:rsid w:val="376B6AA6"/>
    <w:rsid w:val="376D39B2"/>
    <w:rsid w:val="37E16F03"/>
    <w:rsid w:val="37F53A3B"/>
    <w:rsid w:val="389B6C89"/>
    <w:rsid w:val="38D469F0"/>
    <w:rsid w:val="39627CCD"/>
    <w:rsid w:val="397BAF1F"/>
    <w:rsid w:val="3A1022A9"/>
    <w:rsid w:val="3AB79AF3"/>
    <w:rsid w:val="3AE834C0"/>
    <w:rsid w:val="3B7EF35A"/>
    <w:rsid w:val="3B9FDB6C"/>
    <w:rsid w:val="3BF5BC2F"/>
    <w:rsid w:val="3CEBA265"/>
    <w:rsid w:val="3D98207C"/>
    <w:rsid w:val="3DEE7CF3"/>
    <w:rsid w:val="3E740A63"/>
    <w:rsid w:val="3E78745D"/>
    <w:rsid w:val="3EE17838"/>
    <w:rsid w:val="3F55381A"/>
    <w:rsid w:val="3F7F7599"/>
    <w:rsid w:val="3FF4CAE0"/>
    <w:rsid w:val="3FF7B227"/>
    <w:rsid w:val="44E268DA"/>
    <w:rsid w:val="450D13D7"/>
    <w:rsid w:val="45506656"/>
    <w:rsid w:val="486A6C7A"/>
    <w:rsid w:val="4A627F82"/>
    <w:rsid w:val="4B0E749A"/>
    <w:rsid w:val="4B2477C4"/>
    <w:rsid w:val="4B4F25DA"/>
    <w:rsid w:val="4BE068DB"/>
    <w:rsid w:val="4D577224"/>
    <w:rsid w:val="4DBF1CEB"/>
    <w:rsid w:val="4DF0007C"/>
    <w:rsid w:val="4EAB630A"/>
    <w:rsid w:val="4ECE2238"/>
    <w:rsid w:val="4F833267"/>
    <w:rsid w:val="4FE9BD67"/>
    <w:rsid w:val="4FFB052F"/>
    <w:rsid w:val="537E6D0A"/>
    <w:rsid w:val="53F74C96"/>
    <w:rsid w:val="55170BA8"/>
    <w:rsid w:val="553218C9"/>
    <w:rsid w:val="567E1AA5"/>
    <w:rsid w:val="56E47B74"/>
    <w:rsid w:val="57175D52"/>
    <w:rsid w:val="57BD3DD4"/>
    <w:rsid w:val="5AF92295"/>
    <w:rsid w:val="5B250254"/>
    <w:rsid w:val="5BDD79E6"/>
    <w:rsid w:val="5BF561CA"/>
    <w:rsid w:val="5BFF5DFC"/>
    <w:rsid w:val="5CD71FC4"/>
    <w:rsid w:val="5D1F11B5"/>
    <w:rsid w:val="5D695134"/>
    <w:rsid w:val="5DAE1B18"/>
    <w:rsid w:val="5DE7D9E5"/>
    <w:rsid w:val="5ECEC941"/>
    <w:rsid w:val="5FBF9FF3"/>
    <w:rsid w:val="5FCD4E2C"/>
    <w:rsid w:val="5FEF394A"/>
    <w:rsid w:val="5FF67715"/>
    <w:rsid w:val="62BF3928"/>
    <w:rsid w:val="63B3701E"/>
    <w:rsid w:val="647F5392"/>
    <w:rsid w:val="65E66580"/>
    <w:rsid w:val="664B1D71"/>
    <w:rsid w:val="664B4E8E"/>
    <w:rsid w:val="67277B67"/>
    <w:rsid w:val="67AA3209"/>
    <w:rsid w:val="698D0931"/>
    <w:rsid w:val="6A7FE5F3"/>
    <w:rsid w:val="6B053271"/>
    <w:rsid w:val="6BDD78B3"/>
    <w:rsid w:val="6C4A05C8"/>
    <w:rsid w:val="6C8742B8"/>
    <w:rsid w:val="6DBF5E93"/>
    <w:rsid w:val="6DFF077E"/>
    <w:rsid w:val="6E714EF0"/>
    <w:rsid w:val="6E7E3605"/>
    <w:rsid w:val="6E7FDCC7"/>
    <w:rsid w:val="6ED6A62E"/>
    <w:rsid w:val="6EE00B15"/>
    <w:rsid w:val="6F6FB3EB"/>
    <w:rsid w:val="6F8731EA"/>
    <w:rsid w:val="6FCE6052"/>
    <w:rsid w:val="6FD57C00"/>
    <w:rsid w:val="6FEFFFD8"/>
    <w:rsid w:val="6FF5CC65"/>
    <w:rsid w:val="6FFB47EC"/>
    <w:rsid w:val="6FFF034A"/>
    <w:rsid w:val="70484440"/>
    <w:rsid w:val="712A28F1"/>
    <w:rsid w:val="715C0E4B"/>
    <w:rsid w:val="71992E7C"/>
    <w:rsid w:val="72233669"/>
    <w:rsid w:val="72734D90"/>
    <w:rsid w:val="73160E6D"/>
    <w:rsid w:val="7332FE48"/>
    <w:rsid w:val="73AB61DA"/>
    <w:rsid w:val="73AD73D5"/>
    <w:rsid w:val="73B6EB34"/>
    <w:rsid w:val="73FA497D"/>
    <w:rsid w:val="744731E5"/>
    <w:rsid w:val="74BBD01D"/>
    <w:rsid w:val="74ED5379"/>
    <w:rsid w:val="75DEEEC2"/>
    <w:rsid w:val="75E32345"/>
    <w:rsid w:val="76E3355F"/>
    <w:rsid w:val="76FF5125"/>
    <w:rsid w:val="776F6FFA"/>
    <w:rsid w:val="778769C8"/>
    <w:rsid w:val="77A75DCA"/>
    <w:rsid w:val="77DC22F5"/>
    <w:rsid w:val="783E271A"/>
    <w:rsid w:val="78616DE9"/>
    <w:rsid w:val="78E875D7"/>
    <w:rsid w:val="79086DAD"/>
    <w:rsid w:val="79D7FD79"/>
    <w:rsid w:val="79EE5BA4"/>
    <w:rsid w:val="7A894339"/>
    <w:rsid w:val="7AD284E8"/>
    <w:rsid w:val="7AFF7572"/>
    <w:rsid w:val="7B6C7DFB"/>
    <w:rsid w:val="7BBFBED0"/>
    <w:rsid w:val="7BC3E394"/>
    <w:rsid w:val="7C1F3737"/>
    <w:rsid w:val="7CBFC87B"/>
    <w:rsid w:val="7CFE0F48"/>
    <w:rsid w:val="7D272ABC"/>
    <w:rsid w:val="7D7EC23E"/>
    <w:rsid w:val="7E8ADEBF"/>
    <w:rsid w:val="7EEF11D3"/>
    <w:rsid w:val="7EFE4840"/>
    <w:rsid w:val="7F0971A6"/>
    <w:rsid w:val="7F1D62E7"/>
    <w:rsid w:val="7F3F679B"/>
    <w:rsid w:val="7F4FC4EF"/>
    <w:rsid w:val="7F5E4D54"/>
    <w:rsid w:val="7F6E0135"/>
    <w:rsid w:val="7F79F205"/>
    <w:rsid w:val="7FA30C79"/>
    <w:rsid w:val="7FA79C44"/>
    <w:rsid w:val="7FAF8ABF"/>
    <w:rsid w:val="7FB7269E"/>
    <w:rsid w:val="7FC96657"/>
    <w:rsid w:val="7FDA9588"/>
    <w:rsid w:val="7FDF220F"/>
    <w:rsid w:val="7FEDC5F7"/>
    <w:rsid w:val="7FEDD9DE"/>
    <w:rsid w:val="7FF5890D"/>
    <w:rsid w:val="7FF93490"/>
    <w:rsid w:val="99FF2014"/>
    <w:rsid w:val="A6DD0D7F"/>
    <w:rsid w:val="ACFF4FBB"/>
    <w:rsid w:val="ADC6F725"/>
    <w:rsid w:val="B7CF06AB"/>
    <w:rsid w:val="B7CFA926"/>
    <w:rsid w:val="B7F8786B"/>
    <w:rsid w:val="BABB6AA1"/>
    <w:rsid w:val="BB2F4199"/>
    <w:rsid w:val="BCFFB442"/>
    <w:rsid w:val="BD079C78"/>
    <w:rsid w:val="BD733540"/>
    <w:rsid w:val="BF3735D5"/>
    <w:rsid w:val="BF7F09AC"/>
    <w:rsid w:val="BFD475C3"/>
    <w:rsid w:val="BFDE5EA6"/>
    <w:rsid w:val="CF6FC6F3"/>
    <w:rsid w:val="CFD3D3D7"/>
    <w:rsid w:val="CFDF1009"/>
    <w:rsid w:val="D7D7B16A"/>
    <w:rsid w:val="D8D6DB89"/>
    <w:rsid w:val="DB6F4CAB"/>
    <w:rsid w:val="DB777682"/>
    <w:rsid w:val="DD1FB521"/>
    <w:rsid w:val="DEFBFEAE"/>
    <w:rsid w:val="DF1F3B80"/>
    <w:rsid w:val="DF6F9789"/>
    <w:rsid w:val="DFE9BE81"/>
    <w:rsid w:val="DFFFA9E8"/>
    <w:rsid w:val="E5F4E9DC"/>
    <w:rsid w:val="E70FE695"/>
    <w:rsid w:val="EB2E368B"/>
    <w:rsid w:val="ECFED1BC"/>
    <w:rsid w:val="ED1D69BB"/>
    <w:rsid w:val="ED7FD312"/>
    <w:rsid w:val="EF2E1AC6"/>
    <w:rsid w:val="EF53993F"/>
    <w:rsid w:val="EF6FD633"/>
    <w:rsid w:val="EFBFB2F4"/>
    <w:rsid w:val="EFBFFA21"/>
    <w:rsid w:val="F2BEBCB8"/>
    <w:rsid w:val="F36FB518"/>
    <w:rsid w:val="F3DE1A04"/>
    <w:rsid w:val="F3F722E5"/>
    <w:rsid w:val="F4FBCD07"/>
    <w:rsid w:val="FA5F1E70"/>
    <w:rsid w:val="FA5FDB97"/>
    <w:rsid w:val="FB7F486A"/>
    <w:rsid w:val="FBFF5B2E"/>
    <w:rsid w:val="FD7FFE2B"/>
    <w:rsid w:val="FDEE196B"/>
    <w:rsid w:val="FDFE6575"/>
    <w:rsid w:val="FEDFDDC2"/>
    <w:rsid w:val="FEED32F6"/>
    <w:rsid w:val="FEF781DD"/>
    <w:rsid w:val="FF3F7E3F"/>
    <w:rsid w:val="FFBA12D7"/>
    <w:rsid w:val="FFCBD314"/>
    <w:rsid w:val="FFDFF91C"/>
    <w:rsid w:val="FFDFFAEE"/>
    <w:rsid w:val="FFEF6777"/>
    <w:rsid w:val="FFF9B57B"/>
    <w:rsid w:val="FFFD61D9"/>
    <w:rsid w:val="FFFD8F59"/>
    <w:rsid w:val="FFFF2BB1"/>
    <w:rsid w:val="FFFFB04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0" w:name="footnote text"/>
    <w:lsdException w:uiPriority="99" w:name="annotation text"/>
    <w:lsdException w:qFormat="1" w:unhideWhenUsed="0" w:uiPriority="99" w:name="header"/>
    <w:lsdException w:qFormat="1" w:unhideWhenUsed="0"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99"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99"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1"/>
    <w:basedOn w:val="1"/>
    <w:next w:val="1"/>
    <w:link w:val="28"/>
    <w:qFormat/>
    <w:uiPriority w:val="9"/>
    <w:pPr>
      <w:keepNext/>
      <w:keepLines/>
      <w:spacing w:before="340" w:after="330" w:line="578" w:lineRule="auto"/>
      <w:outlineLvl w:val="0"/>
    </w:pPr>
    <w:rPr>
      <w:b/>
      <w:bCs/>
      <w:kern w:val="44"/>
      <w:sz w:val="44"/>
      <w:szCs w:val="44"/>
    </w:rPr>
  </w:style>
  <w:style w:type="paragraph" w:styleId="4">
    <w:name w:val="heading 2"/>
    <w:basedOn w:val="1"/>
    <w:next w:val="1"/>
    <w:link w:val="29"/>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5">
    <w:name w:val="heading 3"/>
    <w:basedOn w:val="1"/>
    <w:next w:val="1"/>
    <w:link w:val="32"/>
    <w:unhideWhenUsed/>
    <w:qFormat/>
    <w:uiPriority w:val="9"/>
    <w:pPr>
      <w:keepNext/>
      <w:keepLines/>
      <w:spacing w:before="260" w:after="260" w:line="416" w:lineRule="auto"/>
      <w:outlineLvl w:val="2"/>
    </w:pPr>
    <w:rPr>
      <w:b/>
      <w:bCs/>
      <w:sz w:val="32"/>
      <w:szCs w:val="32"/>
    </w:rPr>
  </w:style>
  <w:style w:type="character" w:default="1" w:styleId="16">
    <w:name w:val="Default Paragraph Font"/>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25"/>
    <w:qFormat/>
    <w:uiPriority w:val="99"/>
    <w:pPr>
      <w:spacing w:beforeLines="30"/>
    </w:pPr>
    <w:rPr>
      <w:rFonts w:ascii="仿宋_GB2312" w:eastAsia="仿宋_GB2312"/>
      <w:kern w:val="0"/>
      <w:sz w:val="30"/>
    </w:rPr>
  </w:style>
  <w:style w:type="paragraph" w:styleId="6">
    <w:name w:val="Body Text Indent"/>
    <w:basedOn w:val="1"/>
    <w:next w:val="7"/>
    <w:qFormat/>
    <w:uiPriority w:val="0"/>
    <w:pPr>
      <w:spacing w:after="120"/>
      <w:ind w:leftChars="200"/>
    </w:pPr>
    <w:rPr>
      <w:rFonts w:ascii="仿宋_GB2312"/>
      <w:szCs w:val="32"/>
    </w:rPr>
  </w:style>
  <w:style w:type="paragraph" w:styleId="7">
    <w:name w:val="Body Text First Indent 2"/>
    <w:basedOn w:val="6"/>
    <w:unhideWhenUsed/>
    <w:qFormat/>
    <w:uiPriority w:val="99"/>
    <w:pPr>
      <w:ind w:firstLine="420" w:firstLineChars="200"/>
    </w:pPr>
  </w:style>
  <w:style w:type="paragraph" w:styleId="8">
    <w:name w:val="toc 3"/>
    <w:basedOn w:val="1"/>
    <w:next w:val="1"/>
    <w:unhideWhenUsed/>
    <w:qFormat/>
    <w:uiPriority w:val="39"/>
    <w:pPr>
      <w:tabs>
        <w:tab w:val="right" w:leader="dot" w:pos="8296"/>
      </w:tabs>
      <w:ind w:left="840" w:leftChars="400"/>
    </w:pPr>
  </w:style>
  <w:style w:type="paragraph" w:styleId="9">
    <w:name w:val="Balloon Text"/>
    <w:basedOn w:val="1"/>
    <w:link w:val="31"/>
    <w:semiHidden/>
    <w:unhideWhenUsed/>
    <w:qFormat/>
    <w:uiPriority w:val="99"/>
    <w:rPr>
      <w:sz w:val="18"/>
      <w:szCs w:val="18"/>
    </w:rPr>
  </w:style>
  <w:style w:type="paragraph" w:styleId="10">
    <w:name w:val="footer"/>
    <w:basedOn w:val="1"/>
    <w:link w:val="23"/>
    <w:qFormat/>
    <w:uiPriority w:val="99"/>
    <w:pPr>
      <w:tabs>
        <w:tab w:val="center" w:pos="4153"/>
        <w:tab w:val="right" w:pos="8306"/>
      </w:tabs>
      <w:snapToGrid w:val="0"/>
      <w:jc w:val="left"/>
    </w:pPr>
    <w:rPr>
      <w:rFonts w:ascii="Calibri" w:hAnsi="Calibri"/>
      <w:kern w:val="0"/>
      <w:sz w:val="18"/>
      <w:szCs w:val="18"/>
    </w:rPr>
  </w:style>
  <w:style w:type="paragraph" w:styleId="11">
    <w:name w:val="header"/>
    <w:basedOn w:val="1"/>
    <w:link w:val="21"/>
    <w:semiHidden/>
    <w:qFormat/>
    <w:uiPriority w:val="99"/>
    <w:pPr>
      <w:pBdr>
        <w:bottom w:val="single" w:color="auto" w:sz="6" w:space="1"/>
      </w:pBdr>
      <w:tabs>
        <w:tab w:val="center" w:pos="4153"/>
        <w:tab w:val="right" w:pos="8306"/>
      </w:tabs>
      <w:snapToGrid w:val="0"/>
      <w:jc w:val="center"/>
    </w:pPr>
    <w:rPr>
      <w:rFonts w:ascii="Calibri" w:hAnsi="Calibri"/>
      <w:kern w:val="0"/>
      <w:sz w:val="18"/>
      <w:szCs w:val="18"/>
    </w:rPr>
  </w:style>
  <w:style w:type="paragraph" w:styleId="12">
    <w:name w:val="toc 1"/>
    <w:basedOn w:val="1"/>
    <w:next w:val="1"/>
    <w:unhideWhenUsed/>
    <w:qFormat/>
    <w:uiPriority w:val="39"/>
    <w:pPr>
      <w:tabs>
        <w:tab w:val="right" w:leader="dot" w:pos="8296"/>
      </w:tabs>
      <w:spacing w:before="93"/>
      <w:jc w:val="center"/>
    </w:pPr>
    <w:rPr>
      <w:rFonts w:ascii="仿宋" w:hAnsi="仿宋" w:eastAsia="仿宋"/>
      <w:sz w:val="28"/>
      <w:szCs w:val="28"/>
    </w:rPr>
  </w:style>
  <w:style w:type="paragraph" w:styleId="13">
    <w:name w:val="footnote text"/>
    <w:basedOn w:val="1"/>
    <w:next w:val="7"/>
    <w:semiHidden/>
    <w:qFormat/>
    <w:uiPriority w:val="0"/>
    <w:pPr>
      <w:snapToGrid w:val="0"/>
      <w:jc w:val="left"/>
    </w:pPr>
    <w:rPr>
      <w:sz w:val="18"/>
      <w:szCs w:val="18"/>
    </w:rPr>
  </w:style>
  <w:style w:type="paragraph" w:styleId="14">
    <w:name w:val="toc 2"/>
    <w:basedOn w:val="1"/>
    <w:next w:val="1"/>
    <w:unhideWhenUsed/>
    <w:qFormat/>
    <w:uiPriority w:val="39"/>
    <w:pPr>
      <w:tabs>
        <w:tab w:val="right" w:leader="dot" w:pos="8296"/>
      </w:tabs>
      <w:ind w:left="420" w:leftChars="200"/>
    </w:pPr>
  </w:style>
  <w:style w:type="character" w:styleId="17">
    <w:name w:val="Strong"/>
    <w:basedOn w:val="16"/>
    <w:qFormat/>
    <w:uiPriority w:val="99"/>
    <w:rPr>
      <w:b/>
    </w:rPr>
  </w:style>
  <w:style w:type="character" w:styleId="18">
    <w:name w:val="Hyperlink"/>
    <w:basedOn w:val="16"/>
    <w:unhideWhenUsed/>
    <w:qFormat/>
    <w:uiPriority w:val="99"/>
    <w:rPr>
      <w:color w:val="0000FF" w:themeColor="hyperlink"/>
      <w:u w:val="single"/>
      <w14:textFill>
        <w14:solidFill>
          <w14:schemeClr w14:val="hlink"/>
        </w14:solidFill>
      </w14:textFill>
    </w:rPr>
  </w:style>
  <w:style w:type="paragraph" w:customStyle="1" w:styleId="19">
    <w:name w:val="标题 5（有编号）（绿盟科技）"/>
    <w:next w:val="1"/>
    <w:qFormat/>
    <w:uiPriority w:val="99"/>
    <w:pPr>
      <w:keepNext/>
      <w:keepLines/>
      <w:widowControl w:val="0"/>
      <w:spacing w:before="280" w:after="156" w:line="377" w:lineRule="auto"/>
      <w:jc w:val="left"/>
      <w:outlineLvl w:val="4"/>
    </w:pPr>
    <w:rPr>
      <w:rFonts w:ascii="Arial" w:hAnsi="Arial" w:eastAsia="黑体" w:cs="Times New Roman"/>
      <w:b/>
      <w:kern w:val="2"/>
      <w:sz w:val="24"/>
      <w:szCs w:val="28"/>
      <w:lang w:val="en-US" w:eastAsia="zh-CN" w:bidi="ar-SA"/>
    </w:rPr>
  </w:style>
  <w:style w:type="character" w:customStyle="1" w:styleId="20">
    <w:name w:val="Header Char"/>
    <w:basedOn w:val="16"/>
    <w:semiHidden/>
    <w:qFormat/>
    <w:uiPriority w:val="99"/>
    <w:rPr>
      <w:rFonts w:ascii="Times New Roman" w:hAnsi="Times New Roman"/>
      <w:sz w:val="18"/>
      <w:szCs w:val="18"/>
    </w:rPr>
  </w:style>
  <w:style w:type="character" w:customStyle="1" w:styleId="21">
    <w:name w:val="页眉 Char"/>
    <w:link w:val="11"/>
    <w:semiHidden/>
    <w:qFormat/>
    <w:locked/>
    <w:uiPriority w:val="99"/>
    <w:rPr>
      <w:sz w:val="18"/>
    </w:rPr>
  </w:style>
  <w:style w:type="character" w:customStyle="1" w:styleId="22">
    <w:name w:val="Footer Char"/>
    <w:basedOn w:val="16"/>
    <w:semiHidden/>
    <w:qFormat/>
    <w:uiPriority w:val="99"/>
    <w:rPr>
      <w:rFonts w:ascii="Times New Roman" w:hAnsi="Times New Roman"/>
      <w:sz w:val="18"/>
      <w:szCs w:val="18"/>
    </w:rPr>
  </w:style>
  <w:style w:type="character" w:customStyle="1" w:styleId="23">
    <w:name w:val="页脚 Char"/>
    <w:link w:val="10"/>
    <w:qFormat/>
    <w:locked/>
    <w:uiPriority w:val="99"/>
    <w:rPr>
      <w:sz w:val="18"/>
    </w:rPr>
  </w:style>
  <w:style w:type="character" w:customStyle="1" w:styleId="24">
    <w:name w:val="Body Text Char"/>
    <w:basedOn w:val="16"/>
    <w:semiHidden/>
    <w:qFormat/>
    <w:uiPriority w:val="99"/>
    <w:rPr>
      <w:rFonts w:ascii="Times New Roman" w:hAnsi="Times New Roman"/>
      <w:szCs w:val="24"/>
    </w:rPr>
  </w:style>
  <w:style w:type="character" w:customStyle="1" w:styleId="25">
    <w:name w:val="正文文本 Char"/>
    <w:link w:val="2"/>
    <w:qFormat/>
    <w:locked/>
    <w:uiPriority w:val="99"/>
    <w:rPr>
      <w:rFonts w:ascii="仿宋_GB2312" w:hAnsi="Times New Roman" w:eastAsia="仿宋_GB2312"/>
      <w:sz w:val="24"/>
    </w:rPr>
  </w:style>
  <w:style w:type="paragraph" w:customStyle="1" w:styleId="26">
    <w:name w:val="Default"/>
    <w:qFormat/>
    <w:uiPriority w:val="99"/>
    <w:pPr>
      <w:widowControl w:val="0"/>
      <w:autoSpaceDE w:val="0"/>
      <w:autoSpaceDN w:val="0"/>
      <w:adjustRightInd w:val="0"/>
    </w:pPr>
    <w:rPr>
      <w:rFonts w:ascii="仿宋" w:hAnsi="Calibri" w:eastAsia="仿宋" w:cs="仿宋"/>
      <w:color w:val="000000"/>
      <w:sz w:val="24"/>
      <w:szCs w:val="24"/>
      <w:lang w:val="en-US" w:eastAsia="zh-CN" w:bidi="ar-SA"/>
    </w:rPr>
  </w:style>
  <w:style w:type="paragraph" w:styleId="27">
    <w:name w:val="List Paragraph"/>
    <w:basedOn w:val="1"/>
    <w:qFormat/>
    <w:uiPriority w:val="34"/>
    <w:pPr>
      <w:ind w:firstLine="420" w:firstLineChars="200"/>
    </w:pPr>
  </w:style>
  <w:style w:type="character" w:customStyle="1" w:styleId="28">
    <w:name w:val="标题 1 Char"/>
    <w:basedOn w:val="16"/>
    <w:link w:val="3"/>
    <w:qFormat/>
    <w:uiPriority w:val="9"/>
    <w:rPr>
      <w:rFonts w:ascii="Times New Roman" w:hAnsi="Times New Roman"/>
      <w:b/>
      <w:bCs/>
      <w:kern w:val="44"/>
      <w:sz w:val="44"/>
      <w:szCs w:val="44"/>
    </w:rPr>
  </w:style>
  <w:style w:type="character" w:customStyle="1" w:styleId="29">
    <w:name w:val="标题 2 Char"/>
    <w:basedOn w:val="16"/>
    <w:link w:val="4"/>
    <w:qFormat/>
    <w:uiPriority w:val="9"/>
    <w:rPr>
      <w:rFonts w:asciiTheme="majorHAnsi" w:hAnsiTheme="majorHAnsi" w:eastAsiaTheme="majorEastAsia" w:cstheme="majorBidi"/>
      <w:b/>
      <w:bCs/>
      <w:kern w:val="2"/>
      <w:sz w:val="32"/>
      <w:szCs w:val="32"/>
    </w:rPr>
  </w:style>
  <w:style w:type="paragraph" w:customStyle="1" w:styleId="30">
    <w:name w:val="TOC 标题1"/>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character" w:customStyle="1" w:styleId="31">
    <w:name w:val="批注框文本 Char"/>
    <w:basedOn w:val="16"/>
    <w:link w:val="9"/>
    <w:semiHidden/>
    <w:qFormat/>
    <w:uiPriority w:val="99"/>
    <w:rPr>
      <w:rFonts w:ascii="Times New Roman" w:hAnsi="Times New Roman"/>
      <w:kern w:val="2"/>
      <w:sz w:val="18"/>
      <w:szCs w:val="18"/>
    </w:rPr>
  </w:style>
  <w:style w:type="character" w:customStyle="1" w:styleId="32">
    <w:name w:val="标题 3 Char"/>
    <w:basedOn w:val="16"/>
    <w:link w:val="5"/>
    <w:qFormat/>
    <w:uiPriority w:val="9"/>
    <w:rPr>
      <w:rFonts w:ascii="Times New Roman" w:hAnsi="Times New Roman"/>
      <w:b/>
      <w:bCs/>
      <w:kern w:val="2"/>
      <w:sz w:val="32"/>
      <w:szCs w:val="32"/>
    </w:rPr>
  </w:style>
  <w:style w:type="paragraph" w:customStyle="1" w:styleId="33">
    <w:name w:val="TOC Heading"/>
    <w:basedOn w:val="3"/>
    <w:next w:val="1"/>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 w:type="paragraph" w:customStyle="1" w:styleId="34">
    <w:name w:val="四号正文"/>
    <w:basedOn w:val="1"/>
    <w:qFormat/>
    <w:uiPriority w:val="0"/>
    <w:pPr>
      <w:spacing w:line="360" w:lineRule="auto"/>
    </w:pPr>
    <w:rPr>
      <w:rFonts w:ascii="??" w:hAnsi="??" w:eastAsia="宋体"/>
      <w:color w:val="000000"/>
      <w:kern w:val="0"/>
      <w:sz w:val="28"/>
      <w:szCs w:val="21"/>
      <w:lang w:val="zh-CN" w:eastAsia="zh-CN"/>
    </w:rPr>
  </w:style>
  <w:style w:type="paragraph" w:customStyle="1" w:styleId="35">
    <w:name w:val="WPSOffice手动目录 1"/>
    <w:qFormat/>
    <w:uiPriority w:val="0"/>
    <w:pPr>
      <w:ind w:leftChars="0"/>
    </w:pPr>
    <w:rPr>
      <w:rFonts w:ascii="Arial" w:hAnsi="Arial" w:eastAsia="Arial" w:cs="Arial"/>
      <w:sz w:val="20"/>
      <w:szCs w:val="20"/>
    </w:rPr>
  </w:style>
  <w:style w:type="paragraph" w:customStyle="1" w:styleId="36">
    <w:name w:val="WPSOffice手动目录 2"/>
    <w:qFormat/>
    <w:uiPriority w:val="0"/>
    <w:pPr>
      <w:ind w:leftChars="200"/>
    </w:pPr>
    <w:rPr>
      <w:rFonts w:ascii="Arial" w:hAnsi="Arial" w:eastAsia="Arial" w:cs="Arial"/>
      <w:sz w:val="20"/>
      <w:szCs w:val="20"/>
    </w:rPr>
  </w:style>
  <w:style w:type="paragraph" w:customStyle="1" w:styleId="37">
    <w:name w:val="WPSOffice手动目录 3"/>
    <w:qFormat/>
    <w:uiPriority w:val="0"/>
    <w:pPr>
      <w:ind w:leftChars="400"/>
    </w:pPr>
    <w:rPr>
      <w:rFonts w:ascii="Arial" w:hAnsi="Arial" w:eastAsia="Arial" w:cs="Arial"/>
      <w:sz w:val="20"/>
      <w:szCs w:val="20"/>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glossaryDocument" Target="glossary/document.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chart" Target="charts/chart6.xml"/><Relationship Id="rId14" Type="http://schemas.openxmlformats.org/officeDocument/2006/relationships/chart" Target="charts/chart5.xml"/><Relationship Id="rId13" Type="http://schemas.openxmlformats.org/officeDocument/2006/relationships/chart" Target="charts/chart4.xml"/><Relationship Id="rId12" Type="http://schemas.openxmlformats.org/officeDocument/2006/relationships/chart" Target="charts/chart3.xml"/><Relationship Id="rId11" Type="http://schemas.openxmlformats.org/officeDocument/2006/relationships/chart" Target="charts/chart2.xml"/><Relationship Id="rId10" Type="http://schemas.openxmlformats.org/officeDocument/2006/relationships/chart" Target="charts/chart1.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_rels/chart2.xml.rels><?xml version="1.0" encoding="UTF-8" standalone="yes"?>
<Relationships xmlns="http://schemas.openxmlformats.org/package/2006/relationships"><Relationship Id="rId3" Type="http://schemas.microsoft.com/office/2011/relationships/chartColorStyle" Target="colors2.xml"/><Relationship Id="rId2" Type="http://schemas.microsoft.com/office/2011/relationships/chartStyle" Target="style2.xml"/><Relationship Id="rId1" Type="http://schemas.openxmlformats.org/officeDocument/2006/relationships/package" Target="../embeddings/Workbook2.xlsx"/></Relationships>
</file>

<file path=word/charts/_rels/chart3.xml.rels><?xml version="1.0" encoding="UTF-8" standalone="yes"?>
<Relationships xmlns="http://schemas.openxmlformats.org/package/2006/relationships"><Relationship Id="rId3" Type="http://schemas.microsoft.com/office/2011/relationships/chartColorStyle" Target="colors3.xml"/><Relationship Id="rId2" Type="http://schemas.microsoft.com/office/2011/relationships/chartStyle" Target="style3.xml"/><Relationship Id="rId1" Type="http://schemas.openxmlformats.org/officeDocument/2006/relationships/package" Target="../embeddings/Workbook3.xlsx"/></Relationships>
</file>

<file path=word/charts/_rels/chart4.xml.rels><?xml version="1.0" encoding="UTF-8" standalone="yes"?>
<Relationships xmlns="http://schemas.openxmlformats.org/package/2006/relationships"><Relationship Id="rId3" Type="http://schemas.microsoft.com/office/2011/relationships/chartColorStyle" Target="colors4.xml"/><Relationship Id="rId2" Type="http://schemas.microsoft.com/office/2011/relationships/chartStyle" Target="style4.xml"/><Relationship Id="rId1" Type="http://schemas.openxmlformats.org/officeDocument/2006/relationships/package" Target="../embeddings/Workbook4.xlsx"/></Relationships>
</file>

<file path=word/charts/_rels/chart5.xml.rels><?xml version="1.0" encoding="UTF-8" standalone="yes"?>
<Relationships xmlns="http://schemas.openxmlformats.org/package/2006/relationships"><Relationship Id="rId3" Type="http://schemas.microsoft.com/office/2011/relationships/chartColorStyle" Target="colors5.xml"/><Relationship Id="rId2" Type="http://schemas.microsoft.com/office/2011/relationships/chartStyle" Target="style5.xml"/><Relationship Id="rId1" Type="http://schemas.openxmlformats.org/officeDocument/2006/relationships/package" Target="../embeddings/Workbook5.xlsx"/></Relationships>
</file>

<file path=word/charts/_rels/chart6.xml.rels><?xml version="1.0" encoding="UTF-8" standalone="yes"?>
<Relationships xmlns="http://schemas.openxmlformats.org/package/2006/relationships"><Relationship Id="rId3" Type="http://schemas.microsoft.com/office/2011/relationships/chartColorStyle" Target="colors6.xml"/><Relationship Id="rId2" Type="http://schemas.microsoft.com/office/2011/relationships/chartStyle" Target="style6.xml"/><Relationship Id="rId1" Type="http://schemas.openxmlformats.org/officeDocument/2006/relationships/package" Target="../embeddings/Workbook6.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收支决算总计变动情况（</a:t>
            </a:r>
            <a:r>
              <a:rPr sz="1050" b="1"/>
              <a:t>单位</a:t>
            </a:r>
            <a:r>
              <a:rPr lang="en-US" altLang="zh-CN" sz="1050" b="1"/>
              <a:t>;</a:t>
            </a:r>
            <a:r>
              <a:rPr altLang="en-US" sz="1050" b="1"/>
              <a:t>万元</a:t>
            </a:r>
            <a:r>
              <a:t>）</a:t>
            </a:r>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收入/支出</c:v>
                </c:pt>
              </c:strCache>
            </c:strRef>
          </c:cat>
          <c:val>
            <c:numRef>
              <c:f>Sheet1!$B$2</c:f>
              <c:numCache>
                <c:formatCode>General</c:formatCode>
                <c:ptCount val="1"/>
                <c:pt idx="0">
                  <c:v>57.51</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收入/支出</c:v>
                </c:pt>
              </c:strCache>
            </c:strRef>
          </c:cat>
          <c:val>
            <c:numRef>
              <c:f>Sheet1!$C$2</c:f>
              <c:numCache>
                <c:formatCode>General</c:formatCode>
                <c:ptCount val="1"/>
                <c:pt idx="0">
                  <c:v>69.69</c:v>
                </c:pt>
              </c:numCache>
            </c:numRef>
          </c:val>
        </c:ser>
        <c:dLbls>
          <c:showLegendKey val="0"/>
          <c:showVal val="1"/>
          <c:showCatName val="0"/>
          <c:showSerName val="0"/>
          <c:showPercent val="0"/>
          <c:showBubbleSize val="0"/>
        </c:dLbls>
        <c:gapWidth val="219"/>
        <c:overlap val="-27"/>
        <c:axId val="664404243"/>
        <c:axId val="481654464"/>
      </c:barChart>
      <c:catAx>
        <c:axId val="664404243"/>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481654464"/>
        <c:crosses val="autoZero"/>
        <c:auto val="1"/>
        <c:lblAlgn val="ctr"/>
        <c:lblOffset val="100"/>
        <c:noMultiLvlLbl val="0"/>
      </c:catAx>
      <c:valAx>
        <c:axId val="481654464"/>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664404243"/>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6e884da-74c9-444c-b381-c15b2b8bb5c3}"/>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收入决算结构图（</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a:solidFill>
              <a:schemeClr val="accent1"/>
            </a:solidFill>
          </c:spPr>
          <c:explosion val="0"/>
          <c:dPt>
            <c:idx val="0"/>
            <c:bubble3D val="0"/>
            <c:spPr>
              <a:solidFill>
                <a:schemeClr val="accent1"/>
              </a:solidFill>
              <a:ln w="19050">
                <a:solidFill>
                  <a:schemeClr val="lt1"/>
                </a:solidFill>
              </a:ln>
              <a:effectLst/>
            </c:spPr>
          </c:dPt>
          <c:dPt>
            <c:idx val="1"/>
            <c:bubble3D val="0"/>
            <c:spPr>
              <a:solidFill>
                <a:srgbClr val="92D050"/>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一般公共预算财政拨款收入</c:v>
                </c:pt>
                <c:pt idx="1">
                  <c:v>其他收入</c:v>
                </c:pt>
              </c:strCache>
            </c:strRef>
          </c:cat>
          <c:val>
            <c:numRef>
              <c:f>Sheet1!$B$2:$B$3</c:f>
              <c:numCache>
                <c:formatCode>General</c:formatCode>
                <c:ptCount val="2"/>
                <c:pt idx="0">
                  <c:v>65.47</c:v>
                </c:pt>
                <c:pt idx="1">
                  <c:v>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bcfa52f5-e749-4d51-acfa-50e11f4513f5}"/>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支出决算结构图</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基本支出</c:v>
                </c:pt>
              </c:strCache>
            </c:strRef>
          </c:cat>
          <c:val>
            <c:numRef>
              <c:f>Sheet1!$B$2</c:f>
              <c:numCache>
                <c:formatCode>General</c:formatCode>
                <c:ptCount val="1"/>
                <c:pt idx="0">
                  <c:v>67.45</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a1f35aaf-5348-445a-8bdd-4f82daeb64b4}"/>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财政笔款收支决算总计变动情况（单</a:t>
            </a:r>
            <a:r>
              <a:rPr sz="1050" b="1"/>
              <a:t>位：万元</a:t>
            </a:r>
            <a:r>
              <a:t>）</a:t>
            </a:r>
          </a:p>
        </c:rich>
      </c:tx>
      <c:layout>
        <c:manualLayout>
          <c:xMode val="edge"/>
          <c:yMode val="edge"/>
          <c:x val="0.14275"/>
          <c:y val="0.0210716435881999"/>
        </c:manualLayout>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Sheet1!$B$2:$B$3</c:f>
              <c:numCache>
                <c:formatCode>General</c:formatCode>
                <c:ptCount val="2"/>
                <c:pt idx="0">
                  <c:v>49.15</c:v>
                </c:pt>
                <c:pt idx="1">
                  <c:v>49.15</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Sheet1!$A$2:$A$3</c:f>
              <c:strCache>
                <c:ptCount val="2"/>
                <c:pt idx="0">
                  <c:v>财政拨款收入</c:v>
                </c:pt>
                <c:pt idx="1">
                  <c:v>财政拨款支出</c:v>
                </c:pt>
              </c:strCache>
            </c:strRef>
          </c:cat>
          <c:val>
            <c:numRef>
              <c:f>Sheet1!$C$2:$C$3</c:f>
              <c:numCache>
                <c:formatCode>General</c:formatCode>
                <c:ptCount val="2"/>
                <c:pt idx="0">
                  <c:v>65.47</c:v>
                </c:pt>
                <c:pt idx="1">
                  <c:v>65.47</c:v>
                </c:pt>
              </c:numCache>
            </c:numRef>
          </c:val>
        </c:ser>
        <c:dLbls>
          <c:showLegendKey val="0"/>
          <c:showVal val="1"/>
          <c:showCatName val="0"/>
          <c:showSerName val="0"/>
          <c:showPercent val="0"/>
          <c:showBubbleSize val="0"/>
        </c:dLbls>
        <c:gapWidth val="219"/>
        <c:overlap val="-27"/>
        <c:axId val="901375486"/>
        <c:axId val="178679377"/>
      </c:barChart>
      <c:catAx>
        <c:axId val="901375486"/>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178679377"/>
        <c:crosses val="autoZero"/>
        <c:auto val="1"/>
        <c:lblAlgn val="ctr"/>
        <c:lblOffset val="100"/>
        <c:noMultiLvlLbl val="0"/>
      </c:catAx>
      <c:valAx>
        <c:axId val="178679377"/>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901375486"/>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86aac959-41d9-4e99-818e-d17746666c1c}"/>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一般公共预算财政拨款支出决算变动情况</a:t>
            </a:r>
            <a:r>
              <a:rPr sz="900" b="1"/>
              <a:t>（单位：万元）</a:t>
            </a:r>
            <a:endParaRPr lang="en-US" altLang="zh-CN" sz="900" b="1"/>
          </a:p>
        </c:rich>
      </c:tx>
      <c:layout/>
      <c:overlay val="0"/>
      <c:spPr>
        <a:noFill/>
        <a:ln>
          <a:noFill/>
        </a:ln>
        <a:effectLst/>
      </c:spPr>
    </c:title>
    <c:autoTitleDeleted val="0"/>
    <c:plotArea>
      <c:layout/>
      <c:barChart>
        <c:barDir val="col"/>
        <c:grouping val="clustered"/>
        <c:varyColors val="0"/>
        <c:ser>
          <c:idx val="0"/>
          <c:order val="0"/>
          <c:tx>
            <c:strRef>
              <c:f>Sheet1!$B$1</c:f>
              <c:strCache>
                <c:ptCount val="1"/>
                <c:pt idx="0">
                  <c:v>2023年</c:v>
                </c:pt>
              </c:strCache>
            </c:strRef>
          </c:tx>
          <c:spPr>
            <a:solidFill>
              <a:schemeClr val="accent1"/>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Sheet1!$B$2</c:f>
              <c:numCache>
                <c:formatCode>General</c:formatCode>
                <c:ptCount val="1"/>
                <c:pt idx="0">
                  <c:v>49.15</c:v>
                </c:pt>
              </c:numCache>
            </c:numRef>
          </c:val>
        </c:ser>
        <c:ser>
          <c:idx val="1"/>
          <c:order val="1"/>
          <c:tx>
            <c:strRef>
              <c:f>Sheet1!$C$1</c:f>
              <c:strCache>
                <c:ptCount val="1"/>
                <c:pt idx="0">
                  <c:v>2024年</c:v>
                </c:pt>
              </c:strCache>
            </c:strRef>
          </c:tx>
          <c:spPr>
            <a:solidFill>
              <a:schemeClr val="accent2"/>
            </a:solidFill>
            <a:ln>
              <a:noFill/>
            </a:ln>
            <a:effectLst/>
          </c:spPr>
          <c:invertIfNegative val="0"/>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outEnd"/>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c:f>
              <c:strCache>
                <c:ptCount val="1"/>
                <c:pt idx="0">
                  <c:v>一般公共预算财政拨款支出</c:v>
                </c:pt>
              </c:strCache>
            </c:strRef>
          </c:cat>
          <c:val>
            <c:numRef>
              <c:f>Sheet1!$C$2</c:f>
              <c:numCache>
                <c:formatCode>General</c:formatCode>
                <c:ptCount val="1"/>
                <c:pt idx="0">
                  <c:v>65.47</c:v>
                </c:pt>
              </c:numCache>
            </c:numRef>
          </c:val>
        </c:ser>
        <c:dLbls>
          <c:showLegendKey val="0"/>
          <c:showVal val="1"/>
          <c:showCatName val="0"/>
          <c:showSerName val="0"/>
          <c:showPercent val="0"/>
          <c:showBubbleSize val="0"/>
        </c:dLbls>
        <c:gapWidth val="219"/>
        <c:overlap val="-27"/>
        <c:axId val="500593404"/>
        <c:axId val="73366360"/>
      </c:barChart>
      <c:catAx>
        <c:axId val="500593404"/>
        <c:scaling>
          <c:orientation val="minMax"/>
        </c:scaling>
        <c:delete val="0"/>
        <c:axPos val="b"/>
        <c:majorTickMark val="none"/>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3366360"/>
        <c:crosses val="autoZero"/>
        <c:auto val="1"/>
        <c:lblAlgn val="ctr"/>
        <c:lblOffset val="100"/>
        <c:noMultiLvlLbl val="0"/>
      </c:catAx>
      <c:valAx>
        <c:axId val="73366360"/>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500593404"/>
        <c:crosses val="autoZero"/>
        <c:crossBetween val="between"/>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cba04e5c-9cee-4e84-9dff-7550922752de}"/>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400" b="0" i="0" u="none" strike="noStrike" kern="1200" spc="0" baseline="0">
                <a:solidFill>
                  <a:schemeClr val="tx1">
                    <a:lumMod val="65000"/>
                    <a:lumOff val="35000"/>
                  </a:schemeClr>
                </a:solidFill>
                <a:latin typeface="+mn-lt"/>
                <a:ea typeface="+mn-ea"/>
                <a:cs typeface="+mn-cs"/>
              </a:defRPr>
            </a:pPr>
            <a:r>
              <a:t>一般公共预算财政拨款支出决算结构（</a:t>
            </a:r>
            <a:r>
              <a:rPr sz="1050" b="1"/>
              <a:t>单位：万元</a:t>
            </a:r>
            <a:r>
              <a:t>）</a:t>
            </a:r>
          </a:p>
        </c:rich>
      </c:tx>
      <c:layout/>
      <c:overlay val="0"/>
      <c:spPr>
        <a:noFill/>
        <a:ln>
          <a:noFill/>
        </a:ln>
        <a:effectLst/>
      </c:spPr>
    </c:title>
    <c:autoTitleDeleted val="0"/>
    <c:plotArea>
      <c:layout/>
      <c:pieChart>
        <c:varyColors val="1"/>
        <c:ser>
          <c:idx val="0"/>
          <c:order val="0"/>
          <c:tx>
            <c:strRef>
              <c:f>Sheet1!$B$1</c:f>
              <c:strCache>
                <c:ptCount val="1"/>
                <c:pt idx="0">
                  <c:v>销售额</c:v>
                </c:pt>
              </c:strCache>
            </c:strRef>
          </c:tx>
          <c:spPr/>
          <c:explosion val="0"/>
          <c:dPt>
            <c:idx val="0"/>
            <c:bubble3D val="0"/>
            <c:spPr>
              <a:solidFill>
                <a:schemeClr val="accent1"/>
              </a:solidFill>
              <a:ln w="19050">
                <a:solidFill>
                  <a:schemeClr val="lt1"/>
                </a:solidFill>
              </a:ln>
              <a:effectLst/>
            </c:spPr>
          </c:dPt>
          <c:dPt>
            <c:idx val="1"/>
            <c:bubble3D val="0"/>
            <c:spPr>
              <a:solidFill>
                <a:schemeClr val="accent2"/>
              </a:solidFill>
              <a:ln w="19050">
                <a:solidFill>
                  <a:schemeClr val="lt1"/>
                </a:solidFill>
              </a:ln>
              <a:effectLst/>
            </c:spPr>
          </c:dPt>
          <c:dPt>
            <c:idx val="2"/>
            <c:bubble3D val="0"/>
            <c:spPr>
              <a:solidFill>
                <a:schemeClr val="accent3"/>
              </a:solidFill>
              <a:ln w="19050">
                <a:solidFill>
                  <a:schemeClr val="lt1"/>
                </a:solidFill>
              </a:ln>
              <a:effectLst/>
            </c:spPr>
          </c:dPt>
          <c:dPt>
            <c:idx val="3"/>
            <c:bubble3D val="0"/>
            <c:spPr>
              <a:solidFill>
                <a:schemeClr val="accent4"/>
              </a:solidFill>
              <a:ln w="19050">
                <a:solidFill>
                  <a:schemeClr val="lt1"/>
                </a:solidFill>
              </a:ln>
              <a:effectLst/>
            </c:spPr>
          </c:dPt>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bestFit"/>
            <c:showLegendKey val="0"/>
            <c:showVal val="1"/>
            <c:showCatName val="0"/>
            <c:showSerName val="0"/>
            <c:showPercent val="0"/>
            <c:showBubbleSize val="0"/>
            <c:showLeaderLines val="1"/>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strRef>
              <c:f>Sheet1!$A$2:$A$5</c:f>
              <c:strCache>
                <c:ptCount val="4"/>
                <c:pt idx="0">
                  <c:v>农林水支出</c:v>
                </c:pt>
                <c:pt idx="1">
                  <c:v>社会保障和就业支出</c:v>
                </c:pt>
                <c:pt idx="2">
                  <c:v>卫生健康支出</c:v>
                </c:pt>
                <c:pt idx="3">
                  <c:v>住房保障支出</c:v>
                </c:pt>
              </c:strCache>
            </c:strRef>
          </c:cat>
          <c:val>
            <c:numRef>
              <c:f>Sheet1!$B$2:$B$5</c:f>
              <c:numCache>
                <c:formatCode>General</c:formatCode>
                <c:ptCount val="4"/>
                <c:pt idx="0">
                  <c:v>36.37</c:v>
                </c:pt>
                <c:pt idx="1">
                  <c:v>22.51</c:v>
                </c:pt>
                <c:pt idx="2">
                  <c:v>3.06</c:v>
                </c:pt>
                <c:pt idx="3">
                  <c:v>3.53</c:v>
                </c:pt>
              </c:numCache>
            </c:numRef>
          </c:val>
        </c:ser>
        <c:dLbls>
          <c:showLegendKey val="0"/>
          <c:showVal val="1"/>
          <c:showCatName val="0"/>
          <c:showSerName val="0"/>
          <c:showPercent val="0"/>
          <c:showBubbleSize val="0"/>
          <c:showLeaderLines val="1"/>
        </c:dLbls>
        <c:firstSliceAng val="0"/>
      </c:pieChart>
      <c:spPr>
        <a:noFill/>
        <a:ln>
          <a:noFill/>
        </a:ln>
        <a:effectLst/>
      </c:spPr>
    </c:plotArea>
    <c:legend>
      <c:legendPos val="r"/>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extLst>
      <c:ext uri="{0b15fc19-7d7d-44ad-8c2d-2c3a37ce22c3}">
        <chartProps xmlns="https://web.wps.cn/et/2018/main" chartId="{3d9ceb58-7750-4603-8cd9-b17434dc5fdf}"/>
      </c:ext>
    </c:extLst>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2.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3.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4.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5.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colors6.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2.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3.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4.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5.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charts/style6.xml><?xml version="1.0" encoding="utf-8"?>
<cs:chartStyle xmlns:cs="http://schemas.microsoft.com/office/drawing/2012/chartStyle" xmlns:a="http://schemas.openxmlformats.org/drawingml/2006/main" id="25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9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spPr>
      <a:ln w="19050">
        <a:solidFill>
          <a:schemeClr val="lt1"/>
        </a:solidFill>
      </a:ln>
    </cs:spPr>
  </cs:dataPoint>
  <cs:dataPoint3D>
    <cs:lnRef idx="0"/>
    <cs:fillRef idx="1">
      <cs:styleClr val="auto"/>
    </cs:fillRef>
    <cs:effectRef idx="0"/>
    <cs:fontRef idx="minor">
      <a:schemeClr val="tx1"/>
    </cs:fontRef>
    <cs:spPr>
      <a:ln w="25400">
        <a:solidFill>
          <a:schemeClr val="lt1"/>
        </a:solidFill>
      </a:ln>
    </cs:spPr>
  </cs:dataPoint3D>
  <cs:dataPointLine>
    <cs:lnRef idx="0">
      <cs:styleClr val="auto"/>
    </cs:lnRef>
    <cs:fillRef idx="0"/>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0"/>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tx1"/>
    </cs:fontRef>
    <cs:spPr>
      <a:solidFill>
        <a:schemeClr val="dk1">
          <a:lumMod val="75000"/>
          <a:lumOff val="25000"/>
        </a:schemeClr>
      </a:solidFill>
      <a:ln w="9525" cap="flat" cmpd="sng" algn="ctr">
        <a:solidFill>
          <a:schemeClr val="tx1">
            <a:lumMod val="65000"/>
            <a:lumOff val="35000"/>
          </a:schemeClr>
        </a:solidFill>
        <a:round/>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50000"/>
            <a:lumOff val="50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tx1"/>
    </cs:fontRef>
    <cs:spPr>
      <a:solidFill>
        <a:schemeClr val="lt1"/>
      </a:solidFill>
      <a:ln w="9525" cap="flat" cmpd="sng" algn="ctr">
        <a:solidFill>
          <a:schemeClr val="tx1">
            <a:lumMod val="65000"/>
            <a:lumOff val="35000"/>
          </a:schemeClr>
        </a:solidFill>
        <a:round/>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29eac4cc-c8bb-43fe-a117-1495d9b0807a}"/>
        <w:style w:val=""/>
        <w:category>
          <w:name w:val="常规"/>
          <w:gallery w:val="placeholder"/>
        </w:category>
        <w:types>
          <w:type w:val="bbPlcHdr"/>
        </w:types>
        <w:behaviors>
          <w:behavior w:val="content"/>
        </w:behaviors>
        <w:description w:val=""/>
        <w:guid w:val="{29eac4cc-c8bb-43fe-a117-1495d9b0807a}"/>
      </w:docPartPr>
      <w:docPartBody>
        <w:p w14:paraId="4C364A65">
          <w:r>
            <w:rPr>
              <w:color w:val="808080"/>
            </w:rPr>
            <w:t>单击此处输入文字。</w:t>
          </w:r>
        </w:p>
      </w:docPartBody>
    </w:docPart>
    <w:docPart>
      <w:docPartPr>
        <w:name w:val="{8265eb70-0982-497e-97d4-99a139a49a5e}"/>
        <w:style w:val=""/>
        <w:category>
          <w:name w:val="常规"/>
          <w:gallery w:val="placeholder"/>
        </w:category>
        <w:types>
          <w:type w:val="bbPlcHdr"/>
        </w:types>
        <w:behaviors>
          <w:behavior w:val="content"/>
        </w:behaviors>
        <w:description w:val=""/>
        <w:guid w:val="{8265eb70-0982-497e-97d4-99a139a49a5e}"/>
      </w:docPartPr>
      <w:docPartBody>
        <w:p w14:paraId="4CC829B9">
          <w:r>
            <w:rPr>
              <w:color w:val="808080"/>
            </w:rPr>
            <w:t>单击此处输入文字。</w:t>
          </w:r>
        </w:p>
      </w:docPartBody>
    </w:docPart>
    <w:docPart>
      <w:docPartPr>
        <w:name w:val="{7f67c2d4-aadb-49fd-a071-504bcb8a9aa2}"/>
        <w:style w:val=""/>
        <w:category>
          <w:name w:val="常规"/>
          <w:gallery w:val="placeholder"/>
        </w:category>
        <w:types>
          <w:type w:val="bbPlcHdr"/>
        </w:types>
        <w:behaviors>
          <w:behavior w:val="content"/>
        </w:behaviors>
        <w:description w:val=""/>
        <w:guid w:val="{7f67c2d4-aadb-49fd-a071-504bcb8a9aa2}"/>
      </w:docPartPr>
      <w:docPartBody>
        <w:p w14:paraId="17DF0FF9">
          <w:r>
            <w:rPr>
              <w:color w:val="808080"/>
            </w:rPr>
            <w:t>单击此处输入文字。</w:t>
          </w:r>
        </w:p>
      </w:docPartBody>
    </w:docPart>
    <w:docPart>
      <w:docPartPr>
        <w:name w:val="{38023a21-821b-4595-818c-3a9ab5ecc18e}"/>
        <w:style w:val=""/>
        <w:category>
          <w:name w:val="常规"/>
          <w:gallery w:val="placeholder"/>
        </w:category>
        <w:types>
          <w:type w:val="bbPlcHdr"/>
        </w:types>
        <w:behaviors>
          <w:behavior w:val="content"/>
        </w:behaviors>
        <w:description w:val=""/>
        <w:guid w:val="{38023a21-821b-4595-818c-3a9ab5ecc18e}"/>
      </w:docPartPr>
      <w:docPartBody>
        <w:p w14:paraId="60D85BA7">
          <w:r>
            <w:rPr>
              <w:color w:val="808080"/>
            </w:rPr>
            <w:t>单击此处输入文字。</w:t>
          </w:r>
        </w:p>
      </w:docPartBody>
    </w:docPart>
    <w:docPart>
      <w:docPartPr>
        <w:name w:val="{44b6928b-40f8-4dcf-a6fc-d55306f8cf36}"/>
        <w:style w:val=""/>
        <w:category>
          <w:name w:val="常规"/>
          <w:gallery w:val="placeholder"/>
        </w:category>
        <w:types>
          <w:type w:val="bbPlcHdr"/>
        </w:types>
        <w:behaviors>
          <w:behavior w:val="content"/>
        </w:behaviors>
        <w:description w:val=""/>
        <w:guid w:val="{44b6928b-40f8-4dcf-a6fc-d55306f8cf36}"/>
      </w:docPartPr>
      <w:docPartBody>
        <w:p w14:paraId="13B1B568">
          <w:r>
            <w:rPr>
              <w:color w:val="808080"/>
            </w:rPr>
            <w:t>单击此处输入文字。</w:t>
          </w:r>
        </w:p>
      </w:docPartBody>
    </w:docPart>
    <w:docPart>
      <w:docPartPr>
        <w:name w:val="{8d2c2389-5086-45c7-a556-cbc4a768d78d}"/>
        <w:style w:val=""/>
        <w:category>
          <w:name w:val="常规"/>
          <w:gallery w:val="placeholder"/>
        </w:category>
        <w:types>
          <w:type w:val="bbPlcHdr"/>
        </w:types>
        <w:behaviors>
          <w:behavior w:val="content"/>
        </w:behaviors>
        <w:description w:val=""/>
        <w:guid w:val="{8d2c2389-5086-45c7-a556-cbc4a768d78d}"/>
      </w:docPartPr>
      <w:docPartBody>
        <w:p w14:paraId="5A3736D1">
          <w:r>
            <w:rPr>
              <w:color w:val="808080"/>
            </w:rPr>
            <w:t>单击此处输入文字。</w:t>
          </w:r>
        </w:p>
      </w:docPartBody>
    </w:docPart>
    <w:docPart>
      <w:docPartPr>
        <w:name w:val="{f2a03967-b5b4-4cc2-b542-294a0bbc038a}"/>
        <w:style w:val=""/>
        <w:category>
          <w:name w:val="常规"/>
          <w:gallery w:val="placeholder"/>
        </w:category>
        <w:types>
          <w:type w:val="bbPlcHdr"/>
        </w:types>
        <w:behaviors>
          <w:behavior w:val="content"/>
        </w:behaviors>
        <w:description w:val=""/>
        <w:guid w:val="{f2a03967-b5b4-4cc2-b542-294a0bbc038a}"/>
      </w:docPartPr>
      <w:docPartBody>
        <w:p w14:paraId="22D64F10">
          <w:r>
            <w:rPr>
              <w:color w:val="808080"/>
            </w:rPr>
            <w:t>单击此处输入文字。</w:t>
          </w:r>
        </w:p>
      </w:docPartBody>
    </w:docPart>
    <w:docPart>
      <w:docPartPr>
        <w:name w:val="{24cde4d6-047d-4b7f-8ac0-68a4b3915a7d}"/>
        <w:style w:val=""/>
        <w:category>
          <w:name w:val="常规"/>
          <w:gallery w:val="placeholder"/>
        </w:category>
        <w:types>
          <w:type w:val="bbPlcHdr"/>
        </w:types>
        <w:behaviors>
          <w:behavior w:val="content"/>
        </w:behaviors>
        <w:description w:val=""/>
        <w:guid w:val="{24cde4d6-047d-4b7f-8ac0-68a4b3915a7d}"/>
      </w:docPartPr>
      <w:docPartBody>
        <w:p w14:paraId="628E0C5E">
          <w:r>
            <w:rPr>
              <w:color w:val="808080"/>
            </w:rPr>
            <w:t>单击此处输入文字。</w:t>
          </w:r>
        </w:p>
      </w:docPartBody>
    </w:docPart>
    <w:docPart>
      <w:docPartPr>
        <w:name w:val="{e39bf067-7f8b-43ac-91be-1e66ac8df889}"/>
        <w:style w:val=""/>
        <w:category>
          <w:name w:val="常规"/>
          <w:gallery w:val="placeholder"/>
        </w:category>
        <w:types>
          <w:type w:val="bbPlcHdr"/>
        </w:types>
        <w:behaviors>
          <w:behavior w:val="content"/>
        </w:behaviors>
        <w:description w:val=""/>
        <w:guid w:val="{e39bf067-7f8b-43ac-91be-1e66ac8df889}"/>
      </w:docPartPr>
      <w:docPartBody>
        <w:p w14:paraId="0A474980">
          <w:r>
            <w:rPr>
              <w:color w:val="808080"/>
            </w:rPr>
            <w:t>单击此处输入文字。</w:t>
          </w:r>
        </w:p>
      </w:docPartBody>
    </w:docPart>
    <w:docPart>
      <w:docPartPr>
        <w:name w:val="{f805b1ea-e18f-461a-8481-73194bfd5dce}"/>
        <w:style w:val=""/>
        <w:category>
          <w:name w:val="常规"/>
          <w:gallery w:val="placeholder"/>
        </w:category>
        <w:types>
          <w:type w:val="bbPlcHdr"/>
        </w:types>
        <w:behaviors>
          <w:behavior w:val="content"/>
        </w:behaviors>
        <w:description w:val=""/>
        <w:guid w:val="{f805b1ea-e18f-461a-8481-73194bfd5dce}"/>
      </w:docPartPr>
      <w:docPartBody>
        <w:p w14:paraId="09DD30B6">
          <w:r>
            <w:rPr>
              <w:color w:val="808080"/>
            </w:rPr>
            <w:t>单击此处输入文字。</w:t>
          </w:r>
        </w:p>
      </w:docPartBody>
    </w:docPart>
    <w:docPart>
      <w:docPartPr>
        <w:name w:val="{6c4cde6a-7081-4acb-8793-886aea4399fe}"/>
        <w:style w:val=""/>
        <w:category>
          <w:name w:val="常规"/>
          <w:gallery w:val="placeholder"/>
        </w:category>
        <w:types>
          <w:type w:val="bbPlcHdr"/>
        </w:types>
        <w:behaviors>
          <w:behavior w:val="content"/>
        </w:behaviors>
        <w:description w:val=""/>
        <w:guid w:val="{6c4cde6a-7081-4acb-8793-886aea4399fe}"/>
      </w:docPartPr>
      <w:docPartBody>
        <w:p w14:paraId="36D39B49">
          <w:r>
            <w:rPr>
              <w:color w:val="808080"/>
            </w:rPr>
            <w:t>单击此处输入文字。</w:t>
          </w:r>
        </w:p>
      </w:docPartBody>
    </w:docPart>
    <w:docPart>
      <w:docPartPr>
        <w:name w:val="{dc1c3e0b-bc84-4be2-9d89-cc72c086561c}"/>
        <w:style w:val=""/>
        <w:category>
          <w:name w:val="常规"/>
          <w:gallery w:val="placeholder"/>
        </w:category>
        <w:types>
          <w:type w:val="bbPlcHdr"/>
        </w:types>
        <w:behaviors>
          <w:behavior w:val="content"/>
        </w:behaviors>
        <w:description w:val=""/>
        <w:guid w:val="{dc1c3e0b-bc84-4be2-9d89-cc72c086561c}"/>
      </w:docPartPr>
      <w:docPartBody>
        <w:p w14:paraId="4F029402">
          <w:r>
            <w:rPr>
              <w:color w:val="808080"/>
            </w:rPr>
            <w:t>单击此处输入文字。</w:t>
          </w:r>
        </w:p>
      </w:docPartBody>
    </w:docPart>
    <w:docPart>
      <w:docPartPr>
        <w:name w:val="{28278273-5497-4d1a-b828-c10acfafe7a3}"/>
        <w:style w:val=""/>
        <w:category>
          <w:name w:val="常规"/>
          <w:gallery w:val="placeholder"/>
        </w:category>
        <w:types>
          <w:type w:val="bbPlcHdr"/>
        </w:types>
        <w:behaviors>
          <w:behavior w:val="content"/>
        </w:behaviors>
        <w:description w:val=""/>
        <w:guid w:val="{28278273-5497-4d1a-b828-c10acfafe7a3}"/>
      </w:docPartPr>
      <w:docPartBody>
        <w:p w14:paraId="660EE2F8">
          <w:r>
            <w:rPr>
              <w:color w:val="808080"/>
            </w:rPr>
            <w:t>单击此处输入文字。</w:t>
          </w:r>
        </w:p>
      </w:docPartBody>
    </w:docPart>
    <w:docPart>
      <w:docPartPr>
        <w:name w:val="{0376f466-8b80-41eb-9d7c-7824389a1609}"/>
        <w:style w:val=""/>
        <w:category>
          <w:name w:val="常规"/>
          <w:gallery w:val="placeholder"/>
        </w:category>
        <w:types>
          <w:type w:val="bbPlcHdr"/>
        </w:types>
        <w:behaviors>
          <w:behavior w:val="content"/>
        </w:behaviors>
        <w:description w:val=""/>
        <w:guid w:val="{0376f466-8b80-41eb-9d7c-7824389a1609}"/>
      </w:docPartPr>
      <w:docPartBody>
        <w:p w14:paraId="0EDE5F03">
          <w:r>
            <w:rPr>
              <w:color w:val="808080"/>
            </w:rPr>
            <w:t>单击此处输入文字。</w:t>
          </w:r>
        </w:p>
      </w:docPartBody>
    </w:docPart>
    <w:docPart>
      <w:docPartPr>
        <w:name w:val="{f2bce504-515f-4f36-b08c-ecf359ddcc1c}"/>
        <w:style w:val=""/>
        <w:category>
          <w:name w:val="常规"/>
          <w:gallery w:val="placeholder"/>
        </w:category>
        <w:types>
          <w:type w:val="bbPlcHdr"/>
        </w:types>
        <w:behaviors>
          <w:behavior w:val="content"/>
        </w:behaviors>
        <w:description w:val=""/>
        <w:guid w:val="{f2bce504-515f-4f36-b08c-ecf359ddcc1c}"/>
      </w:docPartPr>
      <w:docPartBody>
        <w:p w14:paraId="7A6786DF">
          <w:r>
            <w:rPr>
              <w:color w:val="808080"/>
            </w:rPr>
            <w:t>单击此处输入文字。</w:t>
          </w:r>
        </w:p>
      </w:docPartBody>
    </w:docPart>
    <w:docPart>
      <w:docPartPr>
        <w:name w:val="{900d3af5-084d-4590-ae35-25b92b83f2ed}"/>
        <w:style w:val=""/>
        <w:category>
          <w:name w:val="常规"/>
          <w:gallery w:val="placeholder"/>
        </w:category>
        <w:types>
          <w:type w:val="bbPlcHdr"/>
        </w:types>
        <w:behaviors>
          <w:behavior w:val="content"/>
        </w:behaviors>
        <w:description w:val=""/>
        <w:guid w:val="{900d3af5-084d-4590-ae35-25b92b83f2ed}"/>
      </w:docPartPr>
      <w:docPartBody>
        <w:p w14:paraId="4BEA799B">
          <w:r>
            <w:rPr>
              <w:color w:val="808080"/>
            </w:rPr>
            <w:t>单击此处输入文字。</w:t>
          </w:r>
        </w:p>
      </w:docPartBody>
    </w:docPart>
    <w:docPart>
      <w:docPartPr>
        <w:name w:val="{b5f6a1ff-299d-4958-ab8a-3f886c637e40}"/>
        <w:style w:val=""/>
        <w:category>
          <w:name w:val="常规"/>
          <w:gallery w:val="placeholder"/>
        </w:category>
        <w:types>
          <w:type w:val="bbPlcHdr"/>
        </w:types>
        <w:behaviors>
          <w:behavior w:val="content"/>
        </w:behaviors>
        <w:description w:val=""/>
        <w:guid w:val="{b5f6a1ff-299d-4958-ab8a-3f886c637e40}"/>
      </w:docPartPr>
      <w:docPartBody>
        <w:p w14:paraId="52B45EE5">
          <w:r>
            <w:rPr>
              <w:color w:val="808080"/>
            </w:rPr>
            <w:t>单击此处输入文字。</w:t>
          </w:r>
        </w:p>
      </w:docPartBody>
    </w:docPart>
    <w:docPart>
      <w:docPartPr>
        <w:name w:val="{4dc8a533-262f-4bba-8798-83f63978f65b}"/>
        <w:style w:val=""/>
        <w:category>
          <w:name w:val="常规"/>
          <w:gallery w:val="placeholder"/>
        </w:category>
        <w:types>
          <w:type w:val="bbPlcHdr"/>
        </w:types>
        <w:behaviors>
          <w:behavior w:val="content"/>
        </w:behaviors>
        <w:description w:val=""/>
        <w:guid w:val="{4dc8a533-262f-4bba-8798-83f63978f65b}"/>
      </w:docPartPr>
      <w:docPartBody>
        <w:p w14:paraId="56AFD175">
          <w:r>
            <w:rPr>
              <w:color w:val="808080"/>
            </w:rPr>
            <w:t>单击此处输入文字。</w:t>
          </w:r>
        </w:p>
      </w:docPartBody>
    </w:docPart>
    <w:docPart>
      <w:docPartPr>
        <w:name w:val="{b722290d-2a9f-4dd3-bada-64717b3acd05}"/>
        <w:style w:val=""/>
        <w:category>
          <w:name w:val="常规"/>
          <w:gallery w:val="placeholder"/>
        </w:category>
        <w:types>
          <w:type w:val="bbPlcHdr"/>
        </w:types>
        <w:behaviors>
          <w:behavior w:val="content"/>
        </w:behaviors>
        <w:description w:val=""/>
        <w:guid w:val="{b722290d-2a9f-4dd3-bada-64717b3acd05}"/>
      </w:docPartPr>
      <w:docPartBody>
        <w:p w14:paraId="226BC5E3">
          <w:r>
            <w:rPr>
              <w:color w:val="808080"/>
            </w:rPr>
            <w:t>单击此处输入文字。</w:t>
          </w:r>
        </w:p>
      </w:docPartBody>
    </w:docPart>
    <w:docPart>
      <w:docPartPr>
        <w:name w:val="{1f11bfa5-4e87-40b6-9276-8e1fbd452c75}"/>
        <w:style w:val=""/>
        <w:category>
          <w:name w:val="常规"/>
          <w:gallery w:val="placeholder"/>
        </w:category>
        <w:types>
          <w:type w:val="bbPlcHdr"/>
        </w:types>
        <w:behaviors>
          <w:behavior w:val="content"/>
        </w:behaviors>
        <w:description w:val=""/>
        <w:guid w:val="{1f11bfa5-4e87-40b6-9276-8e1fbd452c75}"/>
      </w:docPartPr>
      <w:docPartBody>
        <w:p w14:paraId="2F62C4C5">
          <w:r>
            <w:rPr>
              <w:color w:val="808080"/>
            </w:rPr>
            <w:t>单击此处输入文字。</w:t>
          </w:r>
        </w:p>
      </w:docPartBody>
    </w:docPart>
    <w:docPart>
      <w:docPartPr>
        <w:name w:val="{8783aa7b-6c21-43c9-b61f-e45753384978}"/>
        <w:style w:val=""/>
        <w:category>
          <w:name w:val="常规"/>
          <w:gallery w:val="placeholder"/>
        </w:category>
        <w:types>
          <w:type w:val="bbPlcHdr"/>
        </w:types>
        <w:behaviors>
          <w:behavior w:val="content"/>
        </w:behaviors>
        <w:description w:val=""/>
        <w:guid w:val="{8783aa7b-6c21-43c9-b61f-e45753384978}"/>
      </w:docPartPr>
      <w:docPartBody>
        <w:p w14:paraId="292E4DF1">
          <w:r>
            <w:rPr>
              <w:color w:val="808080"/>
            </w:rPr>
            <w:t>单击此处输入文字。</w:t>
          </w:r>
        </w:p>
      </w:docPartBody>
    </w:docPart>
    <w:docPart>
      <w:docPartPr>
        <w:name w:val="{85bb57a3-62f7-4a0e-bf31-83da99b11765}"/>
        <w:style w:val=""/>
        <w:category>
          <w:name w:val="常规"/>
          <w:gallery w:val="placeholder"/>
        </w:category>
        <w:types>
          <w:type w:val="bbPlcHdr"/>
        </w:types>
        <w:behaviors>
          <w:behavior w:val="content"/>
        </w:behaviors>
        <w:description w:val=""/>
        <w:guid w:val="{85bb57a3-62f7-4a0e-bf31-83da99b11765}"/>
      </w:docPartPr>
      <w:docPartBody>
        <w:p w14:paraId="3F57CA39">
          <w:r>
            <w:rPr>
              <w:color w:val="808080"/>
            </w:rPr>
            <w:t>单击此处输入文字。</w:t>
          </w:r>
        </w:p>
      </w:docPartBody>
    </w:docPart>
    <w:docPart>
      <w:docPartPr>
        <w:name w:val="{ded15ce4-8c4d-4b46-be4b-851dd780981f}"/>
        <w:style w:val=""/>
        <w:category>
          <w:name w:val="常规"/>
          <w:gallery w:val="placeholder"/>
        </w:category>
        <w:types>
          <w:type w:val="bbPlcHdr"/>
        </w:types>
        <w:behaviors>
          <w:behavior w:val="content"/>
        </w:behaviors>
        <w:description w:val=""/>
        <w:guid w:val="{ded15ce4-8c4d-4b46-be4b-851dd780981f}"/>
      </w:docPartPr>
      <w:docPartBody>
        <w:p w14:paraId="72D9C23D">
          <w:r>
            <w:rPr>
              <w:color w:val="808080"/>
            </w:rPr>
            <w:t>单击此处输入文字。</w:t>
          </w:r>
        </w:p>
      </w:docPartBody>
    </w:docPart>
    <w:docPart>
      <w:docPartPr>
        <w:name w:val="{e6cce27e-817b-4ca6-8b13-dd9fd2b25c80}"/>
        <w:style w:val=""/>
        <w:category>
          <w:name w:val="常规"/>
          <w:gallery w:val="placeholder"/>
        </w:category>
        <w:types>
          <w:type w:val="bbPlcHdr"/>
        </w:types>
        <w:behaviors>
          <w:behavior w:val="content"/>
        </w:behaviors>
        <w:description w:val=""/>
        <w:guid w:val="{e6cce27e-817b-4ca6-8b13-dd9fd2b25c80}"/>
      </w:docPartPr>
      <w:docPartBody>
        <w:p w14:paraId="5EDD9D6D">
          <w:r>
            <w:rPr>
              <w:color w:val="808080"/>
            </w:rPr>
            <w:t>单击此处输入文字。</w:t>
          </w:r>
        </w:p>
      </w:docPartBody>
    </w:docPart>
    <w:docPart>
      <w:docPartPr>
        <w:name w:val="{61f71245-a337-4242-aad7-e54ccc3bb3b6}"/>
        <w:style w:val=""/>
        <w:category>
          <w:name w:val="常规"/>
          <w:gallery w:val="placeholder"/>
        </w:category>
        <w:types>
          <w:type w:val="bbPlcHdr"/>
        </w:types>
        <w:behaviors>
          <w:behavior w:val="content"/>
        </w:behaviors>
        <w:description w:val=""/>
        <w:guid w:val="{61f71245-a337-4242-aad7-e54ccc3bb3b6}"/>
      </w:docPartPr>
      <w:docPartBody>
        <w:p w14:paraId="1AC9CCC8">
          <w:r>
            <w:rPr>
              <w:color w:val="808080"/>
            </w:rPr>
            <w:t>单击此处输入文字。</w:t>
          </w:r>
        </w:p>
      </w:docPartBody>
    </w:docPart>
    <w:docPart>
      <w:docPartPr>
        <w:name w:val="{0a767ab3-c778-4927-8d5c-944d77db455e}"/>
        <w:style w:val=""/>
        <w:category>
          <w:name w:val="常规"/>
          <w:gallery w:val="placeholder"/>
        </w:category>
        <w:types>
          <w:type w:val="bbPlcHdr"/>
        </w:types>
        <w:behaviors>
          <w:behavior w:val="content"/>
        </w:behaviors>
        <w:description w:val=""/>
        <w:guid w:val="{0a767ab3-c778-4927-8d5c-944d77db455e}"/>
      </w:docPartPr>
      <w:docPartBody>
        <w:p w14:paraId="5D3EB52E">
          <w:r>
            <w:rPr>
              <w:color w:val="808080"/>
            </w:rPr>
            <w:t>单击此处输入文字。</w:t>
          </w:r>
        </w:p>
      </w:docPartBody>
    </w:docPart>
    <w:docPart>
      <w:docPartPr>
        <w:name w:val="{ec3bbeb3-91b9-4be8-ab2a-6fe7d9f95486}"/>
        <w:style w:val=""/>
        <w:category>
          <w:name w:val="常规"/>
          <w:gallery w:val="placeholder"/>
        </w:category>
        <w:types>
          <w:type w:val="bbPlcHdr"/>
        </w:types>
        <w:behaviors>
          <w:behavior w:val="content"/>
        </w:behaviors>
        <w:description w:val=""/>
        <w:guid w:val="{ec3bbeb3-91b9-4be8-ab2a-6fe7d9f95486}"/>
      </w:docPartPr>
      <w:docPartBody>
        <w:p w14:paraId="4C99E2C0">
          <w:r>
            <w:rPr>
              <w:color w:val="808080"/>
            </w:rPr>
            <w:t>单击此处输入文字。</w:t>
          </w:r>
        </w:p>
      </w:docPartBody>
    </w:docPart>
    <w:docPart>
      <w:docPartPr>
        <w:name w:val="{e46d27e8-58d4-45fc-915c-116a962860bb}"/>
        <w:style w:val=""/>
        <w:category>
          <w:name w:val="常规"/>
          <w:gallery w:val="placeholder"/>
        </w:category>
        <w:types>
          <w:type w:val="bbPlcHdr"/>
        </w:types>
        <w:behaviors>
          <w:behavior w:val="content"/>
        </w:behaviors>
        <w:description w:val=""/>
        <w:guid w:val="{e46d27e8-58d4-45fc-915c-116a962860bb}"/>
      </w:docPartPr>
      <w:docPartBody>
        <w:p w14:paraId="4A58EA01">
          <w:r>
            <w:rPr>
              <w:color w:val="808080"/>
            </w:rPr>
            <w:t>单击此处输入文字。</w:t>
          </w:r>
        </w:p>
      </w:docPartBody>
    </w:docPart>
    <w:docPart>
      <w:docPartPr>
        <w:name w:val="{eeeedbd4-bb45-4c96-986c-97956308f6eb}"/>
        <w:style w:val=""/>
        <w:category>
          <w:name w:val="常规"/>
          <w:gallery w:val="placeholder"/>
        </w:category>
        <w:types>
          <w:type w:val="bbPlcHdr"/>
        </w:types>
        <w:behaviors>
          <w:behavior w:val="content"/>
        </w:behaviors>
        <w:description w:val=""/>
        <w:guid w:val="{eeeedbd4-bb45-4c96-986c-97956308f6eb}"/>
      </w:docPartPr>
      <w:docPartBody>
        <w:p w14:paraId="7482A874">
          <w:r>
            <w:rPr>
              <w:color w:val="808080"/>
            </w:rPr>
            <w:t>单击此处输入文字。</w:t>
          </w:r>
        </w:p>
      </w:docPartBody>
    </w:docPart>
    <w:docPart>
      <w:docPartPr>
        <w:name w:val="{77fd0523-f5da-408b-88c8-60822ceab759}"/>
        <w:style w:val=""/>
        <w:category>
          <w:name w:val="常规"/>
          <w:gallery w:val="placeholder"/>
        </w:category>
        <w:types>
          <w:type w:val="bbPlcHdr"/>
        </w:types>
        <w:behaviors>
          <w:behavior w:val="content"/>
        </w:behaviors>
        <w:description w:val=""/>
        <w:guid w:val="{77fd0523-f5da-408b-88c8-60822ceab759}"/>
      </w:docPartPr>
      <w:docPartBody>
        <w:p w14:paraId="14CE398A">
          <w:r>
            <w:rPr>
              <w:color w:val="808080"/>
            </w:rPr>
            <w:t>单击此处输入文字。</w:t>
          </w:r>
        </w:p>
      </w:docPartBody>
    </w:docPart>
    <w:docPart>
      <w:docPartPr>
        <w:name w:val="{89db0406-4692-4079-98d4-6aad33472ca3}"/>
        <w:style w:val=""/>
        <w:category>
          <w:name w:val="常规"/>
          <w:gallery w:val="placeholder"/>
        </w:category>
        <w:types>
          <w:type w:val="bbPlcHdr"/>
        </w:types>
        <w:behaviors>
          <w:behavior w:val="content"/>
        </w:behaviors>
        <w:description w:val=""/>
        <w:guid w:val="{89db0406-4692-4079-98d4-6aad33472ca3}"/>
      </w:docPartPr>
      <w:docPartBody>
        <w:p w14:paraId="20B3AE6F">
          <w:r>
            <w:rPr>
              <w:color w:val="808080"/>
            </w:rPr>
            <w:t>单击此处输入文字。</w:t>
          </w:r>
        </w:p>
      </w:docPartBody>
    </w:docPart>
    <w:docPart>
      <w:docPartPr>
        <w:name w:val="{04665f1f-4a1f-4260-a78f-eff856278041}"/>
        <w:style w:val=""/>
        <w:category>
          <w:name w:val="常规"/>
          <w:gallery w:val="placeholder"/>
        </w:category>
        <w:types>
          <w:type w:val="bbPlcHdr"/>
        </w:types>
        <w:behaviors>
          <w:behavior w:val="content"/>
        </w:behaviors>
        <w:description w:val=""/>
        <w:guid w:val="{04665f1f-4a1f-4260-a78f-eff856278041}"/>
      </w:docPartPr>
      <w:docPartBody>
        <w:p w14:paraId="78D542CE">
          <w:r>
            <w:rPr>
              <w:color w:val="808080"/>
            </w:rPr>
            <w:t>单击此处输入文字。</w:t>
          </w:r>
        </w:p>
      </w:docPartBody>
    </w:docPart>
    <w:docPart>
      <w:docPartPr>
        <w:name w:val="{665254a2-8260-467e-8447-c0d17f85c27a}"/>
        <w:style w:val=""/>
        <w:category>
          <w:name w:val="常规"/>
          <w:gallery w:val="placeholder"/>
        </w:category>
        <w:types>
          <w:type w:val="bbPlcHdr"/>
        </w:types>
        <w:behaviors>
          <w:behavior w:val="content"/>
        </w:behaviors>
        <w:description w:val=""/>
        <w:guid w:val="{665254a2-8260-467e-8447-c0d17f85c27a}"/>
      </w:docPartPr>
      <w:docPartBody>
        <w:p w14:paraId="67A99962">
          <w:r>
            <w:rPr>
              <w:color w:val="808080"/>
            </w:rPr>
            <w:t>单击此处输入文字。</w:t>
          </w:r>
        </w:p>
      </w:docPartBody>
    </w:docPart>
    <w:docPart>
      <w:docPartPr>
        <w:name w:val="{5ee9f625-d4a4-4f03-8060-0ca734d3b239}"/>
        <w:style w:val=""/>
        <w:category>
          <w:name w:val="常规"/>
          <w:gallery w:val="placeholder"/>
        </w:category>
        <w:types>
          <w:type w:val="bbPlcHdr"/>
        </w:types>
        <w:behaviors>
          <w:behavior w:val="content"/>
        </w:behaviors>
        <w:description w:val=""/>
        <w:guid w:val="{5ee9f625-d4a4-4f03-8060-0ca734d3b239}"/>
      </w:docPartPr>
      <w:docPartBody>
        <w:p w14:paraId="6E30DD5D">
          <w:r>
            <w:rPr>
              <w:color w:val="808080"/>
            </w:rPr>
            <w:t>单击此处输入文字。</w:t>
          </w:r>
        </w:p>
      </w:docPartBody>
    </w:docPart>
    <w:docPart>
      <w:docPartPr>
        <w:name w:val="{ffd555a3-be85-4358-9a72-312e9f0980ca}"/>
        <w:style w:val=""/>
        <w:category>
          <w:name w:val="常规"/>
          <w:gallery w:val="placeholder"/>
        </w:category>
        <w:types>
          <w:type w:val="bbPlcHdr"/>
        </w:types>
        <w:behaviors>
          <w:behavior w:val="content"/>
        </w:behaviors>
        <w:description w:val=""/>
        <w:guid w:val="{ffd555a3-be85-4358-9a72-312e9f0980ca}"/>
      </w:docPartPr>
      <w:docPartBody>
        <w:p w14:paraId="5AB1D7C7">
          <w:r>
            <w:rPr>
              <w:color w:val="808080"/>
            </w:rPr>
            <w:t>单击此处输入文字。</w:t>
          </w:r>
        </w:p>
      </w:docPartBody>
    </w:docPart>
    <w:docPart>
      <w:docPartPr>
        <w:name w:val="{f7686993-a809-4687-8d7b-1fefd996c619}"/>
        <w:style w:val=""/>
        <w:category>
          <w:name w:val="常规"/>
          <w:gallery w:val="placeholder"/>
        </w:category>
        <w:types>
          <w:type w:val="bbPlcHdr"/>
        </w:types>
        <w:behaviors>
          <w:behavior w:val="content"/>
        </w:behaviors>
        <w:description w:val=""/>
        <w:guid w:val="{f7686993-a809-4687-8d7b-1fefd996c619}"/>
      </w:docPartPr>
      <w:docPartBody>
        <w:p w14:paraId="0D158172">
          <w:r>
            <w:rPr>
              <w:color w:val="808080"/>
            </w:rPr>
            <w:t>单击此处输入文字。</w:t>
          </w:r>
        </w:p>
      </w:docPartBody>
    </w:docPart>
    <w:docPart>
      <w:docPartPr>
        <w:name w:val="{78541446-3021-4965-86fe-d7c036925c7c}"/>
        <w:style w:val=""/>
        <w:category>
          <w:name w:val="常规"/>
          <w:gallery w:val="placeholder"/>
        </w:category>
        <w:types>
          <w:type w:val="bbPlcHdr"/>
        </w:types>
        <w:behaviors>
          <w:behavior w:val="content"/>
        </w:behaviors>
        <w:description w:val=""/>
        <w:guid w:val="{78541446-3021-4965-86fe-d7c036925c7c}"/>
      </w:docPartPr>
      <w:docPartBody>
        <w:p w14:paraId="3D3F6A2A">
          <w:r>
            <w:rPr>
              <w:color w:val="808080"/>
            </w:rPr>
            <w:t>单击此处输入文字。</w:t>
          </w:r>
        </w:p>
      </w:docPartBody>
    </w:docPart>
    <w:docPart>
      <w:docPartPr>
        <w:name w:val="{b16d2cdb-2d7c-4b03-be5e-06a75ef5a66d}"/>
        <w:style w:val=""/>
        <w:category>
          <w:name w:val="常规"/>
          <w:gallery w:val="placeholder"/>
        </w:category>
        <w:types>
          <w:type w:val="bbPlcHdr"/>
        </w:types>
        <w:behaviors>
          <w:behavior w:val="content"/>
        </w:behaviors>
        <w:description w:val=""/>
        <w:guid w:val="{b16d2cdb-2d7c-4b03-be5e-06a75ef5a66d}"/>
      </w:docPartPr>
      <w:docPartBody>
        <w:p w14:paraId="3D02E5E4">
          <w:r>
            <w:rPr>
              <w:color w:val="808080"/>
            </w:rPr>
            <w:t>单击此处输入文字。</w:t>
          </w:r>
        </w:p>
      </w:docPartBody>
    </w:docPart>
    <w:docPart>
      <w:docPartPr>
        <w:name w:val="{646f1c8d-6a49-4b87-9d74-e3138419f1f1}"/>
        <w:style w:val=""/>
        <w:category>
          <w:name w:val="常规"/>
          <w:gallery w:val="placeholder"/>
        </w:category>
        <w:types>
          <w:type w:val="bbPlcHdr"/>
        </w:types>
        <w:behaviors>
          <w:behavior w:val="content"/>
        </w:behaviors>
        <w:description w:val=""/>
        <w:guid w:val="{646f1c8d-6a49-4b87-9d74-e3138419f1f1}"/>
      </w:docPartPr>
      <w:docPartBody>
        <w:p w14:paraId="6A71B266">
          <w:r>
            <w:rPr>
              <w:color w:val="808080"/>
            </w:rPr>
            <w:t>单击此处输入文字。</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compat>
    <w:useFELayout/>
    <w:splitPgBreakAndParaMark/>
    <w:compatSetting w:name="compatibilityMode" w:uri="http://schemas.microsoft.com/office/word" w:val="14"/>
  </w:compat>
  <w:rsids>
    <w:rsidRoot w:val="00000000"/>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styl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四川省财政厅</Company>
  <Pages>18</Pages>
  <Words>4952</Words>
  <Characters>5324</Characters>
  <Lines>61</Lines>
  <Paragraphs>17</Paragraphs>
  <TotalTime>4</TotalTime>
  <ScaleCrop>false</ScaleCrop>
  <LinksUpToDate>false</LinksUpToDate>
  <CharactersWithSpaces>5481</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2020-08-09T09:49:00Z</dcterms:created>
  <dc:creator>曹颖</dc:creator>
  <cp:lastModifiedBy>Administrator</cp:lastModifiedBy>
  <cp:lastPrinted>2025-08-06T17:34:00Z</cp:lastPrinted>
  <dcterms:modified xsi:type="dcterms:W3CDTF">2025-10-28T09:31:03Z</dcterms:modified>
  <dc:title>四川省***</dc:title>
  <cp:revision>32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04787F2533EB45DC91BCDE4AB213247F</vt:lpwstr>
  </property>
  <property fmtid="{D5CDD505-2E9C-101B-9397-08002B2CF9AE}" pid="4" name="KSOTemplateDocerSaveRecord">
    <vt:lpwstr>eyJoZGlkIjoiOWExYzFlMzljNTg2NDgwYjg3NGE4MDliY2Y5YzI1ZTkifQ==</vt:lpwstr>
  </property>
</Properties>
</file>