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eastAsia" w:ascii="Times New Roman" w:hAnsi="Times New Roman" w:eastAsia="方正小标宋简体" w:cs="Times New Roman"/>
          <w:color w:val="auto"/>
          <w:kern w:val="2"/>
          <w:sz w:val="72"/>
          <w:szCs w:val="72"/>
          <w:highlight w:val="none"/>
          <w:lang w:val="en-US" w:eastAsia="zh-CN" w:bidi="ar-SA"/>
        </w:rPr>
      </w:pPr>
      <w:bookmarkStart w:id="0" w:name="_Toc15396475"/>
      <w:bookmarkStart w:id="1" w:name="_Toc15377193"/>
      <w:bookmarkStart w:id="2" w:name="_Toc15377425"/>
      <w:bookmarkStart w:id="3" w:name="_Toc15378441"/>
      <w:bookmarkStart w:id="4" w:name="_Toc15396597"/>
      <w:bookmarkStart w:id="5" w:name="_Toc15306267"/>
    </w:p>
    <w:p>
      <w:pPr>
        <w:pStyle w:val="6"/>
        <w:rPr>
          <w:rFonts w:hint="eastAsia" w:ascii="Times New Roman" w:hAnsi="Times New Roman" w:eastAsia="方正小标宋简体" w:cs="Times New Roman"/>
          <w:color w:val="auto"/>
          <w:kern w:val="2"/>
          <w:sz w:val="72"/>
          <w:szCs w:val="72"/>
          <w:highlight w:val="none"/>
          <w:lang w:val="en-US" w:eastAsia="zh-CN" w:bidi="ar-SA"/>
        </w:rPr>
      </w:pPr>
    </w:p>
    <w:p>
      <w:pPr>
        <w:pStyle w:val="6"/>
        <w:rPr>
          <w:rFonts w:hint="eastAsia" w:ascii="Times New Roman" w:hAnsi="Times New Roman" w:eastAsia="方正小标宋简体" w:cs="Times New Roman"/>
          <w:color w:val="auto"/>
          <w:kern w:val="2"/>
          <w:sz w:val="72"/>
          <w:szCs w:val="72"/>
          <w:highlight w:val="none"/>
          <w:lang w:val="en-US" w:eastAsia="zh-CN" w:bidi="ar-SA"/>
        </w:rPr>
      </w:pPr>
    </w:p>
    <w:p>
      <w:pPr>
        <w:pStyle w:val="6"/>
        <w:jc w:val="center"/>
        <w:rPr>
          <w:rFonts w:hint="eastAsia" w:ascii="Times New Roman" w:hAnsi="Times New Roman" w:eastAsia="方正小标宋简体" w:cs="Times New Roman"/>
          <w:color w:val="auto"/>
          <w:kern w:val="2"/>
          <w:sz w:val="44"/>
          <w:szCs w:val="44"/>
          <w:highlight w:val="none"/>
          <w:lang w:val="en-US" w:eastAsia="zh-CN" w:bidi="ar-SA"/>
        </w:rPr>
      </w:pPr>
      <w:r>
        <w:rPr>
          <w:rFonts w:hint="eastAsia" w:ascii="Times New Roman" w:hAnsi="Times New Roman" w:eastAsia="方正小标宋简体" w:cs="Times New Roman"/>
          <w:color w:val="auto"/>
          <w:kern w:val="2"/>
          <w:sz w:val="44"/>
          <w:szCs w:val="44"/>
          <w:highlight w:val="none"/>
          <w:lang w:val="en-US" w:eastAsia="zh-CN" w:bidi="ar-SA"/>
        </w:rPr>
        <w:t>2024年度省级部门（单位）决算</w:t>
      </w:r>
    </w:p>
    <w:p>
      <w:pPr>
        <w:pStyle w:val="6"/>
        <w:jc w:val="center"/>
        <w:rPr>
          <w:rFonts w:hint="default" w:ascii="Times New Roman" w:hAnsi="Times New Roman" w:eastAsia="方正小标宋简体" w:cs="Times New Roman"/>
          <w:color w:val="auto"/>
          <w:kern w:val="2"/>
          <w:sz w:val="44"/>
          <w:szCs w:val="44"/>
          <w:highlight w:val="none"/>
          <w:lang w:val="en-US" w:eastAsia="zh-CN" w:bidi="ar-SA"/>
        </w:rPr>
      </w:pPr>
      <w:r>
        <w:rPr>
          <w:rFonts w:hint="eastAsia" w:ascii="Times New Roman" w:hAnsi="Times New Roman" w:eastAsia="方正小标宋简体" w:cs="Times New Roman"/>
          <w:color w:val="auto"/>
          <w:kern w:val="2"/>
          <w:sz w:val="44"/>
          <w:szCs w:val="44"/>
          <w:highlight w:val="none"/>
          <w:lang w:val="en-US" w:eastAsia="zh-CN" w:bidi="ar-SA"/>
        </w:rPr>
        <w:t>公开文字说明范本</w:t>
      </w:r>
      <w:bookmarkStart w:id="66" w:name="_GoBack"/>
      <w:bookmarkEnd w:id="66"/>
    </w:p>
    <w:p>
      <w:pPr>
        <w:spacing w:line="600" w:lineRule="exact"/>
        <w:jc w:val="center"/>
        <w:outlineLvl w:val="0"/>
        <w:rPr>
          <w:rFonts w:ascii="Times New Roman" w:hAnsi="Times New Roman" w:eastAsia="方正小标宋简体"/>
          <w:color w:val="auto"/>
          <w:sz w:val="72"/>
          <w:szCs w:val="72"/>
          <w:highlight w:val="none"/>
        </w:rPr>
      </w:pPr>
    </w:p>
    <w:p>
      <w:pPr>
        <w:pStyle w:val="2"/>
        <w:rPr>
          <w:rFonts w:ascii="Times New Roman" w:hAnsi="Times New Roman"/>
        </w:rPr>
        <w:sectPr>
          <w:headerReference r:id="rId4" w:type="first"/>
          <w:footerReference r:id="rId6" w:type="first"/>
          <w:headerReference r:id="rId3" w:type="default"/>
          <w:footerReference r:id="rId5" w:type="default"/>
          <w:pgSz w:w="11906" w:h="16838"/>
          <w:pgMar w:top="1440" w:right="1800" w:bottom="1440" w:left="1800" w:header="851" w:footer="992" w:gutter="0"/>
          <w:pgNumType w:fmt="numberInDash" w:start="1"/>
          <w:cols w:space="425" w:num="1"/>
          <w:titlePg/>
          <w:docGrid w:type="lines" w:linePitch="312" w:charSpace="0"/>
        </w:sectPr>
      </w:pPr>
    </w:p>
    <w:p>
      <w:pPr>
        <w:rPr>
          <w:rFonts w:ascii="Times New Roman" w:hAnsi="Times New Roman"/>
        </w:rPr>
      </w:pPr>
    </w:p>
    <w:p>
      <w:pPr>
        <w:pStyle w:val="6"/>
        <w:jc w:val="center"/>
        <w:rPr>
          <w:rFonts w:hint="eastAsia" w:ascii="Times New Roman" w:hAnsi="Times New Roman" w:eastAsia="方正小标宋简体" w:cs="Times New Roman"/>
          <w:color w:val="auto"/>
          <w:kern w:val="2"/>
          <w:sz w:val="44"/>
          <w:szCs w:val="44"/>
          <w:highlight w:val="none"/>
          <w:lang w:val="en-US" w:eastAsia="zh-CN" w:bidi="ar-SA"/>
        </w:rPr>
      </w:pPr>
    </w:p>
    <w:p>
      <w:pPr>
        <w:pStyle w:val="6"/>
        <w:jc w:val="center"/>
        <w:rPr>
          <w:rFonts w:hint="eastAsia" w:ascii="Times New Roman" w:hAnsi="Times New Roman" w:eastAsia="方正小标宋简体" w:cs="Times New Roman"/>
          <w:color w:val="auto"/>
          <w:kern w:val="2"/>
          <w:sz w:val="44"/>
          <w:szCs w:val="44"/>
          <w:highlight w:val="none"/>
          <w:lang w:val="en-US" w:eastAsia="zh-CN" w:bidi="ar-SA"/>
        </w:rPr>
      </w:pPr>
    </w:p>
    <w:p>
      <w:pPr>
        <w:pStyle w:val="6"/>
        <w:jc w:val="center"/>
        <w:rPr>
          <w:rFonts w:hint="eastAsia" w:ascii="Times New Roman" w:hAnsi="Times New Roman" w:eastAsia="方正小标宋简体" w:cs="Times New Roman"/>
          <w:color w:val="auto"/>
          <w:kern w:val="2"/>
          <w:sz w:val="44"/>
          <w:szCs w:val="44"/>
          <w:highlight w:val="none"/>
          <w:lang w:val="en-US" w:eastAsia="zh-CN" w:bidi="ar-SA"/>
        </w:rPr>
      </w:pPr>
    </w:p>
    <w:p>
      <w:pPr>
        <w:pStyle w:val="6"/>
        <w:jc w:val="center"/>
        <w:rPr>
          <w:rFonts w:hint="eastAsia" w:ascii="Times New Roman" w:hAnsi="Times New Roman" w:eastAsia="方正小标宋简体" w:cs="Times New Roman"/>
          <w:color w:val="auto"/>
          <w:kern w:val="2"/>
          <w:sz w:val="44"/>
          <w:szCs w:val="44"/>
          <w:highlight w:val="none"/>
          <w:lang w:val="en-US" w:eastAsia="zh-CN" w:bidi="ar-SA"/>
        </w:rPr>
      </w:pPr>
    </w:p>
    <w:bookmarkEnd w:id="0"/>
    <w:bookmarkEnd w:id="1"/>
    <w:bookmarkEnd w:id="2"/>
    <w:bookmarkEnd w:id="3"/>
    <w:bookmarkEnd w:id="4"/>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6" w:name="_Toc15396476"/>
      <w:bookmarkStart w:id="7" w:name="_Toc15377426"/>
      <w:bookmarkStart w:id="8" w:name="_Toc15378442"/>
      <w:bookmarkStart w:id="9" w:name="_Toc15396598"/>
      <w:bookmarkStart w:id="10" w:name="_Toc15377194"/>
      <w:r>
        <w:rPr>
          <w:rFonts w:hint="eastAsia" w:ascii="Times New Roman" w:hAnsi="Times New Roman" w:eastAsia="方正小标宋简体" w:cs="Times New Roman"/>
          <w:color w:val="auto"/>
          <w:kern w:val="2"/>
          <w:sz w:val="44"/>
          <w:szCs w:val="44"/>
          <w:highlight w:val="none"/>
          <w:lang w:val="en-US" w:eastAsia="zh-CN" w:bidi="ar-SA"/>
        </w:rPr>
        <w:t>2024年度四川省</w:t>
      </w:r>
      <w:bookmarkEnd w:id="5"/>
      <w:bookmarkEnd w:id="6"/>
      <w:bookmarkEnd w:id="7"/>
      <w:bookmarkEnd w:id="8"/>
      <w:bookmarkEnd w:id="9"/>
      <w:bookmarkEnd w:id="10"/>
      <w:r>
        <w:rPr>
          <w:rFonts w:hint="eastAsia" w:ascii="Times New Roman" w:hAnsi="Times New Roman" w:eastAsia="方正小标宋简体" w:cs="Times New Roman"/>
          <w:color w:val="auto"/>
          <w:kern w:val="2"/>
          <w:sz w:val="44"/>
          <w:szCs w:val="44"/>
          <w:highlight w:val="none"/>
          <w:lang w:val="en-US" w:eastAsia="zh-CN" w:bidi="ar-SA"/>
        </w:rPr>
        <w:t>乐山市五通桥区委机构编制委员会办公室单位决算</w:t>
      </w:r>
    </w:p>
    <w:p>
      <w:pPr>
        <w:pStyle w:val="6"/>
        <w:jc w:val="center"/>
        <w:rPr>
          <w:rFonts w:hint="eastAsia" w:ascii="Times New Roman" w:hAnsi="Times New Roman" w:eastAsia="方正小标宋简体" w:cs="Times New Roman"/>
          <w:color w:val="auto"/>
          <w:kern w:val="2"/>
          <w:sz w:val="44"/>
          <w:szCs w:val="44"/>
          <w:highlight w:val="none"/>
          <w:lang w:val="en-US" w:eastAsia="zh-CN" w:bidi="ar-SA"/>
        </w:rPr>
      </w:pPr>
    </w:p>
    <w:p>
      <w:pPr>
        <w:widowControl/>
        <w:jc w:val="center"/>
        <w:rPr>
          <w:rFonts w:ascii="Times New Roman" w:hAnsi="Times New Roman" w:eastAsia="黑体"/>
          <w:color w:val="auto"/>
          <w:sz w:val="48"/>
          <w:szCs w:val="48"/>
          <w:highlight w:val="none"/>
        </w:rPr>
      </w:pPr>
      <w:r>
        <w:rPr>
          <w:rFonts w:ascii="Times New Roman" w:hAnsi="Times New Roman" w:eastAsia="方正小标宋简体"/>
          <w:color w:val="auto"/>
          <w:sz w:val="36"/>
          <w:szCs w:val="36"/>
          <w:highlight w:val="none"/>
        </w:rPr>
        <w:br w:type="page"/>
      </w:r>
      <w:r>
        <w:rPr>
          <w:rFonts w:hint="eastAsia" w:ascii="Times New Roman" w:hAnsi="Times New Roman" w:eastAsia="黑体"/>
          <w:color w:val="auto"/>
          <w:sz w:val="48"/>
          <w:szCs w:val="48"/>
          <w:highlight w:val="none"/>
        </w:rPr>
        <w:t>目录</w:t>
      </w:r>
    </w:p>
    <w:p>
      <w:pPr>
        <w:widowControl/>
        <w:jc w:val="center"/>
        <w:rPr>
          <w:rFonts w:ascii="Times New Roman" w:hAnsi="Times New Roman" w:eastAsia="黑体" w:cstheme="minorBidi"/>
          <w:color w:val="auto"/>
          <w:sz w:val="28"/>
          <w:szCs w:val="28"/>
          <w:highlight w:val="none"/>
        </w:rPr>
      </w:pPr>
    </w:p>
    <w:p>
      <w:pPr>
        <w:pStyle w:val="1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公开时间：20</w:t>
      </w:r>
      <w:r>
        <w:rPr>
          <w:rFonts w:hint="eastAsia" w:ascii="Times New Roman" w:hAnsi="Times New Roman" w:eastAsia="仿宋_GB2312" w:cs="仿宋_GB2312"/>
          <w:color w:val="auto"/>
          <w:sz w:val="32"/>
          <w:szCs w:val="32"/>
          <w:highlight w:val="none"/>
          <w:lang w:val="en-US" w:eastAsia="zh-CN"/>
        </w:rPr>
        <w:t>25</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val="en-US" w:eastAsia="zh-CN"/>
        </w:rPr>
        <w:t>10</w:t>
      </w:r>
      <w:r>
        <w:rPr>
          <w:rFonts w:hint="eastAsia" w:ascii="Times New Roman" w:hAnsi="Times New Roman" w:eastAsia="仿宋_GB2312" w:cs="仿宋_GB2312"/>
          <w:color w:val="auto"/>
          <w:sz w:val="32"/>
          <w:szCs w:val="32"/>
          <w:highlight w:val="none"/>
        </w:rPr>
        <w:t>月</w:t>
      </w:r>
      <w:r>
        <w:rPr>
          <w:rFonts w:hint="eastAsia" w:ascii="Times New Roman" w:hAnsi="Times New Roman" w:eastAsia="仿宋_GB2312" w:cs="仿宋_GB2312"/>
          <w:color w:val="auto"/>
          <w:sz w:val="32"/>
          <w:szCs w:val="32"/>
          <w:highlight w:val="none"/>
          <w:lang w:val="en-US" w:eastAsia="zh-CN"/>
        </w:rPr>
        <w:t>29</w:t>
      </w:r>
      <w:r>
        <w:rPr>
          <w:rFonts w:hint="eastAsia" w:ascii="Times New Roman" w:hAnsi="Times New Roman" w:eastAsia="仿宋_GB2312" w:cs="仿宋_GB2312"/>
          <w:color w:val="auto"/>
          <w:sz w:val="32"/>
          <w:szCs w:val="32"/>
          <w:highlight w:val="none"/>
        </w:rPr>
        <w:t>日</w:t>
      </w:r>
    </w:p>
    <w:p>
      <w:pPr>
        <w:rPr>
          <w:rFonts w:ascii="Times New Roman" w:hAnsi="Times New Roman"/>
          <w:color w:val="auto"/>
          <w:highlight w:val="none"/>
        </w:rPr>
      </w:pPr>
    </w:p>
    <w:p>
      <w:pPr>
        <w:pStyle w:val="13"/>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eastAsia" w:ascii="Times New Roman" w:hAnsi="Times New Roman" w:eastAsia="黑体" w:cs="黑体"/>
          <w:color w:val="auto"/>
          <w:sz w:val="32"/>
          <w:szCs w:val="32"/>
          <w:highlight w:val="none"/>
        </w:rPr>
      </w:pPr>
      <w:r>
        <w:rPr>
          <w:rFonts w:hint="eastAsia" w:ascii="Times New Roman" w:hAnsi="Times New Roman" w:eastAsia="黑体" w:cs="黑体"/>
          <w:color w:val="auto"/>
          <w:sz w:val="32"/>
          <w:szCs w:val="32"/>
          <w:highlight w:val="none"/>
        </w:rPr>
        <w:t>第一部分 部门概况</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rPr>
        <w:t>一、</w:t>
      </w:r>
      <w:r>
        <w:rPr>
          <w:rFonts w:hint="eastAsia" w:ascii="Times New Roman" w:hAnsi="Times New Roman" w:eastAsia="仿宋_GB2312" w:cs="仿宋_GB2312"/>
          <w:color w:val="auto"/>
          <w:sz w:val="32"/>
          <w:szCs w:val="32"/>
          <w:highlight w:val="none"/>
          <w:lang w:eastAsia="zh-CN"/>
        </w:rPr>
        <w:t>部门职责</w:t>
      </w:r>
      <w:r>
        <w:rPr>
          <w:rFonts w:hint="eastAsia" w:eastAsia="仿宋_GB2312" w:cs="仿宋_GB2312"/>
          <w:color w:val="auto"/>
          <w:sz w:val="32"/>
          <w:szCs w:val="32"/>
          <w:highlight w:val="none"/>
          <w:lang w:val="en-US" w:eastAsia="zh-CN"/>
        </w:rPr>
        <w:t>--------------------------------------------------4</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二、机构设置</w:t>
      </w:r>
      <w:r>
        <w:rPr>
          <w:rFonts w:hint="eastAsia" w:eastAsia="仿宋_GB2312" w:cs="仿宋_GB2312"/>
          <w:color w:val="auto"/>
          <w:sz w:val="32"/>
          <w:szCs w:val="32"/>
          <w:highlight w:val="none"/>
          <w:lang w:val="en-US" w:eastAsia="zh-CN"/>
        </w:rPr>
        <w:t>--------------------------------------------------5</w:t>
      </w:r>
    </w:p>
    <w:p>
      <w:pPr>
        <w:pStyle w:val="13"/>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eastAsia" w:ascii="Times New Roman" w:hAnsi="Times New Roman" w:eastAsia="黑体" w:cs="黑体"/>
          <w:color w:val="auto"/>
          <w:sz w:val="32"/>
          <w:szCs w:val="32"/>
          <w:highlight w:val="none"/>
        </w:rPr>
      </w:pPr>
      <w:r>
        <w:rPr>
          <w:rFonts w:hint="eastAsia" w:ascii="Times New Roman" w:hAnsi="Times New Roman" w:eastAsia="黑体" w:cs="黑体"/>
          <w:color w:val="auto"/>
          <w:sz w:val="32"/>
          <w:szCs w:val="32"/>
          <w:highlight w:val="none"/>
        </w:rPr>
        <w:t>第二部分</w:t>
      </w:r>
      <w:r>
        <w:rPr>
          <w:rFonts w:hint="eastAsia" w:ascii="Times New Roman" w:hAnsi="Times New Roman" w:eastAsia="黑体" w:cs="黑体"/>
          <w:color w:val="auto"/>
          <w:sz w:val="32"/>
          <w:szCs w:val="32"/>
          <w:highlight w:val="none"/>
          <w:lang w:val="en-US" w:eastAsia="zh-CN"/>
        </w:rPr>
        <w:t xml:space="preserve"> 2024年度</w:t>
      </w:r>
      <w:r>
        <w:rPr>
          <w:rFonts w:hint="eastAsia" w:ascii="Times New Roman" w:hAnsi="Times New Roman" w:eastAsia="黑体" w:cs="黑体"/>
          <w:color w:val="auto"/>
          <w:sz w:val="32"/>
          <w:szCs w:val="32"/>
          <w:highlight w:val="none"/>
        </w:rPr>
        <w:t>部门决算情况说明</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一、收入支出决算总体情况说明</w:t>
      </w:r>
      <w:r>
        <w:rPr>
          <w:rFonts w:hint="eastAsia" w:eastAsia="仿宋_GB2312" w:cs="仿宋_GB2312"/>
          <w:color w:val="auto"/>
          <w:sz w:val="32"/>
          <w:szCs w:val="32"/>
          <w:highlight w:val="none"/>
          <w:lang w:val="en-US" w:eastAsia="zh-CN"/>
        </w:rPr>
        <w:t>--------------------------6</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二、收入决算情况说明</w:t>
      </w:r>
      <w:r>
        <w:rPr>
          <w:rFonts w:hint="eastAsia" w:eastAsia="仿宋_GB2312" w:cs="仿宋_GB2312"/>
          <w:color w:val="auto"/>
          <w:sz w:val="32"/>
          <w:szCs w:val="32"/>
          <w:highlight w:val="none"/>
          <w:lang w:val="en-US" w:eastAsia="zh-CN"/>
        </w:rPr>
        <w:t>--------------------------------------6</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三、支出决算情况说明</w:t>
      </w:r>
      <w:r>
        <w:rPr>
          <w:rFonts w:hint="eastAsia" w:eastAsia="仿宋_GB2312" w:cs="仿宋_GB2312"/>
          <w:color w:val="auto"/>
          <w:sz w:val="32"/>
          <w:szCs w:val="32"/>
          <w:highlight w:val="none"/>
          <w:lang w:val="en-US" w:eastAsia="zh-CN"/>
        </w:rPr>
        <w:t>--------------------------------------7</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四、财政拨款收入支出决算总体情况说明</w:t>
      </w:r>
      <w:r>
        <w:rPr>
          <w:rFonts w:hint="eastAsia" w:eastAsia="仿宋_GB2312" w:cs="仿宋_GB2312"/>
          <w:color w:val="auto"/>
          <w:sz w:val="32"/>
          <w:szCs w:val="32"/>
          <w:highlight w:val="none"/>
          <w:lang w:val="en-US" w:eastAsia="zh-CN"/>
        </w:rPr>
        <w:t>--------------8</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638" w:leftChars="304" w:firstLine="0" w:firstLineChars="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五、一般公共预算财政拨款支出决算情况说明</w:t>
      </w:r>
      <w:r>
        <w:rPr>
          <w:rFonts w:hint="eastAsia" w:eastAsia="仿宋_GB2312" w:cs="仿宋_GB2312"/>
          <w:color w:val="auto"/>
          <w:sz w:val="32"/>
          <w:szCs w:val="32"/>
          <w:highlight w:val="none"/>
          <w:lang w:val="en-US" w:eastAsia="zh-CN"/>
        </w:rPr>
        <w:t>--------9</w:t>
      </w:r>
      <w:r>
        <w:rPr>
          <w:rFonts w:hint="eastAsia" w:ascii="Times New Roman" w:hAnsi="Times New Roman" w:eastAsia="仿宋_GB2312" w:cs="仿宋_GB2312"/>
          <w:color w:val="auto"/>
          <w:sz w:val="32"/>
          <w:szCs w:val="32"/>
          <w:highlight w:val="none"/>
        </w:rPr>
        <w:t>六、一般公共预算财政拨款基本支出决算情况说明</w:t>
      </w:r>
      <w:r>
        <w:rPr>
          <w:rFonts w:hint="eastAsia" w:eastAsia="仿宋_GB2312" w:cs="仿宋_GB2312"/>
          <w:color w:val="auto"/>
          <w:sz w:val="32"/>
          <w:szCs w:val="32"/>
          <w:highlight w:val="none"/>
          <w:lang w:val="en-US" w:eastAsia="zh-CN"/>
        </w:rPr>
        <w:t>-12</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638" w:leftChars="304" w:firstLine="0" w:firstLineChars="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七、财政拨款</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三公”经费支出决算情况说明</w:t>
      </w:r>
      <w:r>
        <w:rPr>
          <w:rFonts w:hint="eastAsia" w:eastAsia="仿宋_GB2312" w:cs="仿宋_GB2312"/>
          <w:color w:val="auto"/>
          <w:sz w:val="32"/>
          <w:szCs w:val="32"/>
          <w:highlight w:val="none"/>
          <w:lang w:val="en-US" w:eastAsia="zh-CN"/>
        </w:rPr>
        <w:t>-------12</w:t>
      </w:r>
      <w:r>
        <w:rPr>
          <w:rFonts w:hint="eastAsia" w:ascii="Times New Roman" w:hAnsi="Times New Roman" w:eastAsia="仿宋_GB2312" w:cs="仿宋_GB2312"/>
          <w:color w:val="auto"/>
          <w:sz w:val="32"/>
          <w:szCs w:val="32"/>
          <w:highlight w:val="none"/>
        </w:rPr>
        <w:t>八、政府性基金预算支出决算情况说明</w:t>
      </w:r>
      <w:r>
        <w:rPr>
          <w:rFonts w:hint="eastAsia" w:eastAsia="仿宋_GB2312" w:cs="仿宋_GB2312"/>
          <w:color w:val="auto"/>
          <w:sz w:val="32"/>
          <w:szCs w:val="32"/>
          <w:highlight w:val="none"/>
          <w:lang w:val="en-US" w:eastAsia="zh-CN"/>
        </w:rPr>
        <w:t>----------------14</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638" w:leftChars="304" w:firstLine="0" w:firstLineChars="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九、</w:t>
      </w:r>
      <w:r>
        <w:rPr>
          <w:rFonts w:hint="eastAsia" w:ascii="Times New Roman" w:hAnsi="Times New Roman" w:eastAsia="仿宋_GB2312" w:cs="仿宋_GB2312"/>
          <w:color w:val="auto"/>
          <w:sz w:val="32"/>
          <w:szCs w:val="32"/>
          <w:highlight w:val="none"/>
          <w:lang w:eastAsia="zh-CN"/>
        </w:rPr>
        <w:t>国</w:t>
      </w:r>
      <w:r>
        <w:rPr>
          <w:rFonts w:hint="eastAsia" w:ascii="Times New Roman" w:hAnsi="Times New Roman" w:eastAsia="仿宋_GB2312" w:cs="仿宋_GB2312"/>
          <w:color w:val="auto"/>
          <w:sz w:val="32"/>
          <w:szCs w:val="32"/>
          <w:highlight w:val="none"/>
        </w:rPr>
        <w:t>有资本经营预算支出决算情况说明</w:t>
      </w:r>
      <w:r>
        <w:rPr>
          <w:rFonts w:hint="eastAsia" w:eastAsia="仿宋_GB2312" w:cs="仿宋_GB2312"/>
          <w:color w:val="auto"/>
          <w:sz w:val="32"/>
          <w:szCs w:val="32"/>
          <w:highlight w:val="none"/>
          <w:lang w:val="en-US" w:eastAsia="zh-CN"/>
        </w:rPr>
        <w:t>-------------14</w:t>
      </w:r>
      <w:r>
        <w:rPr>
          <w:rFonts w:hint="eastAsia" w:ascii="Times New Roman" w:hAnsi="Times New Roman" w:eastAsia="仿宋_GB2312" w:cs="仿宋_GB2312"/>
          <w:color w:val="auto"/>
          <w:sz w:val="32"/>
          <w:szCs w:val="32"/>
          <w:highlight w:val="none"/>
          <w:lang w:eastAsia="zh-CN"/>
        </w:rPr>
        <w:t>十</w:t>
      </w:r>
      <w:r>
        <w:rPr>
          <w:rFonts w:hint="eastAsia" w:ascii="Times New Roman" w:hAnsi="Times New Roman" w:eastAsia="仿宋_GB2312" w:cs="仿宋_GB2312"/>
          <w:color w:val="auto"/>
          <w:sz w:val="32"/>
          <w:szCs w:val="32"/>
          <w:highlight w:val="none"/>
        </w:rPr>
        <w:t>、其他重要事项的情况说明</w:t>
      </w:r>
      <w:r>
        <w:rPr>
          <w:rFonts w:hint="eastAsia" w:eastAsia="仿宋_GB2312" w:cs="仿宋_GB2312"/>
          <w:color w:val="auto"/>
          <w:sz w:val="32"/>
          <w:szCs w:val="32"/>
          <w:highlight w:val="none"/>
          <w:lang w:val="en-US" w:eastAsia="zh-CN"/>
        </w:rPr>
        <w:t>----------------------------15</w:t>
      </w:r>
    </w:p>
    <w:p>
      <w:pPr>
        <w:pStyle w:val="13"/>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default"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sz w:val="32"/>
          <w:szCs w:val="32"/>
          <w:highlight w:val="none"/>
        </w:rPr>
        <w:t>第三部分 名词解释</w:t>
      </w:r>
      <w:r>
        <w:rPr>
          <w:rFonts w:hint="eastAsia" w:ascii="Times New Roman" w:hAnsi="Times New Roman" w:eastAsia="黑体" w:cs="黑体"/>
          <w:color w:val="auto"/>
          <w:sz w:val="32"/>
          <w:szCs w:val="32"/>
          <w:highlight w:val="none"/>
          <w:lang w:val="en-US" w:eastAsia="zh-CN"/>
        </w:rPr>
        <w:t>-----------------------------------------------16</w:t>
      </w:r>
    </w:p>
    <w:p>
      <w:pPr>
        <w:pStyle w:val="13"/>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default"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sz w:val="32"/>
          <w:szCs w:val="32"/>
          <w:highlight w:val="none"/>
        </w:rPr>
        <w:t>第四部分 附件</w:t>
      </w:r>
      <w:r>
        <w:rPr>
          <w:rFonts w:hint="eastAsia" w:ascii="Times New Roman" w:hAnsi="Times New Roman" w:eastAsia="黑体" w:cs="黑体"/>
          <w:color w:val="auto"/>
          <w:sz w:val="32"/>
          <w:szCs w:val="32"/>
          <w:highlight w:val="none"/>
          <w:lang w:val="en-US" w:eastAsia="zh-CN"/>
        </w:rPr>
        <w:t>-----------------------------------------------------20</w:t>
      </w:r>
    </w:p>
    <w:p>
      <w:pPr>
        <w:pStyle w:val="13"/>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default"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sz w:val="32"/>
          <w:szCs w:val="32"/>
          <w:highlight w:val="none"/>
        </w:rPr>
        <w:t>第五部分 附表</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一、收入支出决算总表</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二、收入决算表</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三、支出决算表</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四、财政拨款收入支出决算总表</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五、财政拨款支出决算明细表</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六、一般公共预算财政拨款支出决算表</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七、一般公共预算财政拨款支出决算明细表</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八、一般公共预算财政拨款基本支出决算</w:t>
      </w:r>
      <w:r>
        <w:rPr>
          <w:rFonts w:hint="eastAsia" w:ascii="Times New Roman" w:hAnsi="Times New Roman" w:eastAsia="仿宋_GB2312" w:cs="仿宋_GB2312"/>
          <w:color w:val="auto"/>
          <w:sz w:val="32"/>
          <w:szCs w:val="32"/>
          <w:highlight w:val="none"/>
          <w:lang w:eastAsia="zh-CN"/>
        </w:rPr>
        <w:t>明细</w:t>
      </w:r>
      <w:r>
        <w:rPr>
          <w:rFonts w:hint="eastAsia" w:ascii="Times New Roman" w:hAnsi="Times New Roman" w:eastAsia="仿宋_GB2312" w:cs="仿宋_GB2312"/>
          <w:color w:val="auto"/>
          <w:sz w:val="32"/>
          <w:szCs w:val="32"/>
          <w:highlight w:val="none"/>
        </w:rPr>
        <w:t>表</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九、一般公共预算财政拨款项目支出决算表</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十、政府性基金预算财政拨款收入支出决算表</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十一、国有资本经营预算财政拨款收入支出决算表</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十二、</w:t>
      </w:r>
      <w:r>
        <w:rPr>
          <w:rFonts w:hint="eastAsia" w:ascii="Times New Roman" w:hAnsi="Times New Roman" w:eastAsia="仿宋_GB2312" w:cs="仿宋_GB2312"/>
          <w:color w:val="auto"/>
          <w:sz w:val="32"/>
          <w:szCs w:val="32"/>
          <w:highlight w:val="none"/>
          <w:lang w:val="en-US" w:eastAsia="zh-CN"/>
        </w:rPr>
        <w:t>国有资本经营预算财政拨款支出决算表</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十三、财政拨款“三公”经费支出决算表</w:t>
      </w:r>
    </w:p>
    <w:p>
      <w:pPr>
        <w:keepNext w:val="0"/>
        <w:keepLines w:val="0"/>
        <w:pageBreakBefore w:val="0"/>
        <w:widowControl/>
        <w:kinsoku/>
        <w:wordWrap/>
        <w:overflowPunct/>
        <w:topLinePunct w:val="0"/>
        <w:autoSpaceDE/>
        <w:autoSpaceDN/>
        <w:bidi w:val="0"/>
        <w:spacing w:line="560" w:lineRule="exact"/>
        <w:jc w:val="left"/>
        <w:textAlignment w:val="auto"/>
        <w:rPr>
          <w:rFonts w:hint="eastAsia" w:ascii="Times New Roman" w:hAnsi="Times New Roman" w:eastAsia="仿宋_GB2312" w:cs="仿宋_GB2312"/>
          <w:bCs/>
          <w:color w:val="auto"/>
          <w:kern w:val="44"/>
          <w:sz w:val="32"/>
          <w:szCs w:val="32"/>
          <w:highlight w:val="none"/>
        </w:rPr>
      </w:pPr>
      <w:bookmarkStart w:id="11" w:name="_Toc15377196"/>
      <w:bookmarkStart w:id="12" w:name="_Toc15396599"/>
      <w:r>
        <w:rPr>
          <w:rFonts w:hint="eastAsia" w:ascii="Times New Roman" w:hAnsi="Times New Roman" w:eastAsia="仿宋_GB2312" w:cs="仿宋_GB2312"/>
          <w:b/>
          <w:color w:val="auto"/>
          <w:sz w:val="32"/>
          <w:szCs w:val="32"/>
          <w:highlight w:val="none"/>
        </w:rPr>
        <w:br w:type="page"/>
      </w:r>
    </w:p>
    <w:bookmarkEnd w:id="11"/>
    <w:bookmarkEnd w:id="12"/>
    <w:p>
      <w:pPr>
        <w:pStyle w:val="3"/>
        <w:jc w:val="center"/>
        <w:rPr>
          <w:rStyle w:val="28"/>
          <w:rFonts w:hint="eastAsia" w:ascii="Times New Roman" w:hAnsi="Times New Roman" w:eastAsia="方正小标宋简体" w:cs="方正小标宋简体"/>
          <w:b/>
          <w:bCs w:val="0"/>
          <w:color w:val="auto"/>
          <w:highlight w:val="none"/>
        </w:rPr>
      </w:pPr>
      <w:r>
        <w:rPr>
          <w:rFonts w:hint="eastAsia" w:ascii="Times New Roman" w:hAnsi="Times New Roman" w:eastAsia="方正小标宋简体" w:cs="方正小标宋简体"/>
          <w:b w:val="0"/>
          <w:color w:val="auto"/>
          <w:highlight w:val="none"/>
        </w:rPr>
        <w:t>第一部分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Style w:val="28"/>
          <w:rFonts w:hint="eastAsia" w:ascii="Times New Roman" w:hAnsi="Times New Roman" w:eastAsia="方正小标宋简体" w:cs="方正小标宋简体"/>
          <w:b w:val="0"/>
          <w:bCs w:val="0"/>
          <w:color w:val="auto"/>
          <w:highlight w:val="none"/>
        </w:rPr>
        <w:t>部门概况</w:t>
      </w:r>
    </w:p>
    <w:p>
      <w:pPr>
        <w:widowControl/>
        <w:jc w:val="left"/>
        <w:rPr>
          <w:rFonts w:ascii="Times New Roman" w:hAnsi="Times New Roman" w:eastAsia="黑体"/>
          <w:color w:val="auto"/>
          <w:sz w:val="32"/>
          <w:szCs w:val="32"/>
          <w:highlight w:val="none"/>
        </w:rPr>
      </w:pPr>
    </w:p>
    <w:p>
      <w:pPr>
        <w:pStyle w:val="4"/>
        <w:numPr>
          <w:ilvl w:val="0"/>
          <w:numId w:val="1"/>
        </w:numPr>
        <w:rPr>
          <w:rFonts w:hint="eastAsia" w:ascii="Times New Roman" w:hAnsi="Times New Roman" w:eastAsia="黑体"/>
          <w:b w:val="0"/>
          <w:color w:val="auto"/>
          <w:highlight w:val="none"/>
          <w:lang w:eastAsia="zh-CN"/>
        </w:rPr>
      </w:pPr>
      <w:r>
        <w:rPr>
          <w:rFonts w:hint="eastAsia" w:ascii="Times New Roman" w:hAnsi="Times New Roman" w:eastAsia="黑体"/>
          <w:b w:val="0"/>
          <w:color w:val="auto"/>
          <w:highlight w:val="none"/>
          <w:lang w:eastAsia="zh-CN"/>
        </w:rPr>
        <w:t>部门职责</w:t>
      </w:r>
    </w:p>
    <w:p>
      <w:pPr>
        <w:snapToGrid w:val="0"/>
        <w:spacing w:line="520" w:lineRule="exact"/>
        <w:ind w:firstLine="420" w:firstLineChars="200"/>
        <w:rPr>
          <w:rFonts w:ascii="仿宋" w:hAnsi="仿宋" w:eastAsia="仿宋" w:cs="仿宋"/>
          <w:sz w:val="32"/>
        </w:rPr>
      </w:pPr>
      <w:r>
        <w:rPr>
          <w:rFonts w:hint="eastAsia"/>
          <w:lang w:val="en-US" w:eastAsia="zh-CN"/>
        </w:rPr>
        <w:t xml:space="preserve">      </w:t>
      </w:r>
      <w:r>
        <w:rPr>
          <w:rFonts w:hint="eastAsia" w:ascii="仿宋" w:hAnsi="仿宋" w:eastAsia="仿宋" w:cs="仿宋"/>
          <w:sz w:val="32"/>
        </w:rPr>
        <w:t>(1)贯彻执行中央和省、市关于机构编制工作的方针政策、法律法规等，组织草拟规范性文件并监督实施。</w:t>
      </w:r>
    </w:p>
    <w:p>
      <w:pPr>
        <w:snapToGrid w:val="0"/>
        <w:spacing w:line="520" w:lineRule="exact"/>
        <w:ind w:firstLine="640" w:firstLineChars="200"/>
        <w:rPr>
          <w:rFonts w:ascii="仿宋" w:hAnsi="仿宋" w:eastAsia="仿宋" w:cs="仿宋"/>
          <w:sz w:val="32"/>
        </w:rPr>
      </w:pPr>
      <w:r>
        <w:rPr>
          <w:rFonts w:hint="eastAsia" w:ascii="仿宋" w:hAnsi="仿宋" w:eastAsia="仿宋" w:cs="仿宋"/>
          <w:sz w:val="32"/>
        </w:rPr>
        <w:t>(2)研究拟订改革方案，审核部门“三定”规定和乡镇机构改革方案，并评估改革效果。参与行政审批制度改革和行政区划调整有关工作。</w:t>
      </w:r>
    </w:p>
    <w:p>
      <w:pPr>
        <w:snapToGrid w:val="0"/>
        <w:spacing w:line="520" w:lineRule="exact"/>
        <w:ind w:firstLine="640" w:firstLineChars="200"/>
        <w:rPr>
          <w:rFonts w:ascii="仿宋" w:hAnsi="仿宋" w:eastAsia="仿宋" w:cs="仿宋"/>
          <w:sz w:val="32"/>
        </w:rPr>
      </w:pPr>
      <w:r>
        <w:rPr>
          <w:rFonts w:hint="eastAsia" w:ascii="仿宋" w:hAnsi="仿宋" w:eastAsia="仿宋" w:cs="仿宋"/>
          <w:sz w:val="32"/>
        </w:rPr>
        <w:t>(3)拟订全区行政事业编制分配方案，上报跨层级调整编制事项。负责实名制管理，对区级机关事业单位使用空缺编制情况进行核批。</w:t>
      </w:r>
    </w:p>
    <w:p>
      <w:pPr>
        <w:snapToGrid w:val="0"/>
        <w:spacing w:line="520" w:lineRule="exact"/>
        <w:ind w:firstLine="640" w:firstLineChars="200"/>
        <w:rPr>
          <w:rFonts w:ascii="仿宋" w:hAnsi="仿宋" w:eastAsia="仿宋" w:cs="仿宋"/>
          <w:sz w:val="32"/>
        </w:rPr>
      </w:pPr>
      <w:r>
        <w:rPr>
          <w:rFonts w:hint="eastAsia" w:ascii="仿宋" w:hAnsi="仿宋" w:eastAsia="仿宋" w:cs="仿宋"/>
          <w:sz w:val="32"/>
        </w:rPr>
        <w:t>(4)负责全区机构编制管理工作、审核部门内设机构设置和调整。监督检查全区机构改革及机构编制规定执行情况，开展考核评估，会同有关部门查处机构编制违法违纪行为。</w:t>
      </w:r>
    </w:p>
    <w:p>
      <w:pPr>
        <w:snapToGrid w:val="0"/>
        <w:spacing w:line="520" w:lineRule="exact"/>
        <w:ind w:firstLine="640" w:firstLineChars="200"/>
        <w:rPr>
          <w:rFonts w:ascii="仿宋" w:hAnsi="仿宋" w:eastAsia="仿宋" w:cs="仿宋"/>
          <w:sz w:val="32"/>
        </w:rPr>
      </w:pPr>
      <w:r>
        <w:rPr>
          <w:rFonts w:hint="eastAsia" w:ascii="仿宋" w:hAnsi="仿宋" w:eastAsia="仿宋" w:cs="仿宋"/>
          <w:sz w:val="32"/>
        </w:rPr>
        <w:t>(5)研究拟订全区事业单位改革方案、负责事业单位机构编制管理。</w:t>
      </w:r>
    </w:p>
    <w:p>
      <w:pPr>
        <w:snapToGrid w:val="0"/>
        <w:spacing w:line="520" w:lineRule="exact"/>
        <w:ind w:firstLine="640" w:firstLineChars="200"/>
        <w:rPr>
          <w:rFonts w:ascii="仿宋" w:hAnsi="仿宋" w:eastAsia="仿宋" w:cs="仿宋"/>
          <w:sz w:val="32"/>
        </w:rPr>
      </w:pPr>
      <w:r>
        <w:rPr>
          <w:rFonts w:hint="eastAsia" w:ascii="仿宋" w:hAnsi="仿宋" w:eastAsia="仿宋" w:cs="仿宋"/>
          <w:sz w:val="32"/>
        </w:rPr>
        <w:t>(6)负责全区事业单位登记管理、党政群机关事业单位政务和公益中文域名管理、统一社会信用代码赋码颁证工作。</w:t>
      </w:r>
    </w:p>
    <w:p>
      <w:pPr>
        <w:snapToGrid w:val="0"/>
        <w:spacing w:line="520" w:lineRule="exact"/>
        <w:ind w:firstLine="640" w:firstLineChars="200"/>
        <w:rPr>
          <w:rFonts w:ascii="仿宋" w:hAnsi="仿宋" w:eastAsia="仿宋" w:cs="仿宋"/>
          <w:sz w:val="32"/>
        </w:rPr>
      </w:pPr>
      <w:r>
        <w:rPr>
          <w:rFonts w:hint="eastAsia" w:ascii="仿宋" w:hAnsi="仿宋" w:eastAsia="仿宋" w:cs="仿宋"/>
          <w:sz w:val="32"/>
        </w:rPr>
        <w:t>(7)负责职责范围内的安全生产和职业健康、生态环境保护等工作。</w:t>
      </w:r>
    </w:p>
    <w:p>
      <w:pPr>
        <w:snapToGrid w:val="0"/>
        <w:spacing w:line="520" w:lineRule="exact"/>
        <w:ind w:firstLine="640" w:firstLineChars="200"/>
        <w:rPr>
          <w:rFonts w:ascii="仿宋" w:hAnsi="仿宋" w:eastAsia="仿宋" w:cs="仿宋"/>
          <w:sz w:val="32"/>
        </w:rPr>
      </w:pPr>
      <w:r>
        <w:rPr>
          <w:rFonts w:hint="eastAsia" w:ascii="仿宋" w:hAnsi="仿宋" w:eastAsia="仿宋" w:cs="仿宋"/>
          <w:sz w:val="32"/>
        </w:rPr>
        <w:t>(8)完成区委交办的其他工作。</w:t>
      </w:r>
    </w:p>
    <w:p>
      <w:pPr>
        <w:numPr>
          <w:ilvl w:val="0"/>
          <w:numId w:val="0"/>
        </w:numPr>
        <w:rPr>
          <w:rFonts w:hint="default"/>
          <w:lang w:val="en-US" w:eastAsia="zh-CN"/>
        </w:rPr>
      </w:pPr>
    </w:p>
    <w:p>
      <w:pPr>
        <w:pStyle w:val="4"/>
        <w:rPr>
          <w:rStyle w:val="29"/>
          <w:rFonts w:ascii="Times New Roman" w:hAnsi="Times New Roman"/>
          <w:b w:val="0"/>
          <w:bCs w:val="0"/>
          <w:color w:val="auto"/>
          <w:highlight w:val="none"/>
        </w:rPr>
      </w:pPr>
      <w:bookmarkStart w:id="13" w:name="_Toc15396601"/>
      <w:bookmarkStart w:id="14" w:name="_Toc15377200"/>
      <w:r>
        <w:rPr>
          <w:rFonts w:hint="eastAsia" w:ascii="Times New Roman" w:hAnsi="Times New Roman" w:eastAsia="黑体"/>
          <w:b w:val="0"/>
          <w:color w:val="auto"/>
          <w:highlight w:val="none"/>
        </w:rPr>
        <w:t>二、机</w:t>
      </w:r>
      <w:r>
        <w:rPr>
          <w:rStyle w:val="29"/>
          <w:rFonts w:hint="eastAsia" w:ascii="Times New Roman" w:hAnsi="Times New Roman" w:eastAsia="黑体"/>
          <w:b w:val="0"/>
          <w:bCs w:val="0"/>
          <w:color w:val="auto"/>
          <w:highlight w:val="none"/>
        </w:rPr>
        <w:t>构设置</w:t>
      </w:r>
      <w:bookmarkEnd w:id="13"/>
      <w:bookmarkEnd w:id="14"/>
    </w:p>
    <w:p>
      <w:pPr>
        <w:ind w:left="630"/>
        <w:rPr>
          <w:rFonts w:ascii="仿宋" w:hAnsi="仿宋" w:eastAsia="仿宋" w:cs="仿宋"/>
          <w:sz w:val="32"/>
        </w:rPr>
      </w:pPr>
      <w:r>
        <w:rPr>
          <w:rFonts w:hint="eastAsia" w:ascii="仿宋" w:hAnsi="仿宋" w:eastAsia="仿宋" w:cs="仿宋"/>
          <w:sz w:val="32"/>
        </w:rPr>
        <w:t>区委编办下设3个内设机构，综合股、机构编制管理股、</w:t>
      </w:r>
    </w:p>
    <w:p>
      <w:pPr>
        <w:widowControl/>
        <w:jc w:val="left"/>
        <w:rPr>
          <w:rFonts w:hint="eastAsia" w:ascii="Times New Roman" w:hAnsi="Times New Roman" w:eastAsia="方正小标宋简体" w:cs="方正小标宋简体"/>
          <w:b w:val="0"/>
          <w:color w:val="auto"/>
          <w:sz w:val="44"/>
          <w:szCs w:val="44"/>
          <w:highlight w:val="none"/>
        </w:rPr>
      </w:pPr>
      <w:r>
        <w:rPr>
          <w:rFonts w:hint="eastAsia" w:ascii="仿宋" w:hAnsi="仿宋" w:eastAsia="仿宋" w:cs="仿宋"/>
          <w:sz w:val="32"/>
        </w:rPr>
        <w:t>事业单位登记管理局。</w:t>
      </w:r>
      <w:r>
        <w:rPr>
          <w:rFonts w:ascii="仿宋" w:hAnsi="仿宋" w:eastAsia="仿宋"/>
          <w:sz w:val="32"/>
          <w:szCs w:val="32"/>
        </w:rPr>
        <w:br w:type="page"/>
      </w:r>
      <w:bookmarkStart w:id="15" w:name="_Toc15396602"/>
      <w:bookmarkStart w:id="16" w:name="_Toc15377204"/>
      <w:r>
        <w:rPr>
          <w:rFonts w:hint="eastAsia" w:ascii="Times New Roman" w:hAnsi="Times New Roman" w:eastAsia="方正小标宋简体" w:cs="方正小标宋简体"/>
          <w:b w:val="0"/>
          <w:color w:val="auto"/>
          <w:sz w:val="44"/>
          <w:szCs w:val="44"/>
          <w:highlight w:val="none"/>
        </w:rPr>
        <w:t>第二部分</w:t>
      </w:r>
      <w:r>
        <w:rPr>
          <w:rFonts w:hint="eastAsia" w:ascii="Times New Roman" w:hAnsi="Times New Roman" w:eastAsia="方正小标宋简体" w:cs="方正小标宋简体"/>
          <w:b w:val="0"/>
          <w:color w:val="auto"/>
          <w:sz w:val="44"/>
          <w:szCs w:val="44"/>
          <w:highlight w:val="none"/>
          <w:lang w:val="en-US" w:eastAsia="zh-CN"/>
        </w:rPr>
        <w:t xml:space="preserve"> </w:t>
      </w:r>
      <w:r>
        <w:rPr>
          <w:rFonts w:hint="eastAsia" w:ascii="Times New Roman" w:hAnsi="Times New Roman" w:eastAsia="方正小标宋简体" w:cs="方正小标宋简体"/>
          <w:b w:val="0"/>
          <w:color w:val="auto"/>
          <w:sz w:val="44"/>
          <w:szCs w:val="44"/>
          <w:highlight w:val="none"/>
        </w:rPr>
        <w:t xml:space="preserve"> </w:t>
      </w:r>
      <w:r>
        <w:rPr>
          <w:rFonts w:hint="eastAsia" w:ascii="Times New Roman" w:hAnsi="Times New Roman" w:eastAsia="方正小标宋简体" w:cs="方正小标宋简体"/>
          <w:b w:val="0"/>
          <w:color w:val="auto"/>
          <w:sz w:val="44"/>
          <w:szCs w:val="44"/>
          <w:highlight w:val="none"/>
          <w:lang w:val="en-US" w:eastAsia="zh-CN"/>
        </w:rPr>
        <w:t>2024年度</w:t>
      </w:r>
      <w:r>
        <w:rPr>
          <w:rFonts w:hint="eastAsia" w:ascii="Times New Roman" w:hAnsi="Times New Roman" w:eastAsia="方正小标宋简体" w:cs="方正小标宋简体"/>
          <w:b w:val="0"/>
          <w:color w:val="auto"/>
          <w:sz w:val="44"/>
          <w:szCs w:val="44"/>
          <w:highlight w:val="none"/>
        </w:rPr>
        <w:t>部门决算情况说明</w:t>
      </w:r>
      <w:bookmarkEnd w:id="15"/>
      <w:bookmarkEnd w:id="16"/>
    </w:p>
    <w:p>
      <w:pPr>
        <w:rPr>
          <w:rFonts w:ascii="Times New Roman" w:hAnsi="Times New Roman"/>
          <w:color w:val="auto"/>
          <w:sz w:val="44"/>
          <w:szCs w:val="44"/>
          <w:highlight w:val="none"/>
        </w:rPr>
      </w:pPr>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29"/>
          <w:rFonts w:hint="eastAsia" w:ascii="Times New Roman" w:hAnsi="Times New Roman" w:eastAsia="黑体"/>
          <w:b w:val="0"/>
          <w:color w:val="auto"/>
          <w:highlight w:val="none"/>
        </w:rPr>
      </w:pPr>
      <w:bookmarkStart w:id="17" w:name="_Toc15396603"/>
      <w:bookmarkStart w:id="18" w:name="_Toc15377205"/>
      <w:r>
        <w:rPr>
          <w:rFonts w:hint="eastAsia" w:ascii="Times New Roman" w:hAnsi="Times New Roman" w:eastAsia="黑体"/>
          <w:color w:val="auto"/>
          <w:sz w:val="32"/>
          <w:szCs w:val="32"/>
          <w:highlight w:val="none"/>
          <w:lang w:eastAsia="zh-CN"/>
        </w:rPr>
        <w:t>一、</w:t>
      </w:r>
      <w:r>
        <w:rPr>
          <w:rFonts w:hint="eastAsia" w:ascii="Times New Roman" w:hAnsi="Times New Roman" w:eastAsia="黑体"/>
          <w:color w:val="auto"/>
          <w:sz w:val="32"/>
          <w:szCs w:val="32"/>
          <w:highlight w:val="none"/>
        </w:rPr>
        <w:t>收</w:t>
      </w:r>
      <w:r>
        <w:rPr>
          <w:rStyle w:val="29"/>
          <w:rFonts w:hint="eastAsia" w:ascii="Times New Roman" w:hAnsi="Times New Roman" w:eastAsia="黑体"/>
          <w:b w:val="0"/>
          <w:color w:val="auto"/>
          <w:highlight w:val="none"/>
        </w:rPr>
        <w:t>入支出决算总体情况说明</w:t>
      </w:r>
      <w:bookmarkEnd w:id="17"/>
      <w:bookmarkEnd w:id="18"/>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sz w:val="32"/>
          <w:szCs w:val="32"/>
          <w:highlight w:val="none"/>
          <w:lang w:eastAsia="zh-CN"/>
        </w:rPr>
        <w:t>2024年度收入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总计</w:t>
      </w:r>
      <w:r>
        <w:rPr>
          <w:rFonts w:hint="eastAsia" w:ascii="Times New Roman" w:hAnsi="Times New Roman" w:eastAsia="仿宋_GB2312" w:cs="仿宋_GB2312"/>
          <w:color w:val="auto"/>
          <w:sz w:val="32"/>
          <w:szCs w:val="32"/>
          <w:highlight w:val="none"/>
          <w:lang w:eastAsia="zh-CN"/>
        </w:rPr>
        <w:t>均为</w:t>
      </w:r>
      <w:r>
        <w:rPr>
          <w:rFonts w:hint="eastAsia" w:ascii="仿宋_GB2312" w:hAnsi="仿宋_GB2312" w:eastAsia="仿宋_GB2312" w:cs="仿宋_GB2312"/>
          <w:sz w:val="32"/>
          <w:szCs w:val="32"/>
        </w:rPr>
        <w:t>166.9</w:t>
      </w:r>
      <w:r>
        <w:rPr>
          <w:rFonts w:hint="eastAsia" w:ascii="Times New Roman" w:hAnsi="Times New Roman" w:eastAsia="仿宋_GB2312" w:cs="仿宋_GB2312"/>
          <w:color w:val="auto"/>
          <w:sz w:val="32"/>
          <w:szCs w:val="32"/>
          <w:highlight w:val="none"/>
        </w:rPr>
        <w:t>万元。与</w:t>
      </w:r>
      <w:r>
        <w:rPr>
          <w:rFonts w:hint="eastAsia" w:ascii="Times New Roman" w:hAnsi="Times New Roman" w:eastAsia="仿宋_GB2312" w:cs="仿宋_GB2312"/>
          <w:color w:val="auto"/>
          <w:sz w:val="32"/>
          <w:szCs w:val="32"/>
          <w:highlight w:val="none"/>
          <w:lang w:eastAsia="zh-CN"/>
        </w:rPr>
        <w:t>202</w:t>
      </w:r>
      <w:r>
        <w:rPr>
          <w:rFonts w:hint="eastAsia" w:ascii="Times New Roman" w:hAnsi="Times New Roman" w:eastAsia="仿宋_GB2312" w:cs="仿宋_GB2312"/>
          <w:color w:val="auto"/>
          <w:sz w:val="32"/>
          <w:szCs w:val="32"/>
          <w:highlight w:val="none"/>
          <w:lang w:val="en-US" w:eastAsia="zh-CN"/>
        </w:rPr>
        <w:t>3</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eastAsia="zh-CN"/>
        </w:rPr>
        <w:t>度</w:t>
      </w:r>
      <w:r>
        <w:rPr>
          <w:rFonts w:hint="eastAsia" w:ascii="Times New Roman" w:hAnsi="Times New Roman" w:eastAsia="仿宋_GB2312" w:cs="仿宋_GB2312"/>
          <w:color w:val="auto"/>
          <w:sz w:val="32"/>
          <w:szCs w:val="32"/>
          <w:highlight w:val="none"/>
        </w:rPr>
        <w:t>相比，</w:t>
      </w:r>
      <w:r>
        <w:rPr>
          <w:rFonts w:hint="eastAsia" w:ascii="Times New Roman" w:hAnsi="Times New Roman" w:eastAsia="仿宋_GB2312" w:cs="仿宋_GB2312"/>
          <w:color w:val="auto"/>
          <w:sz w:val="32"/>
          <w:szCs w:val="32"/>
          <w:highlight w:val="none"/>
          <w:lang w:eastAsia="zh-CN"/>
        </w:rPr>
        <w:t>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总计各增加</w:t>
      </w:r>
      <w:r>
        <w:rPr>
          <w:rFonts w:hint="eastAsia" w:eastAsia="仿宋_GB2312" w:cs="仿宋_GB2312"/>
          <w:color w:val="auto"/>
          <w:sz w:val="32"/>
          <w:szCs w:val="32"/>
          <w:highlight w:val="none"/>
          <w:lang w:val="en-US" w:eastAsia="zh-CN"/>
        </w:rPr>
        <w:t>12.03</w:t>
      </w:r>
      <w:r>
        <w:rPr>
          <w:rFonts w:hint="eastAsia" w:ascii="Times New Roman" w:hAnsi="Times New Roman" w:eastAsia="仿宋_GB2312" w:cs="仿宋_GB2312"/>
          <w:color w:val="auto"/>
          <w:sz w:val="32"/>
          <w:szCs w:val="32"/>
          <w:highlight w:val="none"/>
        </w:rPr>
        <w:t>万元，增长</w:t>
      </w:r>
      <w:r>
        <w:rPr>
          <w:rFonts w:hint="eastAsia" w:eastAsia="仿宋_GB2312" w:cs="仿宋_GB2312"/>
          <w:color w:val="auto"/>
          <w:sz w:val="32"/>
          <w:szCs w:val="32"/>
          <w:highlight w:val="none"/>
          <w:lang w:val="en-US" w:eastAsia="zh-CN"/>
        </w:rPr>
        <w:t>7.77</w:t>
      </w:r>
      <w:r>
        <w:rPr>
          <w:rFonts w:hint="eastAsia" w:ascii="Times New Roman" w:hAnsi="Times New Roman" w:eastAsia="仿宋_GB2312" w:cs="仿宋_GB2312"/>
          <w:color w:val="auto"/>
          <w:sz w:val="32"/>
          <w:szCs w:val="32"/>
          <w:highlight w:val="none"/>
        </w:rPr>
        <w:t>%。</w:t>
      </w:r>
      <w:r>
        <w:rPr>
          <w:rFonts w:hint="eastAsia" w:ascii="仿宋_GB2312" w:hAnsi="仿宋_GB2312" w:eastAsia="仿宋_GB2312" w:cs="仿宋_GB2312"/>
          <w:color w:val="auto"/>
          <w:kern w:val="2"/>
          <w:sz w:val="32"/>
          <w:szCs w:val="32"/>
          <w:highlight w:val="none"/>
          <w:lang w:val="en-US" w:eastAsia="zh-CN" w:bidi="ar-SA"/>
        </w:rPr>
        <w:t>主要变动原因主要是本年度新公招公务员1名，增加了工资、保险公积金人员经费和人员办公经费收入11.12万元。</w:t>
      </w:r>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color w:val="FF0000"/>
          <w:sz w:val="32"/>
          <w:szCs w:val="32"/>
          <w:highlight w:val="none"/>
        </w:rPr>
      </w:pPr>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420" w:firstLineChars="200"/>
        <w:textAlignment w:val="auto"/>
        <w:outlineLvl w:val="1"/>
      </w:pPr>
    </w:p>
    <w:p>
      <w:pPr>
        <w:pStyle w:val="27"/>
        <w:keepNext w:val="0"/>
        <w:keepLines w:val="0"/>
        <w:pageBreakBefore w:val="0"/>
        <w:widowControl w:val="0"/>
        <w:numPr>
          <w:ilvl w:val="0"/>
          <w:numId w:val="0"/>
        </w:numPr>
        <w:kinsoku/>
        <w:wordWrap/>
        <w:overflowPunct/>
        <w:topLinePunct w:val="0"/>
        <w:autoSpaceDE/>
        <w:autoSpaceDN/>
        <w:bidi w:val="0"/>
        <w:adjustRightInd/>
        <w:snapToGrid/>
        <w:spacing w:line="1680" w:lineRule="auto"/>
        <w:ind w:firstLine="420" w:firstLineChars="200"/>
        <w:textAlignment w:val="auto"/>
        <w:outlineLvl w:val="1"/>
      </w:pPr>
      <w:r>
        <w:drawing>
          <wp:inline distT="0" distB="0" distL="114300" distR="114300">
            <wp:extent cx="4826000" cy="2743200"/>
            <wp:effectExtent l="4445" t="4445" r="8255" b="14605"/>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outlineLvl w:val="1"/>
        <w:rPr>
          <w:rFonts w:hint="eastAsia" w:ascii="Times New Roman" w:hAnsi="Times New Roman" w:eastAsia="仿宋_GB2312" w:cs="仿宋_GB2312"/>
          <w:color w:val="FF000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（图1：</w:t>
      </w:r>
      <w:r>
        <w:rPr>
          <w:rFonts w:hint="eastAsia" w:ascii="Times New Roman" w:hAnsi="Times New Roman" w:eastAsia="仿宋_GB2312" w:cs="仿宋_GB2312"/>
          <w:color w:val="auto"/>
          <w:sz w:val="32"/>
          <w:szCs w:val="32"/>
          <w:highlight w:val="none"/>
          <w:lang w:eastAsia="zh-CN"/>
        </w:rPr>
        <w:t>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决算总计变动情况图）（柱状图）</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color w:val="auto"/>
          <w:sz w:val="32"/>
          <w:szCs w:val="32"/>
          <w:highlight w:val="none"/>
        </w:rPr>
      </w:pPr>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olor w:val="auto"/>
          <w:sz w:val="32"/>
          <w:szCs w:val="32"/>
          <w:highlight w:val="none"/>
          <w:lang w:eastAsia="zh-CN"/>
        </w:rPr>
      </w:pPr>
      <w:bookmarkStart w:id="19" w:name="_Toc15377206"/>
      <w:bookmarkStart w:id="20" w:name="_Toc15396604"/>
      <w:r>
        <w:rPr>
          <w:rFonts w:hint="eastAsia" w:ascii="Times New Roman" w:hAnsi="Times New Roman" w:eastAsia="黑体"/>
          <w:color w:val="auto"/>
          <w:sz w:val="32"/>
          <w:szCs w:val="32"/>
          <w:highlight w:val="none"/>
          <w:lang w:eastAsia="zh-CN"/>
        </w:rPr>
        <w:t>二、收入决算情况说明</w:t>
      </w:r>
      <w:bookmarkEnd w:id="19"/>
      <w:bookmarkEnd w:id="20"/>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Times New Roman" w:hAnsi="Times New Roman" w:eastAsia="仿宋_GB2312" w:cs="仿宋_GB2312"/>
          <w:b/>
          <w:bCs/>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2024年度本年收入合计</w:t>
      </w:r>
      <w:r>
        <w:rPr>
          <w:rFonts w:hint="eastAsia" w:ascii="仿宋_GB2312" w:hAnsi="仿宋_GB2312" w:eastAsia="仿宋_GB2312" w:cs="仿宋_GB2312"/>
          <w:sz w:val="32"/>
          <w:szCs w:val="32"/>
        </w:rPr>
        <w:t>166.9万元，其中：一般公共预算财政拨款收入166.35</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99.66</w:t>
      </w:r>
      <w:r>
        <w:rPr>
          <w:rFonts w:hint="eastAsia" w:ascii="仿宋_GB2312" w:hAnsi="仿宋_GB2312" w:eastAsia="仿宋_GB2312" w:cs="仿宋_GB2312"/>
          <w:color w:val="auto"/>
          <w:sz w:val="32"/>
          <w:szCs w:val="32"/>
          <w:highlight w:val="none"/>
          <w:lang w:eastAsia="zh-CN"/>
        </w:rPr>
        <w:t>%；政府性基金预算财政拨款收入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%；国有资本经营预算财政拨款收入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%；上级补助收入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%；事业收入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%；经营收入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%；附属单位上缴收入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%；其他收入</w:t>
      </w:r>
      <w:r>
        <w:rPr>
          <w:rFonts w:hint="eastAsia" w:ascii="仿宋_GB2312" w:hAnsi="仿宋_GB2312" w:eastAsia="仿宋_GB2312" w:cs="仿宋_GB2312"/>
          <w:sz w:val="32"/>
          <w:szCs w:val="32"/>
        </w:rPr>
        <w:t>0.56</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0.33</w:t>
      </w:r>
      <w:r>
        <w:rPr>
          <w:rFonts w:hint="eastAsia" w:ascii="仿宋_GB2312" w:hAnsi="仿宋_GB2312" w:eastAsia="仿宋_GB2312" w:cs="仿宋_GB2312"/>
          <w:color w:val="auto"/>
          <w:sz w:val="32"/>
          <w:szCs w:val="32"/>
          <w:highlight w:val="none"/>
          <w:lang w:eastAsia="zh-CN"/>
        </w:rPr>
        <w:t>%。</w:t>
      </w:r>
    </w:p>
    <w:p>
      <w:pPr>
        <w:ind w:firstLine="800" w:firstLineChars="250"/>
        <w:rPr>
          <w:rFonts w:hint="eastAsia" w:ascii="Times New Roman" w:hAnsi="Times New Roman" w:eastAsia="仿宋_GB2312" w:cs="仿宋_GB2312"/>
          <w:color w:val="auto"/>
          <w:sz w:val="32"/>
          <w:szCs w:val="32"/>
          <w:highlight w:val="none"/>
          <w:lang w:eastAsia="zh-CN"/>
        </w:rPr>
      </w:pPr>
    </w:p>
    <w:p>
      <w:pPr>
        <w:pStyle w:val="2"/>
        <w:rPr>
          <w:rFonts w:hint="eastAsia" w:ascii="Times New Roman" w:hAnsi="Times New Roman" w:eastAsia="仿宋_GB2312" w:cs="仿宋_GB2312"/>
          <w:color w:val="auto"/>
          <w:sz w:val="32"/>
          <w:szCs w:val="32"/>
          <w:highlight w:val="none"/>
          <w:lang w:eastAsia="zh-CN"/>
        </w:rPr>
      </w:pPr>
      <w:r>
        <w:drawing>
          <wp:inline distT="0" distB="0" distL="114300" distR="114300">
            <wp:extent cx="4617085" cy="2581910"/>
            <wp:effectExtent l="4445" t="4445" r="7620" b="23495"/>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rPr>
          <w:rFonts w:hint="eastAsia"/>
          <w:lang w:eastAsia="zh-CN"/>
        </w:rPr>
      </w:pPr>
    </w:p>
    <w:p>
      <w:pPr>
        <w:ind w:firstLine="800" w:firstLineChars="250"/>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（图2：收入决算结构图）（饼状图）</w:t>
      </w:r>
    </w:p>
    <w:p>
      <w:pPr>
        <w:ind w:firstLine="800" w:firstLineChars="250"/>
        <w:rPr>
          <w:rFonts w:hint="eastAsia" w:ascii="Times New Roman" w:hAnsi="Times New Roman" w:eastAsia="仿宋_GB2312" w:cs="仿宋_GB2312"/>
          <w:color w:val="auto"/>
          <w:sz w:val="32"/>
          <w:szCs w:val="32"/>
          <w:highlight w:val="none"/>
          <w:lang w:eastAsia="zh-CN"/>
        </w:rPr>
      </w:pPr>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29"/>
          <w:rFonts w:hint="eastAsia" w:ascii="Times New Roman" w:hAnsi="Times New Roman" w:eastAsia="黑体"/>
          <w:b w:val="0"/>
          <w:color w:val="auto"/>
          <w:highlight w:val="none"/>
        </w:rPr>
      </w:pPr>
      <w:bookmarkStart w:id="21" w:name="_Toc15396605"/>
      <w:bookmarkStart w:id="22" w:name="_Toc15377207"/>
      <w:r>
        <w:rPr>
          <w:rFonts w:hint="eastAsia" w:ascii="Times New Roman" w:hAnsi="Times New Roman" w:eastAsia="黑体"/>
          <w:color w:val="auto"/>
          <w:sz w:val="32"/>
          <w:szCs w:val="32"/>
          <w:highlight w:val="none"/>
          <w:lang w:eastAsia="zh-CN"/>
        </w:rPr>
        <w:t>三、</w:t>
      </w:r>
      <w:r>
        <w:rPr>
          <w:rFonts w:hint="eastAsia" w:ascii="Times New Roman" w:hAnsi="Times New Roman" w:eastAsia="黑体"/>
          <w:color w:val="auto"/>
          <w:sz w:val="32"/>
          <w:szCs w:val="32"/>
          <w:highlight w:val="none"/>
        </w:rPr>
        <w:t>支</w:t>
      </w:r>
      <w:r>
        <w:rPr>
          <w:rStyle w:val="29"/>
          <w:rFonts w:hint="eastAsia" w:ascii="Times New Roman" w:hAnsi="Times New Roman" w:eastAsia="黑体"/>
          <w:b w:val="0"/>
          <w:color w:val="auto"/>
          <w:highlight w:val="none"/>
        </w:rPr>
        <w:t>出决算情况说明</w:t>
      </w:r>
      <w:bookmarkEnd w:id="21"/>
      <w:bookmarkEnd w:id="22"/>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2024年度本年支出合计</w:t>
      </w:r>
      <w:r>
        <w:rPr>
          <w:rFonts w:hint="eastAsia" w:ascii="仿宋_GB2312" w:hAnsi="仿宋_GB2312" w:eastAsia="仿宋_GB2312" w:cs="仿宋_GB2312"/>
          <w:sz w:val="32"/>
          <w:szCs w:val="32"/>
        </w:rPr>
        <w:t>166.9</w:t>
      </w:r>
      <w:r>
        <w:rPr>
          <w:rFonts w:hint="eastAsia" w:ascii="仿宋_GB2312" w:hAnsi="仿宋_GB2312" w:eastAsia="仿宋_GB2312" w:cs="仿宋_GB2312"/>
          <w:color w:val="auto"/>
          <w:sz w:val="32"/>
          <w:szCs w:val="32"/>
          <w:highlight w:val="none"/>
          <w:lang w:eastAsia="zh-CN"/>
        </w:rPr>
        <w:t>万元，其中：基本支出</w:t>
      </w:r>
      <w:r>
        <w:rPr>
          <w:rFonts w:hint="eastAsia" w:ascii="仿宋_GB2312" w:hAnsi="仿宋_GB2312" w:eastAsia="仿宋_GB2312" w:cs="仿宋_GB2312"/>
          <w:sz w:val="32"/>
          <w:szCs w:val="32"/>
        </w:rPr>
        <w:t>162.42</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97.31</w:t>
      </w:r>
      <w:r>
        <w:rPr>
          <w:rFonts w:hint="eastAsia" w:ascii="仿宋_GB2312" w:hAnsi="仿宋_GB2312" w:eastAsia="仿宋_GB2312" w:cs="仿宋_GB2312"/>
          <w:color w:val="auto"/>
          <w:sz w:val="32"/>
          <w:szCs w:val="32"/>
          <w:highlight w:val="none"/>
          <w:lang w:eastAsia="zh-CN"/>
        </w:rPr>
        <w:t>%；项目支出</w:t>
      </w:r>
      <w:r>
        <w:rPr>
          <w:rFonts w:hint="eastAsia" w:ascii="仿宋_GB2312" w:hAnsi="仿宋_GB2312" w:eastAsia="仿宋_GB2312" w:cs="仿宋_GB2312"/>
          <w:sz w:val="32"/>
          <w:szCs w:val="32"/>
        </w:rPr>
        <w:t>4.48</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2.68</w:t>
      </w:r>
      <w:r>
        <w:rPr>
          <w:rFonts w:hint="eastAsia" w:ascii="仿宋_GB2312" w:hAnsi="仿宋_GB2312" w:eastAsia="仿宋_GB2312" w:cs="仿宋_GB2312"/>
          <w:color w:val="auto"/>
          <w:sz w:val="32"/>
          <w:szCs w:val="32"/>
          <w:highlight w:val="none"/>
          <w:lang w:eastAsia="zh-CN"/>
        </w:rPr>
        <w:t>%；上缴上级支出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%；经营支出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%；对附属单位补助支出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w:t>
      </w:r>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color w:val="auto"/>
          <w:sz w:val="32"/>
          <w:szCs w:val="32"/>
          <w:highlight w:val="none"/>
          <w:lang w:eastAsia="zh-CN"/>
        </w:rPr>
      </w:pPr>
    </w:p>
    <w:p>
      <w:pPr>
        <w:ind w:firstLine="800" w:firstLineChars="250"/>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（图3：支出决算结构图）（饼状图）</w:t>
      </w:r>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420" w:firstLineChars="200"/>
        <w:jc w:val="left"/>
        <w:textAlignment w:val="auto"/>
        <w:outlineLvl w:val="1"/>
      </w:pPr>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420" w:firstLineChars="200"/>
        <w:jc w:val="left"/>
        <w:textAlignment w:val="auto"/>
        <w:outlineLvl w:val="1"/>
      </w:pPr>
    </w:p>
    <w:p>
      <w:pPr>
        <w:pStyle w:val="27"/>
        <w:keepNext w:val="0"/>
        <w:keepLines w:val="0"/>
        <w:pageBreakBefore w:val="0"/>
        <w:widowControl w:val="0"/>
        <w:numPr>
          <w:ilvl w:val="0"/>
          <w:numId w:val="0"/>
        </w:numPr>
        <w:kinsoku/>
        <w:wordWrap/>
        <w:overflowPunct/>
        <w:topLinePunct w:val="0"/>
        <w:autoSpaceDE/>
        <w:autoSpaceDN/>
        <w:bidi w:val="0"/>
        <w:adjustRightInd/>
        <w:snapToGrid/>
        <w:spacing w:line="1080" w:lineRule="auto"/>
        <w:ind w:firstLine="420" w:firstLineChars="200"/>
        <w:jc w:val="left"/>
        <w:textAlignment w:val="auto"/>
        <w:outlineLvl w:val="1"/>
      </w:pPr>
    </w:p>
    <w:p>
      <w:pPr>
        <w:pStyle w:val="27"/>
        <w:keepNext w:val="0"/>
        <w:keepLines w:val="0"/>
        <w:pageBreakBefore w:val="0"/>
        <w:widowControl w:val="0"/>
        <w:numPr>
          <w:ilvl w:val="0"/>
          <w:numId w:val="0"/>
        </w:numPr>
        <w:kinsoku/>
        <w:wordWrap/>
        <w:overflowPunct/>
        <w:topLinePunct w:val="0"/>
        <w:autoSpaceDE/>
        <w:autoSpaceDN/>
        <w:bidi w:val="0"/>
        <w:adjustRightInd/>
        <w:snapToGrid/>
        <w:spacing w:line="1680" w:lineRule="auto"/>
        <w:ind w:firstLine="420" w:firstLineChars="200"/>
        <w:jc w:val="left"/>
        <w:textAlignment w:val="auto"/>
        <w:outlineLvl w:val="1"/>
        <w:rPr>
          <w:rFonts w:hint="eastAsia"/>
          <w:lang w:eastAsia="zh-CN"/>
        </w:rPr>
      </w:pPr>
      <w:r>
        <w:drawing>
          <wp:inline distT="0" distB="0" distL="114300" distR="114300">
            <wp:extent cx="4598035" cy="2610485"/>
            <wp:effectExtent l="4445" t="4445" r="7620" b="13970"/>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ind w:firstLine="800" w:firstLineChars="250"/>
        <w:rPr>
          <w:rFonts w:hint="eastAsia" w:ascii="Times New Roman" w:hAnsi="Times New Roman" w:eastAsia="仿宋_GB2312" w:cs="仿宋_GB2312"/>
          <w:color w:val="auto"/>
          <w:sz w:val="32"/>
          <w:szCs w:val="32"/>
          <w:highlight w:val="none"/>
          <w:lang w:eastAsia="zh-CN"/>
        </w:rPr>
      </w:pPr>
    </w:p>
    <w:p>
      <w:pPr>
        <w:spacing w:line="600" w:lineRule="exact"/>
        <w:ind w:firstLine="640" w:firstLineChars="200"/>
        <w:outlineLvl w:val="1"/>
        <w:rPr>
          <w:rStyle w:val="29"/>
          <w:rFonts w:ascii="Times New Roman" w:hAnsi="Times New Roman" w:eastAsia="黑体"/>
          <w:b w:val="0"/>
          <w:color w:val="auto"/>
          <w:highlight w:val="none"/>
        </w:rPr>
      </w:pPr>
      <w:bookmarkStart w:id="23" w:name="_Toc15377208"/>
      <w:bookmarkStart w:id="24" w:name="_Toc15396606"/>
      <w:r>
        <w:rPr>
          <w:rFonts w:hint="eastAsia" w:ascii="Times New Roman" w:hAnsi="Times New Roman" w:eastAsia="黑体"/>
          <w:color w:val="auto"/>
          <w:sz w:val="32"/>
          <w:szCs w:val="32"/>
          <w:highlight w:val="none"/>
        </w:rPr>
        <w:t>四、财</w:t>
      </w:r>
      <w:r>
        <w:rPr>
          <w:rStyle w:val="29"/>
          <w:rFonts w:hint="eastAsia" w:ascii="Times New Roman" w:hAnsi="Times New Roman" w:eastAsia="黑体"/>
          <w:b w:val="0"/>
          <w:color w:val="auto"/>
          <w:highlight w:val="none"/>
        </w:rPr>
        <w:t>政拨款收入支出决算总体情况说明</w:t>
      </w:r>
      <w:bookmarkEnd w:id="23"/>
      <w:bookmarkEnd w:id="24"/>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2024年度财政拨款收入、支出总计均为</w:t>
      </w:r>
      <w:r>
        <w:rPr>
          <w:rFonts w:hint="eastAsia" w:ascii="仿宋_GB2312" w:hAnsi="仿宋_GB2312" w:eastAsia="仿宋_GB2312" w:cs="仿宋_GB2312"/>
          <w:sz w:val="32"/>
          <w:szCs w:val="32"/>
        </w:rPr>
        <w:t>166.35</w:t>
      </w:r>
      <w:r>
        <w:rPr>
          <w:rFonts w:hint="eastAsia" w:ascii="Times New Roman" w:hAnsi="Times New Roman" w:eastAsia="仿宋_GB2312" w:cs="仿宋_GB2312"/>
          <w:color w:val="auto"/>
          <w:kern w:val="2"/>
          <w:sz w:val="32"/>
          <w:szCs w:val="32"/>
          <w:highlight w:val="none"/>
          <w:lang w:val="en-US" w:eastAsia="zh-CN" w:bidi="ar-SA"/>
        </w:rPr>
        <w:t>万元。与2023年度相比，财政拨款收入总计、支出总计各增加</w:t>
      </w:r>
      <w:r>
        <w:rPr>
          <w:rFonts w:hint="eastAsia" w:eastAsia="仿宋_GB2312" w:cs="仿宋_GB2312"/>
          <w:color w:val="auto"/>
          <w:kern w:val="2"/>
          <w:sz w:val="32"/>
          <w:szCs w:val="32"/>
          <w:highlight w:val="none"/>
          <w:lang w:val="en-US" w:eastAsia="zh-CN" w:bidi="ar-SA"/>
        </w:rPr>
        <w:t>11.48</w:t>
      </w:r>
      <w:r>
        <w:rPr>
          <w:rFonts w:hint="eastAsia" w:ascii="Times New Roman" w:hAnsi="Times New Roman" w:eastAsia="仿宋_GB2312" w:cs="仿宋_GB2312"/>
          <w:color w:val="auto"/>
          <w:kern w:val="2"/>
          <w:sz w:val="32"/>
          <w:szCs w:val="32"/>
          <w:highlight w:val="none"/>
          <w:lang w:val="en-US" w:eastAsia="zh-CN" w:bidi="ar-SA"/>
        </w:rPr>
        <w:t>万元，增长</w:t>
      </w:r>
      <w:r>
        <w:rPr>
          <w:rFonts w:hint="eastAsia" w:eastAsia="仿宋_GB2312" w:cs="仿宋_GB2312"/>
          <w:color w:val="auto"/>
          <w:kern w:val="2"/>
          <w:sz w:val="32"/>
          <w:szCs w:val="32"/>
          <w:highlight w:val="none"/>
          <w:lang w:val="en-US" w:eastAsia="zh-CN" w:bidi="ar-SA"/>
        </w:rPr>
        <w:t>7.41</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仿宋_GB2312" w:hAnsi="仿宋_GB2312" w:eastAsia="仿宋_GB2312" w:cs="仿宋_GB2312"/>
          <w:color w:val="auto"/>
          <w:kern w:val="2"/>
          <w:sz w:val="32"/>
          <w:szCs w:val="32"/>
          <w:highlight w:val="none"/>
          <w:lang w:val="en-US" w:eastAsia="zh-CN" w:bidi="ar-SA"/>
        </w:rPr>
        <w:t>主要变动原因主要是本年度新公招公务员1名，各增加了工资、保险公积金人员经费和人员办公经费收入支出11.12万元。</w:t>
      </w:r>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p>
    <w:p>
      <w:pPr>
        <w:spacing w:line="600" w:lineRule="exact"/>
        <w:ind w:firstLine="640"/>
        <w:rPr>
          <w:rFonts w:hint="eastAsia"/>
          <w:lang w:val="en-US" w:eastAsia="zh-CN"/>
        </w:rPr>
      </w:pPr>
      <w:r>
        <w:drawing>
          <wp:anchor distT="0" distB="0" distL="114300" distR="114300" simplePos="0" relativeHeight="251659264" behindDoc="1" locked="0" layoutInCell="1" allowOverlap="1">
            <wp:simplePos x="0" y="0"/>
            <wp:positionH relativeFrom="column">
              <wp:posOffset>410845</wp:posOffset>
            </wp:positionH>
            <wp:positionV relativeFrom="paragraph">
              <wp:posOffset>-1652905</wp:posOffset>
            </wp:positionV>
            <wp:extent cx="4367530" cy="1936115"/>
            <wp:effectExtent l="4445" t="4445" r="9525" b="21590"/>
            <wp:wrapNone/>
            <wp:docPr id="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spacing w:line="600" w:lineRule="exact"/>
        <w:ind w:firstLine="640" w:firstLineChars="200"/>
        <w:outlineLvl w:val="1"/>
        <w:rPr>
          <w:rStyle w:val="29"/>
          <w:rFonts w:ascii="Times New Roman" w:hAnsi="Times New Roman" w:eastAsia="黑体"/>
          <w:b w:val="0"/>
          <w:color w:val="auto"/>
          <w:highlight w:val="none"/>
        </w:rPr>
      </w:pPr>
      <w:bookmarkStart w:id="25" w:name="_Toc15377209"/>
      <w:bookmarkStart w:id="26" w:name="_Toc15396607"/>
      <w:r>
        <w:rPr>
          <w:rFonts w:hint="eastAsia" w:ascii="Times New Roman" w:hAnsi="Times New Roman" w:eastAsia="黑体"/>
          <w:color w:val="auto"/>
          <w:sz w:val="32"/>
          <w:szCs w:val="32"/>
          <w:highlight w:val="none"/>
        </w:rPr>
        <w:t>五、</w:t>
      </w:r>
      <w:r>
        <w:rPr>
          <w:rFonts w:hint="eastAsia" w:ascii="Times New Roman" w:hAnsi="Times New Roman" w:eastAsia="黑体"/>
          <w:b/>
          <w:color w:val="auto"/>
          <w:sz w:val="32"/>
          <w:szCs w:val="32"/>
          <w:highlight w:val="none"/>
        </w:rPr>
        <w:t>一</w:t>
      </w:r>
      <w:r>
        <w:rPr>
          <w:rStyle w:val="29"/>
          <w:rFonts w:hint="eastAsia" w:ascii="Times New Roman" w:hAnsi="Times New Roman" w:eastAsia="黑体"/>
          <w:b w:val="0"/>
          <w:color w:val="auto"/>
          <w:highlight w:val="none"/>
        </w:rPr>
        <w:t>般公共预算财政拨款支出决算情况说明</w:t>
      </w:r>
      <w:bookmarkEnd w:id="25"/>
      <w:bookmarkEnd w:id="26"/>
    </w:p>
    <w:p>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27" w:name="_Toc15377210"/>
      <w:r>
        <w:rPr>
          <w:rFonts w:hint="eastAsia" w:ascii="Times New Roman" w:hAnsi="Times New Roman" w:eastAsia="楷体_GB2312" w:cs="楷体_GB2312"/>
          <w:b/>
          <w:color w:val="auto"/>
          <w:sz w:val="32"/>
          <w:szCs w:val="32"/>
          <w:highlight w:val="none"/>
        </w:rPr>
        <w:t>（一）一般公共预算财政拨款支出决算总体情况</w:t>
      </w:r>
      <w:bookmarkEnd w:id="27"/>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2024年度一般公共预算财政拨款支出</w:t>
      </w:r>
      <w:r>
        <w:rPr>
          <w:rFonts w:hint="eastAsia" w:ascii="仿宋_GB2312" w:hAnsi="仿宋_GB2312" w:eastAsia="仿宋_GB2312" w:cs="仿宋_GB2312"/>
          <w:sz w:val="32"/>
          <w:szCs w:val="32"/>
        </w:rPr>
        <w:t>166.35</w:t>
      </w:r>
      <w:r>
        <w:rPr>
          <w:rFonts w:hint="eastAsia" w:ascii="仿宋_GB2312" w:hAnsi="仿宋_GB2312" w:eastAsia="仿宋_GB2312" w:cs="仿宋_GB2312"/>
          <w:color w:val="auto"/>
          <w:kern w:val="2"/>
          <w:sz w:val="32"/>
          <w:szCs w:val="32"/>
          <w:highlight w:val="none"/>
          <w:lang w:val="en-US" w:eastAsia="zh-CN" w:bidi="ar-SA"/>
        </w:rPr>
        <w:t>万元，占本年支出合计的</w:t>
      </w:r>
      <w:r>
        <w:rPr>
          <w:rFonts w:hint="eastAsia" w:ascii="仿宋_GB2312" w:hAnsi="仿宋_GB2312" w:eastAsia="仿宋_GB2312" w:cs="仿宋_GB2312"/>
          <w:sz w:val="32"/>
          <w:szCs w:val="32"/>
        </w:rPr>
        <w:t>99.66</w:t>
      </w:r>
      <w:r>
        <w:rPr>
          <w:rFonts w:hint="eastAsia" w:ascii="仿宋_GB2312" w:hAnsi="仿宋_GB2312" w:eastAsia="仿宋_GB2312" w:cs="仿宋_GB2312"/>
          <w:color w:val="auto"/>
          <w:kern w:val="2"/>
          <w:sz w:val="32"/>
          <w:szCs w:val="32"/>
          <w:highlight w:val="none"/>
          <w:lang w:val="en-US" w:eastAsia="zh-CN" w:bidi="ar-SA"/>
        </w:rPr>
        <w:t>%。与2023年度相比，一般公共预算财政拨款支出增加11.48万元，增长7.41%。主要变动原因主要是本</w:t>
      </w:r>
      <w:r>
        <w:rPr>
          <w:rFonts w:hint="eastAsia" w:ascii="仿宋_GB2312" w:hAnsi="仿宋_GB2312" w:eastAsia="仿宋_GB2312" w:cs="仿宋_GB2312"/>
          <w:color w:val="auto"/>
          <w:kern w:val="2"/>
          <w:sz w:val="32"/>
          <w:szCs w:val="32"/>
          <w:highlight w:val="none"/>
          <w:lang w:val="en-US" w:eastAsia="zh-CN" w:bidi="ar-SA"/>
        </w:rPr>
        <w:t>年度新公招公务员1名，增加了工资、保险公积金人员经费和人员办公经费11.12万元。</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（图5：一般公共预算财政拨款支出决算变动情况）（柱状图）</w:t>
      </w:r>
    </w:p>
    <w:p>
      <w:pPr>
        <w:pStyle w:val="2"/>
        <w:rPr>
          <w:rFonts w:hint="eastAsia"/>
          <w:lang w:val="en-US" w:eastAsia="zh-CN"/>
        </w:rPr>
      </w:pPr>
      <w:r>
        <w:drawing>
          <wp:inline distT="0" distB="0" distL="114300" distR="114300">
            <wp:extent cx="4572000" cy="3450590"/>
            <wp:effectExtent l="4445" t="4445" r="14605" b="12065"/>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28" w:name="_Toc15377211"/>
      <w:r>
        <w:rPr>
          <w:rFonts w:hint="eastAsia" w:ascii="Times New Roman" w:hAnsi="Times New Roman" w:eastAsia="楷体_GB2312" w:cs="楷体_GB2312"/>
          <w:b/>
          <w:color w:val="auto"/>
          <w:sz w:val="32"/>
          <w:szCs w:val="32"/>
          <w:highlight w:val="none"/>
        </w:rPr>
        <w:t>（二）一般公共预算财政拨款支出决算结构情况</w:t>
      </w:r>
      <w:bookmarkEnd w:id="28"/>
    </w:p>
    <w:p>
      <w:pPr>
        <w:spacing w:line="600" w:lineRule="exact"/>
        <w:ind w:firstLine="640"/>
        <w:rPr>
          <w:rFonts w:ascii="仿宋" w:hAnsi="仿宋" w:eastAsia="仿宋"/>
          <w:b/>
          <w:sz w:val="32"/>
          <w:szCs w:val="32"/>
        </w:rPr>
      </w:pPr>
      <w:r>
        <w:rPr>
          <w:rFonts w:hint="eastAsia" w:ascii="Times New Roman" w:hAnsi="Times New Roman" w:eastAsia="仿宋_GB2312" w:cs="仿宋_GB2312"/>
          <w:color w:val="auto"/>
          <w:kern w:val="2"/>
          <w:sz w:val="32"/>
          <w:szCs w:val="32"/>
          <w:highlight w:val="none"/>
          <w:lang w:val="en-US" w:eastAsia="zh-CN" w:bidi="ar-SA"/>
        </w:rPr>
        <w:t>2024年度一般公共预算财政拨款支出</w:t>
      </w:r>
      <w:r>
        <w:rPr>
          <w:rFonts w:hint="eastAsia" w:ascii="仿宋_GB2312" w:hAnsi="仿宋_GB2312" w:eastAsia="仿宋_GB2312" w:cs="仿宋_GB2312"/>
          <w:sz w:val="32"/>
          <w:szCs w:val="32"/>
        </w:rPr>
        <w:t>166.35</w:t>
      </w:r>
      <w:r>
        <w:rPr>
          <w:rFonts w:hint="eastAsia" w:ascii="仿宋_GB2312" w:hAnsi="仿宋_GB2312" w:eastAsia="仿宋_GB2312" w:cs="仿宋_GB2312"/>
          <w:color w:val="auto"/>
          <w:kern w:val="2"/>
          <w:sz w:val="32"/>
          <w:szCs w:val="32"/>
          <w:highlight w:val="none"/>
          <w:lang w:val="en-US" w:eastAsia="zh-CN" w:bidi="ar-SA"/>
        </w:rPr>
        <w:t>万元</w:t>
      </w:r>
      <w:r>
        <w:rPr>
          <w:rFonts w:hint="eastAsia" w:ascii="Times New Roman" w:hAnsi="Times New Roman" w:eastAsia="仿宋_GB2312" w:cs="仿宋_GB2312"/>
          <w:color w:val="auto"/>
          <w:kern w:val="2"/>
          <w:sz w:val="32"/>
          <w:szCs w:val="32"/>
          <w:highlight w:val="none"/>
          <w:lang w:val="en-US" w:eastAsia="zh-CN" w:bidi="ar-SA"/>
        </w:rPr>
        <w:t>，主要用于以下方面</w:t>
      </w:r>
      <w:r>
        <w:rPr>
          <w:rFonts w:hint="eastAsia" w:eastAsia="仿宋_GB2312" w:cs="仿宋_GB2312"/>
          <w:color w:val="auto"/>
          <w:kern w:val="2"/>
          <w:sz w:val="32"/>
          <w:szCs w:val="32"/>
          <w:highlight w:val="none"/>
          <w:lang w:val="en-US" w:eastAsia="zh-CN" w:bidi="ar-SA"/>
        </w:rPr>
        <w:t>：</w:t>
      </w:r>
      <w:r>
        <w:rPr>
          <w:rFonts w:hint="eastAsia" w:ascii="仿宋" w:hAnsi="仿宋" w:eastAsia="仿宋"/>
          <w:b/>
          <w:sz w:val="32"/>
          <w:szCs w:val="32"/>
        </w:rPr>
        <w:t>一般公共服务</w:t>
      </w:r>
      <w:r>
        <w:rPr>
          <w:rFonts w:hint="eastAsia" w:ascii="仿宋" w:hAnsi="仿宋" w:eastAsia="仿宋"/>
          <w:b/>
          <w:bCs/>
          <w:sz w:val="32"/>
          <w:szCs w:val="32"/>
        </w:rPr>
        <w:t>支出</w:t>
      </w:r>
      <w:r>
        <w:rPr>
          <w:rFonts w:hint="eastAsia" w:ascii="仿宋" w:hAnsi="仿宋" w:eastAsia="仿宋"/>
          <w:sz w:val="32"/>
          <w:szCs w:val="32"/>
          <w:lang w:val="en-US" w:eastAsia="zh-CN"/>
        </w:rPr>
        <w:t>129.93</w:t>
      </w:r>
      <w:r>
        <w:rPr>
          <w:rFonts w:hint="eastAsia" w:ascii="仿宋" w:hAnsi="仿宋" w:eastAsia="仿宋"/>
          <w:sz w:val="32"/>
          <w:szCs w:val="32"/>
        </w:rPr>
        <w:t>万元，占7</w:t>
      </w:r>
      <w:r>
        <w:rPr>
          <w:rFonts w:hint="eastAsia" w:ascii="仿宋" w:hAnsi="仿宋" w:eastAsia="仿宋"/>
          <w:sz w:val="32"/>
          <w:szCs w:val="32"/>
          <w:lang w:val="en-US" w:eastAsia="zh-CN"/>
        </w:rPr>
        <w:t>8.11</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社会保障和就业</w:t>
      </w:r>
      <w:r>
        <w:rPr>
          <w:rFonts w:hint="eastAsia" w:ascii="仿宋" w:hAnsi="仿宋" w:eastAsia="仿宋"/>
          <w:b/>
          <w:bCs/>
          <w:sz w:val="32"/>
          <w:szCs w:val="32"/>
        </w:rPr>
        <w:t>支出</w:t>
      </w:r>
      <w:r>
        <w:rPr>
          <w:rFonts w:hint="eastAsia" w:ascii="仿宋" w:hAnsi="仿宋" w:eastAsia="仿宋"/>
          <w:sz w:val="32"/>
          <w:szCs w:val="32"/>
          <w:lang w:val="en-US" w:eastAsia="zh-CN"/>
        </w:rPr>
        <w:t>20.6</w:t>
      </w:r>
      <w:r>
        <w:rPr>
          <w:rFonts w:hint="eastAsia" w:ascii="仿宋" w:hAnsi="仿宋" w:eastAsia="仿宋"/>
          <w:sz w:val="32"/>
          <w:szCs w:val="32"/>
        </w:rPr>
        <w:t>万元，占</w:t>
      </w:r>
      <w:r>
        <w:rPr>
          <w:rFonts w:hint="eastAsia" w:ascii="仿宋" w:hAnsi="仿宋" w:eastAsia="仿宋"/>
          <w:sz w:val="32"/>
          <w:szCs w:val="32"/>
          <w:lang w:val="en-US" w:eastAsia="zh-CN"/>
        </w:rPr>
        <w:t>12.38</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卫生健康支出</w:t>
      </w:r>
      <w:r>
        <w:rPr>
          <w:rFonts w:hint="eastAsia" w:ascii="仿宋" w:hAnsi="仿宋" w:eastAsia="仿宋"/>
          <w:sz w:val="32"/>
          <w:szCs w:val="32"/>
          <w:lang w:val="en-US" w:eastAsia="zh-CN"/>
        </w:rPr>
        <w:t>4.28</w:t>
      </w:r>
      <w:r>
        <w:rPr>
          <w:rFonts w:hint="eastAsia" w:ascii="仿宋" w:hAnsi="仿宋" w:eastAsia="仿宋"/>
          <w:sz w:val="32"/>
          <w:szCs w:val="32"/>
        </w:rPr>
        <w:t>万元，占</w:t>
      </w:r>
      <w:r>
        <w:rPr>
          <w:rFonts w:hint="eastAsia" w:ascii="仿宋" w:hAnsi="仿宋" w:eastAsia="仿宋"/>
          <w:sz w:val="32"/>
          <w:szCs w:val="32"/>
          <w:lang w:val="en-US" w:eastAsia="zh-CN"/>
        </w:rPr>
        <w:t>2.58</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住房保障支出</w:t>
      </w:r>
      <w:r>
        <w:rPr>
          <w:rFonts w:hint="eastAsia" w:ascii="仿宋" w:hAnsi="仿宋" w:eastAsia="仿宋"/>
          <w:sz w:val="32"/>
          <w:szCs w:val="32"/>
          <w:lang w:val="en-US" w:eastAsia="zh-CN"/>
        </w:rPr>
        <w:t>11.53</w:t>
      </w:r>
      <w:r>
        <w:rPr>
          <w:rFonts w:hint="eastAsia" w:ascii="仿宋" w:hAnsi="仿宋" w:eastAsia="仿宋"/>
          <w:sz w:val="32"/>
          <w:szCs w:val="32"/>
        </w:rPr>
        <w:t>万元，占</w:t>
      </w:r>
      <w:r>
        <w:rPr>
          <w:rFonts w:hint="eastAsia" w:ascii="仿宋" w:hAnsi="仿宋" w:eastAsia="仿宋"/>
          <w:sz w:val="32"/>
          <w:szCs w:val="32"/>
          <w:lang w:val="en-US" w:eastAsia="zh-CN"/>
        </w:rPr>
        <w:t>6.93</w:t>
      </w:r>
      <w:r>
        <w:rPr>
          <w:rFonts w:ascii="仿宋" w:hAnsi="仿宋" w:eastAsia="仿宋"/>
          <w:sz w:val="32"/>
          <w:szCs w:val="32"/>
        </w:rPr>
        <w:t>%</w:t>
      </w:r>
      <w:r>
        <w:rPr>
          <w:rFonts w:hint="eastAsia" w:ascii="仿宋" w:hAnsi="仿宋" w:eastAsia="仿宋"/>
          <w:sz w:val="32"/>
          <w:szCs w:val="32"/>
        </w:rPr>
        <w:t>。</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（图6：一般公共预算财政拨款支出决算结构）（</w:t>
      </w:r>
      <w:r>
        <w:rPr>
          <w:rFonts w:hint="eastAsia" w:eastAsia="仿宋_GB2312" w:cs="仿宋_GB2312"/>
          <w:color w:val="auto"/>
          <w:kern w:val="2"/>
          <w:sz w:val="32"/>
          <w:szCs w:val="32"/>
          <w:highlight w:val="none"/>
          <w:lang w:val="en-US" w:eastAsia="zh-CN" w:bidi="ar-SA"/>
        </w:rPr>
        <w:t>单位：万元</w:t>
      </w:r>
      <w:r>
        <w:rPr>
          <w:rFonts w:hint="eastAsia" w:ascii="Times New Roman" w:hAnsi="Times New Roman" w:eastAsia="仿宋_GB2312" w:cs="仿宋_GB2312"/>
          <w:color w:val="auto"/>
          <w:kern w:val="2"/>
          <w:sz w:val="32"/>
          <w:szCs w:val="32"/>
          <w:highlight w:val="none"/>
          <w:lang w:val="en-US" w:eastAsia="zh-CN" w:bidi="ar-SA"/>
        </w:rPr>
        <w:t>）</w:t>
      </w:r>
    </w:p>
    <w:p>
      <w:pPr>
        <w:pStyle w:val="2"/>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drawing>
          <wp:inline distT="0" distB="0" distL="114300" distR="114300">
            <wp:extent cx="5080000" cy="3810000"/>
            <wp:effectExtent l="4445" t="4445" r="20955" b="1460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rPr>
          <w:rFonts w:hint="eastAsia" w:ascii="Times New Roman" w:hAnsi="Times New Roman" w:eastAsia="仿宋_GB2312" w:cs="仿宋_GB2312"/>
          <w:color w:val="auto"/>
          <w:kern w:val="2"/>
          <w:sz w:val="32"/>
          <w:szCs w:val="32"/>
          <w:highlight w:val="none"/>
          <w:lang w:val="en-US" w:eastAsia="zh-CN" w:bidi="ar-SA"/>
        </w:rPr>
      </w:pPr>
    </w:p>
    <w:p>
      <w:pPr>
        <w:pStyle w:val="2"/>
        <w:rPr>
          <w:rFonts w:hint="eastAsia" w:ascii="Times New Roman" w:hAnsi="Times New Roman" w:eastAsia="仿宋_GB2312" w:cs="仿宋_GB2312"/>
          <w:color w:val="auto"/>
          <w:kern w:val="2"/>
          <w:sz w:val="32"/>
          <w:szCs w:val="32"/>
          <w:highlight w:val="none"/>
          <w:lang w:val="en-US" w:eastAsia="zh-CN" w:bidi="ar-SA"/>
        </w:rPr>
      </w:pPr>
    </w:p>
    <w:p>
      <w:pPr>
        <w:rPr>
          <w:rFonts w:hint="eastAsia" w:ascii="Times New Roman" w:hAnsi="Times New Roman" w:eastAsia="仿宋_GB2312" w:cs="仿宋_GB2312"/>
          <w:color w:val="auto"/>
          <w:kern w:val="2"/>
          <w:sz w:val="32"/>
          <w:szCs w:val="32"/>
          <w:highlight w:val="none"/>
          <w:lang w:val="en-US" w:eastAsia="zh-CN" w:bidi="ar-SA"/>
        </w:rPr>
      </w:pPr>
    </w:p>
    <w:p>
      <w:pPr>
        <w:pStyle w:val="2"/>
        <w:rPr>
          <w:rFonts w:hint="eastAsia"/>
          <w:lang w:val="en-US" w:eastAsia="zh-CN"/>
        </w:rPr>
      </w:pPr>
    </w:p>
    <w:p>
      <w:pPr>
        <w:rPr>
          <w:rFonts w:hint="eastAsia" w:ascii="Times New Roman" w:hAnsi="Times New Roman" w:eastAsia="仿宋_GB2312" w:cs="仿宋_GB2312"/>
          <w:color w:val="auto"/>
          <w:kern w:val="2"/>
          <w:sz w:val="32"/>
          <w:szCs w:val="32"/>
          <w:highlight w:val="none"/>
          <w:lang w:val="en-US" w:eastAsia="zh-CN" w:bidi="ar-SA"/>
        </w:rPr>
      </w:pPr>
    </w:p>
    <w:p>
      <w:pPr>
        <w:pStyle w:val="2"/>
        <w:rPr>
          <w:rFonts w:hint="eastAsia" w:ascii="Times New Roman" w:hAnsi="Times New Roman" w:eastAsia="仿宋_GB2312" w:cs="仿宋_GB2312"/>
          <w:color w:val="auto"/>
          <w:kern w:val="2"/>
          <w:sz w:val="32"/>
          <w:szCs w:val="32"/>
          <w:highlight w:val="none"/>
          <w:lang w:val="en-US" w:eastAsia="zh-CN" w:bidi="ar-SA"/>
        </w:rPr>
      </w:pPr>
    </w:p>
    <w:p>
      <w:pPr>
        <w:rPr>
          <w:rFonts w:hint="eastAsia" w:ascii="Times New Roman" w:hAnsi="Times New Roman" w:eastAsia="仿宋_GB2312" w:cs="仿宋_GB2312"/>
          <w:color w:val="auto"/>
          <w:kern w:val="2"/>
          <w:sz w:val="32"/>
          <w:szCs w:val="32"/>
          <w:highlight w:val="none"/>
          <w:lang w:val="en-US" w:eastAsia="zh-CN" w:bidi="ar-SA"/>
        </w:rPr>
      </w:pPr>
    </w:p>
    <w:p>
      <w:pPr>
        <w:spacing w:line="600" w:lineRule="exact"/>
        <w:rPr>
          <w:rFonts w:hint="eastAsia" w:ascii="Times New Roman" w:hAnsi="Times New Roman" w:eastAsia="仿宋_GB2312" w:cs="仿宋_GB2312"/>
          <w:color w:val="auto"/>
          <w:kern w:val="2"/>
          <w:sz w:val="32"/>
          <w:szCs w:val="32"/>
          <w:highlight w:val="none"/>
          <w:lang w:val="en-US" w:eastAsia="zh-CN" w:bidi="ar-SA"/>
        </w:rPr>
      </w:pPr>
    </w:p>
    <w:p>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29" w:name="_Toc15377212"/>
      <w:r>
        <w:rPr>
          <w:rFonts w:hint="eastAsia" w:ascii="Times New Roman" w:hAnsi="Times New Roman" w:eastAsia="楷体_GB2312" w:cs="楷体_GB2312"/>
          <w:b/>
          <w:color w:val="auto"/>
          <w:sz w:val="32"/>
          <w:szCs w:val="32"/>
          <w:highlight w:val="none"/>
        </w:rPr>
        <w:t>（三）一般公共预算财政拨款支出决算具体情况</w:t>
      </w:r>
      <w:bookmarkEnd w:id="29"/>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bookmarkStart w:id="30" w:name="_Toc15377444"/>
      <w:bookmarkStart w:id="31" w:name="_Toc15378460"/>
      <w:bookmarkStart w:id="32" w:name="_Toc15377213"/>
      <w:r>
        <w:rPr>
          <w:rFonts w:hint="eastAsia" w:ascii="Times New Roman" w:hAnsi="Times New Roman" w:eastAsia="仿宋_GB2312" w:cs="仿宋_GB2312"/>
          <w:color w:val="auto"/>
          <w:kern w:val="2"/>
          <w:sz w:val="32"/>
          <w:szCs w:val="32"/>
          <w:highlight w:val="none"/>
          <w:lang w:val="en-US" w:eastAsia="zh-CN" w:bidi="ar-SA"/>
        </w:rPr>
        <w:t>2024年度一般公共预算财政拨款支出决算数为</w:t>
      </w:r>
      <w:r>
        <w:rPr>
          <w:rFonts w:hint="eastAsia" w:ascii="仿宋_GB2312" w:hAnsi="仿宋_GB2312" w:eastAsia="仿宋_GB2312" w:cs="仿宋_GB2312"/>
          <w:sz w:val="32"/>
          <w:szCs w:val="32"/>
        </w:rPr>
        <w:t>166.35</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%。其中：</w:t>
      </w:r>
      <w:bookmarkEnd w:id="30"/>
      <w:bookmarkEnd w:id="31"/>
      <w:bookmarkEnd w:id="32"/>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w:t>
      </w:r>
      <w:r>
        <w:rPr>
          <w:rFonts w:hint="eastAsia" w:eastAsia="仿宋_GB2312" w:cs="仿宋_GB2312"/>
          <w:color w:val="auto"/>
          <w:kern w:val="2"/>
          <w:sz w:val="32"/>
          <w:szCs w:val="32"/>
          <w:highlight w:val="none"/>
          <w:lang w:val="en-US" w:eastAsia="zh-CN" w:bidi="ar-SA"/>
        </w:rPr>
        <w:t>.</w:t>
      </w:r>
      <w:r>
        <w:rPr>
          <w:rFonts w:hint="eastAsia" w:ascii="仿宋_GB2312" w:hAnsi="仿宋_GB2312" w:eastAsia="仿宋_GB2312" w:cs="仿宋_GB2312"/>
          <w:b/>
          <w:color w:val="000000"/>
          <w:sz w:val="32"/>
          <w:szCs w:val="32"/>
        </w:rPr>
        <w:t>一般公共服务支出（类）组织事务（款）行政运行（项）</w:t>
      </w:r>
      <w:r>
        <w:rPr>
          <w:rStyle w:val="18"/>
          <w:rFonts w:ascii="仿宋" w:hAnsi="仿宋" w:eastAsia="仿宋"/>
          <w:bCs/>
          <w:sz w:val="32"/>
          <w:szCs w:val="32"/>
        </w:rPr>
        <w:t>:</w:t>
      </w:r>
      <w:r>
        <w:rPr>
          <w:rStyle w:val="18"/>
          <w:rFonts w:hint="eastAsia" w:ascii="仿宋" w:hAnsi="仿宋" w:eastAsia="仿宋"/>
          <w:bCs/>
          <w:sz w:val="32"/>
          <w:szCs w:val="32"/>
        </w:rPr>
        <w:t>支出决算为</w:t>
      </w:r>
      <w:r>
        <w:rPr>
          <w:rStyle w:val="18"/>
          <w:rFonts w:hint="eastAsia" w:ascii="仿宋" w:hAnsi="仿宋" w:eastAsia="仿宋"/>
          <w:bCs/>
          <w:sz w:val="32"/>
          <w:szCs w:val="32"/>
          <w:lang w:val="en-US" w:eastAsia="zh-CN"/>
        </w:rPr>
        <w:t>125.46</w:t>
      </w:r>
      <w:r>
        <w:rPr>
          <w:rStyle w:val="18"/>
          <w:rFonts w:hint="eastAsia" w:ascii="仿宋" w:hAnsi="仿宋" w:eastAsia="仿宋"/>
          <w:bCs/>
          <w:sz w:val="32"/>
          <w:szCs w:val="32"/>
        </w:rPr>
        <w:t>万元，完成预算100</w:t>
      </w:r>
      <w:r>
        <w:rPr>
          <w:rStyle w:val="18"/>
          <w:rFonts w:ascii="仿宋" w:hAnsi="仿宋" w:eastAsia="仿宋"/>
          <w:bCs/>
          <w:sz w:val="32"/>
          <w:szCs w:val="32"/>
        </w:rPr>
        <w:t>%</w:t>
      </w:r>
      <w:r>
        <w:rPr>
          <w:rStyle w:val="18"/>
          <w:rFonts w:hint="eastAsia" w:ascii="仿宋" w:hAnsi="仿宋" w:eastAsia="仿宋"/>
          <w:bCs/>
          <w:sz w:val="32"/>
          <w:szCs w:val="32"/>
        </w:rPr>
        <w:t>，决算数与预算数持平。</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w:t>
      </w:r>
      <w:r>
        <w:rPr>
          <w:rFonts w:hint="eastAsia" w:ascii="仿宋_GB2312" w:hAnsi="仿宋_GB2312" w:eastAsia="仿宋_GB2312" w:cs="仿宋_GB2312"/>
          <w:b/>
          <w:color w:val="000000"/>
          <w:sz w:val="32"/>
          <w:szCs w:val="32"/>
        </w:rPr>
        <w:t>一般公共服务支出（类）组织事务（款）其他组织事务支出（项）</w:t>
      </w:r>
      <w:r>
        <w:rPr>
          <w:rFonts w:hint="eastAsia" w:hAnsi="仿宋_GB2312" w:cs="仿宋_GB2312"/>
          <w:b/>
          <w:color w:val="000000"/>
          <w:sz w:val="32"/>
          <w:szCs w:val="32"/>
        </w:rPr>
        <w:t>：</w:t>
      </w:r>
      <w:r>
        <w:rPr>
          <w:rStyle w:val="18"/>
          <w:rFonts w:hint="eastAsia" w:ascii="仿宋" w:hAnsi="仿宋" w:eastAsia="仿宋"/>
          <w:bCs/>
          <w:sz w:val="32"/>
          <w:szCs w:val="32"/>
        </w:rPr>
        <w:t>支出决算为4.</w:t>
      </w:r>
      <w:r>
        <w:rPr>
          <w:rStyle w:val="18"/>
          <w:rFonts w:hint="eastAsia" w:ascii="仿宋" w:hAnsi="仿宋" w:eastAsia="仿宋"/>
          <w:bCs/>
          <w:sz w:val="32"/>
          <w:szCs w:val="32"/>
          <w:lang w:val="en-US" w:eastAsia="zh-CN"/>
        </w:rPr>
        <w:t>48</w:t>
      </w:r>
      <w:r>
        <w:rPr>
          <w:rStyle w:val="18"/>
          <w:rFonts w:hint="eastAsia" w:ascii="仿宋" w:hAnsi="仿宋" w:eastAsia="仿宋"/>
          <w:bCs/>
          <w:sz w:val="32"/>
          <w:szCs w:val="32"/>
        </w:rPr>
        <w:t>万元，完成预算100</w:t>
      </w:r>
      <w:r>
        <w:rPr>
          <w:rStyle w:val="18"/>
          <w:rFonts w:ascii="仿宋" w:hAnsi="仿宋" w:eastAsia="仿宋"/>
          <w:bCs/>
          <w:sz w:val="32"/>
          <w:szCs w:val="32"/>
        </w:rPr>
        <w:t>%</w:t>
      </w:r>
      <w:r>
        <w:rPr>
          <w:rStyle w:val="18"/>
          <w:rFonts w:hint="eastAsia" w:ascii="仿宋" w:hAnsi="仿宋" w:eastAsia="仿宋"/>
          <w:bCs/>
          <w:sz w:val="32"/>
          <w:szCs w:val="32"/>
        </w:rPr>
        <w:t>，决算数与预算数持平。</w:t>
      </w:r>
    </w:p>
    <w:p>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3.</w:t>
      </w:r>
      <w:r>
        <w:rPr>
          <w:rFonts w:hint="eastAsia" w:ascii="仿宋_GB2312" w:hAnsi="仿宋_GB2312" w:eastAsia="仿宋_GB2312" w:cs="仿宋_GB2312"/>
          <w:b/>
          <w:color w:val="000000"/>
          <w:sz w:val="32"/>
          <w:szCs w:val="32"/>
        </w:rPr>
        <w:t>社会保障和就业支出（类）行政事业单位养老支出（款）机关事业单位基本养老保险缴费支出（项）</w:t>
      </w:r>
      <w:r>
        <w:rPr>
          <w:rStyle w:val="18"/>
          <w:rFonts w:ascii="仿宋" w:hAnsi="仿宋" w:eastAsia="仿宋"/>
          <w:bCs/>
          <w:sz w:val="32"/>
          <w:szCs w:val="32"/>
        </w:rPr>
        <w:t>:</w:t>
      </w:r>
      <w:r>
        <w:rPr>
          <w:rStyle w:val="18"/>
          <w:rFonts w:hint="eastAsia" w:ascii="仿宋" w:hAnsi="仿宋" w:eastAsia="仿宋"/>
          <w:bCs/>
          <w:sz w:val="32"/>
          <w:szCs w:val="32"/>
        </w:rPr>
        <w:t>支出决算为</w:t>
      </w:r>
      <w:r>
        <w:rPr>
          <w:rStyle w:val="18"/>
          <w:rFonts w:hint="eastAsia" w:ascii="仿宋" w:hAnsi="仿宋" w:eastAsia="仿宋"/>
          <w:bCs/>
          <w:sz w:val="32"/>
          <w:szCs w:val="32"/>
          <w:lang w:val="en-US" w:eastAsia="zh-CN"/>
        </w:rPr>
        <w:t>13.08</w:t>
      </w:r>
      <w:r>
        <w:rPr>
          <w:rStyle w:val="18"/>
          <w:rFonts w:hint="eastAsia" w:ascii="仿宋" w:hAnsi="仿宋" w:eastAsia="仿宋"/>
          <w:bCs/>
          <w:sz w:val="32"/>
          <w:szCs w:val="32"/>
        </w:rPr>
        <w:t>万元，完成预算100</w:t>
      </w:r>
      <w:r>
        <w:rPr>
          <w:rStyle w:val="18"/>
          <w:rFonts w:ascii="仿宋" w:hAnsi="仿宋" w:eastAsia="仿宋"/>
          <w:bCs/>
          <w:sz w:val="32"/>
          <w:szCs w:val="32"/>
        </w:rPr>
        <w:t>%</w:t>
      </w:r>
      <w:r>
        <w:rPr>
          <w:rStyle w:val="18"/>
          <w:rFonts w:hint="eastAsia" w:ascii="仿宋" w:hAnsi="仿宋" w:eastAsia="仿宋"/>
          <w:bCs/>
          <w:sz w:val="32"/>
          <w:szCs w:val="32"/>
        </w:rPr>
        <w:t>，决算数与预算数持平。</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4.</w:t>
      </w:r>
      <w:r>
        <w:rPr>
          <w:rFonts w:hint="eastAsia" w:hAnsi="仿宋_GB2312" w:cs="仿宋_GB2312"/>
          <w:b/>
          <w:color w:val="000000"/>
          <w:sz w:val="32"/>
          <w:szCs w:val="32"/>
          <w:lang w:val="en-US" w:eastAsia="zh-CN"/>
        </w:rPr>
        <w:t>社会保障和就业支出（类）行政事业单位养老支出（款）机关事业单位职业年金缴费支出（项）：</w:t>
      </w:r>
      <w:r>
        <w:rPr>
          <w:rStyle w:val="18"/>
          <w:rFonts w:hint="eastAsia" w:ascii="仿宋" w:hAnsi="仿宋" w:eastAsia="仿宋"/>
          <w:bCs/>
          <w:sz w:val="32"/>
          <w:szCs w:val="32"/>
        </w:rPr>
        <w:t>支出决算为</w:t>
      </w:r>
      <w:r>
        <w:rPr>
          <w:rStyle w:val="18"/>
          <w:rFonts w:hint="eastAsia" w:ascii="仿宋" w:hAnsi="仿宋" w:eastAsia="仿宋"/>
          <w:bCs/>
          <w:sz w:val="32"/>
          <w:szCs w:val="32"/>
          <w:lang w:val="en-US" w:eastAsia="zh-CN"/>
        </w:rPr>
        <w:t>:6.67</w:t>
      </w:r>
      <w:r>
        <w:rPr>
          <w:rStyle w:val="18"/>
          <w:rFonts w:hint="eastAsia" w:ascii="仿宋" w:hAnsi="仿宋" w:eastAsia="仿宋"/>
          <w:bCs/>
          <w:sz w:val="32"/>
          <w:szCs w:val="32"/>
        </w:rPr>
        <w:t>万元，完成预算</w:t>
      </w:r>
      <w:r>
        <w:rPr>
          <w:rStyle w:val="18"/>
          <w:rFonts w:hint="eastAsia" w:ascii="仿宋" w:hAnsi="仿宋" w:eastAsia="仿宋"/>
          <w:bCs/>
          <w:sz w:val="32"/>
          <w:szCs w:val="32"/>
          <w:lang w:val="en-US" w:eastAsia="zh-CN"/>
        </w:rPr>
        <w:t>100</w:t>
      </w:r>
      <w:r>
        <w:rPr>
          <w:rStyle w:val="18"/>
          <w:rFonts w:ascii="仿宋" w:hAnsi="仿宋" w:eastAsia="仿宋"/>
          <w:bCs/>
          <w:sz w:val="32"/>
          <w:szCs w:val="32"/>
        </w:rPr>
        <w:t>%</w:t>
      </w:r>
      <w:r>
        <w:rPr>
          <w:rStyle w:val="18"/>
          <w:rFonts w:hint="eastAsia" w:ascii="仿宋" w:hAnsi="仿宋" w:eastAsia="仿宋"/>
          <w:bCs/>
          <w:sz w:val="32"/>
          <w:szCs w:val="32"/>
        </w:rPr>
        <w:t>，决算数</w:t>
      </w:r>
      <w:r>
        <w:rPr>
          <w:rStyle w:val="18"/>
          <w:rFonts w:hint="eastAsia" w:ascii="仿宋" w:hAnsi="仿宋" w:eastAsia="仿宋"/>
          <w:bCs/>
          <w:sz w:val="32"/>
          <w:szCs w:val="32"/>
          <w:lang w:val="en-US" w:eastAsia="zh-CN"/>
        </w:rPr>
        <w:t>与</w:t>
      </w:r>
      <w:r>
        <w:rPr>
          <w:rStyle w:val="18"/>
          <w:rFonts w:hint="eastAsia" w:ascii="仿宋" w:hAnsi="仿宋" w:eastAsia="仿宋"/>
          <w:bCs/>
          <w:sz w:val="32"/>
          <w:szCs w:val="32"/>
        </w:rPr>
        <w:t>预算数</w:t>
      </w:r>
      <w:r>
        <w:rPr>
          <w:rStyle w:val="18"/>
          <w:rFonts w:hint="eastAsia" w:ascii="仿宋" w:hAnsi="仿宋" w:eastAsia="仿宋"/>
          <w:bCs/>
          <w:sz w:val="32"/>
          <w:szCs w:val="32"/>
          <w:lang w:val="en-US" w:eastAsia="zh-CN"/>
        </w:rPr>
        <w:t>持平</w:t>
      </w:r>
      <w:r>
        <w:rPr>
          <w:rStyle w:val="18"/>
          <w:rFonts w:hint="eastAsia" w:ascii="仿宋" w:hAnsi="仿宋" w:eastAsia="仿宋"/>
          <w:bCs/>
          <w:sz w:val="32"/>
          <w:szCs w:val="32"/>
        </w:rPr>
        <w:t>。</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5.</w:t>
      </w:r>
      <w:r>
        <w:rPr>
          <w:rFonts w:hint="eastAsia" w:ascii="仿宋_GB2312" w:hAnsi="仿宋_GB2312" w:eastAsia="仿宋_GB2312" w:cs="仿宋_GB2312"/>
          <w:b/>
          <w:color w:val="000000"/>
          <w:sz w:val="32"/>
          <w:szCs w:val="32"/>
        </w:rPr>
        <w:t xml:space="preserve"> 卫生健康支出（类）行政事业单位医疗（款）行政单位医疗（项）:</w:t>
      </w:r>
      <w:r>
        <w:rPr>
          <w:rStyle w:val="18"/>
          <w:rFonts w:hint="eastAsia" w:ascii="仿宋" w:hAnsi="仿宋" w:eastAsia="仿宋"/>
          <w:bCs/>
          <w:sz w:val="32"/>
          <w:szCs w:val="32"/>
        </w:rPr>
        <w:t>支出决算为:3.</w:t>
      </w:r>
      <w:r>
        <w:rPr>
          <w:rStyle w:val="18"/>
          <w:rFonts w:hint="eastAsia" w:ascii="仿宋" w:hAnsi="仿宋" w:eastAsia="仿宋"/>
          <w:bCs/>
          <w:sz w:val="32"/>
          <w:szCs w:val="32"/>
          <w:lang w:val="en-US" w:eastAsia="zh-CN"/>
        </w:rPr>
        <w:t>58</w:t>
      </w:r>
      <w:r>
        <w:rPr>
          <w:rStyle w:val="18"/>
          <w:rFonts w:hint="eastAsia" w:ascii="仿宋" w:hAnsi="仿宋" w:eastAsia="仿宋"/>
          <w:bCs/>
          <w:sz w:val="32"/>
          <w:szCs w:val="32"/>
        </w:rPr>
        <w:t>万元，完成预算100</w:t>
      </w:r>
      <w:r>
        <w:rPr>
          <w:rStyle w:val="18"/>
          <w:rFonts w:ascii="仿宋" w:hAnsi="仿宋" w:eastAsia="仿宋"/>
          <w:bCs/>
          <w:sz w:val="32"/>
          <w:szCs w:val="32"/>
        </w:rPr>
        <w:t>%</w:t>
      </w:r>
      <w:r>
        <w:rPr>
          <w:rStyle w:val="18"/>
          <w:rFonts w:hint="eastAsia" w:ascii="仿宋" w:hAnsi="仿宋" w:eastAsia="仿宋"/>
          <w:bCs/>
          <w:sz w:val="32"/>
          <w:szCs w:val="32"/>
        </w:rPr>
        <w:t>，决算数与预算数持平。</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6.</w:t>
      </w:r>
      <w:r>
        <w:rPr>
          <w:rFonts w:hint="eastAsia" w:ascii="仿宋_GB2312" w:hAnsi="仿宋_GB2312" w:eastAsia="仿宋_GB2312" w:cs="仿宋_GB2312"/>
          <w:b/>
          <w:color w:val="000000"/>
          <w:sz w:val="32"/>
          <w:szCs w:val="32"/>
        </w:rPr>
        <w:t>卫生健康支出（类）行政事业单位医疗（款）公务员医疗补助（项）:</w:t>
      </w:r>
      <w:r>
        <w:rPr>
          <w:rStyle w:val="18"/>
          <w:rFonts w:hint="eastAsia" w:ascii="仿宋" w:hAnsi="仿宋" w:eastAsia="仿宋"/>
          <w:bCs/>
          <w:sz w:val="32"/>
          <w:szCs w:val="32"/>
        </w:rPr>
        <w:t>支出决算为:0.7万元，完成预算100</w:t>
      </w:r>
      <w:r>
        <w:rPr>
          <w:rStyle w:val="18"/>
          <w:rFonts w:ascii="仿宋" w:hAnsi="仿宋" w:eastAsia="仿宋"/>
          <w:bCs/>
          <w:sz w:val="32"/>
          <w:szCs w:val="32"/>
        </w:rPr>
        <w:t>%</w:t>
      </w:r>
      <w:r>
        <w:rPr>
          <w:rStyle w:val="18"/>
          <w:rFonts w:hint="eastAsia" w:ascii="仿宋" w:hAnsi="仿宋" w:eastAsia="仿宋"/>
          <w:bCs/>
          <w:sz w:val="32"/>
          <w:szCs w:val="32"/>
        </w:rPr>
        <w:t>，决算数与预算数持平。</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 w:hAnsi="仿宋" w:eastAsia="仿宋"/>
          <w:b w:val="0"/>
          <w:sz w:val="32"/>
          <w:szCs w:val="32"/>
        </w:rPr>
        <w:t xml:space="preserve">7. </w:t>
      </w:r>
      <w:r>
        <w:rPr>
          <w:rFonts w:hint="eastAsia" w:ascii="仿宋_GB2312" w:hAnsi="仿宋_GB2312" w:eastAsia="仿宋_GB2312" w:cs="仿宋_GB2312"/>
          <w:color w:val="000000"/>
          <w:sz w:val="32"/>
          <w:szCs w:val="32"/>
        </w:rPr>
        <w:t>住房保障支出（类）住房改革支出（款）住房公积金（项）:</w:t>
      </w:r>
      <w:r>
        <w:rPr>
          <w:rStyle w:val="18"/>
          <w:rFonts w:hint="eastAsia" w:ascii="仿宋" w:hAnsi="仿宋" w:eastAsia="仿宋"/>
          <w:bCs/>
          <w:sz w:val="32"/>
          <w:szCs w:val="32"/>
        </w:rPr>
        <w:t>支出决算为:1</w:t>
      </w:r>
      <w:r>
        <w:rPr>
          <w:rStyle w:val="18"/>
          <w:rFonts w:hint="eastAsia" w:ascii="仿宋" w:hAnsi="仿宋" w:eastAsia="仿宋"/>
          <w:bCs/>
          <w:sz w:val="32"/>
          <w:szCs w:val="32"/>
          <w:lang w:val="en-US" w:eastAsia="zh-CN"/>
        </w:rPr>
        <w:t>1.53</w:t>
      </w:r>
      <w:r>
        <w:rPr>
          <w:rStyle w:val="18"/>
          <w:rFonts w:hint="eastAsia" w:ascii="仿宋" w:hAnsi="仿宋" w:eastAsia="仿宋"/>
          <w:bCs/>
          <w:sz w:val="32"/>
          <w:szCs w:val="32"/>
        </w:rPr>
        <w:t>万元，完成预算100</w:t>
      </w:r>
      <w:r>
        <w:rPr>
          <w:rStyle w:val="18"/>
          <w:rFonts w:ascii="仿宋" w:hAnsi="仿宋" w:eastAsia="仿宋"/>
          <w:bCs/>
          <w:sz w:val="32"/>
          <w:szCs w:val="32"/>
        </w:rPr>
        <w:t>%</w:t>
      </w:r>
      <w:r>
        <w:rPr>
          <w:rStyle w:val="18"/>
          <w:rFonts w:hint="eastAsia" w:ascii="仿宋" w:hAnsi="仿宋" w:eastAsia="仿宋"/>
          <w:bCs/>
          <w:sz w:val="32"/>
          <w:szCs w:val="32"/>
        </w:rPr>
        <w:t>，决算数与预算数持平。</w:t>
      </w:r>
    </w:p>
    <w:p>
      <w:pPr>
        <w:spacing w:line="600" w:lineRule="exact"/>
        <w:ind w:firstLine="640"/>
        <w:rPr>
          <w:rFonts w:hint="eastAsia" w:ascii="Times New Roman" w:hAnsi="Times New Roman" w:eastAsia="仿宋_GB2312" w:cs="仿宋_GB2312"/>
          <w:b/>
          <w:bCs/>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（注：仅罗列本部门涉及的全部功能分类科目，至项级。上述“预算”口径为全年预算数。增减变动原因为决算数&lt;项级&gt;和全年预算数&lt;项级&gt;比较，与预算数持平可以不写原因）</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tabs>
          <w:tab w:val="right" w:pos="8306"/>
        </w:tabs>
        <w:spacing w:line="600" w:lineRule="exact"/>
        <w:ind w:firstLine="640"/>
        <w:outlineLvl w:val="1"/>
        <w:rPr>
          <w:rStyle w:val="29"/>
          <w:rFonts w:ascii="Times New Roman" w:hAnsi="Times New Roman"/>
          <w:color w:val="auto"/>
          <w:highlight w:val="none"/>
        </w:rPr>
      </w:pPr>
      <w:bookmarkStart w:id="33" w:name="_Toc15396608"/>
      <w:bookmarkStart w:id="34" w:name="_Toc15377214"/>
      <w:r>
        <w:rPr>
          <w:rFonts w:hint="eastAsia" w:ascii="Times New Roman" w:hAnsi="Times New Roman" w:eastAsia="黑体"/>
          <w:color w:val="auto"/>
          <w:sz w:val="32"/>
          <w:szCs w:val="32"/>
          <w:highlight w:val="none"/>
        </w:rPr>
        <w:t>六</w:t>
      </w:r>
      <w:r>
        <w:rPr>
          <w:rFonts w:hint="eastAsia" w:ascii="Times New Roman" w:hAnsi="Times New Roman" w:eastAsia="黑体"/>
          <w:b/>
          <w:color w:val="auto"/>
          <w:sz w:val="32"/>
          <w:szCs w:val="32"/>
          <w:highlight w:val="none"/>
        </w:rPr>
        <w:t>、一</w:t>
      </w:r>
      <w:r>
        <w:rPr>
          <w:rStyle w:val="29"/>
          <w:rFonts w:hint="eastAsia" w:ascii="Times New Roman" w:hAnsi="Times New Roman" w:eastAsia="黑体"/>
          <w:b w:val="0"/>
          <w:color w:val="auto"/>
          <w:highlight w:val="none"/>
        </w:rPr>
        <w:t>般公共预算财政拨款基本支出决算情况说明</w:t>
      </w:r>
      <w:bookmarkEnd w:id="33"/>
      <w:bookmarkEnd w:id="34"/>
      <w:r>
        <w:rPr>
          <w:rStyle w:val="29"/>
          <w:rFonts w:ascii="Times New Roman" w:hAnsi="Times New Roman" w:eastAsia="黑体"/>
          <w:b w:val="0"/>
          <w:color w:val="auto"/>
          <w:highlight w:val="none"/>
        </w:rPr>
        <w:tab/>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2024年度一般公共预算财政拨款基本支出</w:t>
      </w:r>
      <w:r>
        <w:rPr>
          <w:rFonts w:hint="eastAsia" w:ascii="仿宋_GB2312" w:hAnsi="仿宋_GB2312" w:eastAsia="仿宋_GB2312" w:cs="仿宋_GB2312"/>
          <w:sz w:val="32"/>
          <w:szCs w:val="32"/>
        </w:rPr>
        <w:t>161.87</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元，其中：</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人员经费</w:t>
      </w:r>
      <w:r>
        <w:rPr>
          <w:rFonts w:hint="eastAsia" w:ascii="仿宋_GB2312" w:hAnsi="仿宋_GB2312" w:eastAsia="仿宋_GB2312" w:cs="仿宋_GB2312"/>
          <w:sz w:val="32"/>
          <w:szCs w:val="32"/>
        </w:rPr>
        <w:t>139.79</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元，主要包括：基本工资、津贴补贴、奖金、伙食补助费、机关事业单位基本养老保险缴费、职业年金缴费、其他社会保障缴费、公务员医疗补助缴费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住房公积金等。</w:t>
      </w:r>
      <w:r>
        <w:rPr>
          <w:rFonts w:hint="eastAsia" w:ascii="Times New Roman" w:hAnsi="Times New Roman" w:eastAsia="仿宋_GB2312" w:cs="仿宋_GB2312"/>
          <w:color w:val="auto"/>
          <w:kern w:val="2"/>
          <w:sz w:val="32"/>
          <w:szCs w:val="32"/>
          <w:highlight w:val="none"/>
          <w:lang w:val="en-US" w:eastAsia="zh-CN" w:bidi="ar-SA"/>
        </w:rPr>
        <w:br w:type="textWrapping"/>
      </w:r>
      <w:r>
        <w:rPr>
          <w:rFonts w:hint="eastAsia" w:ascii="Times New Roman" w:hAnsi="Times New Roman" w:eastAsia="仿宋_GB2312" w:cs="仿宋_GB2312"/>
          <w:color w:val="auto"/>
          <w:kern w:val="2"/>
          <w:sz w:val="32"/>
          <w:szCs w:val="32"/>
          <w:highlight w:val="none"/>
          <w:lang w:val="en-US" w:eastAsia="zh-CN" w:bidi="ar-SA"/>
        </w:rPr>
        <w:t>　　公用经费</w:t>
      </w:r>
      <w:r>
        <w:rPr>
          <w:rFonts w:hint="eastAsia" w:ascii="仿宋_GB2312" w:hAnsi="仿宋_GB2312" w:eastAsia="仿宋_GB2312" w:cs="仿宋_GB2312"/>
          <w:sz w:val="32"/>
          <w:szCs w:val="32"/>
        </w:rPr>
        <w:t>22.08</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元，主要包括：办公费、印刷费、水费、电费、邮电费、差旅费、劳务费、委托业务费、工会经费、福利费</w:t>
      </w:r>
      <w:r>
        <w:rPr>
          <w:rFonts w:hint="eastAsia" w:eastAsia="仿宋_GB2312" w:cs="仿宋_GB2312"/>
          <w:color w:val="auto"/>
          <w:kern w:val="2"/>
          <w:sz w:val="32"/>
          <w:szCs w:val="32"/>
          <w:highlight w:val="none"/>
          <w:lang w:val="en-US" w:eastAsia="zh-CN" w:bidi="ar-SA"/>
        </w:rPr>
        <w:t>、其他交通费用</w:t>
      </w:r>
      <w:r>
        <w:rPr>
          <w:rFonts w:hint="eastAsia" w:ascii="Times New Roman" w:hAnsi="Times New Roman" w:eastAsia="仿宋_GB2312" w:cs="仿宋_GB2312"/>
          <w:color w:val="auto"/>
          <w:kern w:val="2"/>
          <w:sz w:val="32"/>
          <w:szCs w:val="32"/>
          <w:highlight w:val="none"/>
          <w:lang w:val="en-US" w:eastAsia="zh-CN" w:bidi="ar-SA"/>
        </w:rPr>
        <w:t>等。</w:t>
      </w:r>
    </w:p>
    <w:p>
      <w:pPr>
        <w:spacing w:line="600" w:lineRule="exact"/>
        <w:ind w:firstLine="640"/>
        <w:outlineLvl w:val="1"/>
        <w:rPr>
          <w:rStyle w:val="29"/>
          <w:rFonts w:ascii="Times New Roman" w:hAnsi="Times New Roman" w:eastAsia="黑体"/>
          <w:b w:val="0"/>
          <w:color w:val="auto"/>
          <w:highlight w:val="none"/>
        </w:rPr>
      </w:pPr>
      <w:bookmarkStart w:id="35" w:name="_Toc15396609"/>
      <w:bookmarkStart w:id="36" w:name="_Toc15377215"/>
      <w:r>
        <w:rPr>
          <w:rFonts w:hint="eastAsia" w:ascii="Times New Roman" w:hAnsi="Times New Roman" w:eastAsia="黑体"/>
          <w:color w:val="auto"/>
          <w:sz w:val="32"/>
          <w:szCs w:val="32"/>
          <w:highlight w:val="none"/>
        </w:rPr>
        <w:t>七、</w:t>
      </w:r>
      <w:r>
        <w:rPr>
          <w:rStyle w:val="29"/>
          <w:rFonts w:hint="eastAsia" w:ascii="Times New Roman" w:hAnsi="Times New Roman" w:eastAsia="黑体"/>
          <w:b w:val="0"/>
          <w:color w:val="auto"/>
          <w:highlight w:val="none"/>
        </w:rPr>
        <w:t>财政拨款</w:t>
      </w:r>
      <w:r>
        <w:rPr>
          <w:rStyle w:val="29"/>
          <w:rFonts w:hint="eastAsia" w:ascii="Times New Roman" w:hAnsi="Times New Roman" w:eastAsia="黑体"/>
          <w:color w:val="auto"/>
          <w:highlight w:val="none"/>
        </w:rPr>
        <w:t>“</w:t>
      </w:r>
      <w:r>
        <w:rPr>
          <w:rStyle w:val="29"/>
          <w:rFonts w:hint="eastAsia" w:ascii="Times New Roman" w:hAnsi="Times New Roman" w:eastAsia="黑体"/>
          <w:b w:val="0"/>
          <w:color w:val="auto"/>
          <w:highlight w:val="none"/>
        </w:rPr>
        <w:t>三公”经费支出决算情况说明</w:t>
      </w:r>
      <w:bookmarkEnd w:id="35"/>
      <w:bookmarkEnd w:id="36"/>
    </w:p>
    <w:p>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37" w:name="_Toc15377216"/>
      <w:r>
        <w:rPr>
          <w:rFonts w:hint="eastAsia" w:ascii="Times New Roman" w:hAnsi="Times New Roman" w:eastAsia="楷体_GB2312" w:cs="楷体_GB2312"/>
          <w:b/>
          <w:color w:val="auto"/>
          <w:sz w:val="32"/>
          <w:szCs w:val="32"/>
          <w:highlight w:val="none"/>
        </w:rPr>
        <w:t>（一）“三公”经费财政拨款支出决算总体情况说明</w:t>
      </w:r>
      <w:bookmarkEnd w:id="37"/>
    </w:p>
    <w:p>
      <w:pPr>
        <w:spacing w:line="600" w:lineRule="exact"/>
        <w:ind w:firstLine="640"/>
        <w:rPr>
          <w:rFonts w:hint="eastAsia"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2024年度“三公”经费财政拨款支出决算为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万元，完成预算</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较上年度减少</w:t>
      </w:r>
      <w:r>
        <w:rPr>
          <w:rFonts w:hint="eastAsia" w:eastAsia="仿宋_GB2312" w:cs="仿宋_GB2312"/>
          <w:color w:val="auto"/>
          <w:kern w:val="2"/>
          <w:sz w:val="32"/>
          <w:szCs w:val="32"/>
          <w:highlight w:val="none"/>
          <w:lang w:val="en-US" w:eastAsia="zh-CN" w:bidi="ar-SA"/>
        </w:rPr>
        <w:t>0.27</w:t>
      </w:r>
      <w:r>
        <w:rPr>
          <w:rFonts w:hint="eastAsia" w:ascii="Times New Roman" w:hAnsi="Times New Roman" w:eastAsia="仿宋_GB2312" w:cs="仿宋_GB2312"/>
          <w:color w:val="auto"/>
          <w:kern w:val="2"/>
          <w:sz w:val="32"/>
          <w:szCs w:val="32"/>
          <w:highlight w:val="none"/>
          <w:lang w:val="en-US" w:eastAsia="zh-CN" w:bidi="ar-SA"/>
        </w:rPr>
        <w:t>万元，下降</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%。决算数与预算数持平</w:t>
      </w:r>
      <w:r>
        <w:rPr>
          <w:rFonts w:hint="eastAsia" w:eastAsia="仿宋_GB2312" w:cs="仿宋_GB2312"/>
          <w:color w:val="auto"/>
          <w:kern w:val="2"/>
          <w:sz w:val="32"/>
          <w:szCs w:val="32"/>
          <w:highlight w:val="none"/>
          <w:lang w:val="en-US" w:eastAsia="zh-CN" w:bidi="ar-SA"/>
        </w:rPr>
        <w:t>。</w:t>
      </w:r>
    </w:p>
    <w:p>
      <w:pPr>
        <w:spacing w:line="600" w:lineRule="exact"/>
        <w:ind w:firstLine="640"/>
        <w:rPr>
          <w:rFonts w:hint="eastAsia" w:ascii="Times New Roman" w:hAnsi="Times New Roman" w:eastAsia="仿宋_GB2312" w:cs="仿宋_GB2312"/>
          <w:b/>
          <w:bCs/>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（注：上述“预算”口径为全年预算数，包括一般公共预算和政府性基金预算财政拨款支出决算情况）</w:t>
      </w:r>
    </w:p>
    <w:p>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38" w:name="_Toc15377217"/>
      <w:r>
        <w:rPr>
          <w:rFonts w:hint="eastAsia" w:ascii="Times New Roman" w:hAnsi="Times New Roman" w:eastAsia="楷体_GB2312" w:cs="楷体_GB2312"/>
          <w:b/>
          <w:color w:val="auto"/>
          <w:sz w:val="32"/>
          <w:szCs w:val="32"/>
          <w:highlight w:val="none"/>
        </w:rPr>
        <w:t>（二）“三公”经费财政拨款支出决算具体情况说明</w:t>
      </w:r>
      <w:bookmarkEnd w:id="38"/>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2024年度“三公”经费财政拨款支出决算中，因公出国（境）费支出决算</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万元，占0%；公务用车购置及运行维护费支出决算</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万元，占0%；公务接待费支出决算</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万元，占0%。具体情况如下：</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（图7：“三公”经费财政拨款支出结构）</w:t>
      </w:r>
      <w:r>
        <w:rPr>
          <w:rFonts w:hint="eastAsia" w:eastAsia="仿宋_GB2312" w:cs="仿宋_GB2312"/>
          <w:color w:val="auto"/>
          <w:kern w:val="2"/>
          <w:sz w:val="32"/>
          <w:szCs w:val="32"/>
          <w:highlight w:val="none"/>
          <w:lang w:val="en-US" w:eastAsia="zh-CN" w:bidi="ar-SA"/>
        </w:rPr>
        <w:t>说明：三公经费支出为0，无结构图。</w:t>
      </w:r>
    </w:p>
    <w:p>
      <w:pPr>
        <w:numPr>
          <w:ilvl w:val="0"/>
          <w:numId w:val="2"/>
        </w:numPr>
        <w:spacing w:line="600" w:lineRule="exact"/>
        <w:ind w:firstLine="640"/>
        <w:rPr>
          <w:rFonts w:hint="eastAsia"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因公出国（境）经费支出**万元，完成预算**%。</w:t>
      </w:r>
      <w:r>
        <w:rPr>
          <w:rFonts w:hint="eastAsia" w:ascii="Times New Roman" w:hAnsi="Times New Roman" w:eastAsia="仿宋_GB2312" w:cs="仿宋_GB2312"/>
          <w:color w:val="auto"/>
          <w:kern w:val="2"/>
          <w:sz w:val="32"/>
          <w:szCs w:val="32"/>
          <w:highlight w:val="none"/>
          <w:lang w:val="en-US" w:eastAsia="zh-CN" w:bidi="ar-SA"/>
        </w:rPr>
        <w:t>全年安排因公出国（境）团</w:t>
      </w:r>
      <w:r>
        <w:rPr>
          <w:rFonts w:hint="eastAsia" w:ascii="仿宋_GB2312" w:hAnsi="仿宋_GB2312" w:eastAsia="仿宋_GB2312" w:cs="仿宋_GB2312"/>
          <w:color w:val="auto"/>
          <w:kern w:val="2"/>
          <w:sz w:val="32"/>
          <w:szCs w:val="32"/>
          <w:highlight w:val="none"/>
          <w:lang w:val="en-US" w:eastAsia="zh-CN" w:bidi="ar-SA"/>
        </w:rPr>
        <w:t>组</w:t>
      </w:r>
      <w:r>
        <w:rPr>
          <w:rFonts w:hint="eastAsia" w:ascii="仿宋_GB2312" w:hAnsi="仿宋_GB2312" w:eastAsia="仿宋_GB2312" w:cs="仿宋_GB2312"/>
          <w:sz w:val="32"/>
          <w:szCs w:val="32"/>
        </w:rPr>
        <w:t>0</w:t>
      </w:r>
      <w:r>
        <w:rPr>
          <w:rFonts w:hint="eastAsia" w:ascii="Times New Roman" w:hAnsi="Times New Roman" w:eastAsia="仿宋_GB2312" w:cs="仿宋_GB2312"/>
          <w:color w:val="auto"/>
          <w:kern w:val="2"/>
          <w:sz w:val="32"/>
          <w:szCs w:val="32"/>
          <w:highlight w:val="none"/>
          <w:lang w:val="en-US" w:eastAsia="zh-CN" w:bidi="ar-SA"/>
        </w:rPr>
        <w:t>次，出国（境）</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人</w:t>
      </w:r>
      <w:r>
        <w:rPr>
          <w:rFonts w:hint="eastAsia" w:ascii="Times New Roman" w:hAnsi="Times New Roman" w:eastAsia="仿宋_GB2312" w:cs="仿宋_GB2312"/>
          <w:color w:val="auto"/>
          <w:kern w:val="2"/>
          <w:sz w:val="32"/>
          <w:szCs w:val="32"/>
          <w:highlight w:val="none"/>
          <w:lang w:val="en-US" w:eastAsia="zh-CN" w:bidi="ar-SA"/>
        </w:rPr>
        <w:t>。因公出国（境）支出决算比2023年增加/减少</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万元，增长/下降</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%。主要原因是</w:t>
      </w:r>
      <w:r>
        <w:rPr>
          <w:rFonts w:hint="eastAsia" w:eastAsia="仿宋_GB2312" w:cs="仿宋_GB2312"/>
          <w:color w:val="auto"/>
          <w:kern w:val="2"/>
          <w:sz w:val="32"/>
          <w:szCs w:val="32"/>
          <w:highlight w:val="none"/>
          <w:lang w:val="en-US" w:eastAsia="zh-CN" w:bidi="ar-SA"/>
        </w:rPr>
        <w:t>：无。</w:t>
      </w:r>
    </w:p>
    <w:p>
      <w:pPr>
        <w:numPr>
          <w:ilvl w:val="0"/>
          <w:numId w:val="2"/>
        </w:num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开支内容包括：</w:t>
      </w:r>
      <w:r>
        <w:rPr>
          <w:rFonts w:hint="eastAsia" w:eastAsia="仿宋_GB2312" w:cs="仿宋_GB2312"/>
          <w:color w:val="auto"/>
          <w:kern w:val="2"/>
          <w:sz w:val="32"/>
          <w:szCs w:val="32"/>
          <w:highlight w:val="none"/>
          <w:lang w:val="en-US" w:eastAsia="zh-CN" w:bidi="ar-SA"/>
        </w:rPr>
        <w:t>无支出，无开</w:t>
      </w:r>
      <w:r>
        <w:rPr>
          <w:rFonts w:hint="eastAsia" w:ascii="Times New Roman" w:hAnsi="Times New Roman" w:eastAsia="仿宋_GB2312" w:cs="仿宋_GB2312"/>
          <w:color w:val="auto"/>
          <w:kern w:val="2"/>
          <w:sz w:val="32"/>
          <w:szCs w:val="32"/>
          <w:highlight w:val="none"/>
          <w:lang w:val="en-US" w:eastAsia="zh-CN" w:bidi="ar-SA"/>
        </w:rPr>
        <w:t>团组名称、出访地点、取得成效等</w:t>
      </w:r>
      <w:r>
        <w:rPr>
          <w:rFonts w:hint="eastAsia" w:eastAsia="仿宋_GB2312" w:cs="仿宋_GB2312"/>
          <w:color w:val="auto"/>
          <w:kern w:val="2"/>
          <w:sz w:val="32"/>
          <w:szCs w:val="32"/>
          <w:highlight w:val="none"/>
          <w:lang w:val="en-US" w:eastAsia="zh-CN" w:bidi="ar-SA"/>
        </w:rPr>
        <w:t>。</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2.公务用车购置及运行维护费支出</w:t>
      </w:r>
      <w:r>
        <w:rPr>
          <w:rFonts w:hint="eastAsia" w:ascii="仿宋_GB2312" w:hAnsi="仿宋_GB2312" w:eastAsia="仿宋_GB2312" w:cs="仿宋_GB2312"/>
          <w:b/>
          <w:bCs/>
          <w:color w:val="auto"/>
          <w:kern w:val="2"/>
          <w:sz w:val="32"/>
          <w:szCs w:val="32"/>
          <w:highlight w:val="none"/>
          <w:lang w:val="en-US" w:eastAsia="zh-CN" w:bidi="ar-SA"/>
        </w:rPr>
        <w:t>0万</w:t>
      </w:r>
      <w:r>
        <w:rPr>
          <w:rFonts w:hint="eastAsia" w:ascii="Times New Roman" w:hAnsi="Times New Roman" w:eastAsia="仿宋_GB2312" w:cs="仿宋_GB2312"/>
          <w:b/>
          <w:bCs/>
          <w:color w:val="auto"/>
          <w:kern w:val="2"/>
          <w:sz w:val="32"/>
          <w:szCs w:val="32"/>
          <w:highlight w:val="none"/>
          <w:lang w:val="en-US" w:eastAsia="zh-CN" w:bidi="ar-SA"/>
        </w:rPr>
        <w:t>元</w:t>
      </w:r>
      <w:r>
        <w:rPr>
          <w:rFonts w:hint="eastAsia" w:eastAsia="仿宋_GB2312" w:cs="仿宋_GB2312"/>
          <w:b/>
          <w:bCs/>
          <w:color w:val="auto"/>
          <w:kern w:val="2"/>
          <w:sz w:val="32"/>
          <w:szCs w:val="32"/>
          <w:highlight w:val="none"/>
          <w:lang w:val="en-US" w:eastAsia="zh-CN" w:bidi="ar-SA"/>
        </w:rPr>
        <w:t>，</w:t>
      </w:r>
      <w:r>
        <w:rPr>
          <w:rFonts w:hint="eastAsia" w:ascii="Times New Roman" w:hAnsi="Times New Roman" w:eastAsia="仿宋_GB2312" w:cs="仿宋_GB2312"/>
          <w:b/>
          <w:bCs/>
          <w:color w:val="auto"/>
          <w:kern w:val="2"/>
          <w:sz w:val="32"/>
          <w:szCs w:val="32"/>
          <w:highlight w:val="none"/>
          <w:lang w:val="en-US" w:eastAsia="zh-CN" w:bidi="ar-SA"/>
        </w:rPr>
        <w:t>完成预算</w:t>
      </w:r>
      <w:r>
        <w:rPr>
          <w:rFonts w:hint="eastAsia" w:eastAsia="仿宋_GB2312" w:cs="仿宋_GB2312"/>
          <w:b/>
          <w:bCs/>
          <w:color w:val="auto"/>
          <w:kern w:val="2"/>
          <w:sz w:val="32"/>
          <w:szCs w:val="32"/>
          <w:highlight w:val="none"/>
          <w:lang w:val="en-US" w:eastAsia="zh-CN" w:bidi="ar-SA"/>
        </w:rPr>
        <w:t>0</w:t>
      </w:r>
      <w:r>
        <w:rPr>
          <w:rFonts w:hint="eastAsia" w:ascii="Times New Roman" w:hAnsi="Times New Roman" w:eastAsia="仿宋_GB2312" w:cs="仿宋_GB2312"/>
          <w:b/>
          <w:bCs/>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公务用车购置及运行维护费支出决算比2023年度增加/减少</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万元，增长/下降</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%。主要原因是</w:t>
      </w:r>
      <w:r>
        <w:rPr>
          <w:rFonts w:hint="eastAsia" w:eastAsia="仿宋_GB2312" w:cs="仿宋_GB2312"/>
          <w:color w:val="auto"/>
          <w:kern w:val="2"/>
          <w:sz w:val="32"/>
          <w:szCs w:val="32"/>
          <w:highlight w:val="none"/>
          <w:lang w:val="en-US" w:eastAsia="zh-CN" w:bidi="ar-SA"/>
        </w:rPr>
        <w:t>：无支出，无原因。</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其中：公务用车购置支</w:t>
      </w:r>
      <w:r>
        <w:rPr>
          <w:rFonts w:hint="eastAsia" w:ascii="仿宋_GB2312" w:hAnsi="仿宋_GB2312" w:eastAsia="仿宋_GB2312" w:cs="仿宋_GB2312"/>
          <w:color w:val="auto"/>
          <w:kern w:val="2"/>
          <w:sz w:val="32"/>
          <w:szCs w:val="32"/>
          <w:highlight w:val="none"/>
          <w:lang w:val="en-US" w:eastAsia="zh-CN" w:bidi="ar-SA"/>
        </w:rPr>
        <w:t>出</w:t>
      </w:r>
      <w:r>
        <w:rPr>
          <w:rFonts w:hint="eastAsia" w:ascii="仿宋_GB2312" w:hAnsi="仿宋_GB2312" w:eastAsia="仿宋_GB2312" w:cs="仿宋_GB2312"/>
          <w:sz w:val="32"/>
          <w:szCs w:val="32"/>
        </w:rPr>
        <w:t>0</w:t>
      </w:r>
      <w:r>
        <w:rPr>
          <w:rFonts w:hint="eastAsia" w:ascii="Times New Roman" w:hAnsi="Times New Roman" w:eastAsia="仿宋_GB2312" w:cs="仿宋_GB2312"/>
          <w:color w:val="auto"/>
          <w:kern w:val="2"/>
          <w:sz w:val="32"/>
          <w:szCs w:val="32"/>
          <w:highlight w:val="none"/>
          <w:lang w:val="en-US" w:eastAsia="zh-CN" w:bidi="ar-SA"/>
        </w:rPr>
        <w:t>万元。全年按规定更新购置公务用车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辆，其中：轿车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辆、金额</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万元，越野车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辆、金额</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万元，载客汽车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辆、金额</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万元，主要用于</w:t>
      </w:r>
      <w:r>
        <w:rPr>
          <w:rFonts w:hint="eastAsia" w:eastAsia="仿宋_GB2312" w:cs="仿宋_GB2312"/>
          <w:color w:val="auto"/>
          <w:kern w:val="2"/>
          <w:sz w:val="32"/>
          <w:szCs w:val="32"/>
          <w:highlight w:val="none"/>
          <w:lang w:val="en-US" w:eastAsia="zh-CN" w:bidi="ar-SA"/>
        </w:rPr>
        <w:t>：无</w:t>
      </w:r>
      <w:r>
        <w:rPr>
          <w:rFonts w:hint="eastAsia" w:ascii="Times New Roman" w:hAnsi="Times New Roman" w:eastAsia="仿宋_GB2312" w:cs="仿宋_GB2312"/>
          <w:color w:val="auto"/>
          <w:kern w:val="2"/>
          <w:sz w:val="32"/>
          <w:szCs w:val="32"/>
          <w:highlight w:val="none"/>
          <w:lang w:val="en-US" w:eastAsia="zh-CN" w:bidi="ar-SA"/>
        </w:rPr>
        <w:t>。截至2024年12月31日，单位共有公务用车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辆，其中：轿车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辆、越野车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辆、载客汽车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公务用车运行维护费支</w:t>
      </w:r>
      <w:r>
        <w:rPr>
          <w:rFonts w:hint="eastAsia" w:ascii="仿宋_GB2312" w:hAnsi="仿宋_GB2312" w:eastAsia="仿宋_GB2312" w:cs="仿宋_GB2312"/>
          <w:color w:val="auto"/>
          <w:kern w:val="2"/>
          <w:sz w:val="32"/>
          <w:szCs w:val="32"/>
          <w:highlight w:val="none"/>
          <w:lang w:val="en-US" w:eastAsia="zh-CN" w:bidi="ar-SA"/>
        </w:rPr>
        <w:t>出</w:t>
      </w:r>
      <w:r>
        <w:rPr>
          <w:rFonts w:hint="eastAsia" w:ascii="仿宋_GB2312" w:hAnsi="仿宋_GB2312" w:eastAsia="仿宋_GB2312" w:cs="仿宋_GB2312"/>
          <w:sz w:val="32"/>
          <w:szCs w:val="32"/>
        </w:rPr>
        <w:t>0</w:t>
      </w:r>
      <w:r>
        <w:rPr>
          <w:rFonts w:hint="eastAsia" w:ascii="Times New Roman" w:hAnsi="Times New Roman" w:eastAsia="仿宋_GB2312" w:cs="仿宋_GB2312"/>
          <w:color w:val="auto"/>
          <w:kern w:val="2"/>
          <w:sz w:val="32"/>
          <w:szCs w:val="32"/>
          <w:highlight w:val="none"/>
          <w:lang w:val="en-US" w:eastAsia="zh-CN" w:bidi="ar-SA"/>
        </w:rPr>
        <w:t>万元。主要用于</w:t>
      </w:r>
      <w:r>
        <w:rPr>
          <w:rFonts w:hint="eastAsia" w:eastAsia="仿宋_GB2312" w:cs="仿宋_GB2312"/>
          <w:color w:val="auto"/>
          <w:kern w:val="2"/>
          <w:sz w:val="32"/>
          <w:szCs w:val="32"/>
          <w:highlight w:val="none"/>
          <w:lang w:val="en-US" w:eastAsia="zh-CN" w:bidi="ar-SA"/>
        </w:rPr>
        <w:t>：无</w:t>
      </w:r>
      <w:r>
        <w:rPr>
          <w:rFonts w:hint="eastAsia" w:ascii="Times New Roman" w:hAnsi="Times New Roman" w:eastAsia="仿宋_GB2312" w:cs="仿宋_GB2312"/>
          <w:color w:val="auto"/>
          <w:kern w:val="2"/>
          <w:sz w:val="32"/>
          <w:szCs w:val="32"/>
          <w:highlight w:val="none"/>
          <w:lang w:val="en-US" w:eastAsia="zh-CN" w:bidi="ar-SA"/>
        </w:rPr>
        <w:t>所需的公务用车燃料费、维修费、过路过桥费、保险费等支出。</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3.公务接待费支出</w:t>
      </w:r>
      <w:r>
        <w:rPr>
          <w:rFonts w:hint="eastAsia" w:ascii="仿宋_GB2312" w:hAnsi="仿宋_GB2312" w:eastAsia="仿宋_GB2312" w:cs="仿宋_GB2312"/>
          <w:b/>
          <w:bCs/>
          <w:color w:val="auto"/>
          <w:kern w:val="2"/>
          <w:sz w:val="32"/>
          <w:szCs w:val="32"/>
          <w:highlight w:val="none"/>
          <w:lang w:val="en-US" w:eastAsia="zh-CN" w:bidi="ar-SA"/>
        </w:rPr>
        <w:t>0万</w:t>
      </w:r>
      <w:r>
        <w:rPr>
          <w:rFonts w:hint="eastAsia" w:ascii="Times New Roman" w:hAnsi="Times New Roman" w:eastAsia="仿宋_GB2312" w:cs="仿宋_GB2312"/>
          <w:b/>
          <w:bCs/>
          <w:color w:val="auto"/>
          <w:kern w:val="2"/>
          <w:sz w:val="32"/>
          <w:szCs w:val="32"/>
          <w:highlight w:val="none"/>
          <w:lang w:val="en-US" w:eastAsia="zh-CN" w:bidi="ar-SA"/>
        </w:rPr>
        <w:t>元，完成预算</w:t>
      </w:r>
      <w:r>
        <w:rPr>
          <w:rFonts w:hint="eastAsia" w:eastAsia="仿宋_GB2312" w:cs="仿宋_GB2312"/>
          <w:b/>
          <w:bCs/>
          <w:color w:val="auto"/>
          <w:kern w:val="2"/>
          <w:sz w:val="32"/>
          <w:szCs w:val="32"/>
          <w:highlight w:val="none"/>
          <w:lang w:val="en-US" w:eastAsia="zh-CN" w:bidi="ar-SA"/>
        </w:rPr>
        <w:t>0</w:t>
      </w:r>
      <w:r>
        <w:rPr>
          <w:rFonts w:hint="eastAsia" w:ascii="Times New Roman" w:hAnsi="Times New Roman" w:eastAsia="仿宋_GB2312" w:cs="仿宋_GB2312"/>
          <w:b/>
          <w:bCs/>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公务接待费支出决算比2023年度增加/减少</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万元，增长/下降</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%。主要原因是</w:t>
      </w:r>
      <w:r>
        <w:rPr>
          <w:rFonts w:hint="eastAsia" w:eastAsia="仿宋_GB2312" w:cs="仿宋_GB2312"/>
          <w:color w:val="auto"/>
          <w:kern w:val="2"/>
          <w:sz w:val="32"/>
          <w:szCs w:val="32"/>
          <w:highlight w:val="none"/>
          <w:lang w:val="en-US" w:eastAsia="zh-CN" w:bidi="ar-SA"/>
        </w:rPr>
        <w:t>：无</w:t>
      </w:r>
      <w:r>
        <w:rPr>
          <w:rFonts w:hint="eastAsia" w:ascii="Times New Roman" w:hAnsi="Times New Roman" w:eastAsia="仿宋_GB2312" w:cs="仿宋_GB2312"/>
          <w:color w:val="auto"/>
          <w:kern w:val="2"/>
          <w:sz w:val="32"/>
          <w:szCs w:val="32"/>
          <w:highlight w:val="none"/>
          <w:lang w:val="en-US" w:eastAsia="zh-CN" w:bidi="ar-SA"/>
        </w:rPr>
        <w:t>。其中：</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国内公务接待支</w:t>
      </w:r>
      <w:r>
        <w:rPr>
          <w:rFonts w:hint="eastAsia" w:ascii="仿宋_GB2312" w:hAnsi="仿宋_GB2312" w:eastAsia="仿宋_GB2312" w:cs="仿宋_GB2312"/>
          <w:color w:val="auto"/>
          <w:kern w:val="2"/>
          <w:sz w:val="32"/>
          <w:szCs w:val="32"/>
          <w:highlight w:val="none"/>
          <w:lang w:val="en-US" w:eastAsia="zh-CN" w:bidi="ar-SA"/>
        </w:rPr>
        <w:t>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元，主要用于</w:t>
      </w:r>
      <w:r>
        <w:rPr>
          <w:rFonts w:hint="eastAsia" w:eastAsia="仿宋_GB2312" w:cs="仿宋_GB2312"/>
          <w:color w:val="auto"/>
          <w:kern w:val="2"/>
          <w:sz w:val="32"/>
          <w:szCs w:val="32"/>
          <w:highlight w:val="none"/>
          <w:lang w:val="en-US" w:eastAsia="zh-CN" w:bidi="ar-SA"/>
        </w:rPr>
        <w:t>：无</w:t>
      </w:r>
      <w:r>
        <w:rPr>
          <w:rFonts w:hint="eastAsia" w:ascii="Times New Roman" w:hAnsi="Times New Roman" w:eastAsia="仿宋_GB2312" w:cs="仿宋_GB2312"/>
          <w:color w:val="auto"/>
          <w:kern w:val="2"/>
          <w:sz w:val="32"/>
          <w:szCs w:val="32"/>
          <w:highlight w:val="none"/>
          <w:lang w:val="en-US" w:eastAsia="zh-CN" w:bidi="ar-SA"/>
        </w:rPr>
        <w:t>执行公务、开展业务活动开支的交通费、住宿费、用餐费等。国内公务接</w:t>
      </w:r>
      <w:r>
        <w:rPr>
          <w:rFonts w:hint="eastAsia" w:ascii="仿宋_GB2312" w:hAnsi="仿宋_GB2312" w:eastAsia="仿宋_GB2312" w:cs="仿宋_GB2312"/>
          <w:color w:val="auto"/>
          <w:kern w:val="2"/>
          <w:sz w:val="32"/>
          <w:szCs w:val="32"/>
          <w:highlight w:val="none"/>
          <w:lang w:val="en-US" w:eastAsia="zh-CN" w:bidi="ar-SA"/>
        </w:rPr>
        <w:t>待</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批次，</w:t>
      </w:r>
      <w:r>
        <w:rPr>
          <w:rFonts w:hint="eastAsia" w:ascii="仿宋_GB2312" w:hAnsi="仿宋_GB2312" w:eastAsia="仿宋_GB2312" w:cs="仿宋_GB2312"/>
          <w:sz w:val="32"/>
          <w:szCs w:val="32"/>
        </w:rPr>
        <w:t>0</w:t>
      </w:r>
      <w:r>
        <w:rPr>
          <w:rFonts w:hint="eastAsia" w:ascii="Times New Roman" w:hAnsi="Times New Roman" w:eastAsia="仿宋_GB2312" w:cs="仿宋_GB2312"/>
          <w:color w:val="auto"/>
          <w:kern w:val="2"/>
          <w:sz w:val="32"/>
          <w:szCs w:val="32"/>
          <w:highlight w:val="none"/>
          <w:lang w:val="en-US" w:eastAsia="zh-CN" w:bidi="ar-SA"/>
        </w:rPr>
        <w:t>人次（不包括陪同人员），共计支出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万元，具体内容包括：</w:t>
      </w:r>
      <w:r>
        <w:rPr>
          <w:rFonts w:hint="eastAsia" w:eastAsia="仿宋_GB2312" w:cs="仿宋_GB2312"/>
          <w:color w:val="auto"/>
          <w:kern w:val="2"/>
          <w:sz w:val="32"/>
          <w:szCs w:val="32"/>
          <w:highlight w:val="none"/>
          <w:lang w:val="en-US" w:eastAsia="zh-CN" w:bidi="ar-SA"/>
        </w:rPr>
        <w:t>无支出，无</w:t>
      </w:r>
      <w:r>
        <w:rPr>
          <w:rFonts w:hint="eastAsia" w:ascii="Times New Roman" w:hAnsi="Times New Roman" w:eastAsia="仿宋_GB2312" w:cs="仿宋_GB2312"/>
          <w:color w:val="auto"/>
          <w:kern w:val="2"/>
          <w:sz w:val="32"/>
          <w:szCs w:val="32"/>
          <w:highlight w:val="none"/>
          <w:lang w:val="en-US" w:eastAsia="zh-CN" w:bidi="ar-SA"/>
        </w:rPr>
        <w:t>接待具体项目、金额。</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外事接待支</w:t>
      </w:r>
      <w:r>
        <w:rPr>
          <w:rFonts w:hint="eastAsia" w:ascii="仿宋_GB2312" w:hAnsi="仿宋_GB2312" w:eastAsia="仿宋_GB2312" w:cs="仿宋_GB2312"/>
          <w:color w:val="auto"/>
          <w:kern w:val="2"/>
          <w:sz w:val="32"/>
          <w:szCs w:val="32"/>
          <w:highlight w:val="none"/>
          <w:lang w:val="en-US" w:eastAsia="zh-CN" w:bidi="ar-SA"/>
        </w:rPr>
        <w:t>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万元，主要用于无支出，无具体项目。外事接待</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批次，</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人次（不包括陪同人员），共计支出0万</w:t>
      </w:r>
      <w:r>
        <w:rPr>
          <w:rFonts w:hint="eastAsia" w:ascii="Times New Roman" w:hAnsi="Times New Roman" w:eastAsia="仿宋_GB2312" w:cs="仿宋_GB2312"/>
          <w:color w:val="auto"/>
          <w:kern w:val="2"/>
          <w:sz w:val="32"/>
          <w:szCs w:val="32"/>
          <w:highlight w:val="none"/>
          <w:lang w:val="en-US" w:eastAsia="zh-CN" w:bidi="ar-SA"/>
        </w:rPr>
        <w:t>元。</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bookmarkStart w:id="39" w:name="_Toc15377218"/>
      <w:bookmarkStart w:id="40" w:name="_Toc15396610"/>
    </w:p>
    <w:p>
      <w:pPr>
        <w:spacing w:line="600" w:lineRule="exact"/>
        <w:ind w:firstLine="640"/>
        <w:outlineLvl w:val="1"/>
        <w:rPr>
          <w:rStyle w:val="29"/>
          <w:rFonts w:ascii="Times New Roman" w:hAnsi="Times New Roman" w:eastAsia="黑体"/>
          <w:color w:val="auto"/>
          <w:highlight w:val="none"/>
        </w:rPr>
      </w:pPr>
      <w:r>
        <w:rPr>
          <w:rFonts w:hint="eastAsia" w:ascii="Times New Roman" w:hAnsi="Times New Roman" w:eastAsia="黑体"/>
          <w:color w:val="auto"/>
          <w:sz w:val="32"/>
          <w:szCs w:val="32"/>
          <w:highlight w:val="none"/>
        </w:rPr>
        <w:t>八、</w:t>
      </w:r>
      <w:r>
        <w:rPr>
          <w:rStyle w:val="29"/>
          <w:rFonts w:hint="eastAsia" w:ascii="Times New Roman" w:hAnsi="Times New Roman" w:eastAsia="黑体"/>
          <w:b w:val="0"/>
          <w:color w:val="auto"/>
          <w:highlight w:val="none"/>
        </w:rPr>
        <w:t>政府性基金预算支出决算情况说明</w:t>
      </w:r>
      <w:bookmarkEnd w:id="39"/>
      <w:bookmarkEnd w:id="40"/>
    </w:p>
    <w:p>
      <w:pPr>
        <w:numPr>
          <w:ilvl w:val="0"/>
          <w:numId w:val="0"/>
        </w:numPr>
        <w:spacing w:line="600" w:lineRule="exact"/>
        <w:ind w:left="630" w:leftChars="0"/>
        <w:outlineLvl w:val="1"/>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2024年度政府性基金预算财政拨款支出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万元，占本年支出合计的</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。与2023年度相比，政府性基金预算财政拨款支出增加/减少</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万元，增长/下降</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w:t>
      </w:r>
      <w:bookmarkStart w:id="41" w:name="_Toc15396611"/>
      <w:bookmarkStart w:id="42" w:name="_Toc15377219"/>
    </w:p>
    <w:p>
      <w:pPr>
        <w:numPr>
          <w:ilvl w:val="0"/>
          <w:numId w:val="0"/>
        </w:numPr>
        <w:spacing w:line="600" w:lineRule="exact"/>
        <w:ind w:left="630" w:leftChars="0"/>
        <w:outlineLvl w:val="1"/>
        <w:rPr>
          <w:rStyle w:val="29"/>
          <w:rFonts w:ascii="Times New Roman" w:hAnsi="Times New Roman" w:eastAsia="黑体"/>
          <w:b w:val="0"/>
          <w:color w:val="auto"/>
          <w:highlight w:val="none"/>
        </w:rPr>
      </w:pPr>
      <w:r>
        <w:rPr>
          <w:rStyle w:val="29"/>
          <w:rFonts w:hint="eastAsia" w:ascii="Times New Roman" w:hAnsi="Times New Roman" w:eastAsia="黑体"/>
          <w:b w:val="0"/>
          <w:color w:val="auto"/>
          <w:highlight w:val="none"/>
          <w:lang w:eastAsia="zh-CN"/>
        </w:rPr>
        <w:t>九、</w:t>
      </w:r>
      <w:r>
        <w:rPr>
          <w:rStyle w:val="29"/>
          <w:rFonts w:hint="eastAsia" w:ascii="Times New Roman" w:hAnsi="Times New Roman" w:eastAsia="黑体"/>
          <w:b w:val="0"/>
          <w:color w:val="auto"/>
          <w:highlight w:val="none"/>
        </w:rPr>
        <w:t>国有资本经营预算支出决算情况说明</w:t>
      </w:r>
      <w:bookmarkEnd w:id="41"/>
      <w:bookmarkEnd w:id="42"/>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2024年度国有资本经营预算财政拨款支出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万元，占本年支出合计的</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。与2023年度相比，国有资本经营预算财政拨款支出增加/减少</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万元，增长/下降</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w:t>
      </w:r>
    </w:p>
    <w:p>
      <w:pPr>
        <w:numPr>
          <w:ilvl w:val="0"/>
          <w:numId w:val="0"/>
        </w:numPr>
        <w:spacing w:line="600" w:lineRule="exact"/>
        <w:ind w:left="630" w:leftChars="0"/>
        <w:outlineLvl w:val="1"/>
        <w:rPr>
          <w:rStyle w:val="29"/>
          <w:rFonts w:hint="eastAsia" w:ascii="Times New Roman" w:hAnsi="Times New Roman" w:eastAsia="黑体"/>
          <w:b w:val="0"/>
          <w:color w:val="auto"/>
          <w:highlight w:val="none"/>
        </w:rPr>
      </w:pPr>
      <w:bookmarkStart w:id="43" w:name="_Toc15396612"/>
      <w:bookmarkStart w:id="44" w:name="_Toc15377221"/>
      <w:r>
        <w:rPr>
          <w:rStyle w:val="29"/>
          <w:rFonts w:hint="eastAsia" w:ascii="Times New Roman" w:hAnsi="Times New Roman" w:eastAsia="黑体"/>
          <w:b w:val="0"/>
          <w:color w:val="auto"/>
          <w:highlight w:val="none"/>
          <w:lang w:eastAsia="zh-CN"/>
        </w:rPr>
        <w:t>十、</w:t>
      </w:r>
      <w:r>
        <w:rPr>
          <w:rStyle w:val="29"/>
          <w:rFonts w:hint="eastAsia" w:ascii="Times New Roman" w:hAnsi="Times New Roman" w:eastAsia="黑体"/>
          <w:b w:val="0"/>
          <w:color w:val="auto"/>
          <w:highlight w:val="none"/>
        </w:rPr>
        <w:t>其他重要事项的情况说明</w:t>
      </w:r>
      <w:bookmarkEnd w:id="43"/>
      <w:bookmarkEnd w:id="44"/>
    </w:p>
    <w:p>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45" w:name="_Toc15377222"/>
      <w:r>
        <w:rPr>
          <w:rFonts w:hint="eastAsia" w:ascii="Times New Roman" w:hAnsi="Times New Roman" w:eastAsia="楷体_GB2312" w:cs="楷体_GB2312"/>
          <w:b/>
          <w:color w:val="auto"/>
          <w:sz w:val="32"/>
          <w:szCs w:val="32"/>
          <w:highlight w:val="none"/>
        </w:rPr>
        <w:t>（一）机关运行经费支出情况</w:t>
      </w:r>
      <w:bookmarkEnd w:id="45"/>
    </w:p>
    <w:p>
      <w:pPr>
        <w:spacing w:line="600" w:lineRule="exact"/>
        <w:ind w:firstLine="640"/>
        <w:rPr>
          <w:rFonts w:hint="default"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hAnsi="仿宋_GB2312" w:eastAsia="仿宋_GB2312" w:cs="仿宋_GB2312"/>
          <w:sz w:val="32"/>
          <w:szCs w:val="32"/>
        </w:rPr>
        <w:t>中共乐山市五通桥区委机构编制委员会办公室</w:t>
      </w:r>
      <w:r>
        <w:rPr>
          <w:rFonts w:hint="eastAsia" w:ascii="仿宋_GB2312" w:hAnsi="仿宋_GB2312" w:eastAsia="仿宋_GB2312" w:cs="仿宋_GB2312"/>
          <w:color w:val="auto"/>
          <w:kern w:val="2"/>
          <w:sz w:val="32"/>
          <w:szCs w:val="32"/>
          <w:highlight w:val="none"/>
          <w:lang w:val="en-US" w:eastAsia="zh-CN" w:bidi="ar-SA"/>
        </w:rPr>
        <w:t>机关运行经费支出</w:t>
      </w:r>
      <w:r>
        <w:rPr>
          <w:rFonts w:hint="eastAsia" w:ascii="仿宋_GB2312" w:hAnsi="仿宋_GB2312" w:eastAsia="仿宋_GB2312" w:cs="仿宋_GB2312"/>
          <w:sz w:val="32"/>
          <w:szCs w:val="32"/>
        </w:rPr>
        <w:t>22.08</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元，比2023年度增加</w:t>
      </w:r>
      <w:r>
        <w:rPr>
          <w:rFonts w:hint="eastAsia" w:eastAsia="仿宋_GB2312" w:cs="仿宋_GB2312"/>
          <w:color w:val="auto"/>
          <w:kern w:val="2"/>
          <w:sz w:val="32"/>
          <w:szCs w:val="32"/>
          <w:highlight w:val="none"/>
          <w:lang w:val="en-US" w:eastAsia="zh-CN" w:bidi="ar-SA"/>
        </w:rPr>
        <w:t>1.02</w:t>
      </w:r>
      <w:r>
        <w:rPr>
          <w:rFonts w:hint="eastAsia" w:ascii="Times New Roman" w:hAnsi="Times New Roman" w:eastAsia="仿宋_GB2312" w:cs="仿宋_GB2312"/>
          <w:color w:val="auto"/>
          <w:kern w:val="2"/>
          <w:sz w:val="32"/>
          <w:szCs w:val="32"/>
          <w:highlight w:val="none"/>
          <w:lang w:val="en-US" w:eastAsia="zh-CN" w:bidi="ar-SA"/>
        </w:rPr>
        <w:t>万元，增长</w:t>
      </w:r>
      <w:r>
        <w:rPr>
          <w:rFonts w:hint="eastAsia" w:eastAsia="仿宋_GB2312" w:cs="仿宋_GB2312"/>
          <w:color w:val="auto"/>
          <w:kern w:val="2"/>
          <w:sz w:val="32"/>
          <w:szCs w:val="32"/>
          <w:highlight w:val="none"/>
          <w:lang w:val="en-US" w:eastAsia="zh-CN" w:bidi="ar-SA"/>
        </w:rPr>
        <w:t>4.8</w:t>
      </w:r>
      <w:r>
        <w:rPr>
          <w:rFonts w:hint="eastAsia" w:ascii="Times New Roman" w:hAnsi="Times New Roman" w:eastAsia="仿宋_GB2312" w:cs="仿宋_GB2312"/>
          <w:color w:val="auto"/>
          <w:kern w:val="2"/>
          <w:sz w:val="32"/>
          <w:szCs w:val="32"/>
          <w:highlight w:val="none"/>
          <w:lang w:val="en-US" w:eastAsia="zh-CN" w:bidi="ar-SA"/>
        </w:rPr>
        <w:t>%。主要原因是</w:t>
      </w:r>
      <w:r>
        <w:rPr>
          <w:rFonts w:hint="eastAsia" w:eastAsia="仿宋_GB2312" w:cs="仿宋_GB2312"/>
          <w:color w:val="auto"/>
          <w:kern w:val="2"/>
          <w:sz w:val="32"/>
          <w:szCs w:val="32"/>
          <w:highlight w:val="none"/>
          <w:lang w:val="en-US" w:eastAsia="zh-CN" w:bidi="ar-SA"/>
        </w:rPr>
        <w:t>办公费用增加了1.88万元。</w:t>
      </w:r>
    </w:p>
    <w:p>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46" w:name="_Toc15377223"/>
      <w:r>
        <w:rPr>
          <w:rFonts w:hint="eastAsia" w:ascii="Times New Roman" w:hAnsi="Times New Roman" w:eastAsia="楷体_GB2312" w:cs="楷体_GB2312"/>
          <w:b/>
          <w:color w:val="auto"/>
          <w:sz w:val="32"/>
          <w:szCs w:val="32"/>
          <w:highlight w:val="none"/>
        </w:rPr>
        <w:t>（二）政府采购支出情况</w:t>
      </w:r>
      <w:bookmarkEnd w:id="46"/>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w:t>
      </w:r>
      <w:r>
        <w:rPr>
          <w:rFonts w:hint="eastAsia" w:ascii="仿宋_GB2312" w:hAnsi="仿宋_GB2312" w:eastAsia="仿宋_GB2312" w:cs="仿宋_GB2312"/>
          <w:sz w:val="32"/>
          <w:szCs w:val="32"/>
        </w:rPr>
        <w:t>中共乐山市五通桥区委机构编制委员会办公室</w:t>
      </w:r>
      <w:r>
        <w:rPr>
          <w:rFonts w:hint="eastAsia" w:ascii="仿宋_GB2312" w:hAnsi="仿宋_GB2312" w:eastAsia="仿宋_GB2312" w:cs="仿宋_GB2312"/>
          <w:color w:val="auto"/>
          <w:kern w:val="2"/>
          <w:sz w:val="32"/>
          <w:szCs w:val="32"/>
          <w:highlight w:val="none"/>
          <w:lang w:val="en-US" w:eastAsia="zh-CN" w:bidi="ar-SA"/>
        </w:rPr>
        <w:t>政府采购支出总额</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万元，其中：政府采购货物支出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万元、政府采购工程支出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万元、政府采购服务支出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万元。主要用于：无。授予中小企业合同金额</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万元，占政府采购支出总额的</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%，其中：授予小微企业合同金额</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万元，占政府采购支出总额的</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47" w:name="_Toc15377224"/>
      <w:r>
        <w:rPr>
          <w:rFonts w:hint="eastAsia" w:ascii="Times New Roman" w:hAnsi="Times New Roman" w:eastAsia="楷体_GB2312" w:cs="楷体_GB2312"/>
          <w:b/>
          <w:color w:val="auto"/>
          <w:sz w:val="32"/>
          <w:szCs w:val="32"/>
          <w:highlight w:val="none"/>
        </w:rPr>
        <w:t>（三）国有资产占有使用情况</w:t>
      </w:r>
      <w:bookmarkEnd w:id="47"/>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截至2024年12月31日，</w:t>
      </w:r>
      <w:r>
        <w:rPr>
          <w:rFonts w:hint="eastAsia" w:ascii="仿宋_GB2312" w:hAnsi="仿宋_GB2312" w:eastAsia="仿宋_GB2312" w:cs="仿宋_GB2312"/>
          <w:sz w:val="32"/>
          <w:szCs w:val="32"/>
        </w:rPr>
        <w:t>中共乐山市五通桥区委机构编制委员会办公室</w:t>
      </w:r>
      <w:r>
        <w:rPr>
          <w:rFonts w:hint="eastAsia" w:ascii="仿宋_GB2312" w:hAnsi="仿宋_GB2312" w:eastAsia="仿宋_GB2312" w:cs="仿宋_GB2312"/>
          <w:color w:val="auto"/>
          <w:kern w:val="2"/>
          <w:sz w:val="32"/>
          <w:szCs w:val="32"/>
          <w:highlight w:val="none"/>
          <w:lang w:val="en-US" w:eastAsia="zh-CN" w:bidi="ar-SA"/>
        </w:rPr>
        <w:t>共有车辆</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辆，其中：主要负责人用车</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辆、机要通信用车</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辆、应急保障用车</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辆、其他用车</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辆，其他用车主要是用于:无。单价100万元（含）以上设备（不含车辆）</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台（套）</w:t>
      </w:r>
      <w:r>
        <w:rPr>
          <w:rFonts w:hint="eastAsia" w:ascii="Times New Roman" w:hAnsi="Times New Roman" w:eastAsia="仿宋_GB2312" w:cs="仿宋_GB2312"/>
          <w:color w:val="auto"/>
          <w:kern w:val="2"/>
          <w:sz w:val="32"/>
          <w:szCs w:val="32"/>
          <w:highlight w:val="none"/>
          <w:lang w:val="en-US" w:eastAsia="zh-CN" w:bidi="ar-SA"/>
        </w:rPr>
        <w:t>。</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r>
        <w:rPr>
          <w:rFonts w:hint="eastAsia" w:ascii="Times New Roman" w:hAnsi="Times New Roman" w:eastAsia="楷体_GB2312" w:cs="楷体_GB2312"/>
          <w:b/>
          <w:color w:val="auto"/>
          <w:sz w:val="32"/>
          <w:szCs w:val="32"/>
          <w:highlight w:val="none"/>
        </w:rPr>
        <w:t>（四）预算绩效管理情况</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根据预算绩效管理要求，</w:t>
      </w:r>
      <w:r>
        <w:rPr>
          <w:rFonts w:hint="eastAsia" w:eastAsia="仿宋_GB2312" w:cs="仿宋_GB2312"/>
          <w:color w:val="auto"/>
          <w:kern w:val="2"/>
          <w:sz w:val="32"/>
          <w:szCs w:val="32"/>
          <w:highlight w:val="none"/>
          <w:lang w:val="en-US" w:eastAsia="zh-CN" w:bidi="ar-SA"/>
        </w:rPr>
        <w:t>本单位</w:t>
      </w:r>
      <w:r>
        <w:rPr>
          <w:rFonts w:hint="eastAsia" w:ascii="Times New Roman" w:hAnsi="Times New Roman" w:eastAsia="仿宋_GB2312" w:cs="仿宋_GB2312"/>
          <w:color w:val="auto"/>
          <w:kern w:val="2"/>
          <w:sz w:val="32"/>
          <w:szCs w:val="32"/>
          <w:highlight w:val="none"/>
          <w:lang w:val="en-US" w:eastAsia="zh-CN" w:bidi="ar-SA"/>
        </w:rPr>
        <w:t>在2024年度预算编制阶段，组织对其他组织事务支出（项目名称）等</w:t>
      </w:r>
      <w:r>
        <w:rPr>
          <w:rFonts w:hint="eastAsia"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en-US" w:eastAsia="zh-CN" w:bidi="ar-SA"/>
        </w:rPr>
        <w:t>个项目开展了预算事前绩效评估，对</w:t>
      </w:r>
      <w:r>
        <w:rPr>
          <w:rFonts w:hint="eastAsia"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en-US" w:eastAsia="zh-CN" w:bidi="ar-SA"/>
        </w:rPr>
        <w:t>个项目编制了绩效目标，预算执行过程中，选取</w:t>
      </w:r>
      <w:r>
        <w:rPr>
          <w:rFonts w:hint="eastAsia"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en-US" w:eastAsia="zh-CN" w:bidi="ar-SA"/>
        </w:rPr>
        <w:t>个项目开展绩效监控。</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组织对2024年度一般公共预算、政府性基金预算、国有资本经营预算、社会保险基金预算以及资本资产、债券资金等全面开展绩效自评，形成</w:t>
      </w:r>
      <w:r>
        <w:rPr>
          <w:rFonts w:hint="eastAsia" w:eastAsia="仿宋_GB2312" w:cs="仿宋_GB2312"/>
          <w:color w:val="auto"/>
          <w:kern w:val="2"/>
          <w:sz w:val="32"/>
          <w:szCs w:val="32"/>
          <w:highlight w:val="none"/>
          <w:lang w:val="en-US" w:eastAsia="zh-CN" w:bidi="ar-SA"/>
        </w:rPr>
        <w:t>本单位</w:t>
      </w:r>
      <w:r>
        <w:rPr>
          <w:rFonts w:hint="eastAsia" w:ascii="Times New Roman" w:hAnsi="Times New Roman" w:eastAsia="仿宋_GB2312" w:cs="仿宋_GB2312"/>
          <w:color w:val="auto"/>
          <w:kern w:val="2"/>
          <w:sz w:val="32"/>
          <w:szCs w:val="32"/>
          <w:highlight w:val="none"/>
          <w:lang w:val="en-US" w:eastAsia="zh-CN" w:bidi="ar-SA"/>
        </w:rPr>
        <w:t>整体（含部门预算项目）绩效自评报告其中，</w:t>
      </w:r>
      <w:r>
        <w:rPr>
          <w:rFonts w:hint="eastAsia" w:eastAsia="仿宋_GB2312" w:cs="仿宋_GB2312"/>
          <w:color w:val="auto"/>
          <w:kern w:val="2"/>
          <w:sz w:val="32"/>
          <w:szCs w:val="32"/>
          <w:highlight w:val="none"/>
          <w:lang w:val="en-US" w:eastAsia="zh-CN" w:bidi="ar-SA"/>
        </w:rPr>
        <w:t>本单位</w:t>
      </w:r>
      <w:r>
        <w:rPr>
          <w:rFonts w:hint="eastAsia" w:ascii="Times New Roman" w:hAnsi="Times New Roman" w:eastAsia="仿宋_GB2312" w:cs="仿宋_GB2312"/>
          <w:color w:val="auto"/>
          <w:kern w:val="2"/>
          <w:sz w:val="32"/>
          <w:szCs w:val="32"/>
          <w:highlight w:val="none"/>
          <w:lang w:val="en-US" w:eastAsia="zh-CN" w:bidi="ar-SA"/>
        </w:rPr>
        <w:t>整体（含部门预算项目）绩效自评得分为</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分，绩效自评综述</w:t>
      </w:r>
      <w:r>
        <w:rPr>
          <w:rFonts w:hint="eastAsia" w:eastAsia="仿宋_GB2312" w:cs="仿宋_GB2312"/>
          <w:color w:val="auto"/>
          <w:kern w:val="2"/>
          <w:sz w:val="32"/>
          <w:szCs w:val="32"/>
          <w:highlight w:val="none"/>
          <w:lang w:val="en-US" w:eastAsia="zh-CN" w:bidi="ar-SA"/>
        </w:rPr>
        <w:t>好</w:t>
      </w:r>
      <w:r>
        <w:rPr>
          <w:rFonts w:hint="eastAsia" w:ascii="Times New Roman" w:hAnsi="Times New Roman" w:eastAsia="仿宋_GB2312" w:cs="仿宋_GB2312"/>
          <w:color w:val="auto"/>
          <w:kern w:val="2"/>
          <w:sz w:val="32"/>
          <w:szCs w:val="32"/>
          <w:highlight w:val="none"/>
          <w:lang w:val="en-US" w:eastAsia="zh-CN" w:bidi="ar-SA"/>
        </w:rPr>
        <w:t>；其他组织事务支出专项预算项目绩效自评得分为</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分，绩效自评综述</w:t>
      </w:r>
      <w:r>
        <w:rPr>
          <w:rFonts w:hint="eastAsia" w:eastAsia="仿宋_GB2312" w:cs="仿宋_GB2312"/>
          <w:color w:val="auto"/>
          <w:kern w:val="2"/>
          <w:sz w:val="32"/>
          <w:szCs w:val="32"/>
          <w:highlight w:val="none"/>
          <w:lang w:val="en-US" w:eastAsia="zh-CN" w:bidi="ar-SA"/>
        </w:rPr>
        <w:t>好</w:t>
      </w:r>
      <w:r>
        <w:rPr>
          <w:rFonts w:hint="eastAsia" w:ascii="Times New Roman" w:hAnsi="Times New Roman" w:eastAsia="仿宋_GB2312" w:cs="仿宋_GB2312"/>
          <w:color w:val="auto"/>
          <w:kern w:val="2"/>
          <w:sz w:val="32"/>
          <w:szCs w:val="32"/>
          <w:highlight w:val="none"/>
          <w:lang w:val="en-US" w:eastAsia="zh-CN" w:bidi="ar-SA"/>
        </w:rPr>
        <w:t>。绩效自评报告详见附件。</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bookmarkStart w:id="48" w:name="_Toc15377225"/>
      <w:bookmarkStart w:id="49" w:name="_Toc15396613"/>
      <w:r>
        <w:rPr>
          <w:rFonts w:hint="eastAsia" w:ascii="Times New Roman" w:hAnsi="Times New Roman" w:eastAsia="黑体"/>
          <w:color w:val="auto"/>
          <w:sz w:val="44"/>
          <w:szCs w:val="44"/>
          <w:highlight w:val="none"/>
        </w:rPr>
        <w:t>第</w:t>
      </w:r>
      <w:r>
        <w:rPr>
          <w:rFonts w:hint="eastAsia" w:eastAsia="黑体"/>
          <w:color w:val="auto"/>
          <w:sz w:val="44"/>
          <w:szCs w:val="44"/>
          <w:highlight w:val="none"/>
          <w:lang w:eastAsia="zh-CN"/>
        </w:rPr>
        <w:t>三</w:t>
      </w:r>
      <w:r>
        <w:rPr>
          <w:rFonts w:hint="eastAsia" w:ascii="Times New Roman" w:hAnsi="Times New Roman" w:eastAsia="黑体"/>
          <w:color w:val="auto"/>
          <w:sz w:val="44"/>
          <w:szCs w:val="44"/>
          <w:highlight w:val="none"/>
        </w:rPr>
        <w:t>部分</w:t>
      </w:r>
      <w:r>
        <w:rPr>
          <w:rFonts w:hint="eastAsia" w:ascii="Times New Roman" w:hAnsi="Times New Roman" w:eastAsia="黑体"/>
          <w:color w:val="auto"/>
          <w:sz w:val="44"/>
          <w:szCs w:val="44"/>
          <w:highlight w:val="none"/>
          <w:lang w:val="en-US" w:eastAsia="zh-CN"/>
        </w:rPr>
        <w:t xml:space="preserve"> </w:t>
      </w:r>
      <w:r>
        <w:rPr>
          <w:rFonts w:hint="eastAsia"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名词解释</w:t>
      </w:r>
      <w:bookmarkEnd w:id="48"/>
      <w:bookmarkEnd w:id="49"/>
    </w:p>
    <w:p>
      <w:pPr>
        <w:spacing w:line="600" w:lineRule="exact"/>
        <w:jc w:val="left"/>
        <w:rPr>
          <w:rFonts w:ascii="Times New Roman" w:hAnsi="Times New Roman"/>
          <w:b/>
          <w:color w:val="auto"/>
          <w:sz w:val="44"/>
          <w:szCs w:val="44"/>
          <w:highlight w:val="none"/>
        </w:rPr>
      </w:pPr>
    </w:p>
    <w:p>
      <w:pPr>
        <w:pStyle w:val="26"/>
        <w:spacing w:before="93" w:line="560" w:lineRule="exact"/>
        <w:ind w:firstLine="640" w:firstLineChars="200"/>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pPr>
        <w:pStyle w:val="2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事业收入：指事业单位开展专业业务活动及辅助活动取得的收入。</w:t>
      </w:r>
    </w:p>
    <w:p>
      <w:pPr>
        <w:pStyle w:val="2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w:t>
      </w:r>
      <w:r>
        <w:rPr>
          <w:rFonts w:hint="eastAsia" w:ascii="仿宋_GB2312" w:eastAsia="仿宋_GB2312"/>
          <w:color w:val="auto"/>
          <w:sz w:val="32"/>
          <w:szCs w:val="32"/>
        </w:rPr>
        <w:t>经营收入：指事业单位在专业业务活动及其辅助活动之外开展非独立核算经营活动取得的收入。</w:t>
      </w:r>
    </w:p>
    <w:p>
      <w:pPr>
        <w:pStyle w:val="2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4.</w:t>
      </w:r>
      <w:r>
        <w:rPr>
          <w:rFonts w:hint="eastAsia" w:ascii="仿宋_GB2312" w:eastAsia="仿宋_GB2312"/>
          <w:color w:val="auto"/>
          <w:sz w:val="32"/>
          <w:szCs w:val="32"/>
        </w:rPr>
        <w:t>其他收入：指单位取得的除上述收入以外的各项收入。</w:t>
      </w:r>
    </w:p>
    <w:p>
      <w:pPr>
        <w:pStyle w:val="2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5.</w:t>
      </w:r>
      <w:r>
        <w:rPr>
          <w:rFonts w:hint="eastAsia" w:ascii="仿宋_GB2312" w:eastAsia="仿宋_GB2312"/>
          <w:color w:val="auto"/>
          <w:sz w:val="32"/>
          <w:szCs w:val="32"/>
        </w:rPr>
        <w:t>使用非财政拨款结余：指事业单位使用以前年度积累的非财政拨款结余弥补当年收支差额的金额。</w:t>
      </w:r>
    </w:p>
    <w:p>
      <w:pPr>
        <w:pStyle w:val="2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6.</w:t>
      </w:r>
      <w:r>
        <w:rPr>
          <w:rFonts w:hint="eastAsia" w:ascii="仿宋_GB2312" w:eastAsia="仿宋_GB2312"/>
          <w:color w:val="auto"/>
          <w:sz w:val="32"/>
          <w:szCs w:val="32"/>
        </w:rPr>
        <w:t>年初结转和结余：指以前年度尚未完成、结转到本年按有关规定继续使用的资金。</w:t>
      </w:r>
    </w:p>
    <w:p>
      <w:pPr>
        <w:pStyle w:val="2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7.</w:t>
      </w:r>
      <w:r>
        <w:rPr>
          <w:rFonts w:hint="eastAsia" w:ascii="仿宋_GB2312" w:eastAsia="仿宋_GB2312"/>
          <w:color w:val="auto"/>
          <w:sz w:val="32"/>
          <w:szCs w:val="32"/>
        </w:rPr>
        <w:t>结余分配：指事业单位按照会计制度规定缴纳的所得税、提取的专用结余以及转入非财政拨款结余的金额等。</w:t>
      </w:r>
    </w:p>
    <w:p>
      <w:pPr>
        <w:pStyle w:val="2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8</w:t>
      </w:r>
      <w:r>
        <w:rPr>
          <w:rFonts w:hint="eastAsia" w:ascii="仿宋_GB2312" w:eastAsia="仿宋_GB2312"/>
          <w:color w:val="auto"/>
          <w:sz w:val="32"/>
          <w:szCs w:val="32"/>
        </w:rPr>
        <w:t>.年末结转和结余：指单位按有关规定结转到下年或以后年度继续使用的资金。</w:t>
      </w:r>
    </w:p>
    <w:p>
      <w:pPr>
        <w:pStyle w:val="26"/>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9．一般公共服务（201类）组织事务（3</w:t>
      </w:r>
      <w:r>
        <w:rPr>
          <w:rFonts w:hint="eastAsia" w:ascii="仿宋_GB2312" w:eastAsia="仿宋_GB2312"/>
          <w:color w:val="auto"/>
          <w:sz w:val="32"/>
          <w:szCs w:val="32"/>
          <w:lang w:val="en-US" w:eastAsia="zh-CN"/>
        </w:rPr>
        <w:t>2</w:t>
      </w:r>
      <w:r>
        <w:rPr>
          <w:rFonts w:hint="eastAsia" w:ascii="仿宋_GB2312" w:eastAsia="仿宋_GB2312"/>
          <w:color w:val="auto"/>
          <w:sz w:val="32"/>
          <w:szCs w:val="32"/>
        </w:rPr>
        <w:t>款）行政运行（0</w:t>
      </w:r>
      <w:r>
        <w:rPr>
          <w:rFonts w:hint="eastAsia" w:ascii="仿宋_GB2312" w:eastAsia="仿宋_GB2312"/>
          <w:color w:val="auto"/>
          <w:sz w:val="32"/>
          <w:szCs w:val="32"/>
          <w:lang w:val="en-US" w:eastAsia="zh-CN"/>
        </w:rPr>
        <w:t>1</w:t>
      </w:r>
      <w:r>
        <w:rPr>
          <w:rFonts w:hint="eastAsia" w:ascii="仿宋_GB2312" w:eastAsia="仿宋_GB2312"/>
          <w:color w:val="auto"/>
          <w:sz w:val="32"/>
          <w:szCs w:val="32"/>
        </w:rPr>
        <w:t>项）：反映行政单位（包括实行公务员管理的事业单位）未单独设置项级科目的其他项目支出。</w:t>
      </w:r>
    </w:p>
    <w:p>
      <w:pPr>
        <w:pStyle w:val="26"/>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10．一般公共服务（201类）组织事务（3</w:t>
      </w:r>
      <w:r>
        <w:rPr>
          <w:rFonts w:hint="eastAsia" w:ascii="仿宋_GB2312" w:eastAsia="仿宋_GB2312"/>
          <w:color w:val="auto"/>
          <w:sz w:val="32"/>
          <w:szCs w:val="32"/>
          <w:lang w:val="en-US" w:eastAsia="zh-CN"/>
        </w:rPr>
        <w:t>2</w:t>
      </w:r>
      <w:r>
        <w:rPr>
          <w:rFonts w:hint="eastAsia" w:ascii="仿宋_GB2312" w:eastAsia="仿宋_GB2312"/>
          <w:color w:val="auto"/>
          <w:sz w:val="32"/>
          <w:szCs w:val="32"/>
        </w:rPr>
        <w:t>款）其他组织事务支出（</w:t>
      </w:r>
      <w:r>
        <w:rPr>
          <w:rFonts w:hint="eastAsia" w:ascii="仿宋_GB2312" w:eastAsia="仿宋_GB2312"/>
          <w:color w:val="auto"/>
          <w:sz w:val="32"/>
          <w:szCs w:val="32"/>
          <w:lang w:val="en-US" w:eastAsia="zh-CN"/>
        </w:rPr>
        <w:t>99</w:t>
      </w:r>
      <w:r>
        <w:rPr>
          <w:rFonts w:hint="eastAsia" w:ascii="仿宋_GB2312" w:eastAsia="仿宋_GB2312"/>
          <w:color w:val="auto"/>
          <w:sz w:val="32"/>
          <w:szCs w:val="32"/>
        </w:rPr>
        <w:t>项）：反映行政单位（包括实行公务员管理的事业单位）未单独设置项级科目的其他项目支出。</w:t>
      </w:r>
    </w:p>
    <w:p>
      <w:pPr>
        <w:pStyle w:val="26"/>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11．社会保障和就业（208类）行政事业单位养老支出（05款）机关事业单位基本养老保险缴费支出（05项）：指反映机关事业单位实施养老保险制度由单位缴纳的基本养老保险费支出。</w:t>
      </w:r>
    </w:p>
    <w:p>
      <w:pPr>
        <w:pStyle w:val="26"/>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12．社会保障和就业（208类）行政事业单位养老支出（05款）机关事业单位职业年金缴费支出（06项）：指指反映机关事业单位实施养老保险制度由单位实际缴纳的职业年金支出。</w:t>
      </w:r>
    </w:p>
    <w:p>
      <w:pPr>
        <w:pStyle w:val="26"/>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13．社会保障和就业（208类）行政事业单位养老支出（05款）其他行政事业单位养老支出（99项）：指反映除上述项目以外，其他用于行政事业单位养老方面的支出。</w:t>
      </w:r>
    </w:p>
    <w:p>
      <w:pPr>
        <w:pStyle w:val="26"/>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14．卫生健康支出（210类）行政事业单位医疗（11款）行政单位医疗（01款）：指反映财政部门安排的行政单位（包括实施公务员管理的事业单位）基本医疗保险缴费经费，未参加医疗保险的行政单位的公费医疗经费。</w:t>
      </w:r>
    </w:p>
    <w:p>
      <w:pPr>
        <w:pStyle w:val="26"/>
        <w:spacing w:line="560" w:lineRule="exact"/>
        <w:ind w:firstLine="640" w:firstLineChars="200"/>
        <w:rPr>
          <w:rFonts w:hAnsi="仿宋"/>
          <w:b/>
          <w:color w:val="auto"/>
          <w:sz w:val="32"/>
          <w:szCs w:val="32"/>
        </w:rPr>
      </w:pPr>
      <w:r>
        <w:rPr>
          <w:rFonts w:hint="eastAsia" w:ascii="仿宋_GB2312" w:eastAsia="仿宋_GB2312"/>
          <w:color w:val="auto"/>
          <w:sz w:val="32"/>
          <w:szCs w:val="32"/>
        </w:rPr>
        <w:t>15．住房保障支出（221类）住房改革支出（02款）住房公积金（01款）：指反映行政事业单位按人力资源和社会保障部、财政部规定的基本工资和津贴补贴以及规定比例为职工缴纳的住房公积金。</w:t>
      </w:r>
    </w:p>
    <w:p>
      <w:pPr>
        <w:ind w:firstLine="640" w:firstLineChars="200"/>
        <w:rPr>
          <w:rFonts w:ascii="仿宋_GB2312" w:eastAsia="仿宋_GB2312"/>
          <w:sz w:val="32"/>
          <w:szCs w:val="32"/>
        </w:rPr>
      </w:pPr>
      <w:r>
        <w:rPr>
          <w:rFonts w:hint="eastAsia" w:ascii="仿宋_GB2312" w:eastAsia="仿宋_GB2312"/>
          <w:sz w:val="32"/>
          <w:szCs w:val="32"/>
        </w:rPr>
        <w:t>16</w:t>
      </w:r>
      <w:r>
        <w:rPr>
          <w:rFonts w:ascii="仿宋_GB2312" w:eastAsia="仿宋_GB2312"/>
          <w:sz w:val="32"/>
          <w:szCs w:val="32"/>
        </w:rPr>
        <w:t>.</w:t>
      </w:r>
      <w:r>
        <w:rPr>
          <w:rFonts w:hint="eastAsia" w:ascii="仿宋_GB2312" w:eastAsia="仿宋_GB2312"/>
          <w:sz w:val="32"/>
          <w:szCs w:val="32"/>
        </w:rPr>
        <w:t>基本支出：指为保障机构正常运转、完成日常工作任务而发生的人员支出和公用支出。</w:t>
      </w:r>
    </w:p>
    <w:p>
      <w:pPr>
        <w:ind w:firstLine="640" w:firstLineChars="200"/>
        <w:rPr>
          <w:rFonts w:ascii="仿宋_GB2312" w:eastAsia="仿宋_GB2312"/>
          <w:sz w:val="32"/>
          <w:szCs w:val="32"/>
        </w:rPr>
      </w:pPr>
      <w:r>
        <w:rPr>
          <w:rFonts w:hint="eastAsia" w:ascii="仿宋_GB2312" w:eastAsia="仿宋_GB2312"/>
          <w:sz w:val="32"/>
          <w:szCs w:val="32"/>
        </w:rPr>
        <w:t>17</w:t>
      </w:r>
      <w:r>
        <w:rPr>
          <w:rFonts w:ascii="仿宋_GB2312" w:eastAsia="仿宋_GB2312"/>
          <w:sz w:val="32"/>
          <w:szCs w:val="32"/>
        </w:rPr>
        <w:t>.</w:t>
      </w:r>
      <w:r>
        <w:rPr>
          <w:rFonts w:hint="eastAsia" w:ascii="仿宋_GB2312" w:eastAsia="仿宋_GB2312"/>
          <w:sz w:val="32"/>
          <w:szCs w:val="32"/>
        </w:rPr>
        <w:t>项目支出：指在基本支出之外为完成特定行政任务和事业发展目标所发生的支出。</w:t>
      </w:r>
    </w:p>
    <w:p>
      <w:pPr>
        <w:ind w:firstLine="640" w:firstLineChars="200"/>
        <w:rPr>
          <w:rFonts w:ascii="仿宋_GB2312" w:eastAsia="仿宋_GB2312"/>
          <w:sz w:val="32"/>
          <w:szCs w:val="32"/>
        </w:rPr>
      </w:pPr>
      <w:r>
        <w:rPr>
          <w:rFonts w:hint="eastAsia" w:ascii="仿宋_GB2312" w:eastAsia="仿宋_GB2312"/>
          <w:sz w:val="32"/>
          <w:szCs w:val="32"/>
        </w:rPr>
        <w:t>18</w:t>
      </w:r>
      <w:r>
        <w:rPr>
          <w:rFonts w:ascii="仿宋_GB2312" w:eastAsia="仿宋_GB2312"/>
          <w:sz w:val="32"/>
          <w:szCs w:val="32"/>
        </w:rPr>
        <w:t>.</w:t>
      </w:r>
      <w:r>
        <w:rPr>
          <w:rFonts w:hint="eastAsia" w:ascii="仿宋_GB2312" w:eastAsia="仿宋_GB2312"/>
          <w:sz w:val="32"/>
          <w:szCs w:val="32"/>
        </w:rPr>
        <w:t>经营支出：指事业单位在专业业务活动及其辅助活动之外开展非独立核算经营活动发生的支出。</w:t>
      </w:r>
    </w:p>
    <w:p>
      <w:pPr>
        <w:pStyle w:val="26"/>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19</w:t>
      </w:r>
      <w:r>
        <w:rPr>
          <w:rFonts w:ascii="仿宋_GB2312" w:eastAsia="仿宋_GB2312"/>
          <w:color w:val="auto"/>
          <w:sz w:val="32"/>
          <w:szCs w:val="32"/>
        </w:rPr>
        <w:t>.</w:t>
      </w:r>
      <w:r>
        <w:rPr>
          <w:rFonts w:hint="eastAsia" w:ascii="仿宋_GB2312" w:eastAsia="仿宋_GB2312"/>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6"/>
        <w:spacing w:before="93"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20</w:t>
      </w:r>
      <w:r>
        <w:rPr>
          <w:rFonts w:ascii="仿宋_GB2312" w:eastAsia="仿宋_GB2312"/>
          <w:color w:val="auto"/>
          <w:sz w:val="32"/>
          <w:szCs w:val="32"/>
        </w:rPr>
        <w:t>.</w:t>
      </w:r>
      <w:r>
        <w:rPr>
          <w:rFonts w:hint="eastAsia" w:ascii="仿宋_GB2312" w:eastAsia="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ind w:firstLine="640"/>
        <w:rPr>
          <w:rFonts w:hint="eastAsia" w:ascii="Times New Roman" w:hAnsi="Times New Roman" w:eastAsia="仿宋_GB2312" w:cs="仿宋_GB2312"/>
          <w:b/>
          <w:bCs/>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（注：名词解释部分请根据各部门实际列支情况罗列，并根据本部门职责职能增减名词解释内容）</w:t>
      </w:r>
    </w:p>
    <w:p>
      <w:pPr>
        <w:spacing w:line="600" w:lineRule="exact"/>
        <w:jc w:val="center"/>
        <w:rPr>
          <w:rStyle w:val="28"/>
          <w:rFonts w:hint="eastAsia" w:ascii="Times New Roman" w:hAnsi="Times New Roman" w:eastAsia="黑体"/>
          <w:b w:val="0"/>
          <w:color w:val="auto"/>
          <w:highlight w:val="none"/>
          <w:lang w:eastAsia="zh-CN"/>
        </w:rPr>
      </w:pPr>
      <w:bookmarkStart w:id="50" w:name="_Toc15377226"/>
      <w:r>
        <w:rPr>
          <w:rFonts w:hint="eastAsia" w:ascii="Times New Roman" w:hAnsi="Times New Roman" w:eastAsia="仿宋_GB2312" w:cs="仿宋_GB2312"/>
          <w:color w:val="auto"/>
          <w:kern w:val="2"/>
          <w:sz w:val="32"/>
          <w:szCs w:val="32"/>
          <w:highlight w:val="none"/>
          <w:lang w:val="en-US" w:eastAsia="zh-CN" w:bidi="ar-SA"/>
        </w:rPr>
        <w:br w:type="page"/>
      </w:r>
      <w:bookmarkStart w:id="51" w:name="_Toc15396614"/>
      <w:r>
        <w:rPr>
          <w:rFonts w:hint="eastAsia" w:ascii="Times New Roman" w:hAnsi="Times New Roman" w:eastAsia="黑体"/>
          <w:color w:val="auto"/>
          <w:sz w:val="44"/>
          <w:szCs w:val="44"/>
          <w:highlight w:val="none"/>
        </w:rPr>
        <w:t>第四部分</w:t>
      </w:r>
      <w:r>
        <w:rPr>
          <w:rFonts w:hint="eastAsia" w:ascii="Times New Roman" w:hAnsi="Times New Roman"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 xml:space="preserve"> 附件</w:t>
      </w:r>
      <w:bookmarkEnd w:id="51"/>
    </w:p>
    <w:p>
      <w:pPr>
        <w:keepNext w:val="0"/>
        <w:keepLines w:val="0"/>
        <w:pageBreakBefore w:val="0"/>
        <w:kinsoku/>
        <w:wordWrap/>
        <w:overflowPunct/>
        <w:topLinePunct w:val="0"/>
        <w:autoSpaceDE/>
        <w:autoSpaceDN/>
        <w:bidi w:val="0"/>
        <w:spacing w:line="572" w:lineRule="exact"/>
        <w:jc w:val="left"/>
        <w:textAlignment w:val="auto"/>
        <w:outlineLvl w:val="0"/>
        <w:rPr>
          <w:rFonts w:hint="eastAsia" w:ascii="Times New Roman" w:hAnsi="Times New Roman" w:eastAsia="黑体" w:cs="黑体"/>
          <w:color w:val="FF0000"/>
          <w:sz w:val="32"/>
          <w:szCs w:val="32"/>
          <w:highlight w:val="none"/>
        </w:rPr>
      </w:pPr>
    </w:p>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576"/>
        <w:gridCol w:w="1058"/>
        <w:gridCol w:w="890"/>
        <w:gridCol w:w="1185"/>
        <w:gridCol w:w="396"/>
        <w:gridCol w:w="833"/>
        <w:gridCol w:w="396"/>
        <w:gridCol w:w="846"/>
        <w:gridCol w:w="486"/>
        <w:gridCol w:w="486"/>
        <w:gridCol w:w="13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96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4032" w:type="pct"/>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51111223T000008564644-机构编制改革与管理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12" w:hRule="atLeast"/>
        </w:trPr>
        <w:tc>
          <w:tcPr>
            <w:tcW w:w="96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2389"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组织部</w:t>
            </w:r>
          </w:p>
        </w:tc>
        <w:tc>
          <w:tcPr>
            <w:tcW w:w="386" w:type="pct"/>
            <w:tcBorders>
              <w:top w:val="nil"/>
              <w:left w:val="nil"/>
              <w:bottom w:val="nil"/>
              <w:right w:val="nil"/>
            </w:tcBorders>
            <w:shd w:val="clear"/>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1256"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五通桥区编办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725"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2389"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1642" w:type="pct"/>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08"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2389"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顺利推进机构改革与管理工作，为全区经济发展提供强有力的机构编制保障</w:t>
            </w:r>
          </w:p>
        </w:tc>
        <w:tc>
          <w:tcPr>
            <w:tcW w:w="1642" w:type="pct"/>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完成100%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93"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4032" w:type="pct"/>
            <w:gridSpan w:val="9"/>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1"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72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962"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17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46"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4.50</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4.48</w:t>
            </w:r>
          </w:p>
        </w:tc>
        <w:tc>
          <w:tcPr>
            <w:tcW w:w="962"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4.48</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905"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4.50</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4.48</w:t>
            </w:r>
          </w:p>
        </w:tc>
        <w:tc>
          <w:tcPr>
            <w:tcW w:w="962"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4.48</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7"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962" w:type="pct"/>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17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52"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72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18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59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18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17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725"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产出指标</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为全区行政事业单位提供机构编制保障</w:t>
            </w:r>
          </w:p>
        </w:tc>
        <w:tc>
          <w:tcPr>
            <w:tcW w:w="18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200</w:t>
            </w:r>
          </w:p>
        </w:tc>
        <w:tc>
          <w:tcPr>
            <w:tcW w:w="18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个</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210</w:t>
            </w:r>
          </w:p>
        </w:tc>
        <w:tc>
          <w:tcPr>
            <w:tcW w:w="17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质量指标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高质量完成机构编制改革与管理</w:t>
            </w:r>
          </w:p>
        </w:tc>
        <w:tc>
          <w:tcPr>
            <w:tcW w:w="18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18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100</w:t>
            </w:r>
          </w:p>
        </w:tc>
        <w:tc>
          <w:tcPr>
            <w:tcW w:w="17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15</w:t>
            </w:r>
          </w:p>
        </w:tc>
        <w:tc>
          <w:tcPr>
            <w:tcW w:w="17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15</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时效指标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机构编制事项完成及时率</w:t>
            </w:r>
          </w:p>
        </w:tc>
        <w:tc>
          <w:tcPr>
            <w:tcW w:w="18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18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100</w:t>
            </w:r>
          </w:p>
        </w:tc>
        <w:tc>
          <w:tcPr>
            <w:tcW w:w="17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725"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效益指标</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社会效益指标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机构编制改革与管理正常运行率</w:t>
            </w:r>
          </w:p>
        </w:tc>
        <w:tc>
          <w:tcPr>
            <w:tcW w:w="18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18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100</w:t>
            </w:r>
          </w:p>
        </w:tc>
        <w:tc>
          <w:tcPr>
            <w:tcW w:w="17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可持续影响指标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机构编制文件影响效果</w:t>
            </w:r>
          </w:p>
        </w:tc>
        <w:tc>
          <w:tcPr>
            <w:tcW w:w="18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定性</w:t>
            </w:r>
          </w:p>
        </w:tc>
        <w:tc>
          <w:tcPr>
            <w:tcW w:w="59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优</w:t>
            </w:r>
          </w:p>
        </w:tc>
        <w:tc>
          <w:tcPr>
            <w:tcW w:w="184"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优</w:t>
            </w:r>
          </w:p>
        </w:tc>
        <w:tc>
          <w:tcPr>
            <w:tcW w:w="17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17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满意度指标</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服务对象满意度指标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全区行政事业单位满意率</w:t>
            </w:r>
          </w:p>
        </w:tc>
        <w:tc>
          <w:tcPr>
            <w:tcW w:w="18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18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100</w:t>
            </w:r>
          </w:p>
        </w:tc>
        <w:tc>
          <w:tcPr>
            <w:tcW w:w="17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成本指标</w:t>
            </w:r>
          </w:p>
        </w:tc>
        <w:tc>
          <w:tcPr>
            <w:tcW w:w="62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经济成本指标</w:t>
            </w:r>
          </w:p>
        </w:tc>
        <w:tc>
          <w:tcPr>
            <w:tcW w:w="8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机构编制改革与管理耗材费</w:t>
            </w:r>
          </w:p>
        </w:tc>
        <w:tc>
          <w:tcPr>
            <w:tcW w:w="18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59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45000</w:t>
            </w:r>
          </w:p>
        </w:tc>
        <w:tc>
          <w:tcPr>
            <w:tcW w:w="18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元</w:t>
            </w:r>
          </w:p>
        </w:tc>
        <w:tc>
          <w:tcPr>
            <w:tcW w:w="38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4.48</w:t>
            </w:r>
          </w:p>
        </w:tc>
        <w:tc>
          <w:tcPr>
            <w:tcW w:w="17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trPr>
        <w:tc>
          <w:tcPr>
            <w:tcW w:w="3743" w:type="pct"/>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17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905"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3" w:hRule="atLeast"/>
        </w:trPr>
        <w:tc>
          <w:tcPr>
            <w:tcW w:w="24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4758" w:type="pct"/>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好。（200字以内）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2" w:hRule="atLeast"/>
        </w:trPr>
        <w:tc>
          <w:tcPr>
            <w:tcW w:w="24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4758" w:type="pct"/>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无。（200字以内）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4758" w:type="pct"/>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无。（200字以内）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79"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w:t>
            </w:r>
          </w:p>
        </w:tc>
        <w:tc>
          <w:tcPr>
            <w:tcW w:w="2420" w:type="pct"/>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725" w:type="pct"/>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627" w:type="pct"/>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800" w:type="pct"/>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84" w:type="pct"/>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593" w:type="pct"/>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84" w:type="pct"/>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386" w:type="pct"/>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78" w:type="pct"/>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71" w:type="pct"/>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905" w:type="pct"/>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r>
    </w:tbl>
    <w:p>
      <w:pPr>
        <w:keepNext w:val="0"/>
        <w:keepLines w:val="0"/>
        <w:pageBreakBefore w:val="0"/>
        <w:widowControl w:val="0"/>
        <w:kinsoku/>
        <w:wordWrap/>
        <w:overflowPunct/>
        <w:topLinePunct w:val="0"/>
        <w:autoSpaceDE/>
        <w:autoSpaceDN/>
        <w:bidi w:val="0"/>
        <w:spacing w:line="578" w:lineRule="exact"/>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bookmarkStart w:id="52" w:name="_Toc15396618"/>
      <w:r>
        <w:rPr>
          <w:rFonts w:hint="eastAsia" w:ascii="Times New Roman" w:hAnsi="Times New Roman" w:eastAsia="仿宋_GB2312" w:cs="仿宋_GB2312"/>
          <w:b w:val="0"/>
          <w:bCs w:val="0"/>
          <w:kern w:val="0"/>
          <w:position w:val="0"/>
          <w:sz w:val="32"/>
          <w:szCs w:val="32"/>
          <w:highlight w:val="none"/>
          <w:lang w:val="en-US" w:eastAsia="zh-CN" w:bidi="ar-SA"/>
        </w:rPr>
        <w:br w:type="page"/>
      </w:r>
    </w:p>
    <w:p>
      <w:pPr>
        <w:widowControl/>
        <w:jc w:val="center"/>
        <w:rPr>
          <w:rFonts w:hint="eastAsia" w:ascii="Times New Roman" w:hAnsi="Times New Roman" w:eastAsia="仿宋"/>
          <w:b w:val="0"/>
          <w:color w:val="auto"/>
          <w:highlight w:val="none"/>
        </w:rPr>
      </w:pPr>
      <w:r>
        <w:rPr>
          <w:rFonts w:hint="eastAsia" w:ascii="Times New Roman" w:hAnsi="Times New Roman" w:eastAsia="黑体"/>
          <w:color w:val="auto"/>
          <w:sz w:val="44"/>
          <w:szCs w:val="44"/>
          <w:highlight w:val="none"/>
        </w:rPr>
        <w:t>第</w:t>
      </w:r>
      <w:r>
        <w:rPr>
          <w:rStyle w:val="28"/>
          <w:rFonts w:hint="eastAsia" w:ascii="Times New Roman" w:hAnsi="Times New Roman" w:eastAsia="黑体"/>
          <w:b w:val="0"/>
          <w:color w:val="auto"/>
          <w:highlight w:val="none"/>
        </w:rPr>
        <w:t>五部分 附表</w:t>
      </w:r>
      <w:bookmarkEnd w:id="50"/>
      <w:bookmarkEnd w:id="52"/>
      <w:bookmarkStart w:id="53" w:name="_Toc15396619"/>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一、收入支出决算总表</w:t>
      </w:r>
      <w:bookmarkEnd w:id="53"/>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4" w:name="_Toc15396620"/>
      <w:r>
        <w:rPr>
          <w:rFonts w:hint="eastAsia" w:ascii="Times New Roman" w:hAnsi="Times New Roman" w:eastAsia="仿宋_GB2312" w:cs="仿宋_GB2312"/>
          <w:color w:val="auto"/>
          <w:sz w:val="32"/>
          <w:szCs w:val="32"/>
          <w:highlight w:val="none"/>
        </w:rPr>
        <w:t>二、收入决算表</w:t>
      </w:r>
      <w:bookmarkEnd w:id="54"/>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5" w:name="_Toc15396621"/>
      <w:r>
        <w:rPr>
          <w:rFonts w:hint="eastAsia" w:ascii="Times New Roman" w:hAnsi="Times New Roman" w:eastAsia="仿宋_GB2312" w:cs="仿宋_GB2312"/>
          <w:color w:val="auto"/>
          <w:sz w:val="32"/>
          <w:szCs w:val="32"/>
          <w:highlight w:val="none"/>
        </w:rPr>
        <w:t>三、支出决算表</w:t>
      </w:r>
      <w:bookmarkEnd w:id="55"/>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6" w:name="_Toc15396622"/>
      <w:r>
        <w:rPr>
          <w:rFonts w:hint="eastAsia" w:ascii="Times New Roman" w:hAnsi="Times New Roman" w:eastAsia="仿宋_GB2312" w:cs="仿宋_GB2312"/>
          <w:color w:val="auto"/>
          <w:sz w:val="32"/>
          <w:szCs w:val="32"/>
          <w:highlight w:val="none"/>
        </w:rPr>
        <w:t>四、财政拨款收入支出决算总表</w:t>
      </w:r>
      <w:bookmarkEnd w:id="56"/>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7" w:name="_Toc15396623"/>
      <w:r>
        <w:rPr>
          <w:rFonts w:hint="eastAsia" w:ascii="Times New Roman" w:hAnsi="Times New Roman" w:eastAsia="仿宋_GB2312" w:cs="仿宋_GB2312"/>
          <w:color w:val="auto"/>
          <w:sz w:val="32"/>
          <w:szCs w:val="32"/>
          <w:highlight w:val="none"/>
        </w:rPr>
        <w:t>五、财政拨款支出决算明细表</w:t>
      </w:r>
      <w:bookmarkEnd w:id="57"/>
      <w:bookmarkStart w:id="58" w:name="_Toc15396624"/>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六、一般公共预算财政拨款支出决算表</w:t>
      </w:r>
      <w:bookmarkEnd w:id="58"/>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9" w:name="_Toc15396625"/>
      <w:r>
        <w:rPr>
          <w:rFonts w:hint="eastAsia" w:ascii="Times New Roman" w:hAnsi="Times New Roman" w:eastAsia="仿宋_GB2312" w:cs="仿宋_GB2312"/>
          <w:color w:val="auto"/>
          <w:sz w:val="32"/>
          <w:szCs w:val="32"/>
          <w:highlight w:val="none"/>
        </w:rPr>
        <w:t>七、一般公共预算财政拨款支出决算明细表</w:t>
      </w:r>
      <w:bookmarkEnd w:id="59"/>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0" w:name="_Toc15396626"/>
      <w:r>
        <w:rPr>
          <w:rFonts w:hint="eastAsia" w:ascii="Times New Roman" w:hAnsi="Times New Roman" w:eastAsia="仿宋_GB2312" w:cs="仿宋_GB2312"/>
          <w:color w:val="auto"/>
          <w:sz w:val="32"/>
          <w:szCs w:val="32"/>
          <w:highlight w:val="none"/>
        </w:rPr>
        <w:t>八、一般公共预算财政拨款基本支出决算表</w:t>
      </w:r>
      <w:bookmarkEnd w:id="60"/>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1" w:name="_Toc15396627"/>
      <w:r>
        <w:rPr>
          <w:rFonts w:hint="eastAsia" w:ascii="Times New Roman" w:hAnsi="Times New Roman" w:eastAsia="仿宋_GB2312" w:cs="仿宋_GB2312"/>
          <w:color w:val="auto"/>
          <w:sz w:val="32"/>
          <w:szCs w:val="32"/>
          <w:highlight w:val="none"/>
        </w:rPr>
        <w:t>九、一般公共预算财政拨款项目支出决算表</w:t>
      </w:r>
      <w:bookmarkEnd w:id="61"/>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2" w:name="_Toc15396628"/>
      <w:r>
        <w:rPr>
          <w:rFonts w:hint="eastAsia" w:ascii="Times New Roman" w:hAnsi="Times New Roman" w:eastAsia="仿宋_GB2312" w:cs="仿宋_GB2312"/>
          <w:color w:val="auto"/>
          <w:sz w:val="32"/>
          <w:szCs w:val="32"/>
          <w:highlight w:val="none"/>
        </w:rPr>
        <w:t>十、</w:t>
      </w:r>
      <w:bookmarkEnd w:id="62"/>
      <w:r>
        <w:rPr>
          <w:rFonts w:hint="eastAsia" w:ascii="Times New Roman" w:hAnsi="Times New Roman" w:eastAsia="仿宋_GB2312" w:cs="仿宋_GB2312"/>
          <w:color w:val="auto"/>
          <w:sz w:val="32"/>
          <w:szCs w:val="32"/>
          <w:highlight w:val="none"/>
        </w:rPr>
        <w:t>政府性基金预算财政拨款收入支出决算表</w:t>
      </w:r>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3" w:name="_Toc15396629"/>
      <w:r>
        <w:rPr>
          <w:rFonts w:hint="eastAsia" w:ascii="Times New Roman" w:hAnsi="Times New Roman" w:eastAsia="仿宋_GB2312" w:cs="仿宋_GB2312"/>
          <w:color w:val="auto"/>
          <w:sz w:val="32"/>
          <w:szCs w:val="32"/>
          <w:highlight w:val="none"/>
        </w:rPr>
        <w:t>十一、</w:t>
      </w:r>
      <w:bookmarkEnd w:id="63"/>
      <w:r>
        <w:rPr>
          <w:rFonts w:hint="eastAsia" w:ascii="Times New Roman" w:hAnsi="Times New Roman" w:eastAsia="仿宋_GB2312" w:cs="仿宋_GB2312"/>
          <w:color w:val="auto"/>
          <w:sz w:val="32"/>
          <w:szCs w:val="32"/>
          <w:highlight w:val="none"/>
        </w:rPr>
        <w:t>国有资本经营预算</w:t>
      </w:r>
      <w:r>
        <w:rPr>
          <w:rFonts w:hint="eastAsia" w:ascii="Times New Roman" w:hAnsi="Times New Roman" w:eastAsia="仿宋_GB2312" w:cs="仿宋_GB2312"/>
          <w:color w:val="auto"/>
          <w:sz w:val="32"/>
          <w:szCs w:val="32"/>
          <w:highlight w:val="none"/>
          <w:lang w:eastAsia="zh-CN"/>
        </w:rPr>
        <w:t>财政拨款收入</w:t>
      </w:r>
      <w:r>
        <w:rPr>
          <w:rFonts w:hint="eastAsia" w:ascii="Times New Roman" w:hAnsi="Times New Roman" w:eastAsia="仿宋_GB2312" w:cs="仿宋_GB2312"/>
          <w:color w:val="auto"/>
          <w:sz w:val="32"/>
          <w:szCs w:val="32"/>
          <w:highlight w:val="none"/>
        </w:rPr>
        <w:t>支出决算表</w:t>
      </w:r>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4" w:name="_Toc15396630"/>
      <w:r>
        <w:rPr>
          <w:rFonts w:hint="eastAsia" w:ascii="Times New Roman" w:hAnsi="Times New Roman" w:eastAsia="仿宋_GB2312" w:cs="仿宋_GB2312"/>
          <w:color w:val="auto"/>
          <w:sz w:val="32"/>
          <w:szCs w:val="32"/>
          <w:highlight w:val="none"/>
        </w:rPr>
        <w:t>十二、</w:t>
      </w:r>
      <w:bookmarkEnd w:id="64"/>
      <w:r>
        <w:rPr>
          <w:rFonts w:hint="eastAsia" w:ascii="Times New Roman" w:hAnsi="Times New Roman" w:eastAsia="仿宋_GB2312" w:cs="仿宋_GB2312"/>
          <w:color w:val="auto"/>
          <w:sz w:val="32"/>
          <w:szCs w:val="32"/>
          <w:highlight w:val="none"/>
          <w:lang w:eastAsia="zh-CN"/>
        </w:rPr>
        <w:t>国有资本经营预算财政拨款支出决算表</w:t>
      </w:r>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lang w:eastAsia="zh-CN"/>
        </w:rPr>
      </w:pPr>
      <w:bookmarkStart w:id="65" w:name="_Toc15396631"/>
      <w:r>
        <w:rPr>
          <w:rFonts w:hint="eastAsia" w:ascii="Times New Roman" w:hAnsi="Times New Roman" w:eastAsia="仿宋_GB2312" w:cs="仿宋_GB2312"/>
          <w:color w:val="auto"/>
          <w:sz w:val="32"/>
          <w:szCs w:val="32"/>
          <w:highlight w:val="none"/>
        </w:rPr>
        <w:t>十三、</w:t>
      </w:r>
      <w:bookmarkEnd w:id="65"/>
      <w:r>
        <w:rPr>
          <w:rFonts w:hint="eastAsia" w:ascii="Times New Roman" w:hAnsi="Times New Roman" w:eastAsia="仿宋_GB2312" w:cs="仿宋_GB2312"/>
          <w:color w:val="auto"/>
          <w:sz w:val="32"/>
          <w:szCs w:val="32"/>
          <w:highlight w:val="none"/>
          <w:lang w:eastAsia="zh-CN"/>
        </w:rPr>
        <w:t>财政拨款“三公”经费支出决算表</w:t>
      </w:r>
    </w:p>
    <w:p>
      <w:pPr>
        <w:rPr>
          <w:rFonts w:hint="eastAsia" w:ascii="Times New Roman" w:hAnsi="Times New Roman"/>
          <w:lang w:eastAsia="zh-CN"/>
        </w:rPr>
      </w:pPr>
    </w:p>
    <w:sectPr>
      <w:footerReference r:id="rId8" w:type="first"/>
      <w:footerReference r:id="rId7" w:type="default"/>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5PuKjdAgAAJgYAAA4AAABkcnMvZTJvRG9jLnhtbK1US27bMBDdF+gd&#10;CO4VSY7s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3k+4qN0CAAAmBgAADgAAAAAAAAABACAAAAAfAQAAZHJzL2Uyb0RvYy54bWxQSwUG&#10;AAAAAAYABgBZAQAAbgY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- 1 -</w:t>
                    </w:r>
                    <w:r>
                      <w:fldChar w:fldCharType="end"/>
                    </w:r>
                  </w:p>
                </w:txbxContent>
              </v:textbox>
            </v:shape>
          </w:pict>
        </mc:Fallback>
      </mc:AlternateContent>
    </w: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Ii43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ZQiLjd0CAAAmBgAADgAAAAAAAAABACAAAAAfAQAAZHJzL2Uyb0RvYy54bWxQSwUG&#10;AAAAAAYABgBZAQAAbgY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- 1 -</w:t>
                    </w:r>
                    <w:r>
                      <w:fldChar w:fldCharType="end"/>
                    </w:r>
                  </w:p>
                </w:txbxContent>
              </v:textbox>
            </v:shape>
          </w:pict>
        </mc:Fallback>
      </mc:AlternateContent>
    </w:r>
  </w:p>
  <w:p>
    <w:pPr>
      <w:pStyle w:val="11"/>
    </w:pPr>
  </w:p>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1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ze1J90CAAAmBgAADgAAAAAAAAABACAAAAAfAQAAZHJzL2Uyb0RvYy54bWxQSwUG&#10;AAAAAAYABgBZAQAAbgY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- 2 -</w:t>
                    </w:r>
                    <w:r>
                      <w:fldChar w:fldCharType="end"/>
                    </w:r>
                  </w:p>
                </w:txbxContent>
              </v:textbox>
            </v:shape>
          </w:pict>
        </mc:Fallback>
      </mc:AlternateContent>
    </w:r>
  </w:p>
  <w:p>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RuS5b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ZG5Llt0CAAAmBgAADgAAAAAAAAABACAAAAAfAQAAZHJzL2Uyb0RvYy54bWxQSwUG&#10;AAAAAAYABgBZAQAAbgY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1922F0"/>
    <w:multiLevelType w:val="singleLevel"/>
    <w:tmpl w:val="391922F0"/>
    <w:lvl w:ilvl="0" w:tentative="0">
      <w:start w:val="1"/>
      <w:numFmt w:val="decimal"/>
      <w:lvlText w:val="%1."/>
      <w:lvlJc w:val="left"/>
      <w:pPr>
        <w:tabs>
          <w:tab w:val="left" w:pos="312"/>
        </w:tabs>
      </w:pPr>
    </w:lvl>
  </w:abstractNum>
  <w:abstractNum w:abstractNumId="1">
    <w:nsid w:val="65AB2546"/>
    <w:multiLevelType w:val="singleLevel"/>
    <w:tmpl w:val="65AB2546"/>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2FEBE30"/>
    <w:rsid w:val="03C74792"/>
    <w:rsid w:val="04916F1E"/>
    <w:rsid w:val="061E35DE"/>
    <w:rsid w:val="06555461"/>
    <w:rsid w:val="066E0107"/>
    <w:rsid w:val="07996F6E"/>
    <w:rsid w:val="07DFD8BA"/>
    <w:rsid w:val="09867E8F"/>
    <w:rsid w:val="0A2032A3"/>
    <w:rsid w:val="0B243B52"/>
    <w:rsid w:val="0CA8290A"/>
    <w:rsid w:val="0D35B1ED"/>
    <w:rsid w:val="0E254B6B"/>
    <w:rsid w:val="0F98263C"/>
    <w:rsid w:val="101860EC"/>
    <w:rsid w:val="101F47CC"/>
    <w:rsid w:val="10C055FF"/>
    <w:rsid w:val="11694EBD"/>
    <w:rsid w:val="11772AA4"/>
    <w:rsid w:val="118107EC"/>
    <w:rsid w:val="12250420"/>
    <w:rsid w:val="12E24EE2"/>
    <w:rsid w:val="13D50BC4"/>
    <w:rsid w:val="14B17F78"/>
    <w:rsid w:val="165E0673"/>
    <w:rsid w:val="16B831D5"/>
    <w:rsid w:val="16BB723D"/>
    <w:rsid w:val="17E50567"/>
    <w:rsid w:val="186504BB"/>
    <w:rsid w:val="19A445FC"/>
    <w:rsid w:val="1BE8440E"/>
    <w:rsid w:val="1D155CEE"/>
    <w:rsid w:val="1D1638FE"/>
    <w:rsid w:val="1DC24961"/>
    <w:rsid w:val="1E312DEB"/>
    <w:rsid w:val="1E740ACF"/>
    <w:rsid w:val="1EA356A6"/>
    <w:rsid w:val="1FF35744"/>
    <w:rsid w:val="1FF6BC77"/>
    <w:rsid w:val="2186353C"/>
    <w:rsid w:val="23860B96"/>
    <w:rsid w:val="240371BF"/>
    <w:rsid w:val="244F3473"/>
    <w:rsid w:val="24C97D99"/>
    <w:rsid w:val="25A718F0"/>
    <w:rsid w:val="25BB59F6"/>
    <w:rsid w:val="260F557C"/>
    <w:rsid w:val="26970054"/>
    <w:rsid w:val="281408E2"/>
    <w:rsid w:val="29FD04D3"/>
    <w:rsid w:val="2BFF7BC6"/>
    <w:rsid w:val="2C8A61B5"/>
    <w:rsid w:val="2DF04E50"/>
    <w:rsid w:val="2E586DFA"/>
    <w:rsid w:val="2F030B0F"/>
    <w:rsid w:val="2F040D46"/>
    <w:rsid w:val="2F427F27"/>
    <w:rsid w:val="2F6B035B"/>
    <w:rsid w:val="2FAE5751"/>
    <w:rsid w:val="2FB1A395"/>
    <w:rsid w:val="2FD9A7D8"/>
    <w:rsid w:val="2FDBF714"/>
    <w:rsid w:val="30AB6865"/>
    <w:rsid w:val="311A3AC5"/>
    <w:rsid w:val="319F7F4E"/>
    <w:rsid w:val="32BD1EF1"/>
    <w:rsid w:val="3304709D"/>
    <w:rsid w:val="33A773CB"/>
    <w:rsid w:val="349D6851"/>
    <w:rsid w:val="36AA5135"/>
    <w:rsid w:val="36BE0DA7"/>
    <w:rsid w:val="376B6AA6"/>
    <w:rsid w:val="376D39B2"/>
    <w:rsid w:val="37E16F03"/>
    <w:rsid w:val="37F53A3B"/>
    <w:rsid w:val="389B6C89"/>
    <w:rsid w:val="38D469F0"/>
    <w:rsid w:val="39627CCD"/>
    <w:rsid w:val="397BAF1F"/>
    <w:rsid w:val="39D3116A"/>
    <w:rsid w:val="3AB79AF3"/>
    <w:rsid w:val="3AE834C0"/>
    <w:rsid w:val="3B7EF35A"/>
    <w:rsid w:val="3B9FDB6C"/>
    <w:rsid w:val="3BF5BC2F"/>
    <w:rsid w:val="3CEBA265"/>
    <w:rsid w:val="3D98207C"/>
    <w:rsid w:val="3DEE7CF3"/>
    <w:rsid w:val="3E740A63"/>
    <w:rsid w:val="3E78745D"/>
    <w:rsid w:val="3EE17838"/>
    <w:rsid w:val="3F55381A"/>
    <w:rsid w:val="3F7F7599"/>
    <w:rsid w:val="3FF4CAE0"/>
    <w:rsid w:val="3FF7B227"/>
    <w:rsid w:val="44E268DA"/>
    <w:rsid w:val="450D13D7"/>
    <w:rsid w:val="45506656"/>
    <w:rsid w:val="486A6C7A"/>
    <w:rsid w:val="4A627F82"/>
    <w:rsid w:val="4B0E749A"/>
    <w:rsid w:val="4B2477C4"/>
    <w:rsid w:val="4B4F25DA"/>
    <w:rsid w:val="4BE068DB"/>
    <w:rsid w:val="4D577224"/>
    <w:rsid w:val="4DBF1CEB"/>
    <w:rsid w:val="4DF0007C"/>
    <w:rsid w:val="4EAB630A"/>
    <w:rsid w:val="4ECE2238"/>
    <w:rsid w:val="4F833267"/>
    <w:rsid w:val="4FE9BD67"/>
    <w:rsid w:val="4FFB052F"/>
    <w:rsid w:val="537E6D0A"/>
    <w:rsid w:val="53F74C96"/>
    <w:rsid w:val="55170BA8"/>
    <w:rsid w:val="553218C9"/>
    <w:rsid w:val="55734432"/>
    <w:rsid w:val="567E1AA5"/>
    <w:rsid w:val="56E47B74"/>
    <w:rsid w:val="57175D52"/>
    <w:rsid w:val="57BD3DD4"/>
    <w:rsid w:val="5AF92295"/>
    <w:rsid w:val="5B250254"/>
    <w:rsid w:val="5BDD79E6"/>
    <w:rsid w:val="5BF561CA"/>
    <w:rsid w:val="5BFF5DFC"/>
    <w:rsid w:val="5CD71FC4"/>
    <w:rsid w:val="5D1F11B5"/>
    <w:rsid w:val="5D695134"/>
    <w:rsid w:val="5DAE1B18"/>
    <w:rsid w:val="5DE7D9E5"/>
    <w:rsid w:val="5ECEC941"/>
    <w:rsid w:val="5FBF9FF3"/>
    <w:rsid w:val="5FCD4E2C"/>
    <w:rsid w:val="5FEF394A"/>
    <w:rsid w:val="5FF67715"/>
    <w:rsid w:val="62BF3928"/>
    <w:rsid w:val="63B3701E"/>
    <w:rsid w:val="647F5392"/>
    <w:rsid w:val="65E66580"/>
    <w:rsid w:val="664B1D71"/>
    <w:rsid w:val="664B4E8E"/>
    <w:rsid w:val="67277B67"/>
    <w:rsid w:val="67AA3209"/>
    <w:rsid w:val="698D0931"/>
    <w:rsid w:val="6A7FE5F3"/>
    <w:rsid w:val="6B053271"/>
    <w:rsid w:val="6B9D702D"/>
    <w:rsid w:val="6BDD78B3"/>
    <w:rsid w:val="6C1D48F5"/>
    <w:rsid w:val="6C4A05C8"/>
    <w:rsid w:val="6C8742B8"/>
    <w:rsid w:val="6DBF5E93"/>
    <w:rsid w:val="6DFF077E"/>
    <w:rsid w:val="6E714EF0"/>
    <w:rsid w:val="6E7E3605"/>
    <w:rsid w:val="6E7FDCC7"/>
    <w:rsid w:val="6ED6A62E"/>
    <w:rsid w:val="6EE00B15"/>
    <w:rsid w:val="6F6FB3EB"/>
    <w:rsid w:val="6F8731EA"/>
    <w:rsid w:val="6FCE6052"/>
    <w:rsid w:val="6FD57C00"/>
    <w:rsid w:val="6FEFFFD8"/>
    <w:rsid w:val="6FF5CC65"/>
    <w:rsid w:val="6FFB47EC"/>
    <w:rsid w:val="6FFF034A"/>
    <w:rsid w:val="70484440"/>
    <w:rsid w:val="712A28F1"/>
    <w:rsid w:val="715C0E4B"/>
    <w:rsid w:val="71992E7C"/>
    <w:rsid w:val="72233669"/>
    <w:rsid w:val="72734D90"/>
    <w:rsid w:val="73160E6D"/>
    <w:rsid w:val="7332FE48"/>
    <w:rsid w:val="73AB61DA"/>
    <w:rsid w:val="73AD73D5"/>
    <w:rsid w:val="73B6EB34"/>
    <w:rsid w:val="73FA497D"/>
    <w:rsid w:val="744731E5"/>
    <w:rsid w:val="748F6198"/>
    <w:rsid w:val="74BBD01D"/>
    <w:rsid w:val="74ED5379"/>
    <w:rsid w:val="75DEEEC2"/>
    <w:rsid w:val="75E32345"/>
    <w:rsid w:val="76E3355F"/>
    <w:rsid w:val="76FF5125"/>
    <w:rsid w:val="776F6FFA"/>
    <w:rsid w:val="778769C8"/>
    <w:rsid w:val="77A75DCA"/>
    <w:rsid w:val="77DC22F5"/>
    <w:rsid w:val="783E271A"/>
    <w:rsid w:val="78616DE9"/>
    <w:rsid w:val="78E875D7"/>
    <w:rsid w:val="79086DAD"/>
    <w:rsid w:val="79D7FD79"/>
    <w:rsid w:val="79EE5BA4"/>
    <w:rsid w:val="7A894339"/>
    <w:rsid w:val="7AD284E8"/>
    <w:rsid w:val="7AFF7572"/>
    <w:rsid w:val="7B6C7DFB"/>
    <w:rsid w:val="7BBFBED0"/>
    <w:rsid w:val="7BC3E394"/>
    <w:rsid w:val="7C1F3737"/>
    <w:rsid w:val="7CBFC87B"/>
    <w:rsid w:val="7CFE0F48"/>
    <w:rsid w:val="7D272ABC"/>
    <w:rsid w:val="7D7EC23E"/>
    <w:rsid w:val="7E8ADEBF"/>
    <w:rsid w:val="7EEF11D3"/>
    <w:rsid w:val="7EFE4840"/>
    <w:rsid w:val="7F0971A6"/>
    <w:rsid w:val="7F1D62E7"/>
    <w:rsid w:val="7F3F679B"/>
    <w:rsid w:val="7F4FC4EF"/>
    <w:rsid w:val="7F5E4D54"/>
    <w:rsid w:val="7F6E0135"/>
    <w:rsid w:val="7F79F205"/>
    <w:rsid w:val="7FA30C79"/>
    <w:rsid w:val="7FA79C44"/>
    <w:rsid w:val="7FAF8ABF"/>
    <w:rsid w:val="7FB7269E"/>
    <w:rsid w:val="7FC96657"/>
    <w:rsid w:val="7FDA9588"/>
    <w:rsid w:val="7FDF220F"/>
    <w:rsid w:val="7FEDC5F7"/>
    <w:rsid w:val="7FEDD9DE"/>
    <w:rsid w:val="7FF5890D"/>
    <w:rsid w:val="7FF93490"/>
    <w:rsid w:val="99FF2014"/>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FF5B2E"/>
    <w:rsid w:val="FD7FFE2B"/>
    <w:rsid w:val="FDEE196B"/>
    <w:rsid w:val="FDFE6575"/>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2"/>
    <w:unhideWhenUsed/>
    <w:qFormat/>
    <w:uiPriority w:val="9"/>
    <w:pPr>
      <w:keepNext/>
      <w:keepLines/>
      <w:spacing w:before="260" w:after="260" w:line="416" w:lineRule="auto"/>
      <w:outlineLvl w:val="2"/>
    </w:pPr>
    <w:rPr>
      <w:b/>
      <w:bCs/>
      <w:sz w:val="32"/>
      <w:szCs w:val="32"/>
    </w:rPr>
  </w:style>
  <w:style w:type="character" w:default="1" w:styleId="17">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customStyle="1" w:styleId="2">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paragraph" w:styleId="6">
    <w:name w:val="Body Text"/>
    <w:basedOn w:val="1"/>
    <w:link w:val="25"/>
    <w:qFormat/>
    <w:uiPriority w:val="99"/>
    <w:pPr>
      <w:spacing w:beforeLines="30"/>
    </w:pPr>
    <w:rPr>
      <w:rFonts w:ascii="仿宋_GB2312" w:eastAsia="仿宋_GB2312"/>
      <w:kern w:val="0"/>
      <w:sz w:val="30"/>
    </w:rPr>
  </w:style>
  <w:style w:type="paragraph" w:styleId="7">
    <w:name w:val="Body Text Indent"/>
    <w:basedOn w:val="1"/>
    <w:next w:val="8"/>
    <w:qFormat/>
    <w:uiPriority w:val="0"/>
    <w:pPr>
      <w:spacing w:after="120"/>
      <w:ind w:leftChars="200"/>
    </w:pPr>
    <w:rPr>
      <w:rFonts w:ascii="仿宋_GB2312"/>
      <w:szCs w:val="32"/>
    </w:rPr>
  </w:style>
  <w:style w:type="paragraph" w:styleId="8">
    <w:name w:val="Body Text First Indent 2"/>
    <w:basedOn w:val="7"/>
    <w:unhideWhenUsed/>
    <w:qFormat/>
    <w:uiPriority w:val="99"/>
    <w:pPr>
      <w:ind w:firstLine="420" w:firstLineChars="200"/>
    </w:p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1"/>
    <w:semiHidden/>
    <w:unhideWhenUsed/>
    <w:qFormat/>
    <w:uiPriority w:val="99"/>
    <w:rPr>
      <w:sz w:val="18"/>
      <w:szCs w:val="18"/>
    </w:rPr>
  </w:style>
  <w:style w:type="paragraph" w:styleId="11">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footnote text"/>
    <w:basedOn w:val="1"/>
    <w:next w:val="8"/>
    <w:semiHidden/>
    <w:qFormat/>
    <w:uiPriority w:val="0"/>
    <w:pPr>
      <w:snapToGrid w:val="0"/>
      <w:jc w:val="left"/>
    </w:pPr>
    <w:rPr>
      <w:sz w:val="18"/>
      <w:szCs w:val="18"/>
    </w:rPr>
  </w:style>
  <w:style w:type="paragraph" w:styleId="15">
    <w:name w:val="toc 2"/>
    <w:basedOn w:val="1"/>
    <w:next w:val="1"/>
    <w:unhideWhenUsed/>
    <w:qFormat/>
    <w:uiPriority w:val="39"/>
    <w:pPr>
      <w:tabs>
        <w:tab w:val="right" w:leader="dot" w:pos="8296"/>
      </w:tabs>
      <w:ind w:left="420" w:leftChars="200"/>
    </w:p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character" w:customStyle="1" w:styleId="20">
    <w:name w:val="Header Char"/>
    <w:basedOn w:val="17"/>
    <w:semiHidden/>
    <w:qFormat/>
    <w:uiPriority w:val="99"/>
    <w:rPr>
      <w:rFonts w:ascii="Times New Roman" w:hAnsi="Times New Roman"/>
      <w:sz w:val="18"/>
      <w:szCs w:val="18"/>
    </w:rPr>
  </w:style>
  <w:style w:type="character" w:customStyle="1" w:styleId="21">
    <w:name w:val="页眉 Char"/>
    <w:link w:val="12"/>
    <w:semiHidden/>
    <w:qFormat/>
    <w:locked/>
    <w:uiPriority w:val="99"/>
    <w:rPr>
      <w:sz w:val="18"/>
    </w:rPr>
  </w:style>
  <w:style w:type="character" w:customStyle="1" w:styleId="22">
    <w:name w:val="Footer Char"/>
    <w:basedOn w:val="17"/>
    <w:semiHidden/>
    <w:qFormat/>
    <w:uiPriority w:val="99"/>
    <w:rPr>
      <w:rFonts w:ascii="Times New Roman" w:hAnsi="Times New Roman"/>
      <w:sz w:val="18"/>
      <w:szCs w:val="18"/>
    </w:rPr>
  </w:style>
  <w:style w:type="character" w:customStyle="1" w:styleId="23">
    <w:name w:val="页脚 Char"/>
    <w:link w:val="11"/>
    <w:qFormat/>
    <w:locked/>
    <w:uiPriority w:val="99"/>
    <w:rPr>
      <w:sz w:val="18"/>
    </w:rPr>
  </w:style>
  <w:style w:type="character" w:customStyle="1" w:styleId="24">
    <w:name w:val="Body Text Char"/>
    <w:basedOn w:val="17"/>
    <w:semiHidden/>
    <w:qFormat/>
    <w:uiPriority w:val="99"/>
    <w:rPr>
      <w:rFonts w:ascii="Times New Roman" w:hAnsi="Times New Roman"/>
      <w:szCs w:val="24"/>
    </w:rPr>
  </w:style>
  <w:style w:type="character" w:customStyle="1" w:styleId="25">
    <w:name w:val="正文文本 Char"/>
    <w:link w:val="6"/>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Char"/>
    <w:basedOn w:val="17"/>
    <w:link w:val="3"/>
    <w:qFormat/>
    <w:uiPriority w:val="9"/>
    <w:rPr>
      <w:rFonts w:ascii="Times New Roman" w:hAnsi="Times New Roman"/>
      <w:b/>
      <w:bCs/>
      <w:kern w:val="44"/>
      <w:sz w:val="44"/>
      <w:szCs w:val="44"/>
    </w:rPr>
  </w:style>
  <w:style w:type="character" w:customStyle="1" w:styleId="29">
    <w:name w:val="标题 2 Char"/>
    <w:basedOn w:val="17"/>
    <w:link w:val="4"/>
    <w:qFormat/>
    <w:uiPriority w:val="9"/>
    <w:rPr>
      <w:rFonts w:asciiTheme="majorHAnsi" w:hAnsiTheme="majorHAnsi" w:eastAsiaTheme="majorEastAsia" w:cstheme="majorBidi"/>
      <w:b/>
      <w:bCs/>
      <w:kern w:val="2"/>
      <w:sz w:val="32"/>
      <w:szCs w:val="32"/>
    </w:rPr>
  </w:style>
  <w:style w:type="paragraph" w:customStyle="1" w:styleId="30">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Char"/>
    <w:basedOn w:val="17"/>
    <w:link w:val="10"/>
    <w:semiHidden/>
    <w:qFormat/>
    <w:uiPriority w:val="99"/>
    <w:rPr>
      <w:rFonts w:ascii="Times New Roman" w:hAnsi="Times New Roman"/>
      <w:kern w:val="2"/>
      <w:sz w:val="18"/>
      <w:szCs w:val="18"/>
    </w:rPr>
  </w:style>
  <w:style w:type="character" w:customStyle="1" w:styleId="32">
    <w:name w:val="标题 3 Char"/>
    <w:basedOn w:val="17"/>
    <w:link w:val="5"/>
    <w:qFormat/>
    <w:uiPriority w:val="9"/>
    <w:rPr>
      <w:rFonts w:ascii="Times New Roman" w:hAnsi="Times New Roman"/>
      <w:b/>
      <w:bCs/>
      <w:kern w:val="2"/>
      <w:sz w:val="32"/>
      <w:szCs w:val="32"/>
    </w:rPr>
  </w:style>
  <w:style w:type="paragraph" w:customStyle="1" w:styleId="33">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chart" Target="charts/chart6.xml"/><Relationship Id="rId14" Type="http://schemas.openxmlformats.org/officeDocument/2006/relationships/chart" Target="charts/chart5.xml"/><Relationship Id="rId13" Type="http://schemas.openxmlformats.org/officeDocument/2006/relationships/chart" Target="charts/chart4.xml"/><Relationship Id="rId12" Type="http://schemas.openxmlformats.org/officeDocument/2006/relationships/chart" Target="charts/chart3.xml"/><Relationship Id="rId11" Type="http://schemas.openxmlformats.org/officeDocument/2006/relationships/chart" Target="charts/chart2.xml"/><Relationship Id="rId10" Type="http://schemas.openxmlformats.org/officeDocument/2006/relationships/chart" Target="charts/chart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C:\Users\Administrator\Desktop\&#20915;&#31639;&#20844;&#24320;2025&#24180;\&#26609;&#22270;.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Administrator\Desktop\&#20915;&#31639;&#20844;&#24320;2025&#24180;\&#26609;&#22270;.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C:\Users\Administrator\Desktop\&#20915;&#31639;&#20844;&#24320;2025&#24180;\&#26609;&#22270;.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C:\Users\Administrator\Desktop\&#20915;&#31639;&#20844;&#24320;2025&#24180;\&#26609;&#22270;.xlsx"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C:\Users\Administrator\AppData\Local\Temp\wps.ctISQH\Chart3%20in%20Wps.xlsx"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收入、支出决算总计变动情况图（万元）</a:t>
            </a:r>
          </a:p>
        </c:rich>
      </c:tx>
      <c:layout/>
      <c:overlay val="0"/>
      <c:spPr>
        <a:noFill/>
        <a:ln>
          <a:noFill/>
        </a:ln>
        <a:effectLst/>
      </c:spPr>
    </c:title>
    <c:autoTitleDeleted val="0"/>
    <c:plotArea>
      <c:layout/>
      <c:barChart>
        <c:barDir val="col"/>
        <c:grouping val="clustered"/>
        <c:varyColors val="0"/>
        <c:ser>
          <c:idx val="0"/>
          <c:order val="0"/>
          <c:tx>
            <c:strRef>
              <c:f>[柱图.xlsx]Sheet1!$A$3</c:f>
              <c:strCache>
                <c:ptCount val="1"/>
                <c:pt idx="0">
                  <c:v>收入</c:v>
                </c:pt>
              </c:strCache>
            </c:strRef>
          </c:tx>
          <c:spPr>
            <a:solidFill>
              <a:schemeClr val="accent1"/>
            </a:solidFill>
            <a:ln>
              <a:noFill/>
            </a:ln>
            <a:effectLst/>
          </c:spPr>
          <c:invertIfNegative val="0"/>
          <c:dLbls>
            <c:dLbl>
              <c:idx val="2"/>
              <c:layout>
                <c:manualLayout>
                  <c:x val="-0.208026315789474"/>
                  <c:y val="0.01875"/>
                </c:manualLayout>
              </c:layout>
              <c:dLblPos val="outEnd"/>
              <c:showLegendKey val="0"/>
              <c:showVal val="1"/>
              <c:showCatName val="0"/>
              <c:showSerName val="1"/>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1"/>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multiLvlStrRef>
              <c:f>[柱图.xlsx]Sheet1!$B$1:$D$2</c:f>
              <c:multiLvlStrCache>
                <c:ptCount val="3"/>
                <c:lvl>
                  <c:pt idx="0">
                    <c:v>2023年</c:v>
                  </c:pt>
                  <c:pt idx="2">
                    <c:v>2024年</c:v>
                  </c:pt>
                </c:lvl>
                <c:lvl/>
              </c:multiLvlStrCache>
            </c:multiLvlStrRef>
          </c:cat>
          <c:val>
            <c:numRef>
              <c:f>[柱图.xlsx]Sheet1!$B$3:$D$3</c:f>
              <c:numCache>
                <c:formatCode>General</c:formatCode>
                <c:ptCount val="3"/>
                <c:pt idx="0">
                  <c:v>154.87</c:v>
                </c:pt>
                <c:pt idx="2">
                  <c:v>166.9</c:v>
                </c:pt>
              </c:numCache>
            </c:numRef>
          </c:val>
        </c:ser>
        <c:ser>
          <c:idx val="1"/>
          <c:order val="1"/>
          <c:tx>
            <c:strRef>
              <c:f>[柱图.xlsx]Sheet1!$A$4</c:f>
              <c:strCache>
                <c:ptCount val="1"/>
                <c:pt idx="0">
                  <c:v>支出</c:v>
                </c:pt>
              </c:strCache>
            </c:strRef>
          </c:tx>
          <c:spPr>
            <a:solidFill>
              <a:schemeClr val="accent2"/>
            </a:solidFill>
            <a:ln>
              <a:noFill/>
            </a:ln>
            <a:effectLst/>
          </c:spPr>
          <c:invertIfNegative val="0"/>
          <c:dLbls>
            <c:dLbl>
              <c:idx val="0"/>
              <c:layout>
                <c:manualLayout>
                  <c:x val="0.136052631578947"/>
                  <c:y val="-0.05625"/>
                </c:manualLayout>
              </c:layout>
              <c:dLblPos val="outEnd"/>
              <c:showLegendKey val="0"/>
              <c:showVal val="1"/>
              <c:showCatName val="0"/>
              <c:showSerName val="1"/>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1"/>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multiLvlStrRef>
              <c:f>[柱图.xlsx]Sheet1!$B$1:$D$2</c:f>
              <c:multiLvlStrCache>
                <c:ptCount val="3"/>
                <c:lvl>
                  <c:pt idx="0">
                    <c:v>2023年</c:v>
                  </c:pt>
                  <c:pt idx="2">
                    <c:v>2024年</c:v>
                  </c:pt>
                </c:lvl>
                <c:lvl/>
              </c:multiLvlStrCache>
            </c:multiLvlStrRef>
          </c:cat>
          <c:val>
            <c:numRef>
              <c:f>[柱图.xlsx]Sheet1!$B$4:$D$4</c:f>
              <c:numCache>
                <c:formatCode>General</c:formatCode>
                <c:ptCount val="3"/>
                <c:pt idx="0">
                  <c:v>154.87</c:v>
                </c:pt>
                <c:pt idx="2">
                  <c:v>166.9</c:v>
                </c:pt>
              </c:numCache>
            </c:numRef>
          </c:val>
        </c:ser>
        <c:dLbls>
          <c:showLegendKey val="0"/>
          <c:showVal val="0"/>
          <c:showCatName val="0"/>
          <c:showSerName val="0"/>
          <c:showPercent val="0"/>
          <c:showBubbleSize val="0"/>
        </c:dLbls>
        <c:gapWidth val="246"/>
        <c:overlap val="-28"/>
        <c:axId val="87530197"/>
        <c:axId val="66051024"/>
      </c:barChart>
      <c:catAx>
        <c:axId val="87530197"/>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051024"/>
        <c:crosses val="autoZero"/>
        <c:auto val="1"/>
        <c:lblAlgn val="ctr"/>
        <c:lblOffset val="100"/>
        <c:noMultiLvlLbl val="0"/>
      </c:catAx>
      <c:valAx>
        <c:axId val="66051024"/>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7530197"/>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altLang="zh-CN"/>
              <a:t>收入决算结构图（万元）</a:t>
            </a:r>
            <a:endParaRPr altLang="zh-CN"/>
          </a:p>
        </c:rich>
      </c:tx>
      <c:layout>
        <c:manualLayout>
          <c:xMode val="edge"/>
          <c:yMode val="edge"/>
          <c:x val="0.353802778159813"/>
          <c:y val="0.0245941957697983"/>
        </c:manualLayout>
      </c:layout>
      <c:overlay val="0"/>
      <c:spPr>
        <a:noFill/>
        <a:ln>
          <a:noFill/>
        </a:ln>
        <a:effectLst/>
      </c:spPr>
    </c:title>
    <c:autoTitleDeleted val="0"/>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1"/>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[柱图.xlsx]Sheet1!$G$2:$H$2</c:f>
              <c:strCache>
                <c:ptCount val="2"/>
                <c:pt idx="0">
                  <c:v>一般公共预算财政拨款收入</c:v>
                </c:pt>
                <c:pt idx="1">
                  <c:v>其他收入</c:v>
                </c:pt>
              </c:strCache>
            </c:strRef>
          </c:cat>
          <c:val>
            <c:numRef>
              <c:f>[柱图.xlsx]Sheet1!$G$3:$H$3</c:f>
              <c:numCache>
                <c:formatCode>General</c:formatCode>
                <c:ptCount val="2"/>
                <c:pt idx="0">
                  <c:v>166.35</c:v>
                </c:pt>
                <c:pt idx="1">
                  <c:v>0.56</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支出决算结构图（万元）</a:t>
            </a:r>
          </a:p>
        </c:rich>
      </c:tx>
      <c:layout>
        <c:manualLayout>
          <c:xMode val="edge"/>
          <c:yMode val="edge"/>
          <c:x val="0.358721171108963"/>
          <c:y val="0.0291899781075164"/>
        </c:manualLayout>
      </c:layout>
      <c:overlay val="0"/>
      <c:spPr>
        <a:noFill/>
        <a:ln>
          <a:noFill/>
        </a:ln>
        <a:effectLst/>
      </c:spPr>
    </c:title>
    <c:autoTitleDeleted val="0"/>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1"/>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[柱图.xlsx]Sheet1!$L$2:$M$2</c:f>
              <c:strCache>
                <c:ptCount val="2"/>
                <c:pt idx="0">
                  <c:v>基本支出</c:v>
                </c:pt>
                <c:pt idx="1">
                  <c:v>项目支出</c:v>
                </c:pt>
              </c:strCache>
            </c:strRef>
          </c:cat>
          <c:val>
            <c:numRef>
              <c:f>[柱图.xlsx]Sheet1!$L$3:$M$3</c:f>
              <c:numCache>
                <c:formatCode>General</c:formatCode>
                <c:ptCount val="2"/>
                <c:pt idx="0">
                  <c:v>162.42</c:v>
                </c:pt>
                <c:pt idx="1">
                  <c:v>4.48</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财政拨款收、支决算总计变动情况</a:t>
            </a:r>
          </a:p>
        </c:rich>
      </c:tx>
      <c:layout/>
      <c:overlay val="0"/>
      <c:spPr>
        <a:noFill/>
        <a:ln>
          <a:noFill/>
        </a:ln>
        <a:effectLst/>
      </c:spPr>
    </c:title>
    <c:autoTitleDeleted val="0"/>
    <c:plotArea>
      <c:layout/>
      <c:barChart>
        <c:barDir val="col"/>
        <c:grouping val="clustered"/>
        <c:varyColors val="0"/>
        <c:ser>
          <c:idx val="0"/>
          <c:order val="0"/>
          <c:tx>
            <c:strRef>
              <c:f>[柱图.xlsx]Sheet1!$A$32</c:f>
              <c:strCache>
                <c:ptCount val="1"/>
                <c:pt idx="0">
                  <c:v>收入</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1"/>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multiLvlStrRef>
              <c:f>[柱图.xlsx]Sheet1!$B$30:$D$31</c:f>
              <c:multiLvlStrCache>
                <c:ptCount val="3"/>
                <c:lvl>
                  <c:pt idx="0">
                    <c:v>2023年</c:v>
                  </c:pt>
                  <c:pt idx="2">
                    <c:v>2024年</c:v>
                  </c:pt>
                </c:lvl>
                <c:lvl/>
              </c:multiLvlStrCache>
            </c:multiLvlStrRef>
          </c:cat>
          <c:val>
            <c:numRef>
              <c:f>[柱图.xlsx]Sheet1!$B$32:$D$32</c:f>
              <c:numCache>
                <c:formatCode>General</c:formatCode>
                <c:ptCount val="3"/>
                <c:pt idx="0">
                  <c:v>154.87</c:v>
                </c:pt>
                <c:pt idx="2">
                  <c:v>166.35</c:v>
                </c:pt>
              </c:numCache>
            </c:numRef>
          </c:val>
        </c:ser>
        <c:ser>
          <c:idx val="1"/>
          <c:order val="1"/>
          <c:tx>
            <c:strRef>
              <c:f>[柱图.xlsx]Sheet1!$A$33</c:f>
              <c:strCache>
                <c:ptCount val="1"/>
                <c:pt idx="0">
                  <c:v>支出</c:v>
                </c:pt>
              </c:strCache>
            </c:strRef>
          </c:tx>
          <c:spPr>
            <a:solidFill>
              <a:schemeClr val="accent2"/>
            </a:solidFill>
            <a:ln>
              <a:noFill/>
            </a:ln>
            <a:effectLst/>
          </c:spPr>
          <c:invertIfNegative val="0"/>
          <c:dLbls>
            <c:dLbl>
              <c:idx val="0"/>
              <c:layout>
                <c:manualLayout>
                  <c:x val="0.160764872521246"/>
                  <c:y val="-0.0284026996625422"/>
                </c:manualLayout>
              </c:layout>
              <c:dLblPos val="outEnd"/>
              <c:showLegendKey val="0"/>
              <c:showVal val="1"/>
              <c:showCatName val="0"/>
              <c:showSerName val="1"/>
              <c:showPercent val="0"/>
              <c:showBubbleSize val="0"/>
              <c:extLst>
                <c:ext xmlns:c15="http://schemas.microsoft.com/office/drawing/2012/chart" uri="{CE6537A1-D6FC-4f65-9D91-7224C49458BB}">
                  <c15:layout/>
                </c:ext>
              </c:extLst>
            </c:dLbl>
            <c:dLbl>
              <c:idx val="2"/>
              <c:layout>
                <c:manualLayout>
                  <c:x val="0.0526382464150959"/>
                  <c:y val="-0.0343082114735658"/>
                </c:manualLayout>
              </c:layout>
              <c:dLblPos val="outEnd"/>
              <c:showLegendKey val="0"/>
              <c:showVal val="1"/>
              <c:showCatName val="0"/>
              <c:showSerName val="1"/>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1"/>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multiLvlStrRef>
              <c:f>[柱图.xlsx]Sheet1!$B$30:$D$31</c:f>
              <c:multiLvlStrCache>
                <c:ptCount val="3"/>
                <c:lvl>
                  <c:pt idx="0">
                    <c:v>2023年</c:v>
                  </c:pt>
                  <c:pt idx="2">
                    <c:v>2024年</c:v>
                  </c:pt>
                </c:lvl>
                <c:lvl/>
              </c:multiLvlStrCache>
            </c:multiLvlStrRef>
          </c:cat>
          <c:val>
            <c:numRef>
              <c:f>[柱图.xlsx]Sheet1!$B$33:$D$33</c:f>
              <c:numCache>
                <c:formatCode>General</c:formatCode>
                <c:ptCount val="3"/>
                <c:pt idx="0">
                  <c:v>154.87</c:v>
                </c:pt>
                <c:pt idx="2">
                  <c:v>166.35</c:v>
                </c:pt>
              </c:numCache>
            </c:numRef>
          </c:val>
        </c:ser>
        <c:dLbls>
          <c:showLegendKey val="0"/>
          <c:showVal val="0"/>
          <c:showCatName val="0"/>
          <c:showSerName val="0"/>
          <c:showPercent val="0"/>
          <c:showBubbleSize val="0"/>
        </c:dLbls>
        <c:gapWidth val="246"/>
        <c:overlap val="-28"/>
        <c:axId val="152063618"/>
        <c:axId val="725386009"/>
      </c:barChart>
      <c:catAx>
        <c:axId val="15206361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25386009"/>
        <c:crosses val="autoZero"/>
        <c:auto val="1"/>
        <c:lblAlgn val="ctr"/>
        <c:lblOffset val="100"/>
        <c:noMultiLvlLbl val="0"/>
      </c:catAx>
      <c:valAx>
        <c:axId val="725386009"/>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52063618"/>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一般公共预算财政拨款支出（万元）</a:t>
            </a:r>
          </a:p>
        </c:rich>
      </c:tx>
      <c:layout>
        <c:manualLayout>
          <c:xMode val="edge"/>
          <c:yMode val="edge"/>
          <c:x val="0.264583333333334"/>
          <c:y val="0.0277777777777778"/>
        </c:manualLayout>
      </c:layout>
      <c:overlay val="0"/>
      <c:spPr>
        <a:noFill/>
        <a:ln>
          <a:noFill/>
        </a:ln>
        <a:effectLst/>
      </c:spPr>
    </c:title>
    <c:autoTitleDeleted val="0"/>
    <c:plotArea>
      <c:layout>
        <c:manualLayout>
          <c:layoutTarget val="inner"/>
          <c:xMode val="edge"/>
          <c:yMode val="edge"/>
          <c:x val="0.0777222222222222"/>
          <c:y val="0.140228192859772"/>
          <c:w val="0.894638888888889"/>
          <c:h val="0.770776591829223"/>
        </c:manualLayout>
      </c:layout>
      <c:barChart>
        <c:barDir val="col"/>
        <c:grouping val="clustered"/>
        <c:varyColors val="0"/>
        <c:ser>
          <c:idx val="0"/>
          <c:order val="0"/>
          <c:tx>
            <c:strRef>
              <c:f>'[Chart3 in Wps.xlsx]Sheet1'!$B$1</c:f>
              <c:strCache>
                <c:ptCount val="1"/>
                <c:pt idx="0">
                  <c:v>一般公共预算财政拨款支出</c:v>
                </c:pt>
              </c:strCache>
            </c:strRef>
          </c:tx>
          <c:spPr>
            <a:solidFill>
              <a:schemeClr val="accent1"/>
            </a:solidFill>
            <a:ln>
              <a:noFill/>
            </a:ln>
            <a:effectLst/>
          </c:spPr>
          <c:invertIfNegative val="0"/>
          <c:dLbls>
            <c:dLbl>
              <c:idx val="1"/>
              <c:layout>
                <c:manualLayout>
                  <c:x val="0.151298611111111"/>
                  <c:y val="-0.0187707029812293"/>
                </c:manualLayout>
              </c:layout>
              <c:dLblPos val="outEnd"/>
              <c:showLegendKey val="0"/>
              <c:showVal val="1"/>
              <c:showCatName val="0"/>
              <c:showSerName val="1"/>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1"/>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'[Chart3 in Wps.xlsx]Sheet1'!$A$2:$A$3</c:f>
              <c:strCache>
                <c:ptCount val="2"/>
                <c:pt idx="0">
                  <c:v>2023年</c:v>
                </c:pt>
                <c:pt idx="1">
                  <c:v>2024年</c:v>
                </c:pt>
              </c:strCache>
            </c:strRef>
          </c:cat>
          <c:val>
            <c:numRef>
              <c:f>'[Chart3 in Wps.xlsx]Sheet1'!$B$2:$B$3</c:f>
              <c:numCache>
                <c:formatCode>General</c:formatCode>
                <c:ptCount val="2"/>
                <c:pt idx="0">
                  <c:v>154.87</c:v>
                </c:pt>
                <c:pt idx="1">
                  <c:v>166.35</c:v>
                </c:pt>
              </c:numCache>
            </c:numRef>
          </c:val>
        </c:ser>
        <c:dLbls>
          <c:showLegendKey val="0"/>
          <c:showVal val="0"/>
          <c:showCatName val="0"/>
          <c:showSerName val="0"/>
          <c:showPercent val="0"/>
          <c:showBubbleSize val="0"/>
        </c:dLbls>
        <c:gapWidth val="219"/>
        <c:overlap val="-27"/>
        <c:axId val="695112868"/>
        <c:axId val="317569530"/>
      </c:barChart>
      <c:catAx>
        <c:axId val="69511286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17569530"/>
        <c:crosses val="autoZero"/>
        <c:auto val="1"/>
        <c:lblAlgn val="ctr"/>
        <c:lblOffset val="100"/>
        <c:noMultiLvlLbl val="0"/>
      </c:catAx>
      <c:valAx>
        <c:axId val="31756953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9511286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销售额</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Lbl>
              <c:idx val="2"/>
              <c:layout>
                <c:manualLayout>
                  <c:x val="-0.0392636970658638"/>
                  <c:y val="0.0330733749001004"/>
                </c:manualLayout>
              </c:layout>
              <c:dLblPos val="bestFit"/>
              <c:showLegendKey val="0"/>
              <c:showVal val="1"/>
              <c:showCatName val="1"/>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1"/>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一般公共服务支出</c:v>
                </c:pt>
                <c:pt idx="1">
                  <c:v>社会保障和就业支出</c:v>
                </c:pt>
                <c:pt idx="2">
                  <c:v>卫生健康支出</c:v>
                </c:pt>
                <c:pt idx="3">
                  <c:v>住房保障支出</c:v>
                </c:pt>
              </c:strCache>
            </c:strRef>
          </c:cat>
          <c:val>
            <c:numRef>
              <c:f>Sheet1!$B$2:$B$5</c:f>
              <c:numCache>
                <c:formatCode>General</c:formatCode>
                <c:ptCount val="4"/>
                <c:pt idx="0">
                  <c:v>129.93</c:v>
                </c:pt>
                <c:pt idx="1">
                  <c:v>20.6</c:v>
                </c:pt>
                <c:pt idx="2">
                  <c:v>4.28</c:v>
                </c:pt>
                <c:pt idx="3">
                  <c:v>11.53</c:v>
                </c:pt>
              </c:numCache>
            </c:numRef>
          </c:val>
        </c:ser>
        <c:dLbls>
          <c:showLegendKey val="0"/>
          <c:showVal val="1"/>
          <c:showCatName val="1"/>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23</Pages>
  <Words>1299</Words>
  <Characters>7410</Characters>
  <Lines>61</Lines>
  <Paragraphs>17</Paragraphs>
  <TotalTime>12</TotalTime>
  <ScaleCrop>false</ScaleCrop>
  <LinksUpToDate>false</LinksUpToDate>
  <CharactersWithSpaces>8692</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2020-08-09T09:49:00Z</dcterms:created>
  <dc:creator>曹颖</dc:creator>
  <cp:lastModifiedBy>Administrator</cp:lastModifiedBy>
  <cp:lastPrinted>2025-08-06T17:34:00Z</cp:lastPrinted>
  <dcterms:modified xsi:type="dcterms:W3CDTF">2025-10-28T12:11:53Z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9D0F476F3CF44A329EA5FA127C8F9ABD</vt:lpwstr>
  </property>
</Properties>
</file>