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pStyle w:val="7"/>
        <w:spacing w:before="93"/>
      </w:pPr>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3412"/>
      <w:bookmarkStart w:id="3" w:name="_Toc15378441"/>
      <w:bookmarkStart w:id="4" w:name="_Toc15377193"/>
      <w:bookmarkStart w:id="5" w:name="_Toc15396475"/>
      <w:bookmarkStart w:id="6" w:name="_Toc15377425"/>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77194"/>
      <w:bookmarkStart w:id="8" w:name="_Toc15378442"/>
      <w:bookmarkStart w:id="9" w:name="_Toc16488"/>
      <w:bookmarkStart w:id="10" w:name="_Toc15377426"/>
      <w:bookmarkStart w:id="11" w:name="_Toc15396598"/>
      <w:bookmarkStart w:id="12" w:name="_Toc15396476"/>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val="en-US" w:eastAsia="zh-CN"/>
        </w:rPr>
        <w:t>五通桥区老干部活动中心</w:t>
      </w: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bookmarkEnd w:id="13"/>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2"/>
      </w:pPr>
      <w:r>
        <w:rPr>
          <w:rFonts w:hint="eastAsia"/>
          <w:highlight w:val="yellow"/>
        </w:rPr>
        <w:t>公开时间：202</w:t>
      </w:r>
      <w:r>
        <w:rPr>
          <w:rFonts w:hint="eastAsia"/>
          <w:highlight w:val="yellow"/>
          <w:lang w:val="en-US" w:eastAsia="zh-CN"/>
        </w:rPr>
        <w:t>5</w:t>
      </w:r>
      <w:r>
        <w:rPr>
          <w:rFonts w:hint="eastAsia"/>
          <w:highlight w:val="yellow"/>
        </w:rPr>
        <w:t>年</w:t>
      </w:r>
      <w:r>
        <w:rPr>
          <w:rFonts w:hint="eastAsia"/>
          <w:highlight w:val="yellow"/>
          <w:lang w:val="en-US" w:eastAsia="zh-CN"/>
        </w:rPr>
        <w:t>10</w:t>
      </w:r>
      <w:r>
        <w:rPr>
          <w:rFonts w:hint="eastAsia"/>
          <w:highlight w:val="yellow"/>
        </w:rPr>
        <w:t>月</w:t>
      </w:r>
      <w:r>
        <w:rPr>
          <w:rFonts w:hint="eastAsia"/>
          <w:highlight w:val="yellow"/>
          <w:lang w:val="en-US" w:eastAsia="zh-CN"/>
        </w:rPr>
        <w:t>28</w:t>
      </w:r>
      <w:r>
        <w:rPr>
          <w:rFonts w:hint="eastAsia"/>
          <w:highlight w:val="yellow"/>
        </w:rPr>
        <w:t>日</w:t>
      </w:r>
    </w:p>
    <w:p/>
    <w:sdt>
      <w:sdtPr>
        <w:rPr>
          <w:rFonts w:ascii="宋体" w:hAnsi="宋体" w:eastAsia="宋体" w:cs="Times New Roman"/>
          <w:kern w:val="2"/>
          <w:sz w:val="21"/>
          <w:szCs w:val="24"/>
          <w:lang w:val="en-US" w:eastAsia="zh-CN" w:bidi="ar-SA"/>
        </w:rPr>
        <w:id w:val="147481803"/>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b/>
            </w:rPr>
            <w:fldChar w:fldCharType="begin"/>
          </w:r>
          <w:r>
            <w:rPr>
              <w:b/>
            </w:rPr>
            <w:instrText xml:space="preserve">TOC \o "1-3" \h \u </w:instrText>
          </w:r>
          <w:r>
            <w:rPr>
              <w:b/>
            </w:rPr>
            <w:fldChar w:fldCharType="separate"/>
          </w:r>
        </w:p>
        <w:p>
          <w:pPr>
            <w:pStyle w:val="12"/>
            <w:tabs>
              <w:tab w:val="right" w:leader="dot" w:pos="8306"/>
              <w:tab w:val="clear" w:pos="8296"/>
            </w:tabs>
            <w:rPr>
              <w:rFonts w:hint="eastAsia" w:ascii="黑体" w:hAnsi="黑体" w:eastAsia="黑体" w:cs="Times New Roman"/>
              <w:kern w:val="2"/>
              <w:sz w:val="21"/>
              <w:szCs w:val="24"/>
              <w:lang w:val="en-US" w:eastAsia="zh-CN" w:bidi="ar-SA"/>
            </w:rPr>
          </w:pP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HYPERLINK \l _Toc19383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8"/>
              <w:szCs w:val="28"/>
              <w:lang w:val="en-US" w:eastAsia="zh-CN" w:bidi="ar-SA"/>
            </w:rPr>
            <w:t>第一部分 单位概况</w:t>
          </w:r>
          <w:r>
            <w:rPr>
              <w:rFonts w:hint="eastAsia" w:ascii="黑体" w:hAnsi="黑体" w:eastAsia="黑体" w:cs="Times New Roman"/>
              <w:kern w:val="2"/>
              <w:sz w:val="21"/>
              <w:szCs w:val="24"/>
              <w:lang w:val="en-US" w:eastAsia="zh-CN" w:bidi="ar-SA"/>
            </w:rPr>
            <w:tab/>
          </w: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PAGEREF _Toc19383 \h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1"/>
              <w:szCs w:val="24"/>
              <w:lang w:val="en-US" w:eastAsia="zh-CN" w:bidi="ar-SA"/>
            </w:rPr>
            <w:t>1</w:t>
          </w:r>
          <w:r>
            <w:rPr>
              <w:rFonts w:hint="eastAsia" w:ascii="黑体" w:hAnsi="黑体" w:eastAsia="黑体" w:cs="Times New Roman"/>
              <w:kern w:val="2"/>
              <w:sz w:val="21"/>
              <w:szCs w:val="24"/>
              <w:lang w:val="en-US" w:eastAsia="zh-CN" w:bidi="ar-SA"/>
            </w:rPr>
            <w:fldChar w:fldCharType="end"/>
          </w:r>
          <w:r>
            <w:rPr>
              <w:rFonts w:hint="eastAsia" w:ascii="黑体" w:hAnsi="黑体" w:eastAsia="黑体" w:cs="Times New Roman"/>
              <w:kern w:val="2"/>
              <w:sz w:val="21"/>
              <w:szCs w:val="24"/>
              <w:lang w:val="en-US" w:eastAsia="zh-CN" w:bidi="ar-SA"/>
            </w:rPr>
            <w:fldChar w:fldCharType="end"/>
          </w:r>
        </w:p>
        <w:p>
          <w:pPr>
            <w:pStyle w:val="13"/>
            <w:tabs>
              <w:tab w:val="right" w:leader="dot" w:pos="8306"/>
              <w:tab w:val="clear" w:pos="8296"/>
            </w:tabs>
            <w:rPr>
              <w:rFonts w:hint="eastAsia" w:ascii="黑体" w:hAnsi="黑体" w:eastAsia="黑体" w:cs="Times New Roman"/>
              <w:kern w:val="2"/>
              <w:sz w:val="21"/>
              <w:szCs w:val="24"/>
              <w:lang w:val="en-US" w:eastAsia="zh-CN" w:bidi="ar-SA"/>
            </w:rPr>
          </w:pP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HYPERLINK \l _Toc18969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1"/>
              <w:szCs w:val="24"/>
              <w:lang w:val="en-US" w:eastAsia="zh-CN" w:bidi="ar-SA"/>
            </w:rPr>
            <w:t>一、主要职责</w:t>
          </w:r>
          <w:r>
            <w:rPr>
              <w:rFonts w:hint="eastAsia" w:ascii="黑体" w:hAnsi="黑体" w:eastAsia="黑体" w:cs="Times New Roman"/>
              <w:kern w:val="2"/>
              <w:sz w:val="21"/>
              <w:szCs w:val="24"/>
              <w:lang w:val="en-US" w:eastAsia="zh-CN" w:bidi="ar-SA"/>
            </w:rPr>
            <w:tab/>
          </w: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PAGEREF _Toc18969 \h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1"/>
              <w:szCs w:val="24"/>
              <w:lang w:val="en-US" w:eastAsia="zh-CN" w:bidi="ar-SA"/>
            </w:rPr>
            <w:t>1</w:t>
          </w:r>
          <w:r>
            <w:rPr>
              <w:rFonts w:hint="eastAsia" w:ascii="黑体" w:hAnsi="黑体" w:eastAsia="黑体" w:cs="Times New Roman"/>
              <w:kern w:val="2"/>
              <w:sz w:val="21"/>
              <w:szCs w:val="24"/>
              <w:lang w:val="en-US" w:eastAsia="zh-CN" w:bidi="ar-SA"/>
            </w:rPr>
            <w:fldChar w:fldCharType="end"/>
          </w:r>
          <w:r>
            <w:rPr>
              <w:rFonts w:hint="eastAsia" w:ascii="黑体" w:hAnsi="黑体" w:eastAsia="黑体" w:cs="Times New Roman"/>
              <w:kern w:val="2"/>
              <w:sz w:val="21"/>
              <w:szCs w:val="24"/>
              <w:lang w:val="en-US" w:eastAsia="zh-CN" w:bidi="ar-SA"/>
            </w:rPr>
            <w:fldChar w:fldCharType="end"/>
          </w:r>
        </w:p>
        <w:p>
          <w:pPr>
            <w:pStyle w:val="13"/>
            <w:tabs>
              <w:tab w:val="right" w:leader="dot" w:pos="8306"/>
              <w:tab w:val="clear" w:pos="8296"/>
            </w:tabs>
            <w:rPr>
              <w:rFonts w:hint="eastAsia" w:ascii="黑体" w:hAnsi="黑体" w:eastAsia="黑体" w:cs="Times New Roman"/>
              <w:kern w:val="2"/>
              <w:sz w:val="21"/>
              <w:szCs w:val="24"/>
              <w:lang w:val="en-US" w:eastAsia="zh-CN" w:bidi="ar-SA"/>
            </w:rPr>
          </w:pP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HYPERLINK \l _Toc1076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1"/>
              <w:szCs w:val="24"/>
              <w:lang w:val="en-US" w:eastAsia="zh-CN" w:bidi="ar-SA"/>
            </w:rPr>
            <w:t>二、机构设置</w:t>
          </w:r>
          <w:r>
            <w:rPr>
              <w:rFonts w:hint="eastAsia" w:ascii="黑体" w:hAnsi="黑体" w:eastAsia="黑体" w:cs="Times New Roman"/>
              <w:kern w:val="2"/>
              <w:sz w:val="21"/>
              <w:szCs w:val="24"/>
              <w:lang w:val="en-US" w:eastAsia="zh-CN" w:bidi="ar-SA"/>
            </w:rPr>
            <w:tab/>
          </w: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PAGEREF _Toc1076 \h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1"/>
              <w:szCs w:val="24"/>
              <w:lang w:val="en-US" w:eastAsia="zh-CN" w:bidi="ar-SA"/>
            </w:rPr>
            <w:t>1</w:t>
          </w:r>
          <w:r>
            <w:rPr>
              <w:rFonts w:hint="eastAsia" w:ascii="黑体" w:hAnsi="黑体" w:eastAsia="黑体" w:cs="Times New Roman"/>
              <w:kern w:val="2"/>
              <w:sz w:val="21"/>
              <w:szCs w:val="24"/>
              <w:lang w:val="en-US" w:eastAsia="zh-CN" w:bidi="ar-SA"/>
            </w:rPr>
            <w:fldChar w:fldCharType="end"/>
          </w:r>
          <w:r>
            <w:rPr>
              <w:rFonts w:hint="eastAsia" w:ascii="黑体" w:hAnsi="黑体" w:eastAsia="黑体" w:cs="Times New Roman"/>
              <w:kern w:val="2"/>
              <w:sz w:val="21"/>
              <w:szCs w:val="24"/>
              <w:lang w:val="en-US" w:eastAsia="zh-CN" w:bidi="ar-SA"/>
            </w:rPr>
            <w:fldChar w:fldCharType="end"/>
          </w:r>
        </w:p>
        <w:p>
          <w:pPr>
            <w:pStyle w:val="12"/>
            <w:tabs>
              <w:tab w:val="right" w:leader="dot" w:pos="8306"/>
              <w:tab w:val="clear" w:pos="8296"/>
            </w:tabs>
          </w:pP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HYPERLINK \l _Toc13200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4"/>
              <w:szCs w:val="24"/>
              <w:lang w:val="en-US" w:eastAsia="zh-CN" w:bidi="ar-SA"/>
            </w:rPr>
            <w:t>第二部分 2024年度单位决算情况说明</w:t>
          </w:r>
          <w:r>
            <w:rPr>
              <w:rFonts w:hint="eastAsia" w:ascii="黑体" w:hAnsi="黑体" w:eastAsia="黑体" w:cs="Times New Roman"/>
              <w:kern w:val="2"/>
              <w:sz w:val="21"/>
              <w:szCs w:val="24"/>
              <w:lang w:val="en-US" w:eastAsia="zh-CN" w:bidi="ar-SA"/>
            </w:rPr>
            <w:tab/>
          </w:r>
          <w:r>
            <w:rPr>
              <w:rFonts w:hint="eastAsia" w:ascii="黑体" w:hAnsi="黑体" w:eastAsia="黑体" w:cs="Times New Roman"/>
              <w:kern w:val="2"/>
              <w:sz w:val="21"/>
              <w:szCs w:val="24"/>
              <w:lang w:val="en-US" w:eastAsia="zh-CN" w:bidi="ar-SA"/>
            </w:rPr>
            <w:fldChar w:fldCharType="begin"/>
          </w:r>
          <w:r>
            <w:rPr>
              <w:rFonts w:hint="eastAsia" w:ascii="黑体" w:hAnsi="黑体" w:eastAsia="黑体" w:cs="Times New Roman"/>
              <w:kern w:val="2"/>
              <w:sz w:val="21"/>
              <w:szCs w:val="24"/>
              <w:lang w:val="en-US" w:eastAsia="zh-CN" w:bidi="ar-SA"/>
            </w:rPr>
            <w:instrText xml:space="preserve"> PAGEREF _Toc13200 \h </w:instrText>
          </w:r>
          <w:r>
            <w:rPr>
              <w:rFonts w:hint="eastAsia" w:ascii="黑体" w:hAnsi="黑体" w:eastAsia="黑体" w:cs="Times New Roman"/>
              <w:kern w:val="2"/>
              <w:sz w:val="21"/>
              <w:szCs w:val="24"/>
              <w:lang w:val="en-US" w:eastAsia="zh-CN" w:bidi="ar-SA"/>
            </w:rPr>
            <w:fldChar w:fldCharType="separate"/>
          </w:r>
          <w:r>
            <w:rPr>
              <w:rFonts w:hint="eastAsia" w:ascii="黑体" w:hAnsi="黑体" w:eastAsia="黑体" w:cs="Times New Roman"/>
              <w:kern w:val="2"/>
              <w:sz w:val="21"/>
              <w:szCs w:val="24"/>
              <w:lang w:val="en-US" w:eastAsia="zh-CN" w:bidi="ar-SA"/>
            </w:rPr>
            <w:t>2</w:t>
          </w:r>
          <w:r>
            <w:rPr>
              <w:rFonts w:hint="eastAsia" w:ascii="黑体" w:hAnsi="黑体" w:eastAsia="黑体" w:cs="Times New Roman"/>
              <w:kern w:val="2"/>
              <w:sz w:val="21"/>
              <w:szCs w:val="24"/>
              <w:lang w:val="en-US" w:eastAsia="zh-CN" w:bidi="ar-SA"/>
            </w:rPr>
            <w:fldChar w:fldCharType="end"/>
          </w:r>
          <w:r>
            <w:rPr>
              <w:rFonts w:hint="eastAsia" w:ascii="黑体" w:hAnsi="黑体" w:eastAsia="黑体" w:cs="Times New Roman"/>
              <w:kern w:val="2"/>
              <w:sz w:val="21"/>
              <w:szCs w:val="24"/>
              <w:lang w:val="en-US" w:eastAsia="zh-CN" w:bidi="ar-SA"/>
            </w:rPr>
            <w:fldChar w:fldCharType="end"/>
          </w:r>
        </w:p>
        <w:p>
          <w:pPr>
            <w:pStyle w:val="13"/>
            <w:tabs>
              <w:tab w:val="right" w:leader="dot" w:pos="8306"/>
              <w:tab w:val="clear" w:pos="8296"/>
            </w:tabs>
          </w:pPr>
          <w:r>
            <w:fldChar w:fldCharType="begin"/>
          </w:r>
          <w:r>
            <w:instrText xml:space="preserve"> HYPERLINK \l _Toc21537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_Toc21537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_Toc20333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_Toc20333 \h </w:instrText>
          </w:r>
          <w:r>
            <w:fldChar w:fldCharType="separate"/>
          </w:r>
          <w:r>
            <w:t>2</w:t>
          </w:r>
          <w:r>
            <w:fldChar w:fldCharType="end"/>
          </w:r>
          <w:r>
            <w:fldChar w:fldCharType="end"/>
          </w:r>
        </w:p>
        <w:p>
          <w:pPr>
            <w:pStyle w:val="13"/>
            <w:tabs>
              <w:tab w:val="right" w:leader="dot" w:pos="8306"/>
              <w:tab w:val="clear" w:pos="8296"/>
            </w:tabs>
          </w:pPr>
          <w:r>
            <w:fldChar w:fldCharType="begin"/>
          </w:r>
          <w:r>
            <w:instrText xml:space="preserve"> HYPERLINK \l _Toc15533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_Toc15533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_Toc9402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_Toc9402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_Toc22981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_Toc22981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_Toc27166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_Toc27166 \h </w:instrText>
          </w:r>
          <w:r>
            <w:fldChar w:fldCharType="separate"/>
          </w:r>
          <w:r>
            <w:t>7</w:t>
          </w:r>
          <w:r>
            <w:fldChar w:fldCharType="end"/>
          </w:r>
          <w:r>
            <w:fldChar w:fldCharType="end"/>
          </w:r>
        </w:p>
        <w:p>
          <w:pPr>
            <w:pStyle w:val="13"/>
            <w:tabs>
              <w:tab w:val="right" w:leader="dot" w:pos="8306"/>
              <w:tab w:val="clear" w:pos="8296"/>
            </w:tabs>
          </w:pPr>
          <w:r>
            <w:fldChar w:fldCharType="begin"/>
          </w:r>
          <w:r>
            <w:instrText xml:space="preserve"> HYPERLINK \l _Toc21651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_Toc21651 \h </w:instrText>
          </w:r>
          <w:r>
            <w:fldChar w:fldCharType="separate"/>
          </w:r>
          <w:r>
            <w:t>8</w:t>
          </w:r>
          <w:r>
            <w:fldChar w:fldCharType="end"/>
          </w:r>
          <w:r>
            <w:fldChar w:fldCharType="end"/>
          </w:r>
        </w:p>
        <w:p>
          <w:pPr>
            <w:pStyle w:val="13"/>
            <w:tabs>
              <w:tab w:val="right" w:leader="dot" w:pos="8306"/>
              <w:tab w:val="clear" w:pos="8296"/>
            </w:tabs>
          </w:pPr>
          <w:r>
            <w:fldChar w:fldCharType="begin"/>
          </w:r>
          <w:r>
            <w:instrText xml:space="preserve"> HYPERLINK \l _Toc4980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_Toc4980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_Toc1910 </w:instrText>
          </w:r>
          <w:r>
            <w:fldChar w:fldCharType="separate"/>
          </w:r>
          <w:r>
            <w:rPr>
              <w:rFonts w:hint="eastAsia" w:ascii="黑体" w:hAnsi="黑体" w:eastAsia="黑体"/>
            </w:rPr>
            <w:t>九、 国有资本经营预算支出决算情况说明</w:t>
          </w:r>
          <w:r>
            <w:tab/>
          </w:r>
          <w:r>
            <w:fldChar w:fldCharType="begin"/>
          </w:r>
          <w:r>
            <w:instrText xml:space="preserve"> PAGEREF _Toc1910 \h </w:instrText>
          </w:r>
          <w:r>
            <w:fldChar w:fldCharType="separate"/>
          </w:r>
          <w:r>
            <w:t>9</w:t>
          </w:r>
          <w:r>
            <w:fldChar w:fldCharType="end"/>
          </w:r>
          <w: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_Toc32218 </w:instrText>
          </w:r>
          <w:r>
            <w:rPr>
              <w:rFonts w:hint="eastAsia" w:ascii="黑体" w:hAnsi="黑体" w:eastAsia="黑体"/>
            </w:rPr>
            <w:fldChar w:fldCharType="separate"/>
          </w:r>
          <w:r>
            <w:rPr>
              <w:rFonts w:hint="eastAsia" w:ascii="黑体" w:hAnsi="黑体" w:eastAsia="黑体"/>
            </w:rPr>
            <w:t>十、 其他重要事项的情况说明</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_Toc32218 \h </w:instrText>
          </w:r>
          <w:r>
            <w:rPr>
              <w:rFonts w:hint="eastAsia" w:ascii="黑体" w:hAnsi="黑体" w:eastAsia="黑体"/>
            </w:rPr>
            <w:fldChar w:fldCharType="separate"/>
          </w:r>
          <w:r>
            <w:rPr>
              <w:rFonts w:hint="eastAsia" w:ascii="黑体" w:hAnsi="黑体" w:eastAsia="黑体"/>
            </w:rPr>
            <w:t>9</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sz w:val="24"/>
              <w:szCs w:val="24"/>
            </w:rPr>
          </w:pPr>
          <w:r>
            <w:rPr>
              <w:rFonts w:hint="eastAsia" w:ascii="黑体" w:hAnsi="黑体" w:eastAsia="黑体"/>
              <w:sz w:val="24"/>
              <w:szCs w:val="24"/>
            </w:rPr>
            <w:fldChar w:fldCharType="begin"/>
          </w:r>
          <w:r>
            <w:rPr>
              <w:rFonts w:hint="eastAsia" w:ascii="黑体" w:hAnsi="黑体" w:eastAsia="黑体"/>
              <w:sz w:val="24"/>
              <w:szCs w:val="24"/>
            </w:rPr>
            <w:instrText xml:space="preserve"> HYPERLINK \l _Toc7296 </w:instrText>
          </w:r>
          <w:r>
            <w:rPr>
              <w:rFonts w:hint="eastAsia" w:ascii="黑体" w:hAnsi="黑体" w:eastAsia="黑体"/>
              <w:sz w:val="24"/>
              <w:szCs w:val="24"/>
            </w:rPr>
            <w:fldChar w:fldCharType="separate"/>
          </w:r>
          <w:r>
            <w:rPr>
              <w:rFonts w:hint="eastAsia" w:ascii="黑体" w:hAnsi="黑体" w:eastAsia="黑体"/>
              <w:sz w:val="24"/>
              <w:szCs w:val="24"/>
            </w:rPr>
            <w:t>第三部分 名词解释</w:t>
          </w:r>
          <w:r>
            <w:rPr>
              <w:rFonts w:hint="eastAsia" w:ascii="黑体" w:hAnsi="黑体" w:eastAsia="黑体"/>
              <w:sz w:val="24"/>
              <w:szCs w:val="24"/>
            </w:rPr>
            <w:tab/>
          </w:r>
          <w:r>
            <w:rPr>
              <w:rFonts w:hint="eastAsia" w:ascii="黑体" w:hAnsi="黑体" w:eastAsia="黑体"/>
              <w:sz w:val="24"/>
              <w:szCs w:val="24"/>
            </w:rPr>
            <w:fldChar w:fldCharType="begin"/>
          </w:r>
          <w:r>
            <w:rPr>
              <w:rFonts w:hint="eastAsia" w:ascii="黑体" w:hAnsi="黑体" w:eastAsia="黑体"/>
              <w:sz w:val="24"/>
              <w:szCs w:val="24"/>
            </w:rPr>
            <w:instrText xml:space="preserve"> PAGEREF _Toc7296 \h </w:instrText>
          </w:r>
          <w:r>
            <w:rPr>
              <w:rFonts w:hint="eastAsia" w:ascii="黑体" w:hAnsi="黑体" w:eastAsia="黑体"/>
              <w:sz w:val="24"/>
              <w:szCs w:val="24"/>
            </w:rPr>
            <w:fldChar w:fldCharType="separate"/>
          </w:r>
          <w:r>
            <w:rPr>
              <w:rFonts w:hint="eastAsia" w:ascii="黑体" w:hAnsi="黑体" w:eastAsia="黑体"/>
              <w:sz w:val="24"/>
              <w:szCs w:val="24"/>
            </w:rPr>
            <w:t>11</w:t>
          </w:r>
          <w:r>
            <w:rPr>
              <w:rFonts w:hint="eastAsia" w:ascii="黑体" w:hAnsi="黑体" w:eastAsia="黑体"/>
              <w:sz w:val="24"/>
              <w:szCs w:val="24"/>
            </w:rPr>
            <w:fldChar w:fldCharType="end"/>
          </w:r>
          <w:r>
            <w:rPr>
              <w:rFonts w:hint="eastAsia" w:ascii="黑体" w:hAnsi="黑体" w:eastAsia="黑体"/>
              <w:sz w:val="24"/>
              <w:szCs w:val="24"/>
            </w:rPr>
            <w:fldChar w:fldCharType="end"/>
          </w:r>
        </w:p>
        <w:p>
          <w:pPr>
            <w:pStyle w:val="13"/>
            <w:tabs>
              <w:tab w:val="right" w:leader="dot" w:pos="8306"/>
              <w:tab w:val="clear" w:pos="8296"/>
            </w:tabs>
            <w:rPr>
              <w:rFonts w:hint="eastAsia" w:ascii="黑体" w:hAnsi="黑体" w:eastAsia="黑体"/>
              <w:sz w:val="24"/>
              <w:szCs w:val="24"/>
            </w:rPr>
          </w:pPr>
          <w:r>
            <w:rPr>
              <w:rFonts w:hint="eastAsia" w:ascii="黑体" w:hAnsi="黑体" w:eastAsia="黑体"/>
              <w:sz w:val="24"/>
              <w:szCs w:val="24"/>
            </w:rPr>
            <w:fldChar w:fldCharType="begin"/>
          </w:r>
          <w:r>
            <w:rPr>
              <w:rFonts w:hint="eastAsia" w:ascii="黑体" w:hAnsi="黑体" w:eastAsia="黑体"/>
              <w:sz w:val="24"/>
              <w:szCs w:val="24"/>
            </w:rPr>
            <w:instrText xml:space="preserve"> HYPERLINK \l _Toc29786 </w:instrText>
          </w:r>
          <w:r>
            <w:rPr>
              <w:rFonts w:hint="eastAsia" w:ascii="黑体" w:hAnsi="黑体" w:eastAsia="黑体"/>
              <w:sz w:val="24"/>
              <w:szCs w:val="24"/>
            </w:rPr>
            <w:fldChar w:fldCharType="separate"/>
          </w:r>
          <w:r>
            <w:rPr>
              <w:rFonts w:hint="eastAsia" w:ascii="黑体" w:hAnsi="黑体" w:eastAsia="黑体"/>
              <w:sz w:val="24"/>
              <w:szCs w:val="24"/>
            </w:rPr>
            <w:t>第四部分 附件</w:t>
          </w:r>
          <w:r>
            <w:rPr>
              <w:rFonts w:hint="eastAsia" w:ascii="黑体" w:hAnsi="黑体" w:eastAsia="黑体"/>
              <w:sz w:val="24"/>
              <w:szCs w:val="24"/>
            </w:rPr>
            <w:tab/>
          </w:r>
          <w:r>
            <w:rPr>
              <w:rFonts w:hint="eastAsia" w:ascii="黑体" w:hAnsi="黑体" w:eastAsia="黑体"/>
              <w:sz w:val="24"/>
              <w:szCs w:val="24"/>
            </w:rPr>
            <w:fldChar w:fldCharType="begin"/>
          </w:r>
          <w:r>
            <w:rPr>
              <w:rFonts w:hint="eastAsia" w:ascii="黑体" w:hAnsi="黑体" w:eastAsia="黑体"/>
              <w:sz w:val="24"/>
              <w:szCs w:val="24"/>
            </w:rPr>
            <w:instrText xml:space="preserve"> PAGEREF _Toc29786 \h </w:instrText>
          </w:r>
          <w:r>
            <w:rPr>
              <w:rFonts w:hint="eastAsia" w:ascii="黑体" w:hAnsi="黑体" w:eastAsia="黑体"/>
              <w:sz w:val="24"/>
              <w:szCs w:val="24"/>
            </w:rPr>
            <w:fldChar w:fldCharType="separate"/>
          </w:r>
          <w:r>
            <w:rPr>
              <w:rFonts w:hint="eastAsia" w:ascii="黑体" w:hAnsi="黑体" w:eastAsia="黑体"/>
              <w:sz w:val="24"/>
              <w:szCs w:val="24"/>
            </w:rPr>
            <w:t>14</w:t>
          </w:r>
          <w:r>
            <w:rPr>
              <w:rFonts w:hint="eastAsia" w:ascii="黑体" w:hAnsi="黑体" w:eastAsia="黑体"/>
              <w:sz w:val="24"/>
              <w:szCs w:val="24"/>
            </w:rPr>
            <w:fldChar w:fldCharType="end"/>
          </w:r>
          <w:r>
            <w:rPr>
              <w:rFonts w:hint="eastAsia" w:ascii="黑体" w:hAnsi="黑体" w:eastAsia="黑体"/>
              <w:sz w:val="24"/>
              <w:szCs w:val="24"/>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sz w:val="24"/>
              <w:szCs w:val="24"/>
            </w:rPr>
            <w:fldChar w:fldCharType="begin"/>
          </w:r>
          <w:r>
            <w:rPr>
              <w:rFonts w:hint="eastAsia" w:ascii="黑体" w:hAnsi="黑体" w:eastAsia="黑体"/>
              <w:sz w:val="24"/>
              <w:szCs w:val="24"/>
            </w:rPr>
            <w:instrText xml:space="preserve"> HYPERLINK \l _Toc28576 </w:instrText>
          </w:r>
          <w:r>
            <w:rPr>
              <w:rFonts w:hint="eastAsia" w:ascii="黑体" w:hAnsi="黑体" w:eastAsia="黑体"/>
              <w:sz w:val="24"/>
              <w:szCs w:val="24"/>
            </w:rPr>
            <w:fldChar w:fldCharType="separate"/>
          </w:r>
          <w:r>
            <w:rPr>
              <w:rFonts w:hint="eastAsia" w:ascii="黑体" w:hAnsi="黑体" w:eastAsia="黑体"/>
              <w:sz w:val="24"/>
              <w:szCs w:val="24"/>
            </w:rPr>
            <w:t>第五部分 附表</w:t>
          </w:r>
          <w:r>
            <w:rPr>
              <w:rFonts w:hint="eastAsia" w:ascii="黑体" w:hAnsi="黑体" w:eastAsia="黑体"/>
              <w:sz w:val="24"/>
              <w:szCs w:val="24"/>
            </w:rPr>
            <w:tab/>
          </w:r>
          <w:r>
            <w:rPr>
              <w:rFonts w:hint="eastAsia" w:ascii="黑体" w:hAnsi="黑体" w:eastAsia="黑体"/>
              <w:sz w:val="24"/>
              <w:szCs w:val="24"/>
            </w:rPr>
            <w:fldChar w:fldCharType="begin"/>
          </w:r>
          <w:r>
            <w:rPr>
              <w:rFonts w:hint="eastAsia" w:ascii="黑体" w:hAnsi="黑体" w:eastAsia="黑体"/>
              <w:sz w:val="24"/>
              <w:szCs w:val="24"/>
            </w:rPr>
            <w:instrText xml:space="preserve"> PAGEREF _Toc28576 \h </w:instrText>
          </w:r>
          <w:r>
            <w:rPr>
              <w:rFonts w:hint="eastAsia" w:ascii="黑体" w:hAnsi="黑体" w:eastAsia="黑体"/>
              <w:sz w:val="24"/>
              <w:szCs w:val="24"/>
            </w:rPr>
            <w:fldChar w:fldCharType="separate"/>
          </w:r>
          <w:r>
            <w:rPr>
              <w:rFonts w:hint="eastAsia" w:ascii="黑体" w:hAnsi="黑体" w:eastAsia="黑体"/>
              <w:sz w:val="24"/>
              <w:szCs w:val="24"/>
            </w:rPr>
            <w:t>26</w:t>
          </w:r>
          <w:r>
            <w:rPr>
              <w:rFonts w:hint="eastAsia" w:ascii="黑体" w:hAnsi="黑体" w:eastAsia="黑体"/>
              <w:sz w:val="24"/>
              <w:szCs w:val="24"/>
            </w:rPr>
            <w:fldChar w:fldCharType="end"/>
          </w:r>
          <w:r>
            <w:rPr>
              <w:rFonts w:hint="eastAsia" w:ascii="黑体" w:hAnsi="黑体" w:eastAsia="黑体"/>
              <w:sz w:val="24"/>
              <w:szCs w:val="24"/>
            </w:rPr>
            <w:fldChar w:fldCharType="end"/>
          </w:r>
        </w:p>
        <w:p>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_Toc26803 </w:instrText>
          </w:r>
          <w:r>
            <w:rPr>
              <w:rFonts w:hint="eastAsia" w:ascii="黑体" w:hAnsi="黑体" w:eastAsia="黑体"/>
            </w:rPr>
            <w:fldChar w:fldCharType="separate"/>
          </w:r>
          <w:r>
            <w:rPr>
              <w:rFonts w:hint="eastAsia" w:ascii="黑体" w:hAnsi="黑体" w:eastAsia="黑体"/>
            </w:rPr>
            <w:t>一、收入支出决算总表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_Toc26803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_Toc26276 </w:instrText>
          </w:r>
          <w:r>
            <w:rPr>
              <w:rFonts w:hint="eastAsia" w:ascii="黑体" w:hAnsi="黑体" w:eastAsia="黑体"/>
            </w:rPr>
            <w:fldChar w:fldCharType="separate"/>
          </w:r>
          <w:r>
            <w:rPr>
              <w:rFonts w:hint="eastAsia" w:ascii="黑体" w:hAnsi="黑体" w:eastAsia="黑体"/>
            </w:rPr>
            <w:t>二、收入决算表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_Toc26276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_Toc14794 </w:instrText>
          </w:r>
          <w:r>
            <w:rPr>
              <w:rFonts w:hint="eastAsia" w:ascii="黑体" w:hAnsi="黑体" w:eastAsia="黑体"/>
            </w:rPr>
            <w:fldChar w:fldCharType="separate"/>
          </w:r>
          <w:r>
            <w:rPr>
              <w:rFonts w:hint="eastAsia" w:ascii="黑体" w:hAnsi="黑体" w:eastAsia="黑体"/>
            </w:rPr>
            <w:t>三、支出决算表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_Toc14794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_Toc26 </w:instrText>
          </w:r>
          <w:r>
            <w:rPr>
              <w:rFonts w:hint="eastAsia" w:ascii="黑体" w:hAnsi="黑体" w:eastAsia="黑体"/>
            </w:rPr>
            <w:fldChar w:fldCharType="separate"/>
          </w:r>
          <w:r>
            <w:rPr>
              <w:rFonts w:hint="eastAsia" w:ascii="黑体" w:hAnsi="黑体" w:eastAsia="黑体"/>
            </w:rPr>
            <w:t>四、财政拨款收入支出决算总表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_Toc26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_Toc14804 </w:instrText>
          </w:r>
          <w:r>
            <w:rPr>
              <w:rFonts w:hint="eastAsia" w:ascii="黑体" w:hAnsi="黑体" w:eastAsia="黑体"/>
            </w:rPr>
            <w:fldChar w:fldCharType="separate"/>
          </w:r>
          <w:r>
            <w:rPr>
              <w:rFonts w:hint="eastAsia" w:ascii="黑体" w:hAnsi="黑体" w:eastAsia="黑体"/>
            </w:rPr>
            <w:t>五、财政拨款支出决算明细表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_Toc14804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_Toc17113 </w:instrText>
          </w:r>
          <w:r>
            <w:rPr>
              <w:rFonts w:hint="eastAsia" w:ascii="黑体" w:hAnsi="黑体" w:eastAsia="黑体"/>
            </w:rPr>
            <w:fldChar w:fldCharType="separate"/>
          </w:r>
          <w:r>
            <w:rPr>
              <w:rFonts w:hint="eastAsia" w:ascii="黑体" w:hAnsi="黑体" w:eastAsia="黑体"/>
            </w:rPr>
            <w:t>六、一般公共预算财政拨款支出决算表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_Toc17113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_Toc12446 </w:instrText>
          </w:r>
          <w:r>
            <w:rPr>
              <w:rFonts w:hint="eastAsia" w:ascii="黑体" w:hAnsi="黑体" w:eastAsia="黑体"/>
            </w:rPr>
            <w:fldChar w:fldCharType="separate"/>
          </w:r>
          <w:r>
            <w:rPr>
              <w:rFonts w:hint="eastAsia" w:ascii="黑体" w:hAnsi="黑体" w:eastAsia="黑体"/>
            </w:rPr>
            <w:t>七、一般公共预算财政拨款支出决算明细表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_Toc12446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_Toc2692 </w:instrText>
          </w:r>
          <w:r>
            <w:rPr>
              <w:rFonts w:hint="eastAsia" w:ascii="黑体" w:hAnsi="黑体" w:eastAsia="黑体"/>
            </w:rPr>
            <w:fldChar w:fldCharType="separate"/>
          </w:r>
          <w:r>
            <w:rPr>
              <w:rFonts w:hint="eastAsia" w:ascii="黑体" w:hAnsi="黑体" w:eastAsia="黑体"/>
            </w:rPr>
            <w:t>八、一般公共预算财政拨款基本支出决算表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_Toc2692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_Toc6691 </w:instrText>
          </w:r>
          <w:r>
            <w:rPr>
              <w:rFonts w:hint="eastAsia" w:ascii="黑体" w:hAnsi="黑体" w:eastAsia="黑体"/>
            </w:rPr>
            <w:fldChar w:fldCharType="separate"/>
          </w:r>
          <w:r>
            <w:rPr>
              <w:rFonts w:hint="eastAsia" w:ascii="黑体" w:hAnsi="黑体" w:eastAsia="黑体"/>
            </w:rPr>
            <w:t>九、一般公共预算财政拨款项目支出决算表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_Toc6691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_Toc16004 </w:instrText>
          </w:r>
          <w:r>
            <w:rPr>
              <w:rFonts w:hint="eastAsia" w:ascii="黑体" w:hAnsi="黑体" w:eastAsia="黑体"/>
            </w:rPr>
            <w:fldChar w:fldCharType="separate"/>
          </w:r>
          <w:r>
            <w:rPr>
              <w:rFonts w:hint="eastAsia" w:ascii="黑体" w:hAnsi="黑体" w:eastAsia="黑体"/>
            </w:rPr>
            <w:t>十、政府性基金预算财政拨款收入支出决算表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_Toc16004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_Toc5658 </w:instrText>
          </w:r>
          <w:r>
            <w:rPr>
              <w:rFonts w:hint="eastAsia" w:ascii="黑体" w:hAnsi="黑体" w:eastAsia="黑体"/>
            </w:rPr>
            <w:fldChar w:fldCharType="separate"/>
          </w:r>
          <w:r>
            <w:rPr>
              <w:rFonts w:hint="eastAsia" w:ascii="黑体" w:hAnsi="黑体" w:eastAsia="黑体"/>
            </w:rPr>
            <w:t>十一、国有资本经营预算财政拨款收入支出决算表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_Toc5658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rPr>
              <w:rFonts w:hint="eastAsia" w:ascii="黑体" w:hAnsi="黑体" w:eastAsia="黑体"/>
            </w:rPr>
          </w:pPr>
          <w:r>
            <w:rPr>
              <w:rFonts w:hint="eastAsia" w:ascii="黑体" w:hAnsi="黑体" w:eastAsia="黑体"/>
            </w:rPr>
            <w:fldChar w:fldCharType="begin"/>
          </w:r>
          <w:r>
            <w:rPr>
              <w:rFonts w:hint="eastAsia" w:ascii="黑体" w:hAnsi="黑体" w:eastAsia="黑体"/>
            </w:rPr>
            <w:instrText xml:space="preserve"> HYPERLINK \l _Toc17884 </w:instrText>
          </w:r>
          <w:r>
            <w:rPr>
              <w:rFonts w:hint="eastAsia" w:ascii="黑体" w:hAnsi="黑体" w:eastAsia="黑体"/>
            </w:rPr>
            <w:fldChar w:fldCharType="separate"/>
          </w:r>
          <w:r>
            <w:rPr>
              <w:rFonts w:hint="eastAsia" w:ascii="黑体" w:hAnsi="黑体" w:eastAsia="黑体"/>
            </w:rPr>
            <w:t>十二、国有资本经营预算财政拨款支出决算表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_Toc17884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pStyle w:val="13"/>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_Toc17659 </w:instrText>
          </w:r>
          <w:r>
            <w:rPr>
              <w:rFonts w:hint="eastAsia" w:ascii="黑体" w:hAnsi="黑体" w:eastAsia="黑体"/>
            </w:rPr>
            <w:fldChar w:fldCharType="separate"/>
          </w:r>
          <w:r>
            <w:rPr>
              <w:rFonts w:hint="eastAsia" w:ascii="黑体" w:hAnsi="黑体" w:eastAsia="黑体"/>
            </w:rPr>
            <w:t>十三、财政拨款“三公”经费支出决算表</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PAGEREF _Toc17659 \h </w:instrText>
          </w:r>
          <w:r>
            <w:rPr>
              <w:rFonts w:hint="eastAsia" w:ascii="黑体" w:hAnsi="黑体" w:eastAsia="黑体"/>
            </w:rPr>
            <w:fldChar w:fldCharType="separate"/>
          </w:r>
          <w:r>
            <w:rPr>
              <w:rFonts w:hint="eastAsia" w:ascii="黑体" w:hAnsi="黑体" w:eastAsia="黑体"/>
            </w:rPr>
            <w:t>26</w:t>
          </w:r>
          <w:r>
            <w:rPr>
              <w:rFonts w:hint="eastAsia" w:ascii="黑体" w:hAnsi="黑体" w:eastAsia="黑体"/>
            </w:rPr>
            <w:fldChar w:fldCharType="end"/>
          </w:r>
          <w:r>
            <w:rPr>
              <w:rFonts w:hint="eastAsia" w:ascii="黑体" w:hAnsi="黑体" w:eastAsia="黑体"/>
            </w:rPr>
            <w:fldChar w:fldCharType="end"/>
          </w:r>
        </w:p>
        <w:p>
          <w:p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r>
            <w:fldChar w:fldCharType="end"/>
          </w:r>
        </w:p>
      </w:sdtContent>
    </w:sdt>
    <w:p>
      <w:pPr>
        <w:widowControl/>
        <w:spacing w:line="440" w:lineRule="exact"/>
        <w:jc w:val="left"/>
        <w:rPr>
          <w:rFonts w:ascii="仿宋" w:hAnsi="仿宋" w:eastAsia="仿宋"/>
          <w:bCs/>
          <w:kern w:val="44"/>
          <w:sz w:val="24"/>
        </w:rPr>
      </w:pPr>
      <w:bookmarkStart w:id="14" w:name="_Toc15377196"/>
      <w:bookmarkStart w:id="15" w:name="_Toc15396599"/>
    </w:p>
    <w:p>
      <w:pPr>
        <w:pStyle w:val="4"/>
        <w:jc w:val="center"/>
        <w:rPr>
          <w:rFonts w:ascii="黑体" w:eastAsia="黑体"/>
          <w:sz w:val="32"/>
          <w:szCs w:val="32"/>
        </w:rPr>
      </w:pPr>
      <w:bookmarkStart w:id="121" w:name="_GoBack"/>
      <w:bookmarkEnd w:id="121"/>
      <w:bookmarkStart w:id="16" w:name="_Toc19383"/>
      <w:r>
        <w:rPr>
          <w:rFonts w:hint="eastAsia" w:ascii="黑体" w:hAnsi="黑体" w:eastAsia="黑体"/>
          <w:b w:val="0"/>
        </w:rPr>
        <w:t>第一部分 单位</w:t>
      </w:r>
      <w:r>
        <w:rPr>
          <w:rStyle w:val="28"/>
          <w:rFonts w:hint="eastAsia" w:ascii="黑体" w:hAnsi="黑体" w:eastAsia="黑体"/>
          <w:b w:val="0"/>
          <w:bCs w:val="0"/>
        </w:rPr>
        <w:t>概况</w:t>
      </w:r>
      <w:bookmarkEnd w:id="14"/>
      <w:bookmarkEnd w:id="15"/>
      <w:bookmarkEnd w:id="16"/>
    </w:p>
    <w:p>
      <w:pPr>
        <w:pStyle w:val="5"/>
        <w:numPr>
          <w:ilvl w:val="0"/>
          <w:numId w:val="1"/>
        </w:numPr>
        <w:rPr>
          <w:rStyle w:val="29"/>
          <w:rFonts w:ascii="黑体" w:hAnsi="黑体" w:eastAsia="黑体"/>
          <w:b w:val="0"/>
          <w:bCs w:val="0"/>
        </w:rPr>
      </w:pPr>
      <w:bookmarkStart w:id="17" w:name="_Toc18969"/>
      <w:bookmarkStart w:id="18" w:name="_Toc15377197"/>
      <w:bookmarkStart w:id="19" w:name="_Toc15396600"/>
      <w:r>
        <w:rPr>
          <w:rStyle w:val="29"/>
          <w:rFonts w:hint="eastAsia" w:ascii="黑体" w:hAnsi="黑体" w:eastAsia="黑体"/>
          <w:b w:val="0"/>
          <w:bCs w:val="0"/>
        </w:rPr>
        <w:t>主要职责</w:t>
      </w:r>
      <w:bookmarkEnd w:id="17"/>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pPr>
      <w:r>
        <w:rPr>
          <w:rFonts w:hint="eastAsia" w:ascii="仿宋_GB2312" w:hAnsi="仿宋_GB2312" w:eastAsia="仿宋_GB2312" w:cs="仿宋_GB2312"/>
          <w:sz w:val="32"/>
          <w:szCs w:val="32"/>
          <w:lang w:eastAsia="zh-CN"/>
        </w:rPr>
        <w:t>组织老干部文化活动，繁荣老干部文化事业，书刊借阅，板报制展，文艺活动组织。</w:t>
      </w:r>
    </w:p>
    <w:p>
      <w:pPr>
        <w:pStyle w:val="5"/>
        <w:rPr>
          <w:rFonts w:hint="eastAsia" w:ascii="黑体" w:hAnsi="黑体" w:eastAsia="黑体"/>
          <w:b w:val="0"/>
        </w:rPr>
      </w:pPr>
      <w:bookmarkStart w:id="20" w:name="_Toc1076"/>
      <w:r>
        <w:rPr>
          <w:rFonts w:hint="eastAsia" w:ascii="黑体" w:hAnsi="黑体" w:eastAsia="黑体"/>
          <w:b w:val="0"/>
        </w:rPr>
        <w:t>二、机构设置</w:t>
      </w:r>
      <w:bookmarkEnd w:id="20"/>
    </w:p>
    <w:p>
      <w:pPr>
        <w:ind w:firstLine="640" w:firstLineChars="200"/>
        <w:rPr>
          <w:rFonts w:ascii="仿宋" w:hAnsi="仿宋" w:eastAsia="仿宋"/>
          <w:color w:val="auto"/>
          <w:sz w:val="32"/>
          <w:szCs w:val="32"/>
          <w:highlight w:val="none"/>
        </w:rPr>
      </w:pPr>
      <w:r>
        <w:rPr>
          <w:rFonts w:hint="eastAsia" w:ascii="仿宋" w:hAnsi="仿宋" w:eastAsia="仿宋" w:cs="Times New Roman"/>
          <w:color w:val="auto"/>
          <w:sz w:val="32"/>
          <w:szCs w:val="32"/>
          <w:highlight w:val="none"/>
        </w:rPr>
        <w:t>五通桥区</w:t>
      </w:r>
      <w:r>
        <w:rPr>
          <w:rFonts w:hint="eastAsia" w:ascii="仿宋" w:hAnsi="仿宋" w:eastAsia="仿宋" w:cs="Times New Roman"/>
          <w:color w:val="auto"/>
          <w:sz w:val="32"/>
          <w:szCs w:val="32"/>
          <w:highlight w:val="none"/>
          <w:lang w:val="en-US" w:eastAsia="zh-CN"/>
        </w:rPr>
        <w:t>老干部</w:t>
      </w:r>
      <w:r>
        <w:rPr>
          <w:rFonts w:hint="eastAsia" w:ascii="仿宋" w:hAnsi="仿宋" w:eastAsia="仿宋" w:cs="Times New Roman"/>
          <w:color w:val="auto"/>
          <w:sz w:val="32"/>
          <w:szCs w:val="32"/>
          <w:highlight w:val="none"/>
        </w:rPr>
        <w:t>中心下</w:t>
      </w:r>
      <w:r>
        <w:rPr>
          <w:rFonts w:hint="eastAsia" w:ascii="仿宋" w:hAnsi="仿宋" w:eastAsia="仿宋"/>
          <w:color w:val="auto"/>
          <w:sz w:val="32"/>
          <w:szCs w:val="32"/>
          <w:highlight w:val="none"/>
        </w:rPr>
        <w:t>属二级</w:t>
      </w:r>
      <w:r>
        <w:rPr>
          <w:rFonts w:hint="eastAsia" w:ascii="仿宋" w:hAnsi="仿宋" w:eastAsia="仿宋"/>
          <w:color w:val="auto"/>
          <w:sz w:val="32"/>
          <w:szCs w:val="32"/>
          <w:highlight w:val="none"/>
          <w:lang w:eastAsia="zh-CN"/>
        </w:rPr>
        <w:t>预算</w:t>
      </w:r>
      <w:r>
        <w:rPr>
          <w:rFonts w:hint="eastAsia" w:ascii="仿宋" w:hAnsi="仿宋" w:eastAsia="仿宋"/>
          <w:color w:val="auto"/>
          <w:sz w:val="32"/>
          <w:szCs w:val="32"/>
          <w:highlight w:val="none"/>
        </w:rPr>
        <w:t>单位</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个，其中行政单位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个，参照公务员法管理的事业单位</w:t>
      </w:r>
      <w:r>
        <w:rPr>
          <w:rFonts w:hint="eastAsia" w:ascii="仿宋" w:hAnsi="仿宋" w:eastAsia="仿宋"/>
          <w:bCs/>
          <w:color w:val="auto"/>
          <w:sz w:val="32"/>
          <w:szCs w:val="32"/>
          <w:highlight w:val="none"/>
          <w:lang w:val="en-US" w:eastAsia="zh-CN"/>
        </w:rPr>
        <w:t>1</w:t>
      </w:r>
      <w:r>
        <w:rPr>
          <w:rFonts w:hint="eastAsia" w:ascii="仿宋" w:hAnsi="仿宋" w:eastAsia="仿宋"/>
          <w:color w:val="auto"/>
          <w:sz w:val="32"/>
          <w:szCs w:val="32"/>
          <w:highlight w:val="none"/>
        </w:rPr>
        <w:t>个，其他事业单位</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个。</w:t>
      </w:r>
    </w:p>
    <w:p>
      <w:pPr>
        <w:pStyle w:val="7"/>
        <w:adjustRightInd w:val="0"/>
        <w:snapToGrid w:val="0"/>
        <w:spacing w:before="93" w:line="600" w:lineRule="exact"/>
        <w:ind w:firstLine="672" w:firstLineChars="21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纳入</w:t>
      </w:r>
      <w:r>
        <w:rPr>
          <w:rFonts w:hint="eastAsia" w:ascii="仿宋" w:hAnsi="仿宋" w:eastAsia="仿宋" w:cs="Times New Roman"/>
          <w:color w:val="auto"/>
          <w:sz w:val="32"/>
          <w:szCs w:val="32"/>
          <w:highlight w:val="none"/>
        </w:rPr>
        <w:t>五通桥区</w:t>
      </w:r>
      <w:r>
        <w:rPr>
          <w:rFonts w:hint="eastAsia" w:ascii="仿宋" w:hAnsi="仿宋" w:eastAsia="仿宋" w:cs="Times New Roman"/>
          <w:color w:val="auto"/>
          <w:sz w:val="32"/>
          <w:szCs w:val="32"/>
          <w:highlight w:val="none"/>
          <w:lang w:val="en-US" w:eastAsia="zh-CN"/>
        </w:rPr>
        <w:t>老干部</w:t>
      </w:r>
      <w:r>
        <w:rPr>
          <w:rFonts w:hint="eastAsia" w:ascii="仿宋" w:hAnsi="仿宋" w:eastAsia="仿宋" w:cs="Times New Roman"/>
          <w:color w:val="auto"/>
          <w:sz w:val="32"/>
          <w:szCs w:val="32"/>
          <w:highlight w:val="none"/>
        </w:rPr>
        <w:t>中心</w:t>
      </w:r>
      <w:r>
        <w:rPr>
          <w:rFonts w:hint="eastAsia" w:ascii="仿宋" w:hAnsi="仿宋" w:eastAsia="仿宋"/>
          <w:color w:val="auto"/>
          <w:sz w:val="32"/>
          <w:szCs w:val="32"/>
          <w:highlight w:val="none"/>
          <w:lang w:eastAsia="zh-CN"/>
        </w:rPr>
        <w:t>202</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年度</w:t>
      </w:r>
      <w:r>
        <w:rPr>
          <w:rFonts w:hint="eastAsia" w:ascii="仿宋" w:hAnsi="仿宋" w:eastAsia="仿宋"/>
          <w:color w:val="auto"/>
          <w:sz w:val="32"/>
          <w:szCs w:val="32"/>
          <w:highlight w:val="none"/>
          <w:lang w:val="en-US" w:eastAsia="zh-CN"/>
        </w:rPr>
        <w:t>单位</w:t>
      </w:r>
      <w:r>
        <w:rPr>
          <w:rFonts w:hint="eastAsia" w:ascii="仿宋" w:hAnsi="仿宋" w:eastAsia="仿宋"/>
          <w:color w:val="auto"/>
          <w:sz w:val="32"/>
          <w:szCs w:val="32"/>
          <w:highlight w:val="none"/>
        </w:rPr>
        <w:t>决算编制范围的二级预算单位包括：</w:t>
      </w:r>
      <w:r>
        <w:rPr>
          <w:rFonts w:hint="eastAsia" w:ascii="仿宋" w:hAnsi="仿宋" w:eastAsia="仿宋" w:cs="Times New Roman"/>
          <w:color w:val="auto"/>
          <w:sz w:val="32"/>
          <w:szCs w:val="32"/>
          <w:highlight w:val="none"/>
        </w:rPr>
        <w:t>五通桥区老干部活动中心</w:t>
      </w:r>
      <w:r>
        <w:rPr>
          <w:rFonts w:hint="eastAsia" w:ascii="仿宋" w:hAnsi="仿宋" w:eastAsia="仿宋"/>
          <w:color w:val="auto"/>
          <w:sz w:val="32"/>
          <w:szCs w:val="32"/>
          <w:highlight w:val="none"/>
          <w:lang w:eastAsia="zh-CN"/>
        </w:rPr>
        <w:t>。</w:t>
      </w:r>
    </w:p>
    <w:p/>
    <w:bookmarkEnd w:id="18"/>
    <w:bookmarkEnd w:id="19"/>
    <w:p>
      <w:pPr>
        <w:widowControl/>
        <w:jc w:val="left"/>
        <w:rPr>
          <w:rFonts w:ascii="仿宋" w:hAnsi="仿宋" w:eastAsia="仿宋"/>
          <w:kern w:val="0"/>
          <w:sz w:val="32"/>
          <w:szCs w:val="32"/>
        </w:rPr>
      </w:pPr>
      <w:r>
        <w:rPr>
          <w:rFonts w:ascii="仿宋" w:hAnsi="仿宋" w:eastAsia="仿宋"/>
          <w:sz w:val="32"/>
          <w:szCs w:val="32"/>
        </w:rPr>
        <w:br w:type="page"/>
      </w:r>
    </w:p>
    <w:p>
      <w:pPr>
        <w:pStyle w:val="4"/>
        <w:ind w:right="440"/>
        <w:jc w:val="center"/>
        <w:rPr>
          <w:rStyle w:val="28"/>
          <w:rFonts w:ascii="黑体" w:hAnsi="黑体" w:eastAsia="黑体"/>
          <w:b w:val="0"/>
          <w:bCs/>
        </w:rPr>
      </w:pPr>
      <w:bookmarkStart w:id="21" w:name="_Toc15377204"/>
      <w:bookmarkStart w:id="22" w:name="_Toc15396602"/>
      <w:bookmarkStart w:id="23" w:name="_Toc13200"/>
      <w:r>
        <w:rPr>
          <w:rFonts w:hint="eastAsia" w:ascii="黑体" w:hAnsi="黑体" w:eastAsia="黑体"/>
          <w:b w:val="0"/>
        </w:rPr>
        <w:t>第二部分 202</w:t>
      </w:r>
      <w:r>
        <w:rPr>
          <w:rFonts w:hint="eastAsia" w:ascii="黑体" w:hAnsi="黑体" w:eastAsia="黑体"/>
          <w:b w:val="0"/>
          <w:lang w:val="en-US" w:eastAsia="zh-CN"/>
        </w:rPr>
        <w:t>4</w:t>
      </w:r>
      <w:r>
        <w:rPr>
          <w:rFonts w:hint="eastAsia" w:ascii="黑体" w:hAnsi="黑体" w:eastAsia="黑体"/>
          <w:b w:val="0"/>
        </w:rPr>
        <w:t>年度</w:t>
      </w:r>
      <w:r>
        <w:rPr>
          <w:rStyle w:val="28"/>
          <w:rFonts w:hint="eastAsia" w:ascii="黑体" w:hAnsi="黑体" w:eastAsia="黑体"/>
          <w:b w:val="0"/>
          <w:bCs/>
        </w:rPr>
        <w:t>单位决算情况说明</w:t>
      </w:r>
      <w:bookmarkEnd w:id="21"/>
      <w:bookmarkEnd w:id="22"/>
      <w:bookmarkEnd w:id="23"/>
    </w:p>
    <w:p/>
    <w:p>
      <w:pPr>
        <w:pStyle w:val="27"/>
        <w:numPr>
          <w:ilvl w:val="0"/>
          <w:numId w:val="2"/>
        </w:numPr>
        <w:spacing w:line="600" w:lineRule="exact"/>
        <w:ind w:firstLineChars="0"/>
        <w:outlineLvl w:val="1"/>
        <w:rPr>
          <w:rStyle w:val="29"/>
          <w:rFonts w:ascii="黑体" w:hAnsi="黑体" w:eastAsia="黑体"/>
          <w:b w:val="0"/>
        </w:rPr>
      </w:pPr>
      <w:bookmarkStart w:id="24" w:name="_Toc15377205"/>
      <w:bookmarkStart w:id="25" w:name="_Toc21537"/>
      <w:bookmarkStart w:id="26" w:name="_Toc15396603"/>
      <w:r>
        <w:rPr>
          <w:rFonts w:hint="eastAsia" w:ascii="黑体" w:hAnsi="黑体" w:eastAsia="黑体"/>
          <w:sz w:val="32"/>
          <w:szCs w:val="32"/>
        </w:rPr>
        <w:t>收</w:t>
      </w:r>
      <w:r>
        <w:rPr>
          <w:rStyle w:val="29"/>
          <w:rFonts w:hint="eastAsia" w:ascii="黑体" w:hAnsi="黑体" w:eastAsia="黑体"/>
          <w:b w:val="0"/>
        </w:rPr>
        <w:t>入支出决算总体情况说明</w:t>
      </w:r>
      <w:bookmarkEnd w:id="24"/>
      <w:bookmarkEnd w:id="25"/>
      <w:bookmarkEnd w:id="26"/>
    </w:p>
    <w:p>
      <w:pPr>
        <w:keepNext/>
        <w:keepLines/>
        <w:spacing w:beforeLines="0" w:afterLines="0" w:line="576" w:lineRule="exact"/>
        <w:ind w:firstLine="640"/>
        <w:jc w:val="both"/>
        <w:rPr>
          <w:rFonts w:hint="eastAsia" w:ascii="仿宋" w:hAnsi="仿宋" w:eastAsia="仿宋"/>
          <w:sz w:val="32"/>
          <w:szCs w:val="32"/>
          <w:lang w:val="en-US" w:eastAsia="zh-CN"/>
        </w:rPr>
      </w:pPr>
      <w:bookmarkStart w:id="27" w:name="_Toc24642"/>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年度收、支总计均为</w:t>
      </w:r>
      <w:r>
        <w:rPr>
          <w:rFonts w:hint="eastAsia" w:ascii="仿宋" w:hAnsi="仿宋" w:eastAsia="仿宋"/>
          <w:b/>
          <w:sz w:val="32"/>
          <w:szCs w:val="32"/>
          <w:lang w:val="en-US" w:eastAsia="zh-CN"/>
        </w:rPr>
        <w:t>160.31</w:t>
      </w:r>
      <w:r>
        <w:rPr>
          <w:rFonts w:hint="eastAsia" w:ascii="仿宋" w:hAnsi="仿宋" w:eastAsia="仿宋"/>
          <w:sz w:val="32"/>
          <w:szCs w:val="32"/>
        </w:rPr>
        <w:t>万元。</w:t>
      </w:r>
      <w:bookmarkEnd w:id="27"/>
      <w:r>
        <w:rPr>
          <w:rFonts w:hint="eastAsia" w:ascii="仿宋" w:hAnsi="仿宋" w:eastAsia="仿宋"/>
          <w:sz w:val="32"/>
          <w:szCs w:val="32"/>
        </w:rPr>
        <w:t>与202</w:t>
      </w:r>
      <w:r>
        <w:rPr>
          <w:rFonts w:hint="eastAsia" w:ascii="仿宋" w:hAnsi="仿宋" w:eastAsia="仿宋"/>
          <w:sz w:val="32"/>
          <w:szCs w:val="32"/>
          <w:lang w:val="en-US" w:eastAsia="zh-CN"/>
        </w:rPr>
        <w:t>3</w:t>
      </w:r>
      <w:r>
        <w:rPr>
          <w:rFonts w:hint="eastAsia" w:ascii="仿宋" w:hAnsi="仿宋" w:eastAsia="仿宋"/>
          <w:sz w:val="32"/>
          <w:szCs w:val="32"/>
        </w:rPr>
        <w:t>年度</w:t>
      </w:r>
      <w:r>
        <w:rPr>
          <w:rFonts w:hint="eastAsia" w:ascii="仿宋" w:hAnsi="仿宋" w:eastAsia="仿宋"/>
          <w:sz w:val="32"/>
          <w:szCs w:val="32"/>
          <w:lang w:val="en-US" w:eastAsia="zh-CN"/>
        </w:rPr>
        <w:t>173.69万元</w:t>
      </w:r>
      <w:r>
        <w:rPr>
          <w:rFonts w:hint="eastAsia" w:ascii="仿宋" w:hAnsi="仿宋" w:eastAsia="仿宋"/>
          <w:sz w:val="32"/>
          <w:szCs w:val="32"/>
        </w:rPr>
        <w:t>相比，收、支总计各</w:t>
      </w:r>
      <w:r>
        <w:rPr>
          <w:rFonts w:hint="eastAsia" w:ascii="仿宋" w:hAnsi="仿宋" w:eastAsia="仿宋"/>
          <w:sz w:val="32"/>
          <w:szCs w:val="32"/>
          <w:lang w:val="en-US" w:eastAsia="zh-CN"/>
        </w:rPr>
        <w:t>减少13.38</w:t>
      </w:r>
      <w:r>
        <w:rPr>
          <w:rFonts w:hint="eastAsia" w:ascii="仿宋" w:hAnsi="仿宋" w:eastAsia="仿宋"/>
          <w:sz w:val="32"/>
          <w:szCs w:val="32"/>
        </w:rPr>
        <w:t>万元，</w:t>
      </w:r>
      <w:r>
        <w:rPr>
          <w:rFonts w:hint="eastAsia" w:ascii="仿宋" w:hAnsi="仿宋" w:eastAsia="仿宋"/>
          <w:sz w:val="32"/>
          <w:szCs w:val="32"/>
          <w:lang w:val="en-US" w:eastAsia="zh-CN"/>
        </w:rPr>
        <w:t>减少7.70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：在收入方面，</w:t>
      </w:r>
      <w:r>
        <w:rPr>
          <w:rFonts w:hint="eastAsia" w:ascii="仿宋" w:hAnsi="仿宋" w:eastAsia="仿宋"/>
          <w:sz w:val="32"/>
          <w:szCs w:val="32"/>
        </w:rPr>
        <w:t>一般公共预算财政拨款收入</w:t>
      </w:r>
      <w:r>
        <w:rPr>
          <w:rFonts w:hint="eastAsia" w:ascii="仿宋" w:hAnsi="仿宋" w:eastAsia="仿宋"/>
          <w:sz w:val="32"/>
          <w:szCs w:val="32"/>
          <w:lang w:val="en-US" w:eastAsia="zh-CN"/>
        </w:rPr>
        <w:t>减少7.33万元、其他收入减少6.02万元、年初结转和结余减少0.03万元；</w:t>
      </w:r>
      <w:r>
        <w:rPr>
          <w:rFonts w:hint="eastAsia" w:ascii="仿宋_GB2312" w:hAnsi="仿宋_GB2312" w:eastAsia="仿宋_GB2312"/>
          <w:color w:val="000000"/>
          <w:kern w:val="2"/>
          <w:sz w:val="32"/>
          <w:lang w:val="zh-CN"/>
        </w:rPr>
        <w:t>一般公共服务支出</w:t>
      </w:r>
      <w:r>
        <w:rPr>
          <w:rFonts w:hint="eastAsia" w:ascii="仿宋_GB2312" w:hAnsi="仿宋_GB2312" w:eastAsia="仿宋_GB2312"/>
          <w:color w:val="000000"/>
          <w:kern w:val="2"/>
          <w:sz w:val="32"/>
          <w:lang w:val="en-US" w:eastAsia="zh-CN"/>
        </w:rPr>
        <w:t>减少11.95</w:t>
      </w:r>
      <w:r>
        <w:rPr>
          <w:rFonts w:hint="eastAsia" w:ascii="仿宋_GB2312" w:hAnsi="仿宋_GB2312" w:eastAsia="仿宋_GB2312"/>
          <w:color w:val="000000"/>
          <w:kern w:val="2"/>
          <w:sz w:val="32"/>
          <w:lang w:val="zh-CN"/>
        </w:rPr>
        <w:t>万元、社会保障和就业支出</w:t>
      </w:r>
      <w:r>
        <w:rPr>
          <w:rFonts w:hint="eastAsia" w:ascii="仿宋_GB2312" w:hAnsi="仿宋_GB2312" w:eastAsia="仿宋_GB2312"/>
          <w:color w:val="000000"/>
          <w:kern w:val="2"/>
          <w:sz w:val="32"/>
          <w:lang w:val="en-US" w:eastAsia="zh-CN"/>
        </w:rPr>
        <w:t>减少1.22</w:t>
      </w:r>
      <w:r>
        <w:rPr>
          <w:rFonts w:hint="eastAsia" w:ascii="仿宋_GB2312" w:hAnsi="仿宋_GB2312" w:eastAsia="仿宋_GB2312"/>
          <w:color w:val="000000"/>
          <w:kern w:val="2"/>
          <w:sz w:val="32"/>
          <w:lang w:val="zh-CN"/>
        </w:rPr>
        <w:t>万元、卫生健康支出</w:t>
      </w:r>
      <w:r>
        <w:rPr>
          <w:rFonts w:hint="eastAsia" w:ascii="仿宋_GB2312" w:hAnsi="仿宋_GB2312" w:eastAsia="仿宋_GB2312"/>
          <w:color w:val="000000"/>
          <w:kern w:val="2"/>
          <w:sz w:val="32"/>
          <w:lang w:val="en-US" w:eastAsia="zh-CN"/>
        </w:rPr>
        <w:t>减少0.16</w:t>
      </w:r>
      <w:r>
        <w:rPr>
          <w:rFonts w:hint="eastAsia" w:ascii="仿宋_GB2312" w:hAnsi="仿宋_GB2312" w:eastAsia="仿宋_GB2312"/>
          <w:color w:val="000000"/>
          <w:kern w:val="2"/>
          <w:sz w:val="32"/>
          <w:lang w:val="zh-CN"/>
        </w:rPr>
        <w:t>万元、住房保障支出</w:t>
      </w:r>
      <w:r>
        <w:rPr>
          <w:rFonts w:hint="eastAsia" w:ascii="仿宋_GB2312" w:hAnsi="仿宋_GB2312" w:eastAsia="仿宋_GB2312"/>
          <w:color w:val="000000"/>
          <w:kern w:val="2"/>
          <w:sz w:val="32"/>
          <w:lang w:val="en-US" w:eastAsia="zh-CN"/>
        </w:rPr>
        <w:t>减少0.33</w:t>
      </w:r>
      <w:r>
        <w:rPr>
          <w:rFonts w:hint="eastAsia" w:ascii="仿宋_GB2312" w:hAnsi="仿宋_GB2312" w:eastAsia="仿宋_GB2312"/>
          <w:color w:val="000000"/>
          <w:kern w:val="2"/>
          <w:sz w:val="32"/>
          <w:lang w:val="zh-CN"/>
        </w:rPr>
        <w:t>万元、年末结转和结余增加</w:t>
      </w:r>
      <w:r>
        <w:rPr>
          <w:rFonts w:hint="eastAsia" w:ascii="仿宋_GB2312" w:hAnsi="仿宋_GB2312" w:eastAsia="仿宋_GB2312"/>
          <w:color w:val="000000"/>
          <w:kern w:val="2"/>
          <w:sz w:val="32"/>
          <w:lang w:val="en-US" w:eastAsia="zh-CN"/>
        </w:rPr>
        <w:t>0.29万元</w:t>
      </w:r>
      <w:r>
        <w:rPr>
          <w:rFonts w:hint="eastAsia" w:ascii="仿宋_GB2312" w:hAnsi="仿宋_GB2312" w:eastAsia="仿宋_GB2312"/>
          <w:color w:val="000000"/>
          <w:kern w:val="2"/>
          <w:sz w:val="32"/>
          <w:lang w:val="zh-CN"/>
        </w:rPr>
        <w:t>所致。</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240"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2889250"/>
            <wp:effectExtent l="0" t="0" r="6985" b="635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7"/>
                    <a:stretch>
                      <a:fillRect/>
                    </a:stretch>
                  </pic:blipFill>
                  <pic:spPr>
                    <a:xfrm>
                      <a:off x="0" y="0"/>
                      <a:ext cx="4584065" cy="2889250"/>
                    </a:xfrm>
                    <a:prstGeom prst="rect">
                      <a:avLst/>
                    </a:prstGeom>
                  </pic:spPr>
                </pic:pic>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28" w:name="_Toc15396604"/>
      <w:bookmarkStart w:id="29" w:name="_Toc15377206"/>
      <w:bookmarkStart w:id="30" w:name="_Toc20333"/>
      <w:r>
        <w:rPr>
          <w:rFonts w:hint="eastAsia" w:ascii="黑体" w:hAnsi="黑体" w:eastAsia="黑体"/>
          <w:sz w:val="32"/>
          <w:szCs w:val="32"/>
        </w:rPr>
        <w:t>收</w:t>
      </w:r>
      <w:r>
        <w:rPr>
          <w:rStyle w:val="29"/>
          <w:rFonts w:hint="eastAsia" w:ascii="黑体" w:hAnsi="黑体" w:eastAsia="黑体"/>
          <w:b w:val="0"/>
        </w:rPr>
        <w:t>入决算情况说明</w:t>
      </w:r>
      <w:bookmarkEnd w:id="28"/>
      <w:bookmarkEnd w:id="29"/>
      <w:bookmarkEnd w:id="30"/>
    </w:p>
    <w:p>
      <w:pPr>
        <w:spacing w:line="600" w:lineRule="exact"/>
        <w:ind w:firstLine="640" w:firstLineChars="200"/>
        <w:outlineLvl w:val="1"/>
        <w:rPr>
          <w:rFonts w:ascii="仿宋" w:hAnsi="仿宋" w:eastAsia="仿宋"/>
          <w:sz w:val="32"/>
          <w:szCs w:val="32"/>
        </w:rPr>
      </w:pPr>
      <w:bookmarkStart w:id="31" w:name="_Toc19387"/>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年度本年收入合计</w:t>
      </w:r>
      <w:r>
        <w:rPr>
          <w:rFonts w:hint="eastAsia" w:ascii="仿宋" w:hAnsi="仿宋" w:eastAsia="仿宋"/>
          <w:b/>
          <w:sz w:val="32"/>
          <w:szCs w:val="32"/>
        </w:rPr>
        <w:t>158.86</w:t>
      </w:r>
      <w:r>
        <w:rPr>
          <w:rFonts w:hint="eastAsia" w:ascii="仿宋" w:hAnsi="仿宋" w:eastAsia="仿宋"/>
          <w:sz w:val="32"/>
          <w:szCs w:val="32"/>
        </w:rPr>
        <w:t>万元，其中：一般公共预算财政拨款收入</w:t>
      </w:r>
      <w:r>
        <w:rPr>
          <w:rFonts w:hint="eastAsia" w:ascii="仿宋" w:hAnsi="仿宋" w:eastAsia="仿宋"/>
          <w:b/>
          <w:sz w:val="32"/>
          <w:szCs w:val="32"/>
        </w:rPr>
        <w:t>158.08</w:t>
      </w:r>
      <w:r>
        <w:rPr>
          <w:rFonts w:hint="eastAsia" w:ascii="仿宋" w:hAnsi="仿宋" w:eastAsia="仿宋"/>
          <w:sz w:val="32"/>
          <w:szCs w:val="32"/>
        </w:rPr>
        <w:t>万元，占</w:t>
      </w:r>
      <w:r>
        <w:rPr>
          <w:rFonts w:hint="eastAsia" w:ascii="仿宋" w:hAnsi="仿宋" w:eastAsia="仿宋"/>
          <w:b/>
          <w:sz w:val="32"/>
          <w:szCs w:val="32"/>
          <w:lang w:val="en-US" w:eastAsia="zh-CN"/>
        </w:rPr>
        <w:t>99.5</w:t>
      </w:r>
      <w:r>
        <w:rPr>
          <w:rFonts w:ascii="仿宋" w:hAnsi="仿宋" w:eastAsia="仿宋"/>
          <w:b/>
          <w:sz w:val="32"/>
          <w:szCs w:val="32"/>
        </w:rPr>
        <w:t>%</w:t>
      </w:r>
      <w:r>
        <w:rPr>
          <w:rFonts w:hint="eastAsia" w:ascii="仿宋" w:hAnsi="仿宋" w:eastAsia="仿宋"/>
          <w:sz w:val="32"/>
          <w:szCs w:val="32"/>
        </w:rPr>
        <w:t>；；其他收入</w:t>
      </w:r>
      <w:r>
        <w:rPr>
          <w:rFonts w:hint="eastAsia" w:ascii="仿宋" w:hAnsi="仿宋" w:eastAsia="仿宋"/>
          <w:b/>
          <w:sz w:val="32"/>
          <w:szCs w:val="32"/>
          <w:lang w:val="en-US" w:eastAsia="zh-CN"/>
        </w:rPr>
        <w:t>0.78</w:t>
      </w:r>
      <w:r>
        <w:rPr>
          <w:rFonts w:hint="eastAsia" w:ascii="仿宋" w:hAnsi="仿宋" w:eastAsia="仿宋"/>
          <w:sz w:val="32"/>
          <w:szCs w:val="32"/>
        </w:rPr>
        <w:t>万元，占</w:t>
      </w:r>
      <w:r>
        <w:rPr>
          <w:rFonts w:hint="eastAsia" w:ascii="仿宋" w:hAnsi="仿宋" w:eastAsia="仿宋"/>
          <w:b/>
          <w:sz w:val="32"/>
          <w:szCs w:val="32"/>
          <w:lang w:val="en-US" w:eastAsia="zh-CN"/>
        </w:rPr>
        <w:t>0.5</w:t>
      </w:r>
      <w:r>
        <w:rPr>
          <w:rFonts w:ascii="仿宋" w:hAnsi="仿宋" w:eastAsia="仿宋"/>
          <w:sz w:val="32"/>
          <w:szCs w:val="32"/>
        </w:rPr>
        <w:t>%</w:t>
      </w:r>
      <w:bookmarkEnd w:id="31"/>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图2：收入决算结构图</w:t>
      </w:r>
    </w:p>
    <w:p>
      <w:pPr>
        <w:spacing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3029585"/>
            <wp:effectExtent l="0" t="0" r="6985" b="18415"/>
            <wp:docPr id="10" name="图片 10"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2"/>
                    <pic:cNvPicPr>
                      <a:picLocks noChangeAspect="1"/>
                    </pic:cNvPicPr>
                  </pic:nvPicPr>
                  <pic:blipFill>
                    <a:blip r:embed="rId8"/>
                    <a:stretch>
                      <a:fillRect/>
                    </a:stretch>
                  </pic:blipFill>
                  <pic:spPr>
                    <a:xfrm>
                      <a:off x="0" y="0"/>
                      <a:ext cx="4584065" cy="3029585"/>
                    </a:xfrm>
                    <a:prstGeom prst="rect">
                      <a:avLst/>
                    </a:prstGeom>
                  </pic:spPr>
                </pic:pic>
              </a:graphicData>
            </a:graphic>
          </wp:inline>
        </w:drawing>
      </w:r>
    </w:p>
    <w:p>
      <w:pPr>
        <w:pStyle w:val="27"/>
        <w:numPr>
          <w:ilvl w:val="0"/>
          <w:numId w:val="2"/>
        </w:numPr>
        <w:spacing w:line="600" w:lineRule="exact"/>
        <w:ind w:firstLineChars="0"/>
        <w:outlineLvl w:val="1"/>
        <w:rPr>
          <w:rStyle w:val="29"/>
          <w:rFonts w:ascii="黑体" w:hAnsi="黑体" w:eastAsia="黑体"/>
          <w:b w:val="0"/>
        </w:rPr>
      </w:pPr>
      <w:bookmarkStart w:id="32" w:name="_Toc15533"/>
      <w:bookmarkStart w:id="33" w:name="_Toc15396605"/>
      <w:bookmarkStart w:id="34" w:name="_Toc15377207"/>
      <w:r>
        <w:rPr>
          <w:rFonts w:hint="eastAsia" w:ascii="黑体" w:hAnsi="黑体" w:eastAsia="黑体"/>
          <w:sz w:val="32"/>
          <w:szCs w:val="32"/>
        </w:rPr>
        <w:t>支</w:t>
      </w:r>
      <w:r>
        <w:rPr>
          <w:rStyle w:val="29"/>
          <w:rFonts w:hint="eastAsia" w:ascii="黑体" w:hAnsi="黑体" w:eastAsia="黑体"/>
          <w:b w:val="0"/>
        </w:rPr>
        <w:t>出决算情况说明</w:t>
      </w:r>
      <w:bookmarkEnd w:id="32"/>
      <w:bookmarkEnd w:id="33"/>
      <w:bookmarkEnd w:id="34"/>
    </w:p>
    <w:p>
      <w:pPr>
        <w:spacing w:line="600" w:lineRule="exact"/>
        <w:ind w:firstLine="640" w:firstLineChars="200"/>
        <w:outlineLvl w:val="1"/>
        <w:rPr>
          <w:rFonts w:ascii="仿宋" w:hAnsi="仿宋" w:eastAsia="仿宋"/>
          <w:sz w:val="32"/>
          <w:szCs w:val="32"/>
          <w:shd w:val="pct10" w:color="auto" w:fill="FFFFFF"/>
        </w:rPr>
      </w:pPr>
      <w:bookmarkStart w:id="35" w:name="_Toc26356"/>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年度本年支出合计</w:t>
      </w:r>
      <w:r>
        <w:rPr>
          <w:rFonts w:hint="eastAsia" w:ascii="仿宋" w:hAnsi="仿宋" w:eastAsia="仿宋"/>
          <w:b/>
          <w:sz w:val="32"/>
          <w:szCs w:val="32"/>
        </w:rPr>
        <w:t>158.56</w:t>
      </w:r>
      <w:r>
        <w:rPr>
          <w:rFonts w:hint="eastAsia" w:ascii="仿宋" w:hAnsi="仿宋" w:eastAsia="仿宋"/>
          <w:sz w:val="32"/>
          <w:szCs w:val="32"/>
        </w:rPr>
        <w:t>万元，其中：基本支出</w:t>
      </w:r>
      <w:r>
        <w:rPr>
          <w:rFonts w:hint="eastAsia" w:ascii="仿宋" w:hAnsi="仿宋" w:eastAsia="仿宋"/>
          <w:b/>
          <w:sz w:val="32"/>
          <w:szCs w:val="32"/>
        </w:rPr>
        <w:t>61.53</w:t>
      </w:r>
      <w:r>
        <w:rPr>
          <w:rFonts w:hint="eastAsia" w:ascii="仿宋" w:hAnsi="仿宋" w:eastAsia="仿宋"/>
          <w:sz w:val="32"/>
          <w:szCs w:val="32"/>
        </w:rPr>
        <w:t>万元，占</w:t>
      </w:r>
      <w:r>
        <w:rPr>
          <w:rFonts w:hint="eastAsia" w:ascii="仿宋" w:hAnsi="仿宋" w:eastAsia="仿宋"/>
          <w:b/>
          <w:sz w:val="32"/>
          <w:szCs w:val="32"/>
          <w:lang w:val="en-US" w:eastAsia="zh-CN"/>
        </w:rPr>
        <w:t>38.8</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b/>
          <w:sz w:val="32"/>
          <w:szCs w:val="32"/>
          <w:lang w:val="en-US" w:eastAsia="zh-CN"/>
        </w:rPr>
        <w:t>97.04</w:t>
      </w:r>
      <w:r>
        <w:rPr>
          <w:rFonts w:hint="eastAsia" w:ascii="仿宋" w:hAnsi="仿宋" w:eastAsia="仿宋"/>
          <w:sz w:val="32"/>
          <w:szCs w:val="32"/>
        </w:rPr>
        <w:t>万元，占</w:t>
      </w:r>
      <w:r>
        <w:rPr>
          <w:rFonts w:hint="eastAsia" w:ascii="仿宋" w:hAnsi="仿宋" w:eastAsia="仿宋"/>
          <w:b/>
          <w:sz w:val="32"/>
          <w:szCs w:val="32"/>
          <w:lang w:val="en-US" w:eastAsia="zh-CN"/>
        </w:rPr>
        <w:t>61.2</w:t>
      </w:r>
      <w:r>
        <w:rPr>
          <w:rFonts w:ascii="仿宋" w:hAnsi="仿宋" w:eastAsia="仿宋"/>
          <w:sz w:val="32"/>
          <w:szCs w:val="32"/>
        </w:rPr>
        <w:t>%</w:t>
      </w:r>
      <w:r>
        <w:rPr>
          <w:rFonts w:hint="eastAsia" w:ascii="仿宋" w:hAnsi="仿宋" w:eastAsia="仿宋"/>
          <w:sz w:val="32"/>
          <w:szCs w:val="32"/>
          <w:lang w:eastAsia="zh-CN"/>
        </w:rPr>
        <w:t>。</w:t>
      </w:r>
      <w:bookmarkEnd w:id="35"/>
    </w:p>
    <w:p>
      <w:pPr>
        <w:spacing w:line="600" w:lineRule="exact"/>
        <w:ind w:firstLine="640" w:firstLineChars="200"/>
      </w:pPr>
      <w:r>
        <w:rPr>
          <w:rFonts w:hint="eastAsia" w:ascii="仿宋" w:hAnsi="仿宋" w:eastAsia="仿宋"/>
          <w:sz w:val="32"/>
          <w:szCs w:val="32"/>
        </w:rPr>
        <w:t>图3：支出决算结构图</w:t>
      </w:r>
    </w:p>
    <w:p>
      <w:pPr>
        <w:spacing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inline distT="0" distB="0" distL="114300" distR="114300">
            <wp:extent cx="4584065" cy="2889250"/>
            <wp:effectExtent l="0" t="0" r="6985" b="6350"/>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9"/>
                    <a:stretch>
                      <a:fillRect/>
                    </a:stretch>
                  </pic:blipFill>
                  <pic:spPr>
                    <a:xfrm>
                      <a:off x="0" y="0"/>
                      <a:ext cx="4584065" cy="2889250"/>
                    </a:xfrm>
                    <a:prstGeom prst="rect">
                      <a:avLst/>
                    </a:prstGeom>
                  </pic:spPr>
                </pic:pic>
              </a:graphicData>
            </a:graphic>
          </wp:inline>
        </w:drawing>
      </w:r>
    </w:p>
    <w:p>
      <w:pPr>
        <w:spacing w:line="600" w:lineRule="exact"/>
        <w:ind w:firstLine="640" w:firstLineChars="200"/>
        <w:outlineLvl w:val="1"/>
        <w:rPr>
          <w:rFonts w:hint="eastAsia" w:ascii="黑体" w:hAnsi="黑体" w:eastAsia="黑体"/>
          <w:sz w:val="32"/>
          <w:szCs w:val="32"/>
        </w:rPr>
      </w:pPr>
      <w:bookmarkStart w:id="36" w:name="_Toc15396606"/>
      <w:bookmarkStart w:id="37" w:name="_Toc9402"/>
      <w:bookmarkStart w:id="38" w:name="_Toc15377208"/>
    </w:p>
    <w:p>
      <w:pPr>
        <w:spacing w:line="600" w:lineRule="exact"/>
        <w:ind w:firstLine="640" w:firstLineChars="200"/>
        <w:outlineLvl w:val="1"/>
        <w:rPr>
          <w:rStyle w:val="29"/>
          <w:rFonts w:ascii="黑体" w:hAnsi="黑体" w:eastAsia="黑体"/>
          <w:b w:val="0"/>
        </w:rPr>
      </w:pPr>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6"/>
      <w:bookmarkEnd w:id="37"/>
      <w:bookmarkEnd w:id="38"/>
    </w:p>
    <w:p>
      <w:pPr>
        <w:keepNext/>
        <w:keepLines/>
        <w:spacing w:beforeLines="0" w:afterLines="0" w:line="576" w:lineRule="exact"/>
        <w:ind w:firstLine="640"/>
        <w:jc w:val="both"/>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年度财政拨款收、支总计均为</w:t>
      </w:r>
      <w:r>
        <w:rPr>
          <w:rFonts w:hint="eastAsia" w:ascii="仿宋" w:hAnsi="仿宋" w:eastAsia="仿宋"/>
          <w:b/>
          <w:sz w:val="32"/>
          <w:szCs w:val="32"/>
          <w:lang w:val="en-US" w:eastAsia="zh-CN"/>
        </w:rPr>
        <w:t>158.08</w:t>
      </w:r>
      <w:r>
        <w:rPr>
          <w:rFonts w:hint="eastAsia" w:ascii="仿宋" w:hAnsi="仿宋" w:eastAsia="仿宋"/>
          <w:sz w:val="32"/>
          <w:szCs w:val="32"/>
        </w:rPr>
        <w:t>万元。与202</w:t>
      </w:r>
      <w:r>
        <w:rPr>
          <w:rFonts w:hint="eastAsia" w:ascii="仿宋" w:hAnsi="仿宋" w:eastAsia="仿宋"/>
          <w:sz w:val="32"/>
          <w:szCs w:val="32"/>
          <w:lang w:val="en-US" w:eastAsia="zh-CN"/>
        </w:rPr>
        <w:t>3</w:t>
      </w:r>
      <w:r>
        <w:rPr>
          <w:rFonts w:hint="eastAsia" w:ascii="仿宋" w:hAnsi="仿宋" w:eastAsia="仿宋"/>
          <w:sz w:val="32"/>
          <w:szCs w:val="32"/>
        </w:rPr>
        <w:t>年度</w:t>
      </w:r>
      <w:r>
        <w:rPr>
          <w:rFonts w:hint="eastAsia" w:ascii="仿宋" w:hAnsi="仿宋" w:eastAsia="仿宋"/>
          <w:sz w:val="32"/>
          <w:szCs w:val="32"/>
          <w:lang w:val="en-US" w:eastAsia="zh-CN"/>
        </w:rPr>
        <w:t>165.41万元</w:t>
      </w:r>
      <w:r>
        <w:rPr>
          <w:rFonts w:hint="eastAsia" w:ascii="仿宋" w:hAnsi="仿宋" w:eastAsia="仿宋"/>
          <w:sz w:val="32"/>
          <w:szCs w:val="32"/>
        </w:rPr>
        <w:t>相比，财政拨款收、支总计各</w:t>
      </w:r>
      <w:r>
        <w:rPr>
          <w:rFonts w:hint="eastAsia" w:ascii="仿宋" w:hAnsi="仿宋" w:eastAsia="仿宋"/>
          <w:sz w:val="32"/>
          <w:szCs w:val="32"/>
          <w:lang w:val="en-US" w:eastAsia="zh-CN"/>
        </w:rPr>
        <w:t>减少7.33</w:t>
      </w:r>
      <w:r>
        <w:rPr>
          <w:rFonts w:hint="eastAsia" w:ascii="仿宋" w:hAnsi="仿宋" w:eastAsia="仿宋"/>
          <w:sz w:val="32"/>
          <w:szCs w:val="32"/>
        </w:rPr>
        <w:t>万元，</w:t>
      </w:r>
      <w:r>
        <w:rPr>
          <w:rFonts w:hint="eastAsia" w:ascii="仿宋" w:hAnsi="仿宋" w:eastAsia="仿宋"/>
          <w:sz w:val="32"/>
          <w:szCs w:val="32"/>
          <w:lang w:val="en-US" w:eastAsia="zh-CN"/>
        </w:rPr>
        <w:t>减少7.70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：在收入方面，</w:t>
      </w:r>
      <w:r>
        <w:rPr>
          <w:rFonts w:hint="eastAsia" w:ascii="仿宋" w:hAnsi="仿宋" w:eastAsia="仿宋"/>
          <w:sz w:val="32"/>
          <w:szCs w:val="32"/>
        </w:rPr>
        <w:t>一般公共预算财政拨款收入</w:t>
      </w:r>
      <w:r>
        <w:rPr>
          <w:rFonts w:hint="eastAsia" w:ascii="仿宋" w:hAnsi="仿宋" w:eastAsia="仿宋"/>
          <w:sz w:val="32"/>
          <w:szCs w:val="32"/>
          <w:lang w:val="en-US" w:eastAsia="zh-CN"/>
        </w:rPr>
        <w:t>减少7.33万元；</w:t>
      </w:r>
      <w:r>
        <w:rPr>
          <w:rFonts w:hint="eastAsia" w:ascii="仿宋" w:hAnsi="仿宋" w:eastAsia="仿宋"/>
          <w:sz w:val="32"/>
          <w:szCs w:val="32"/>
          <w:lang w:eastAsia="zh-CN"/>
        </w:rPr>
        <w:t>在支出方面，</w:t>
      </w:r>
      <w:r>
        <w:rPr>
          <w:rFonts w:hint="eastAsia" w:ascii="仿宋_GB2312" w:hAnsi="仿宋_GB2312" w:eastAsia="仿宋_GB2312"/>
          <w:color w:val="000000"/>
          <w:kern w:val="2"/>
          <w:sz w:val="32"/>
          <w:lang w:val="zh-CN"/>
        </w:rPr>
        <w:t>一般公共服务支出</w:t>
      </w:r>
      <w:r>
        <w:rPr>
          <w:rFonts w:hint="eastAsia" w:ascii="仿宋_GB2312" w:hAnsi="仿宋_GB2312" w:eastAsia="仿宋_GB2312"/>
          <w:color w:val="000000"/>
          <w:kern w:val="2"/>
          <w:sz w:val="32"/>
          <w:lang w:val="en-US" w:eastAsia="zh-CN"/>
        </w:rPr>
        <w:t>减少5.61</w:t>
      </w:r>
      <w:r>
        <w:rPr>
          <w:rFonts w:hint="eastAsia" w:ascii="仿宋_GB2312" w:hAnsi="仿宋_GB2312" w:eastAsia="仿宋_GB2312"/>
          <w:color w:val="000000"/>
          <w:kern w:val="2"/>
          <w:sz w:val="32"/>
          <w:lang w:val="zh-CN"/>
        </w:rPr>
        <w:t>万元、社会保障和就业支出</w:t>
      </w:r>
      <w:r>
        <w:rPr>
          <w:rFonts w:hint="eastAsia" w:ascii="仿宋_GB2312" w:hAnsi="仿宋_GB2312" w:eastAsia="仿宋_GB2312"/>
          <w:color w:val="000000"/>
          <w:kern w:val="2"/>
          <w:sz w:val="32"/>
          <w:lang w:val="en-US" w:eastAsia="zh-CN"/>
        </w:rPr>
        <w:t>减少1.22</w:t>
      </w:r>
      <w:r>
        <w:rPr>
          <w:rFonts w:hint="eastAsia" w:ascii="仿宋_GB2312" w:hAnsi="仿宋_GB2312" w:eastAsia="仿宋_GB2312"/>
          <w:color w:val="000000"/>
          <w:kern w:val="2"/>
          <w:sz w:val="32"/>
          <w:lang w:val="zh-CN"/>
        </w:rPr>
        <w:t>万元、卫生健康支出</w:t>
      </w:r>
      <w:r>
        <w:rPr>
          <w:rFonts w:hint="eastAsia" w:ascii="仿宋_GB2312" w:hAnsi="仿宋_GB2312" w:eastAsia="仿宋_GB2312"/>
          <w:color w:val="000000"/>
          <w:kern w:val="2"/>
          <w:sz w:val="32"/>
          <w:lang w:val="en-US" w:eastAsia="zh-CN"/>
        </w:rPr>
        <w:t>减少0.16</w:t>
      </w:r>
      <w:r>
        <w:rPr>
          <w:rFonts w:hint="eastAsia" w:ascii="仿宋_GB2312" w:hAnsi="仿宋_GB2312" w:eastAsia="仿宋_GB2312"/>
          <w:color w:val="000000"/>
          <w:kern w:val="2"/>
          <w:sz w:val="32"/>
          <w:lang w:val="zh-CN"/>
        </w:rPr>
        <w:t>万元、住房保障支出</w:t>
      </w:r>
      <w:r>
        <w:rPr>
          <w:rFonts w:hint="eastAsia" w:ascii="仿宋_GB2312" w:hAnsi="仿宋_GB2312" w:eastAsia="仿宋_GB2312"/>
          <w:color w:val="000000"/>
          <w:kern w:val="2"/>
          <w:sz w:val="32"/>
          <w:lang w:val="en-US" w:eastAsia="zh-CN"/>
        </w:rPr>
        <w:t>减少0.33</w:t>
      </w:r>
      <w:r>
        <w:rPr>
          <w:rFonts w:hint="eastAsia" w:ascii="仿宋_GB2312" w:hAnsi="仿宋_GB2312" w:eastAsia="仿宋_GB2312"/>
          <w:color w:val="000000"/>
          <w:kern w:val="2"/>
          <w:sz w:val="32"/>
          <w:lang w:val="zh-CN"/>
        </w:rPr>
        <w:t>万元所致。</w:t>
      </w:r>
    </w:p>
    <w:p>
      <w:pPr>
        <w:spacing w:line="600" w:lineRule="exact"/>
        <w:ind w:firstLine="640"/>
        <w:rPr>
          <w:rFonts w:hint="eastAsia" w:ascii="仿宋" w:hAnsi="仿宋" w:eastAsia="仿宋"/>
          <w:sz w:val="32"/>
          <w:szCs w:val="32"/>
          <w:lang w:val="en-US" w:eastAsia="zh-CN"/>
        </w:rPr>
      </w:pPr>
      <w:r>
        <w:rPr>
          <w:rFonts w:hint="eastAsia" w:ascii="仿宋" w:hAnsi="仿宋" w:eastAsia="仿宋"/>
          <w:sz w:val="32"/>
          <w:szCs w:val="32"/>
        </w:rPr>
        <w:t>图4：财政拨款收、支决算总计变动情况</w:t>
      </w:r>
      <w:r>
        <w:rPr>
          <w:rFonts w:hint="eastAsia" w:ascii="仿宋" w:hAnsi="仿宋" w:eastAsia="仿宋"/>
          <w:sz w:val="32"/>
          <w:szCs w:val="32"/>
          <w:lang w:val="en-US" w:eastAsia="zh-CN"/>
        </w:rPr>
        <w:t>图</w:t>
      </w:r>
    </w:p>
    <w:p>
      <w:pPr>
        <w:pStyle w:val="2"/>
        <w:rPr>
          <w:rFonts w:hint="eastAsia" w:eastAsia="宋体"/>
          <w:lang w:eastAsia="zh-CN"/>
        </w:rPr>
      </w:pPr>
      <w:r>
        <w:rPr>
          <w:rFonts w:hint="eastAsia" w:eastAsia="宋体"/>
          <w:lang w:eastAsia="zh-CN"/>
        </w:rPr>
        <w:drawing>
          <wp:inline distT="0" distB="0" distL="114300" distR="114300">
            <wp:extent cx="4584065" cy="2755265"/>
            <wp:effectExtent l="0" t="0" r="6985" b="6985"/>
            <wp:docPr id="4" name="图片 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4"/>
                    <pic:cNvPicPr>
                      <a:picLocks noChangeAspect="1"/>
                    </pic:cNvPicPr>
                  </pic:nvPicPr>
                  <pic:blipFill>
                    <a:blip r:embed="rId10"/>
                    <a:stretch>
                      <a:fillRect/>
                    </a:stretch>
                  </pic:blipFill>
                  <pic:spPr>
                    <a:xfrm>
                      <a:off x="0" y="0"/>
                      <a:ext cx="4584065" cy="2755265"/>
                    </a:xfrm>
                    <a:prstGeom prst="rect">
                      <a:avLst/>
                    </a:prstGeom>
                  </pic:spPr>
                </pic:pic>
              </a:graphicData>
            </a:graphic>
          </wp:inline>
        </w:drawing>
      </w:r>
    </w:p>
    <w:p>
      <w:pPr>
        <w:spacing w:line="600" w:lineRule="exact"/>
        <w:ind w:firstLine="640" w:firstLineChars="200"/>
        <w:outlineLvl w:val="9"/>
        <w:rPr>
          <w:rFonts w:hint="eastAsia" w:ascii="黑体" w:hAnsi="黑体" w:eastAsia="黑体"/>
          <w:sz w:val="32"/>
          <w:szCs w:val="32"/>
        </w:rPr>
      </w:pPr>
      <w:bookmarkStart w:id="39" w:name="_Toc15396607"/>
      <w:bookmarkStart w:id="40" w:name="_Toc15377209"/>
    </w:p>
    <w:p>
      <w:pPr>
        <w:spacing w:line="600" w:lineRule="exact"/>
        <w:ind w:firstLine="640" w:firstLineChars="200"/>
        <w:outlineLvl w:val="1"/>
        <w:rPr>
          <w:rStyle w:val="29"/>
          <w:rFonts w:ascii="黑体" w:hAnsi="黑体" w:eastAsia="黑体"/>
          <w:b w:val="0"/>
        </w:rPr>
      </w:pPr>
      <w:bookmarkStart w:id="41" w:name="_Toc22981"/>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39"/>
      <w:bookmarkEnd w:id="40"/>
      <w:bookmarkEnd w:id="41"/>
    </w:p>
    <w:p>
      <w:pPr>
        <w:spacing w:line="600" w:lineRule="exact"/>
        <w:ind w:firstLine="643" w:firstLineChars="200"/>
        <w:outlineLvl w:val="2"/>
        <w:rPr>
          <w:rFonts w:hint="eastAsia" w:ascii="仿宋" w:hAnsi="仿宋" w:eastAsia="仿宋"/>
          <w:b/>
          <w:sz w:val="32"/>
          <w:szCs w:val="32"/>
        </w:rPr>
      </w:pPr>
      <w:bookmarkStart w:id="42" w:name="_Toc15377210"/>
      <w:bookmarkStart w:id="43" w:name="_Toc17146"/>
      <w:r>
        <w:rPr>
          <w:rFonts w:hint="eastAsia" w:ascii="仿宋" w:hAnsi="仿宋" w:eastAsia="仿宋"/>
          <w:b/>
          <w:sz w:val="32"/>
          <w:szCs w:val="32"/>
        </w:rPr>
        <w:t>（一）一般公共预算财政拨款支出决算总体情况</w:t>
      </w:r>
      <w:bookmarkEnd w:id="42"/>
      <w:bookmarkEnd w:id="43"/>
    </w:p>
    <w:p>
      <w:pPr>
        <w:keepNext/>
        <w:keepLines/>
        <w:spacing w:beforeLines="0" w:afterLines="0" w:line="576" w:lineRule="exact"/>
        <w:ind w:firstLine="640"/>
        <w:jc w:val="both"/>
        <w:rPr>
          <w:rFonts w:hint="eastAsia" w:ascii="仿宋" w:hAnsi="仿宋" w:eastAsia="仿宋"/>
          <w:sz w:val="32"/>
          <w:szCs w:val="32"/>
        </w:rPr>
      </w:pPr>
      <w:bookmarkStart w:id="44" w:name="_Toc13322"/>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hint="eastAsia" w:ascii="仿宋" w:hAnsi="仿宋" w:eastAsia="仿宋"/>
          <w:b/>
          <w:sz w:val="32"/>
          <w:szCs w:val="32"/>
          <w:lang w:val="en-US" w:eastAsia="zh-CN"/>
        </w:rPr>
        <w:t>158.08</w:t>
      </w:r>
      <w:r>
        <w:rPr>
          <w:rFonts w:hint="eastAsia" w:ascii="仿宋" w:hAnsi="仿宋" w:eastAsia="仿宋"/>
          <w:sz w:val="32"/>
          <w:szCs w:val="32"/>
        </w:rPr>
        <w:t>万元，占本年支出合计的</w:t>
      </w:r>
      <w:r>
        <w:rPr>
          <w:rFonts w:hint="eastAsia" w:ascii="仿宋" w:hAnsi="仿宋" w:eastAsia="仿宋"/>
          <w:b/>
          <w:sz w:val="32"/>
          <w:szCs w:val="32"/>
          <w:lang w:val="en-US" w:eastAsia="zh-CN"/>
        </w:rPr>
        <w:t>100</w:t>
      </w:r>
      <w:r>
        <w:rPr>
          <w:rFonts w:ascii="仿宋" w:hAnsi="仿宋" w:eastAsia="仿宋"/>
          <w:sz w:val="32"/>
          <w:szCs w:val="32"/>
        </w:rPr>
        <w:t>%</w:t>
      </w:r>
      <w:r>
        <w:rPr>
          <w:rFonts w:hint="eastAsia" w:ascii="仿宋" w:hAnsi="仿宋" w:eastAsia="仿宋"/>
          <w:sz w:val="32"/>
          <w:szCs w:val="32"/>
        </w:rPr>
        <w:t>。与202</w:t>
      </w:r>
      <w:r>
        <w:rPr>
          <w:rFonts w:hint="eastAsia" w:ascii="仿宋" w:hAnsi="仿宋" w:eastAsia="仿宋"/>
          <w:sz w:val="32"/>
          <w:szCs w:val="32"/>
          <w:lang w:val="en-US" w:eastAsia="zh-CN"/>
        </w:rPr>
        <w:t>3</w:t>
      </w:r>
      <w:r>
        <w:rPr>
          <w:rFonts w:hint="eastAsia" w:ascii="仿宋" w:hAnsi="仿宋" w:eastAsia="仿宋"/>
          <w:sz w:val="32"/>
          <w:szCs w:val="32"/>
        </w:rPr>
        <w:t>年度</w:t>
      </w:r>
      <w:r>
        <w:rPr>
          <w:rFonts w:hint="eastAsia" w:ascii="仿宋" w:hAnsi="仿宋" w:eastAsia="仿宋"/>
          <w:sz w:val="32"/>
          <w:szCs w:val="32"/>
          <w:lang w:val="en-US" w:eastAsia="zh-CN"/>
        </w:rPr>
        <w:t>165.41万元</w:t>
      </w:r>
      <w:r>
        <w:rPr>
          <w:rFonts w:hint="eastAsia" w:ascii="仿宋" w:hAnsi="仿宋" w:eastAsia="仿宋"/>
          <w:sz w:val="32"/>
          <w:szCs w:val="32"/>
        </w:rPr>
        <w:t>相比，一般公共预算财政拨款支出</w:t>
      </w:r>
      <w:r>
        <w:rPr>
          <w:rFonts w:hint="eastAsia" w:ascii="仿宋" w:hAnsi="仿宋" w:eastAsia="仿宋"/>
          <w:sz w:val="32"/>
          <w:szCs w:val="32"/>
          <w:lang w:val="en-US" w:eastAsia="zh-CN"/>
        </w:rPr>
        <w:t>减少7.33</w:t>
      </w:r>
      <w:r>
        <w:rPr>
          <w:rFonts w:hint="eastAsia" w:ascii="仿宋" w:hAnsi="仿宋" w:eastAsia="仿宋"/>
          <w:sz w:val="32"/>
          <w:szCs w:val="32"/>
        </w:rPr>
        <w:t>万元，</w:t>
      </w:r>
      <w:r>
        <w:rPr>
          <w:rFonts w:hint="eastAsia" w:ascii="仿宋" w:hAnsi="仿宋" w:eastAsia="仿宋"/>
          <w:sz w:val="32"/>
          <w:szCs w:val="32"/>
          <w:lang w:val="en-US" w:eastAsia="zh-CN"/>
        </w:rPr>
        <w:t>下降4.4</w:t>
      </w:r>
      <w:r>
        <w:rPr>
          <w:rFonts w:ascii="仿宋" w:hAnsi="仿宋" w:eastAsia="仿宋"/>
          <w:sz w:val="32"/>
          <w:szCs w:val="32"/>
        </w:rPr>
        <w:t>%</w:t>
      </w:r>
      <w:r>
        <w:rPr>
          <w:rFonts w:hint="eastAsia" w:ascii="仿宋" w:hAnsi="仿宋" w:eastAsia="仿宋"/>
          <w:sz w:val="32"/>
          <w:szCs w:val="32"/>
        </w:rPr>
        <w:t>。主要变动原因是</w:t>
      </w:r>
      <w:bookmarkEnd w:id="44"/>
      <w:r>
        <w:rPr>
          <w:rFonts w:hint="eastAsia" w:ascii="仿宋_GB2312" w:hAnsi="仿宋_GB2312" w:eastAsia="仿宋_GB2312"/>
          <w:color w:val="000000"/>
          <w:kern w:val="2"/>
          <w:sz w:val="32"/>
          <w:lang w:val="zh-CN"/>
        </w:rPr>
        <w:t>一般公共服务支出</w:t>
      </w:r>
      <w:r>
        <w:rPr>
          <w:rFonts w:hint="eastAsia" w:ascii="仿宋_GB2312" w:hAnsi="仿宋_GB2312" w:eastAsia="仿宋_GB2312"/>
          <w:color w:val="000000"/>
          <w:kern w:val="2"/>
          <w:sz w:val="32"/>
          <w:lang w:val="en-US" w:eastAsia="zh-CN"/>
        </w:rPr>
        <w:t>减少5.61</w:t>
      </w:r>
      <w:r>
        <w:rPr>
          <w:rFonts w:hint="eastAsia" w:ascii="仿宋_GB2312" w:hAnsi="仿宋_GB2312" w:eastAsia="仿宋_GB2312"/>
          <w:color w:val="000000"/>
          <w:kern w:val="2"/>
          <w:sz w:val="32"/>
          <w:lang w:val="zh-CN"/>
        </w:rPr>
        <w:t>万元、社会保障和就业支出</w:t>
      </w:r>
      <w:r>
        <w:rPr>
          <w:rFonts w:hint="eastAsia" w:ascii="仿宋_GB2312" w:hAnsi="仿宋_GB2312" w:eastAsia="仿宋_GB2312"/>
          <w:color w:val="000000"/>
          <w:kern w:val="2"/>
          <w:sz w:val="32"/>
          <w:lang w:val="en-US" w:eastAsia="zh-CN"/>
        </w:rPr>
        <w:t>减少1.22</w:t>
      </w:r>
      <w:r>
        <w:rPr>
          <w:rFonts w:hint="eastAsia" w:ascii="仿宋_GB2312" w:hAnsi="仿宋_GB2312" w:eastAsia="仿宋_GB2312"/>
          <w:color w:val="000000"/>
          <w:kern w:val="2"/>
          <w:sz w:val="32"/>
          <w:lang w:val="zh-CN"/>
        </w:rPr>
        <w:t>万元、卫生健康支出</w:t>
      </w:r>
      <w:r>
        <w:rPr>
          <w:rFonts w:hint="eastAsia" w:ascii="仿宋_GB2312" w:hAnsi="仿宋_GB2312" w:eastAsia="仿宋_GB2312"/>
          <w:color w:val="000000"/>
          <w:kern w:val="2"/>
          <w:sz w:val="32"/>
          <w:lang w:val="en-US" w:eastAsia="zh-CN"/>
        </w:rPr>
        <w:t>减少0.16</w:t>
      </w:r>
      <w:r>
        <w:rPr>
          <w:rFonts w:hint="eastAsia" w:ascii="仿宋_GB2312" w:hAnsi="仿宋_GB2312" w:eastAsia="仿宋_GB2312"/>
          <w:color w:val="000000"/>
          <w:kern w:val="2"/>
          <w:sz w:val="32"/>
          <w:lang w:val="zh-CN"/>
        </w:rPr>
        <w:t>万元、住房保障支出</w:t>
      </w:r>
      <w:r>
        <w:rPr>
          <w:rFonts w:hint="eastAsia" w:ascii="仿宋_GB2312" w:hAnsi="仿宋_GB2312" w:eastAsia="仿宋_GB2312"/>
          <w:color w:val="000000"/>
          <w:kern w:val="2"/>
          <w:sz w:val="32"/>
          <w:lang w:val="en-US" w:eastAsia="zh-CN"/>
        </w:rPr>
        <w:t>减少0.33</w:t>
      </w:r>
      <w:r>
        <w:rPr>
          <w:rFonts w:hint="eastAsia" w:ascii="仿宋_GB2312" w:hAnsi="仿宋_GB2312" w:eastAsia="仿宋_GB2312"/>
          <w:color w:val="000000"/>
          <w:kern w:val="2"/>
          <w:sz w:val="32"/>
          <w:lang w:val="zh-CN"/>
        </w:rPr>
        <w:t>万元所致。</w:t>
      </w:r>
    </w:p>
    <w:p>
      <w:pPr>
        <w:spacing w:line="600" w:lineRule="exact"/>
        <w:ind w:firstLine="640" w:firstLineChars="200"/>
        <w:outlineLvl w:val="2"/>
        <w:rPr>
          <w:rFonts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图5：一般公共预算财政拨款支出决算变动情况图</w:t>
      </w:r>
    </w:p>
    <w:p>
      <w:pPr>
        <w:spacing w:line="24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651375" cy="3486785"/>
            <wp:effectExtent l="0" t="0" r="15875" b="18415"/>
            <wp:docPr id="7" name="图片 7"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5"/>
                    <pic:cNvPicPr>
                      <a:picLocks noChangeAspect="1"/>
                    </pic:cNvPicPr>
                  </pic:nvPicPr>
                  <pic:blipFill>
                    <a:blip r:embed="rId11"/>
                    <a:stretch>
                      <a:fillRect/>
                    </a:stretch>
                  </pic:blipFill>
                  <pic:spPr>
                    <a:xfrm>
                      <a:off x="0" y="0"/>
                      <a:ext cx="4651375" cy="3486785"/>
                    </a:xfrm>
                    <a:prstGeom prst="rect">
                      <a:avLst/>
                    </a:prstGeom>
                  </pic:spPr>
                </pic:pic>
              </a:graphicData>
            </a:graphic>
          </wp:inline>
        </w:drawing>
      </w:r>
    </w:p>
    <w:p>
      <w:pPr>
        <w:spacing w:line="600" w:lineRule="exact"/>
        <w:ind w:firstLine="643" w:firstLineChars="200"/>
        <w:outlineLvl w:val="2"/>
        <w:rPr>
          <w:rFonts w:ascii="仿宋" w:hAnsi="仿宋" w:eastAsia="仿宋"/>
          <w:b/>
          <w:sz w:val="32"/>
          <w:szCs w:val="32"/>
        </w:rPr>
      </w:pPr>
      <w:bookmarkStart w:id="45" w:name="_Toc15377211"/>
      <w:bookmarkStart w:id="46" w:name="_Toc18878"/>
      <w:r>
        <w:rPr>
          <w:rFonts w:hint="eastAsia" w:ascii="仿宋" w:hAnsi="仿宋" w:eastAsia="仿宋"/>
          <w:b/>
          <w:sz w:val="32"/>
          <w:szCs w:val="32"/>
        </w:rPr>
        <w:t>（二）一般公共预算财政拨款支出决算结构情况</w:t>
      </w:r>
      <w:bookmarkEnd w:id="45"/>
      <w:bookmarkEnd w:id="46"/>
    </w:p>
    <w:p>
      <w:pPr>
        <w:spacing w:line="600" w:lineRule="exact"/>
        <w:ind w:firstLine="640"/>
        <w:rPr>
          <w:rFonts w:ascii="仿宋" w:hAnsi="仿宋" w:eastAsia="仿宋"/>
          <w:b/>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hint="eastAsia" w:ascii="仿宋" w:hAnsi="仿宋" w:eastAsia="仿宋"/>
          <w:b/>
          <w:sz w:val="32"/>
          <w:szCs w:val="32"/>
        </w:rPr>
        <w:t>158.08</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rPr>
        <w:t>147.90万元，占</w:t>
      </w:r>
      <w:r>
        <w:rPr>
          <w:rFonts w:hint="eastAsia" w:ascii="仿宋" w:hAnsi="仿宋" w:eastAsia="仿宋"/>
          <w:sz w:val="32"/>
          <w:szCs w:val="32"/>
          <w:lang w:val="en-US" w:eastAsia="zh-CN"/>
        </w:rPr>
        <w:t>93.6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7.86万元，占</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rPr>
        <w:t>1.17万元，占</w:t>
      </w:r>
      <w:r>
        <w:rPr>
          <w:rFonts w:hint="eastAsia" w:ascii="仿宋" w:hAnsi="仿宋" w:eastAsia="仿宋"/>
          <w:sz w:val="32"/>
          <w:szCs w:val="32"/>
          <w:lang w:val="en-US" w:eastAsia="zh-CN"/>
        </w:rPr>
        <w:t>0.7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rPr>
        <w:t>1.16万元，占</w:t>
      </w:r>
      <w:r>
        <w:rPr>
          <w:rFonts w:hint="eastAsia" w:ascii="仿宋" w:hAnsi="仿宋" w:eastAsia="仿宋"/>
          <w:sz w:val="32"/>
          <w:szCs w:val="32"/>
          <w:lang w:val="en-US" w:eastAsia="zh-CN"/>
        </w:rPr>
        <w:t>0.7</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图6：一般公共预算财政拨款支出决算结构图</w:t>
      </w:r>
    </w:p>
    <w:p>
      <w:pPr>
        <w:pStyle w:val="2"/>
        <w:rPr>
          <w:rFonts w:hint="eastAsia" w:eastAsia="宋体"/>
          <w:lang w:eastAsia="zh-CN"/>
        </w:rPr>
      </w:pPr>
      <w:r>
        <w:rPr>
          <w:rFonts w:hint="eastAsia" w:eastAsia="宋体"/>
          <w:lang w:eastAsia="zh-CN"/>
        </w:rPr>
        <w:drawing>
          <wp:inline distT="0" distB="0" distL="114300" distR="114300">
            <wp:extent cx="4243070" cy="3401695"/>
            <wp:effectExtent l="0" t="0" r="5080" b="8255"/>
            <wp:docPr id="11" name="图片 11"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6"/>
                    <pic:cNvPicPr>
                      <a:picLocks noChangeAspect="1"/>
                    </pic:cNvPicPr>
                  </pic:nvPicPr>
                  <pic:blipFill>
                    <a:blip r:embed="rId12"/>
                    <a:stretch>
                      <a:fillRect/>
                    </a:stretch>
                  </pic:blipFill>
                  <pic:spPr>
                    <a:xfrm>
                      <a:off x="0" y="0"/>
                      <a:ext cx="4243070" cy="3401695"/>
                    </a:xfrm>
                    <a:prstGeom prst="rect">
                      <a:avLst/>
                    </a:prstGeom>
                  </pic:spPr>
                </pic:pic>
              </a:graphicData>
            </a:graphic>
          </wp:inline>
        </w:drawing>
      </w:r>
    </w:p>
    <w:p>
      <w:pPr>
        <w:spacing w:line="600" w:lineRule="exact"/>
        <w:ind w:firstLine="643" w:firstLineChars="200"/>
        <w:outlineLvl w:val="2"/>
        <w:rPr>
          <w:rFonts w:ascii="仿宋" w:hAnsi="仿宋" w:eastAsia="仿宋"/>
          <w:b/>
          <w:sz w:val="32"/>
          <w:szCs w:val="32"/>
        </w:rPr>
      </w:pPr>
      <w:bookmarkStart w:id="47" w:name="_Toc16682"/>
      <w:bookmarkStart w:id="48" w:name="_Toc15377212"/>
      <w:r>
        <w:rPr>
          <w:rFonts w:hint="eastAsia" w:ascii="仿宋" w:hAnsi="仿宋" w:eastAsia="仿宋"/>
          <w:b/>
          <w:sz w:val="32"/>
          <w:szCs w:val="32"/>
        </w:rPr>
        <w:t>（三）一般公共预算财政拨款支出决算具体情况</w:t>
      </w:r>
      <w:bookmarkEnd w:id="47"/>
      <w:bookmarkEnd w:id="48"/>
    </w:p>
    <w:p>
      <w:pPr>
        <w:spacing w:line="600" w:lineRule="exact"/>
        <w:ind w:firstLine="643" w:firstLineChars="200"/>
        <w:outlineLvl w:val="1"/>
        <w:rPr>
          <w:rFonts w:ascii="仿宋" w:hAnsi="仿宋" w:eastAsia="仿宋"/>
          <w:sz w:val="32"/>
          <w:szCs w:val="32"/>
        </w:rPr>
      </w:pPr>
      <w:bookmarkStart w:id="49" w:name="_Toc6079"/>
      <w:bookmarkStart w:id="50" w:name="_Toc15377213"/>
      <w:bookmarkStart w:id="51" w:name="_Toc15378460"/>
      <w:bookmarkStart w:id="52" w:name="_Toc8399"/>
      <w:bookmarkStart w:id="53" w:name="_Toc15377444"/>
      <w:r>
        <w:rPr>
          <w:rFonts w:hint="eastAsia" w:ascii="仿宋" w:hAnsi="仿宋" w:eastAsia="仿宋"/>
          <w:b/>
          <w:sz w:val="32"/>
          <w:szCs w:val="32"/>
        </w:rPr>
        <w:t>202</w:t>
      </w:r>
      <w:r>
        <w:rPr>
          <w:rFonts w:hint="eastAsia" w:ascii="仿宋" w:hAnsi="仿宋" w:eastAsia="仿宋"/>
          <w:b/>
          <w:sz w:val="32"/>
          <w:szCs w:val="32"/>
          <w:lang w:val="en-US" w:eastAsia="zh-CN"/>
        </w:rPr>
        <w:t>4</w:t>
      </w:r>
      <w:r>
        <w:rPr>
          <w:rFonts w:hint="eastAsia" w:ascii="仿宋" w:hAnsi="仿宋" w:eastAsia="仿宋"/>
          <w:b/>
          <w:sz w:val="32"/>
          <w:szCs w:val="32"/>
        </w:rPr>
        <w:t>年度一般公共预算支出决算数为158.56</w:t>
      </w:r>
      <w:r>
        <w:rPr>
          <w:rFonts w:hint="eastAsia" w:ascii="仿宋" w:hAnsi="仿宋" w:eastAsia="仿宋"/>
          <w:b/>
          <w:sz w:val="32"/>
          <w:szCs w:val="32"/>
          <w:lang w:val="en-US" w:eastAsia="zh-CN"/>
        </w:rPr>
        <w:t>万元</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49"/>
      <w:bookmarkEnd w:id="50"/>
      <w:bookmarkEnd w:id="51"/>
      <w:bookmarkEnd w:id="52"/>
      <w:bookmarkEnd w:id="53"/>
    </w:p>
    <w:p>
      <w:pPr>
        <w:spacing w:line="600" w:lineRule="exact"/>
        <w:ind w:firstLine="643" w:firstLineChars="200"/>
        <w:rPr>
          <w:rStyle w:val="17"/>
          <w:rFonts w:hint="eastAsia" w:ascii="仿宋" w:hAnsi="仿宋" w:eastAsia="仿宋"/>
          <w:b w:val="0"/>
          <w:bCs/>
          <w:sz w:val="32"/>
          <w:szCs w:val="32"/>
        </w:rPr>
      </w:pPr>
      <w:r>
        <w:rPr>
          <w:rStyle w:val="17"/>
          <w:rFonts w:ascii="仿宋" w:hAnsi="仿宋" w:eastAsia="仿宋"/>
          <w:bCs/>
          <w:sz w:val="32"/>
          <w:szCs w:val="32"/>
        </w:rPr>
        <w:t>1.</w:t>
      </w:r>
      <w:r>
        <w:rPr>
          <w:rStyle w:val="17"/>
          <w:rFonts w:hint="eastAsia" w:ascii="仿宋" w:hAnsi="仿宋" w:eastAsia="仿宋"/>
          <w:bCs/>
          <w:sz w:val="32"/>
          <w:szCs w:val="32"/>
        </w:rPr>
        <w:t>一般公共服务支出（类）组织事务（款）行政运行（项）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51.35</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pPr>
      <w:r>
        <w:rPr>
          <w:rStyle w:val="17"/>
          <w:rFonts w:hint="eastAsia" w:ascii="仿宋" w:hAnsi="仿宋" w:eastAsia="仿宋"/>
          <w:bCs/>
          <w:sz w:val="32"/>
          <w:szCs w:val="32"/>
          <w:lang w:val="en-US" w:eastAsia="zh-CN"/>
        </w:rPr>
        <w:t>2</w:t>
      </w:r>
      <w:r>
        <w:rPr>
          <w:rStyle w:val="17"/>
          <w:rFonts w:ascii="仿宋" w:hAnsi="仿宋" w:eastAsia="仿宋"/>
          <w:bCs/>
          <w:sz w:val="32"/>
          <w:szCs w:val="32"/>
        </w:rPr>
        <w:t>.</w:t>
      </w:r>
      <w:r>
        <w:rPr>
          <w:rStyle w:val="17"/>
          <w:rFonts w:hint="eastAsia" w:ascii="仿宋" w:hAnsi="仿宋" w:eastAsia="仿宋"/>
          <w:bCs/>
          <w:sz w:val="32"/>
          <w:szCs w:val="32"/>
        </w:rPr>
        <w:t>一般公共服务支出（类）组织事务（款）其他组织事务支出（项）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96.55</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7"/>
          <w:rFonts w:hint="eastAsia" w:ascii="仿宋" w:hAnsi="仿宋" w:eastAsia="仿宋"/>
          <w:bCs/>
          <w:sz w:val="32"/>
          <w:szCs w:val="32"/>
          <w:lang w:val="en-US" w:eastAsia="zh-CN"/>
        </w:rPr>
        <w:t>3</w:t>
      </w:r>
      <w:r>
        <w:rPr>
          <w:rStyle w:val="17"/>
          <w:rFonts w:ascii="仿宋" w:hAnsi="仿宋" w:eastAsia="仿宋"/>
          <w:bCs/>
          <w:sz w:val="32"/>
          <w:szCs w:val="32"/>
        </w:rPr>
        <w:t>.</w:t>
      </w:r>
      <w:r>
        <w:rPr>
          <w:rStyle w:val="17"/>
          <w:rFonts w:hint="eastAsia" w:ascii="仿宋" w:hAnsi="仿宋" w:eastAsia="仿宋"/>
          <w:bCs/>
          <w:sz w:val="32"/>
          <w:szCs w:val="32"/>
        </w:rPr>
        <w:t>社会保障和就业支出（类）行政事业单位养老支出（款）机关事业单位基本养老保险缴费支出（项）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1.36</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rPr>
          <w:rStyle w:val="17"/>
          <w:rFonts w:hint="eastAsia" w:ascii="仿宋" w:hAnsi="仿宋" w:eastAsia="仿宋"/>
          <w:b w:val="0"/>
          <w:bCs/>
          <w:sz w:val="32"/>
          <w:szCs w:val="32"/>
        </w:rPr>
      </w:pPr>
      <w:r>
        <w:rPr>
          <w:rStyle w:val="17"/>
          <w:rFonts w:hint="eastAsia" w:ascii="仿宋" w:hAnsi="仿宋" w:eastAsia="仿宋"/>
          <w:bCs/>
          <w:sz w:val="32"/>
          <w:szCs w:val="32"/>
          <w:lang w:val="en-US" w:eastAsia="zh-CN"/>
        </w:rPr>
        <w:t>4</w:t>
      </w:r>
      <w:r>
        <w:rPr>
          <w:rStyle w:val="17"/>
          <w:rFonts w:ascii="仿宋" w:hAnsi="仿宋" w:eastAsia="仿宋"/>
          <w:bCs/>
          <w:sz w:val="32"/>
          <w:szCs w:val="32"/>
        </w:rPr>
        <w:t>.</w:t>
      </w:r>
      <w:r>
        <w:rPr>
          <w:rStyle w:val="17"/>
          <w:rFonts w:hint="eastAsia" w:ascii="仿宋" w:hAnsi="仿宋" w:eastAsia="仿宋"/>
          <w:bCs/>
          <w:sz w:val="32"/>
          <w:szCs w:val="32"/>
        </w:rPr>
        <w:t>社会保障和就业支出（类）行政事业单位养老支出（款）机关事业单位职业年金缴费支出（项）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0.68</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rPr>
          <w:rStyle w:val="17"/>
          <w:rFonts w:hint="eastAsia" w:ascii="仿宋" w:hAnsi="仿宋" w:eastAsia="仿宋"/>
          <w:b w:val="0"/>
          <w:bCs/>
          <w:sz w:val="32"/>
          <w:szCs w:val="32"/>
        </w:rPr>
      </w:pPr>
      <w:r>
        <w:rPr>
          <w:rStyle w:val="17"/>
          <w:rFonts w:hint="eastAsia" w:ascii="仿宋" w:hAnsi="仿宋" w:eastAsia="仿宋"/>
          <w:bCs/>
          <w:sz w:val="32"/>
          <w:szCs w:val="32"/>
          <w:lang w:val="en-US" w:eastAsia="zh-CN"/>
        </w:rPr>
        <w:t>5</w:t>
      </w:r>
      <w:r>
        <w:rPr>
          <w:rStyle w:val="17"/>
          <w:rFonts w:ascii="仿宋" w:hAnsi="仿宋" w:eastAsia="仿宋"/>
          <w:bCs/>
          <w:sz w:val="32"/>
          <w:szCs w:val="32"/>
        </w:rPr>
        <w:t>.</w:t>
      </w:r>
      <w:r>
        <w:rPr>
          <w:rStyle w:val="17"/>
          <w:rFonts w:hint="eastAsia" w:ascii="仿宋" w:hAnsi="仿宋" w:eastAsia="仿宋"/>
          <w:bCs/>
          <w:sz w:val="32"/>
          <w:szCs w:val="32"/>
        </w:rPr>
        <w:t>社会保障和就业支出（类）行政事业单位养老支出（款）其他行政事业单位养老支出（项）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5.81</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rPr>
          <w:rFonts w:hint="eastAsia"/>
        </w:rPr>
      </w:pPr>
      <w:r>
        <w:rPr>
          <w:rStyle w:val="17"/>
          <w:rFonts w:hint="eastAsia" w:ascii="仿宋" w:hAnsi="仿宋" w:eastAsia="仿宋"/>
          <w:bCs/>
          <w:sz w:val="32"/>
          <w:szCs w:val="32"/>
          <w:lang w:val="en-US" w:eastAsia="zh-CN"/>
        </w:rPr>
        <w:t>6</w:t>
      </w:r>
      <w:r>
        <w:rPr>
          <w:rStyle w:val="17"/>
          <w:rFonts w:ascii="仿宋" w:hAnsi="仿宋" w:eastAsia="仿宋"/>
          <w:bCs/>
          <w:sz w:val="32"/>
          <w:szCs w:val="32"/>
        </w:rPr>
        <w:t>.</w:t>
      </w:r>
      <w:r>
        <w:rPr>
          <w:rStyle w:val="17"/>
          <w:rFonts w:hint="eastAsia" w:ascii="仿宋" w:hAnsi="仿宋" w:eastAsia="仿宋"/>
          <w:bCs/>
          <w:sz w:val="32"/>
          <w:szCs w:val="32"/>
        </w:rPr>
        <w:t>社会保障和就业支出（类）其他社会保障和就业支出（款）其他社会保障和就业支出（项）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0.01</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3" w:firstLineChars="200"/>
        <w:rPr>
          <w:rStyle w:val="17"/>
          <w:rFonts w:hint="eastAsia" w:ascii="仿宋" w:hAnsi="仿宋" w:eastAsia="仿宋"/>
          <w:b w:val="0"/>
          <w:bCs/>
          <w:sz w:val="32"/>
          <w:szCs w:val="32"/>
        </w:rPr>
      </w:pPr>
      <w:r>
        <w:rPr>
          <w:rStyle w:val="17"/>
          <w:rFonts w:hint="eastAsia" w:ascii="仿宋" w:hAnsi="仿宋" w:eastAsia="仿宋"/>
          <w:bCs/>
          <w:sz w:val="32"/>
          <w:szCs w:val="32"/>
          <w:lang w:val="en-US" w:eastAsia="zh-CN"/>
        </w:rPr>
        <w:t>7.</w:t>
      </w:r>
      <w:r>
        <w:rPr>
          <w:rStyle w:val="17"/>
          <w:rFonts w:hint="eastAsia" w:ascii="仿宋" w:hAnsi="仿宋" w:eastAsia="仿宋"/>
          <w:bCs/>
          <w:sz w:val="32"/>
          <w:szCs w:val="32"/>
        </w:rPr>
        <w:t>卫生健康支出（类）行政事业单位医疗（款）行政单位医疗（项）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0.47</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0" w:firstLineChars="200"/>
        <w:rPr>
          <w:rStyle w:val="17"/>
          <w:rFonts w:hint="eastAsia" w:ascii="仿宋" w:hAnsi="仿宋" w:eastAsia="仿宋"/>
          <w:b w:val="0"/>
          <w:bCs/>
          <w:sz w:val="32"/>
          <w:szCs w:val="32"/>
        </w:rPr>
      </w:pPr>
      <w:r>
        <w:rPr>
          <w:rStyle w:val="17"/>
          <w:rFonts w:hint="eastAsia" w:ascii="仿宋" w:hAnsi="仿宋" w:eastAsia="仿宋"/>
          <w:b w:val="0"/>
          <w:bCs/>
          <w:sz w:val="32"/>
          <w:szCs w:val="32"/>
          <w:lang w:val="en-US" w:eastAsia="zh-CN"/>
        </w:rPr>
        <w:t>8.</w:t>
      </w:r>
      <w:r>
        <w:rPr>
          <w:rStyle w:val="17"/>
          <w:rFonts w:hint="eastAsia" w:ascii="仿宋" w:hAnsi="仿宋" w:eastAsia="仿宋"/>
          <w:bCs/>
          <w:sz w:val="32"/>
          <w:szCs w:val="32"/>
        </w:rPr>
        <w:t>卫生健康支出（类）行政事业单位医疗（款）公务员医疗补助（项）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0.70</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0" w:firstLineChars="200"/>
        <w:rPr>
          <w:rStyle w:val="17"/>
          <w:rFonts w:hint="eastAsia" w:ascii="仿宋" w:hAnsi="仿宋" w:eastAsia="仿宋"/>
          <w:b w:val="0"/>
          <w:bCs/>
          <w:sz w:val="32"/>
          <w:szCs w:val="32"/>
        </w:rPr>
      </w:pPr>
      <w:r>
        <w:rPr>
          <w:rStyle w:val="17"/>
          <w:rFonts w:hint="eastAsia" w:ascii="仿宋" w:hAnsi="仿宋" w:eastAsia="仿宋"/>
          <w:b w:val="0"/>
          <w:bCs/>
          <w:sz w:val="32"/>
          <w:szCs w:val="32"/>
          <w:lang w:val="en-US" w:eastAsia="zh-CN"/>
        </w:rPr>
        <w:t>9.</w:t>
      </w:r>
      <w:r>
        <w:rPr>
          <w:rStyle w:val="17"/>
          <w:rFonts w:hint="eastAsia" w:ascii="仿宋" w:hAnsi="仿宋" w:eastAsia="仿宋"/>
          <w:bCs/>
          <w:sz w:val="32"/>
          <w:szCs w:val="32"/>
        </w:rPr>
        <w:t>住房保障支出（类）住房改革支出（款）住房公积金（项）</w:t>
      </w:r>
      <w:r>
        <w:rPr>
          <w:rStyle w:val="17"/>
          <w:rFonts w:ascii="仿宋" w:hAnsi="仿宋" w:eastAsia="仿宋"/>
          <w:bCs/>
          <w:sz w:val="32"/>
          <w:szCs w:val="32"/>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w:t>
      </w:r>
      <w:r>
        <w:rPr>
          <w:rStyle w:val="17"/>
          <w:rFonts w:hint="eastAsia" w:ascii="仿宋" w:hAnsi="仿宋" w:eastAsia="仿宋"/>
          <w:b w:val="0"/>
          <w:bCs/>
          <w:sz w:val="32"/>
          <w:szCs w:val="32"/>
          <w:lang w:val="en-US" w:eastAsia="zh-CN"/>
        </w:rPr>
        <w:t>1.16</w:t>
      </w:r>
      <w:r>
        <w:rPr>
          <w:rStyle w:val="17"/>
          <w:rFonts w:hint="eastAsia" w:ascii="仿宋" w:hAnsi="仿宋" w:eastAsia="仿宋"/>
          <w:b w:val="0"/>
          <w:bCs/>
          <w:sz w:val="32"/>
          <w:szCs w:val="32"/>
        </w:rPr>
        <w:t>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，决算数</w:t>
      </w:r>
      <w:r>
        <w:rPr>
          <w:rStyle w:val="17"/>
          <w:rFonts w:hint="eastAsia" w:ascii="仿宋" w:hAnsi="仿宋" w:eastAsia="仿宋"/>
          <w:b w:val="0"/>
          <w:bCs/>
          <w:sz w:val="32"/>
          <w:szCs w:val="32"/>
          <w:lang w:val="en-US" w:eastAsia="zh-CN"/>
        </w:rPr>
        <w:t>与</w:t>
      </w:r>
      <w:r>
        <w:rPr>
          <w:rStyle w:val="17"/>
          <w:rFonts w:hint="eastAsia" w:ascii="仿宋" w:hAnsi="仿宋" w:eastAsia="仿宋"/>
          <w:b w:val="0"/>
          <w:bCs/>
          <w:sz w:val="32"/>
          <w:szCs w:val="32"/>
        </w:rPr>
        <w:t>预算数</w:t>
      </w:r>
      <w:r>
        <w:rPr>
          <w:rStyle w:val="17"/>
          <w:rFonts w:hint="eastAsia" w:ascii="仿宋" w:hAnsi="仿宋" w:eastAsia="仿宋"/>
          <w:b w:val="0"/>
          <w:bCs/>
          <w:sz w:val="32"/>
          <w:szCs w:val="32"/>
          <w:lang w:val="en-US" w:eastAsia="zh-CN"/>
        </w:rPr>
        <w:t>持平</w:t>
      </w:r>
      <w:r>
        <w:rPr>
          <w:rStyle w:val="17"/>
          <w:rFonts w:hint="eastAsia" w:ascii="仿宋" w:hAnsi="仿宋" w:eastAsia="仿宋"/>
          <w:b w:val="0"/>
          <w:bCs/>
          <w:sz w:val="32"/>
          <w:szCs w:val="32"/>
        </w:rPr>
        <w:t>。</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9"/>
        </w:rPr>
      </w:pPr>
      <w:bookmarkStart w:id="54" w:name="_Toc27166"/>
      <w:bookmarkStart w:id="55" w:name="_Toc15377214"/>
      <w:bookmarkStart w:id="56"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54"/>
      <w:bookmarkEnd w:id="55"/>
      <w:bookmarkEnd w:id="56"/>
      <w:r>
        <w:rPr>
          <w:rStyle w:val="29"/>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年度一般公共预算财政拨款基本支出</w:t>
      </w:r>
      <w:r>
        <w:rPr>
          <w:rFonts w:hint="eastAsia" w:ascii="仿宋" w:hAnsi="仿宋" w:eastAsia="仿宋"/>
          <w:b/>
          <w:sz w:val="32"/>
          <w:szCs w:val="32"/>
        </w:rPr>
        <w:t>61.53</w:t>
      </w:r>
      <w:r>
        <w:rPr>
          <w:rFonts w:hint="eastAsia" w:ascii="仿宋" w:hAnsi="仿宋" w:eastAsia="仿宋"/>
          <w:sz w:val="32"/>
          <w:szCs w:val="32"/>
        </w:rPr>
        <w:t>万元，其中：</w:t>
      </w:r>
    </w:p>
    <w:p>
      <w:pPr>
        <w:spacing w:line="600" w:lineRule="exact"/>
        <w:ind w:firstLine="640"/>
        <w:outlineLvl w:val="1"/>
        <w:rPr>
          <w:rFonts w:hint="eastAsia" w:ascii="仿宋" w:hAnsi="仿宋" w:eastAsia="仿宋"/>
          <w:sz w:val="32"/>
          <w:szCs w:val="32"/>
          <w:lang w:eastAsia="zh-CN"/>
        </w:rPr>
      </w:pPr>
      <w:bookmarkStart w:id="57" w:name="_Toc2713"/>
      <w:r>
        <w:rPr>
          <w:rFonts w:hint="eastAsia" w:ascii="仿宋" w:hAnsi="仿宋" w:eastAsia="仿宋"/>
          <w:sz w:val="32"/>
          <w:szCs w:val="32"/>
        </w:rPr>
        <w:t>人员经费</w:t>
      </w:r>
      <w:r>
        <w:rPr>
          <w:rFonts w:hint="eastAsia" w:ascii="仿宋" w:hAnsi="仿宋" w:eastAsia="仿宋"/>
          <w:b/>
          <w:sz w:val="32"/>
          <w:szCs w:val="32"/>
        </w:rPr>
        <w:t>59.06</w:t>
      </w:r>
      <w:r>
        <w:rPr>
          <w:rFonts w:hint="eastAsia" w:ascii="仿宋" w:hAnsi="仿宋" w:eastAsia="仿宋"/>
          <w:sz w:val="32"/>
          <w:szCs w:val="32"/>
        </w:rPr>
        <w:t>万元，主要包括：基本工资、津贴补贴、奖金、机关事业单位基本养老保险缴费、职业年金缴费、生活补助、住房公积金、其他对个人和家庭的补助支出等。</w:t>
      </w:r>
      <w:r>
        <w:rPr>
          <w:rFonts w:ascii="仿宋" w:hAnsi="仿宋" w:eastAsia="仿宋"/>
          <w:sz w:val="32"/>
          <w:szCs w:val="32"/>
        </w:rPr>
        <w:br w:type="textWrapping"/>
      </w:r>
      <w:r>
        <w:rPr>
          <w:rFonts w:hint="eastAsia" w:ascii="仿宋" w:hAnsi="仿宋" w:eastAsia="仿宋"/>
          <w:sz w:val="32"/>
          <w:szCs w:val="32"/>
          <w:lang w:val="en-US" w:eastAsia="zh-CN"/>
        </w:rPr>
        <w:t xml:space="preserve">    </w:t>
      </w:r>
      <w:r>
        <w:rPr>
          <w:rFonts w:hint="eastAsia" w:ascii="仿宋" w:hAnsi="仿宋" w:eastAsia="仿宋"/>
          <w:sz w:val="32"/>
          <w:szCs w:val="32"/>
        </w:rPr>
        <w:t>公用经费</w:t>
      </w:r>
      <w:r>
        <w:rPr>
          <w:rFonts w:hint="eastAsia" w:ascii="仿宋" w:hAnsi="仿宋" w:eastAsia="仿宋"/>
          <w:b/>
          <w:sz w:val="32"/>
          <w:szCs w:val="32"/>
        </w:rPr>
        <w:t>2.47</w:t>
      </w:r>
      <w:r>
        <w:rPr>
          <w:rFonts w:hint="eastAsia" w:ascii="仿宋" w:hAnsi="仿宋" w:eastAsia="仿宋"/>
          <w:sz w:val="32"/>
          <w:szCs w:val="32"/>
        </w:rPr>
        <w:t>万元，主要包括：办公费、工会经费、福利费、其他交通费</w:t>
      </w:r>
      <w:bookmarkStart w:id="58" w:name="_Toc15377215"/>
      <w:bookmarkStart w:id="59" w:name="_Toc15396609"/>
      <w:r>
        <w:rPr>
          <w:rFonts w:hint="eastAsia" w:ascii="仿宋" w:hAnsi="仿宋" w:eastAsia="仿宋"/>
          <w:sz w:val="32"/>
          <w:szCs w:val="32"/>
          <w:lang w:eastAsia="zh-CN"/>
        </w:rPr>
        <w:t>。</w:t>
      </w:r>
      <w:bookmarkEnd w:id="57"/>
    </w:p>
    <w:p>
      <w:pPr>
        <w:spacing w:line="600" w:lineRule="exact"/>
        <w:ind w:firstLine="640"/>
        <w:outlineLvl w:val="1"/>
        <w:rPr>
          <w:rStyle w:val="29"/>
          <w:rFonts w:ascii="黑体" w:hAnsi="黑体" w:eastAsia="黑体"/>
          <w:b w:val="0"/>
        </w:rPr>
      </w:pPr>
      <w:bookmarkStart w:id="60" w:name="_Toc21651"/>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8"/>
      <w:bookmarkEnd w:id="59"/>
      <w:bookmarkEnd w:id="60"/>
    </w:p>
    <w:p>
      <w:pPr>
        <w:spacing w:line="600" w:lineRule="exact"/>
        <w:ind w:firstLine="640"/>
        <w:outlineLvl w:val="2"/>
        <w:rPr>
          <w:rFonts w:ascii="仿宋" w:hAnsi="仿宋" w:eastAsia="仿宋"/>
          <w:b/>
          <w:sz w:val="32"/>
          <w:szCs w:val="32"/>
        </w:rPr>
      </w:pPr>
      <w:bookmarkStart w:id="61" w:name="_Toc24019"/>
      <w:bookmarkStart w:id="62" w:name="_Toc15377216"/>
      <w:bookmarkStart w:id="63" w:name="_Toc15396610"/>
      <w:bookmarkStart w:id="64" w:name="_Toc15377218"/>
      <w:r>
        <w:rPr>
          <w:rFonts w:hint="eastAsia" w:ascii="仿宋" w:hAnsi="仿宋" w:eastAsia="仿宋"/>
          <w:b/>
          <w:sz w:val="32"/>
          <w:szCs w:val="32"/>
        </w:rPr>
        <w:t>（一）“三公”经费财政拨款支出决算总体情况说明</w:t>
      </w:r>
      <w:bookmarkEnd w:id="61"/>
      <w:bookmarkEnd w:id="62"/>
    </w:p>
    <w:p>
      <w:pPr>
        <w:spacing w:line="600" w:lineRule="exact"/>
        <w:ind w:firstLine="640" w:firstLineChars="200"/>
        <w:outlineLvl w:val="1"/>
        <w:rPr>
          <w:rFonts w:hint="eastAsia" w:ascii="仿宋" w:hAnsi="仿宋" w:eastAsia="仿宋"/>
          <w:sz w:val="32"/>
          <w:szCs w:val="32"/>
          <w:lang w:eastAsia="zh-CN"/>
        </w:rPr>
      </w:pPr>
      <w:bookmarkStart w:id="65" w:name="_Toc2029"/>
      <w:bookmarkStart w:id="66" w:name="_Toc4155"/>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hint="eastAsia" w:ascii="仿宋" w:hAnsi="仿宋" w:eastAsia="仿宋"/>
          <w:b/>
          <w:sz w:val="32"/>
          <w:szCs w:val="32"/>
          <w:lang w:val="en-US" w:eastAsia="zh-CN"/>
        </w:rPr>
        <w:t>0</w:t>
      </w:r>
      <w:r>
        <w:rPr>
          <w:rFonts w:ascii="仿宋" w:hAnsi="仿宋" w:eastAsia="仿宋"/>
          <w:sz w:val="32"/>
          <w:szCs w:val="32"/>
        </w:rPr>
        <w:t>%</w:t>
      </w:r>
      <w:r>
        <w:rPr>
          <w:rFonts w:hint="eastAsia" w:ascii="仿宋" w:hAnsi="仿宋" w:eastAsia="仿宋"/>
          <w:sz w:val="32"/>
          <w:szCs w:val="32"/>
        </w:rPr>
        <w:t>，决算数与预算数持平</w:t>
      </w:r>
      <w:r>
        <w:rPr>
          <w:rFonts w:hint="eastAsia" w:ascii="仿宋" w:hAnsi="仿宋" w:eastAsia="仿宋"/>
          <w:sz w:val="32"/>
          <w:szCs w:val="32"/>
          <w:lang w:eastAsia="zh-CN"/>
        </w:rPr>
        <w:t>。</w:t>
      </w:r>
      <w:r>
        <w:rPr>
          <w:rFonts w:hint="eastAsia" w:ascii="仿宋" w:hAnsi="仿宋" w:eastAsia="仿宋"/>
          <w:sz w:val="32"/>
          <w:szCs w:val="32"/>
          <w:lang w:val="en-US" w:eastAsia="zh-CN"/>
        </w:rPr>
        <w:t>与上年数持平</w:t>
      </w:r>
      <w:r>
        <w:rPr>
          <w:rFonts w:hint="eastAsia" w:ascii="仿宋" w:hAnsi="仿宋" w:eastAsia="仿宋"/>
          <w:sz w:val="32"/>
          <w:szCs w:val="32"/>
          <w:lang w:val="zh-CN"/>
        </w:rPr>
        <w:t>。</w:t>
      </w:r>
      <w:bookmarkEnd w:id="65"/>
      <w:bookmarkEnd w:id="66"/>
    </w:p>
    <w:p>
      <w:pPr>
        <w:spacing w:line="600" w:lineRule="exact"/>
        <w:ind w:firstLine="640"/>
        <w:outlineLvl w:val="2"/>
        <w:rPr>
          <w:rFonts w:ascii="仿宋" w:hAnsi="仿宋" w:eastAsia="仿宋"/>
          <w:b/>
          <w:sz w:val="32"/>
          <w:szCs w:val="32"/>
        </w:rPr>
      </w:pPr>
      <w:bookmarkStart w:id="67" w:name="_Toc17273"/>
      <w:bookmarkStart w:id="68" w:name="_Toc15377217"/>
      <w:r>
        <w:rPr>
          <w:rFonts w:hint="eastAsia" w:ascii="仿宋" w:hAnsi="仿宋" w:eastAsia="仿宋"/>
          <w:b/>
          <w:sz w:val="32"/>
          <w:szCs w:val="32"/>
        </w:rPr>
        <w:t>（二）“三公”经费财政拨款支出决算具体情况说明</w:t>
      </w:r>
      <w:bookmarkEnd w:id="67"/>
      <w:bookmarkEnd w:id="68"/>
    </w:p>
    <w:p>
      <w:pPr>
        <w:spacing w:line="600" w:lineRule="exact"/>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hint="eastAsia" w:ascii="仿宋" w:hAnsi="仿宋" w:eastAsia="仿宋"/>
          <w:sz w:val="32"/>
          <w:szCs w:val="32"/>
          <w:lang w:eastAsia="zh-CN"/>
        </w:rPr>
      </w:pPr>
      <w:r>
        <w:rPr>
          <w:rFonts w:hint="eastAsia" w:ascii="仿宋" w:hAnsi="仿宋" w:eastAsia="仿宋"/>
          <w:sz w:val="32"/>
          <w:szCs w:val="32"/>
        </w:rPr>
        <w:t>图7：“三公”经费财政拨款支出结构</w:t>
      </w:r>
      <w:r>
        <w:rPr>
          <w:rFonts w:hint="eastAsia" w:ascii="仿宋" w:hAnsi="仿宋" w:eastAsia="仿宋"/>
          <w:sz w:val="32"/>
          <w:szCs w:val="32"/>
          <w:lang w:eastAsia="zh-CN"/>
        </w:rPr>
        <w:t>（</w:t>
      </w:r>
      <w:r>
        <w:rPr>
          <w:rFonts w:hint="eastAsia" w:ascii="仿宋" w:hAnsi="仿宋" w:eastAsia="仿宋"/>
          <w:sz w:val="32"/>
          <w:szCs w:val="32"/>
          <w:lang w:val="en-US" w:eastAsia="zh-CN"/>
        </w:rPr>
        <w:t>无</w:t>
      </w:r>
      <w:r>
        <w:rPr>
          <w:rFonts w:hint="eastAsia" w:ascii="仿宋" w:hAnsi="仿宋" w:eastAsia="仿宋"/>
          <w:sz w:val="32"/>
          <w:szCs w:val="32"/>
          <w:lang w:eastAsia="zh-CN"/>
        </w:rPr>
        <w:t>）</w:t>
      </w:r>
    </w:p>
    <w:p>
      <w:pPr>
        <w:spacing w:line="240" w:lineRule="auto"/>
        <w:ind w:firstLine="64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578350" cy="3176270"/>
            <wp:effectExtent l="0" t="0" r="12700" b="5080"/>
            <wp:docPr id="9" name="图片 9"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7"/>
                    <pic:cNvPicPr>
                      <a:picLocks noChangeAspect="1"/>
                    </pic:cNvPicPr>
                  </pic:nvPicPr>
                  <pic:blipFill>
                    <a:blip r:embed="rId13"/>
                    <a:stretch>
                      <a:fillRect/>
                    </a:stretch>
                  </pic:blipFill>
                  <pic:spPr>
                    <a:xfrm>
                      <a:off x="0" y="0"/>
                      <a:ext cx="4578350" cy="3176270"/>
                    </a:xfrm>
                    <a:prstGeom prst="rect">
                      <a:avLst/>
                    </a:prstGeom>
                  </pic:spPr>
                </pic:pic>
              </a:graphicData>
            </a:graphic>
          </wp:inline>
        </w:drawing>
      </w:r>
    </w:p>
    <w:p>
      <w:pPr>
        <w:spacing w:line="600" w:lineRule="exact"/>
        <w:ind w:firstLine="640"/>
        <w:rPr>
          <w:rFonts w:hint="eastAsia" w:ascii="仿宋_GB2312" w:eastAsia="仿宋_GB2312"/>
          <w:sz w:val="32"/>
          <w:szCs w:val="32"/>
          <w:lang w:eastAsia="zh-CN"/>
        </w:rPr>
      </w:pPr>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w:t>
      </w:r>
      <w:r>
        <w:rPr>
          <w:rFonts w:hint="eastAsia" w:ascii="仿宋" w:hAnsi="仿宋" w:eastAsia="仿宋"/>
          <w:sz w:val="32"/>
          <w:szCs w:val="32"/>
        </w:rPr>
        <w:t>决算数与预算数持平</w:t>
      </w:r>
      <w:r>
        <w:rPr>
          <w:rFonts w:hint="eastAsia" w:ascii="仿宋" w:hAnsi="仿宋" w:eastAsia="仿宋"/>
          <w:sz w:val="32"/>
          <w:szCs w:val="32"/>
          <w:lang w:eastAsia="zh-CN"/>
        </w:rPr>
        <w:t>。</w:t>
      </w:r>
      <w:r>
        <w:rPr>
          <w:rFonts w:hint="eastAsia" w:ascii="仿宋" w:hAnsi="仿宋" w:eastAsia="仿宋"/>
          <w:sz w:val="32"/>
          <w:szCs w:val="32"/>
          <w:lang w:val="en-US" w:eastAsia="zh-CN"/>
        </w:rPr>
        <w:t>与上年数持平。</w:t>
      </w:r>
      <w:r>
        <w:rPr>
          <w:rFonts w:hint="eastAsia" w:ascii="仿宋_GB2312" w:eastAsia="仿宋_GB2312"/>
          <w:sz w:val="32"/>
          <w:szCs w:val="32"/>
        </w:rPr>
        <w:t>开支内容包括：</w:t>
      </w:r>
      <w:r>
        <w:rPr>
          <w:rFonts w:hint="eastAsia" w:ascii="仿宋_GB2312" w:eastAsia="仿宋_GB2312"/>
          <w:sz w:val="32"/>
          <w:szCs w:val="32"/>
          <w:lang w:eastAsia="zh-CN"/>
        </w:rPr>
        <w:t>无</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 w:hAnsi="仿宋" w:eastAsia="仿宋"/>
          <w:sz w:val="32"/>
          <w:szCs w:val="32"/>
        </w:rPr>
        <w:t>决算数与预算数持平</w:t>
      </w:r>
      <w:r>
        <w:rPr>
          <w:rFonts w:hint="eastAsia" w:ascii="仿宋" w:hAnsi="仿宋" w:eastAsia="仿宋"/>
          <w:sz w:val="32"/>
          <w:szCs w:val="32"/>
          <w:lang w:eastAsia="zh-CN"/>
        </w:rPr>
        <w:t>。</w:t>
      </w:r>
      <w:r>
        <w:rPr>
          <w:rFonts w:hint="eastAsia" w:ascii="仿宋" w:hAnsi="仿宋" w:eastAsia="仿宋"/>
          <w:sz w:val="32"/>
          <w:szCs w:val="32"/>
          <w:lang w:val="en-US" w:eastAsia="zh-CN"/>
        </w:rPr>
        <w:t>与上年数持平</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万元，主要用于</w:t>
      </w:r>
      <w:r>
        <w:rPr>
          <w:rFonts w:hint="eastAsia" w:ascii="仿宋_GB2312" w:eastAsia="仿宋_GB2312"/>
          <w:sz w:val="32"/>
          <w:szCs w:val="32"/>
          <w:lang w:eastAsia="zh-CN"/>
        </w:rPr>
        <w:t>（无）</w:t>
      </w:r>
      <w:r>
        <w:rPr>
          <w:rFonts w:hint="eastAsia" w:ascii="仿宋_GB2312" w:eastAsia="仿宋_GB2312"/>
          <w:sz w:val="32"/>
          <w:szCs w:val="32"/>
        </w:rPr>
        <w:t>。截至202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outlineLvl w:val="1"/>
        <w:rPr>
          <w:rFonts w:hint="eastAsia" w:ascii="仿宋_GB2312" w:eastAsia="仿宋_GB2312"/>
          <w:sz w:val="32"/>
          <w:szCs w:val="32"/>
          <w:lang w:eastAsia="zh-CN"/>
        </w:rPr>
      </w:pPr>
      <w:bookmarkStart w:id="69" w:name="_Toc27532"/>
      <w:bookmarkStart w:id="70" w:name="_Toc7704"/>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万元。主要用于</w:t>
      </w:r>
      <w:r>
        <w:rPr>
          <w:rFonts w:hint="eastAsia" w:ascii="仿宋_GB2312" w:eastAsia="仿宋_GB2312"/>
          <w:sz w:val="32"/>
          <w:szCs w:val="32"/>
          <w:lang w:eastAsia="zh-CN"/>
        </w:rPr>
        <w:t>（无）</w:t>
      </w:r>
      <w:bookmarkEnd w:id="69"/>
      <w:bookmarkEnd w:id="70"/>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 w:hAnsi="仿宋" w:eastAsia="仿宋"/>
          <w:sz w:val="32"/>
          <w:szCs w:val="32"/>
          <w:lang w:val="en-US" w:eastAsia="zh-CN"/>
        </w:rPr>
        <w:t>与上年数持平</w:t>
      </w:r>
    </w:p>
    <w:p>
      <w:pPr>
        <w:spacing w:line="600" w:lineRule="exact"/>
        <w:ind w:firstLine="640"/>
        <w:outlineLvl w:val="1"/>
        <w:rPr>
          <w:rFonts w:ascii="仿宋_GB2312" w:eastAsia="仿宋_GB2312"/>
          <w:sz w:val="32"/>
          <w:szCs w:val="32"/>
        </w:rPr>
      </w:pPr>
      <w:bookmarkStart w:id="71" w:name="_Toc2655"/>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w:t>
      </w:r>
      <w:r>
        <w:rPr>
          <w:rFonts w:hint="eastAsia" w:ascii="仿宋_GB2312" w:eastAsia="仿宋_GB2312"/>
          <w:sz w:val="32"/>
          <w:szCs w:val="32"/>
          <w:lang w:eastAsia="zh-CN"/>
        </w:rPr>
        <w:t>（</w:t>
      </w:r>
      <w:r>
        <w:rPr>
          <w:rFonts w:hint="eastAsia" w:ascii="仿宋_GB2312" w:eastAsia="仿宋_GB2312"/>
          <w:sz w:val="32"/>
          <w:szCs w:val="32"/>
          <w:lang w:val="en-US" w:eastAsia="zh-CN"/>
        </w:rPr>
        <w:t>无）</w:t>
      </w:r>
      <w:bookmarkEnd w:id="71"/>
    </w:p>
    <w:p>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hint="eastAsia" w:ascii="仿宋_GB2312" w:eastAsia="仿宋_GB2312"/>
          <w:sz w:val="32"/>
          <w:szCs w:val="32"/>
          <w:lang w:eastAsia="zh-CN"/>
        </w:rPr>
        <w:t>（</w:t>
      </w:r>
      <w:r>
        <w:rPr>
          <w:rFonts w:hint="eastAsia" w:ascii="仿宋_GB2312" w:eastAsia="仿宋_GB2312"/>
          <w:sz w:val="32"/>
          <w:szCs w:val="32"/>
          <w:lang w:val="en-US" w:eastAsia="zh-CN"/>
        </w:rPr>
        <w:t>无）</w:t>
      </w:r>
    </w:p>
    <w:p>
      <w:pPr>
        <w:spacing w:line="600" w:lineRule="exact"/>
        <w:ind w:firstLine="640"/>
        <w:outlineLvl w:val="1"/>
        <w:rPr>
          <w:rStyle w:val="29"/>
          <w:rFonts w:ascii="黑体" w:hAnsi="黑体" w:eastAsia="黑体"/>
        </w:rPr>
      </w:pPr>
      <w:bookmarkStart w:id="72" w:name="_Toc4980"/>
      <w:r>
        <w:rPr>
          <w:rFonts w:hint="eastAsia" w:ascii="黑体" w:eastAsia="黑体"/>
          <w:sz w:val="32"/>
          <w:szCs w:val="32"/>
        </w:rPr>
        <w:t>八、</w:t>
      </w:r>
      <w:r>
        <w:rPr>
          <w:rStyle w:val="29"/>
          <w:rFonts w:hint="eastAsia" w:ascii="黑体" w:hAnsi="黑体" w:eastAsia="黑体"/>
          <w:b w:val="0"/>
        </w:rPr>
        <w:t>政府性基金预算支出决算情况说明</w:t>
      </w:r>
      <w:bookmarkEnd w:id="63"/>
      <w:bookmarkEnd w:id="64"/>
      <w:bookmarkEnd w:id="72"/>
    </w:p>
    <w:p>
      <w:pPr>
        <w:spacing w:line="600" w:lineRule="exact"/>
        <w:ind w:firstLine="64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年度政府性基金预算财政拨款支出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9"/>
          <w:rFonts w:ascii="黑体" w:hAnsi="黑体" w:eastAsia="黑体"/>
          <w:b w:val="0"/>
        </w:rPr>
      </w:pPr>
      <w:bookmarkStart w:id="73" w:name="_Toc1910"/>
      <w:bookmarkStart w:id="74" w:name="_Toc15377219"/>
      <w:bookmarkStart w:id="75" w:name="_Toc15396611"/>
      <w:r>
        <w:rPr>
          <w:rStyle w:val="29"/>
          <w:rFonts w:hint="eastAsia" w:ascii="黑体" w:hAnsi="黑体" w:eastAsia="黑体"/>
          <w:b w:val="0"/>
        </w:rPr>
        <w:t>国有资本经营预算支出决算情况说明</w:t>
      </w:r>
      <w:bookmarkEnd w:id="73"/>
      <w:bookmarkEnd w:id="74"/>
      <w:bookmarkEnd w:id="75"/>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9"/>
          <w:rFonts w:ascii="黑体" w:hAnsi="黑体" w:eastAsia="黑体"/>
          <w:b w:val="0"/>
        </w:rPr>
      </w:pPr>
      <w:bookmarkStart w:id="76" w:name="_Toc15377221"/>
      <w:bookmarkStart w:id="77" w:name="_Toc15396612"/>
      <w:bookmarkStart w:id="78" w:name="_Toc32218"/>
      <w:r>
        <w:rPr>
          <w:rStyle w:val="29"/>
          <w:rFonts w:hint="eastAsia" w:ascii="黑体" w:hAnsi="黑体" w:eastAsia="黑体"/>
          <w:b w:val="0"/>
        </w:rPr>
        <w:t>其他重要事项的情况说明</w:t>
      </w:r>
      <w:bookmarkEnd w:id="76"/>
      <w:bookmarkEnd w:id="77"/>
      <w:bookmarkEnd w:id="78"/>
    </w:p>
    <w:p>
      <w:pPr>
        <w:spacing w:line="600" w:lineRule="exact"/>
        <w:ind w:firstLine="643" w:firstLineChars="200"/>
        <w:outlineLvl w:val="2"/>
        <w:rPr>
          <w:rFonts w:ascii="仿宋" w:hAnsi="仿宋" w:eastAsia="仿宋"/>
          <w:sz w:val="32"/>
          <w:szCs w:val="32"/>
        </w:rPr>
      </w:pPr>
      <w:bookmarkStart w:id="79" w:name="_Toc25316"/>
      <w:bookmarkStart w:id="80" w:name="_Toc15377222"/>
      <w:r>
        <w:rPr>
          <w:rFonts w:hint="eastAsia" w:ascii="仿宋" w:hAnsi="仿宋" w:eastAsia="仿宋"/>
          <w:b/>
          <w:sz w:val="32"/>
          <w:szCs w:val="32"/>
        </w:rPr>
        <w:t>（一）机关运行经费支出情况</w:t>
      </w:r>
      <w:bookmarkEnd w:id="79"/>
      <w:bookmarkEnd w:id="80"/>
    </w:p>
    <w:p>
      <w:pPr>
        <w:spacing w:line="600" w:lineRule="exact"/>
        <w:ind w:firstLine="640" w:firstLineChars="200"/>
        <w:rPr>
          <w:rFonts w:hint="default" w:ascii="仿宋" w:hAnsi="仿宋" w:eastAsia="仿宋"/>
          <w:b/>
          <w:sz w:val="32"/>
          <w:szCs w:val="32"/>
          <w:lang w:val="en-US"/>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ascii="仿宋_GB2312" w:eastAsia="仿宋_GB2312"/>
          <w:b/>
          <w:sz w:val="32"/>
          <w:szCs w:val="32"/>
        </w:rPr>
        <w:t>五通桥区老干部活动中心</w:t>
      </w:r>
      <w:r>
        <w:rPr>
          <w:rFonts w:hint="eastAsia" w:ascii="仿宋_GB2312" w:eastAsia="仿宋_GB2312"/>
          <w:sz w:val="32"/>
          <w:szCs w:val="32"/>
        </w:rPr>
        <w:t>机关运行经费支出</w:t>
      </w:r>
      <w:r>
        <w:rPr>
          <w:rFonts w:hint="eastAsia" w:ascii="仿宋" w:hAnsi="仿宋" w:eastAsia="仿宋"/>
          <w:b/>
          <w:sz w:val="32"/>
          <w:szCs w:val="32"/>
        </w:rPr>
        <w:t>2.47</w:t>
      </w:r>
      <w:r>
        <w:rPr>
          <w:rFonts w:hint="eastAsia" w:ascii="仿宋_GB2312" w:eastAsia="仿宋_GB2312"/>
          <w:sz w:val="32"/>
          <w:szCs w:val="32"/>
        </w:rPr>
        <w:t>万元，比202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3.08万元</w:t>
      </w:r>
      <w:r>
        <w:rPr>
          <w:rFonts w:hint="eastAsia" w:ascii="仿宋_GB2312" w:eastAsia="仿宋_GB2312"/>
          <w:sz w:val="32"/>
          <w:szCs w:val="32"/>
        </w:rPr>
        <w:t>减少</w:t>
      </w:r>
      <w:r>
        <w:rPr>
          <w:rFonts w:hint="eastAsia" w:ascii="仿宋_GB2312" w:eastAsia="仿宋_GB2312"/>
          <w:sz w:val="32"/>
          <w:szCs w:val="32"/>
          <w:lang w:val="en-US" w:eastAsia="zh-CN"/>
        </w:rPr>
        <w:t>0.61</w:t>
      </w:r>
      <w:r>
        <w:rPr>
          <w:rFonts w:hint="eastAsia" w:ascii="仿宋_GB2312" w:eastAsia="仿宋_GB2312"/>
          <w:sz w:val="32"/>
          <w:szCs w:val="32"/>
        </w:rPr>
        <w:t>万元，下降</w:t>
      </w:r>
      <w:r>
        <w:rPr>
          <w:rFonts w:hint="eastAsia" w:ascii="仿宋_GB2312" w:eastAsia="仿宋_GB2312"/>
          <w:sz w:val="32"/>
          <w:szCs w:val="32"/>
          <w:lang w:val="en-US" w:eastAsia="zh-CN"/>
        </w:rPr>
        <w:t>19.81</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办公费增加了1.36万元、差旅费减少了1.58万元、工会费减少了0.03万元、福利费减少了0.05万元、其他交通费减少0.32万元。</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1" w:name="_Toc15377223"/>
      <w:bookmarkStart w:id="82" w:name="_Toc23766"/>
      <w:r>
        <w:rPr>
          <w:rFonts w:hint="eastAsia" w:ascii="仿宋" w:hAnsi="仿宋" w:eastAsia="仿宋"/>
          <w:b/>
          <w:sz w:val="32"/>
          <w:szCs w:val="32"/>
        </w:rPr>
        <w:t>（二）政府采购支出情况</w:t>
      </w:r>
      <w:bookmarkEnd w:id="81"/>
      <w:bookmarkEnd w:id="82"/>
    </w:p>
    <w:p>
      <w:pPr>
        <w:spacing w:line="600" w:lineRule="exact"/>
        <w:ind w:firstLine="640" w:firstLineChars="200"/>
        <w:rPr>
          <w:rFonts w:ascii="仿宋" w:hAnsi="仿宋" w:eastAsia="仿宋"/>
          <w:b/>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ascii="仿宋_GB2312" w:eastAsia="仿宋_GB2312"/>
          <w:b/>
          <w:sz w:val="32"/>
          <w:szCs w:val="32"/>
        </w:rPr>
        <w:t>五通桥区老干部活动中心</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3" w:name="_Toc11963"/>
      <w:bookmarkStart w:id="84" w:name="_Toc15377224"/>
      <w:r>
        <w:rPr>
          <w:rFonts w:hint="eastAsia" w:ascii="仿宋" w:hAnsi="仿宋" w:eastAsia="仿宋"/>
          <w:b/>
          <w:sz w:val="32"/>
          <w:szCs w:val="32"/>
        </w:rPr>
        <w:t>（三）国有资产占有使用情况</w:t>
      </w:r>
      <w:bookmarkEnd w:id="83"/>
      <w:bookmarkEnd w:id="84"/>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五通桥区老干部活动中心</w:t>
      </w:r>
      <w:r>
        <w:rPr>
          <w:rFonts w:hint="eastAsia" w:ascii="仿宋_GB2312" w:eastAsia="仿宋_GB2312"/>
          <w:sz w:val="32"/>
          <w:szCs w:val="32"/>
        </w:rPr>
        <w:t>共有车辆</w:t>
      </w:r>
      <w:r>
        <w:rPr>
          <w:rFonts w:hint="eastAsia" w:ascii="仿宋_GB2312" w:eastAsia="仿宋_GB2312"/>
          <w:b/>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w:t>
      </w:r>
      <w:r>
        <w:rPr>
          <w:rFonts w:hint="eastAsia" w:ascii="仿宋_GB2312" w:eastAsia="仿宋_GB2312"/>
          <w:sz w:val="32"/>
          <w:szCs w:val="32"/>
          <w:lang w:val="en-US" w:eastAsia="zh-CN"/>
        </w:rPr>
        <w:t>无</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outlineLvl w:val="2"/>
        <w:rPr>
          <w:rFonts w:ascii="仿宋" w:hAnsi="仿宋" w:eastAsia="仿宋"/>
          <w:b/>
          <w:sz w:val="32"/>
          <w:szCs w:val="32"/>
          <w:highlight w:val="none"/>
        </w:rPr>
      </w:pPr>
      <w:bookmarkStart w:id="85" w:name="_Toc2318"/>
      <w:r>
        <w:rPr>
          <w:rFonts w:hint="eastAsia" w:ascii="仿宋" w:hAnsi="仿宋" w:eastAsia="仿宋"/>
          <w:b/>
          <w:sz w:val="32"/>
          <w:szCs w:val="32"/>
          <w:highlight w:val="none"/>
        </w:rPr>
        <w:t>（四）预算绩效管理情况</w:t>
      </w:r>
      <w:bookmarkEnd w:id="85"/>
    </w:p>
    <w:p>
      <w:pPr>
        <w:spacing w:line="60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根据预算绩效管理要求，本单位在202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年度预算编制阶段，组织对</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老干部特困补贴、特需费、参观考察费</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lang w:eastAsia="zh-CN"/>
        </w:rPr>
        <w:t>老干部相关工作经费、</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lang w:eastAsia="zh-CN"/>
        </w:rPr>
        <w:t>企业退休干部提高待遇补助（区属企业）、</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企业退休干部提高待遇补助（市属企业、</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lang w:eastAsia="zh-CN"/>
        </w:rPr>
        <w:t>四老工作经费、</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lang w:eastAsia="zh-CN"/>
        </w:rPr>
        <w:t>五通桥区老科协换届选举经费</w:t>
      </w:r>
      <w:r>
        <w:rPr>
          <w:rFonts w:hint="eastAsia" w:ascii="仿宋_GB2312" w:eastAsia="仿宋_GB2312"/>
          <w:sz w:val="32"/>
          <w:szCs w:val="32"/>
          <w:highlight w:val="none"/>
        </w:rPr>
        <w:t>等</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个项目开展了预算事前绩效评估，对</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个项目编制了绩效目标，预算执行过程中，选取</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个项目开展绩效监控，组织对</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28"/>
          <w:rFonts w:ascii="黑体" w:hAnsi="黑体" w:eastAsia="黑体"/>
          <w:b w:val="0"/>
        </w:rPr>
      </w:pPr>
      <w:bookmarkStart w:id="86" w:name="_Toc15396613"/>
      <w:bookmarkStart w:id="87" w:name="_Toc7296"/>
      <w:bookmarkStart w:id="88" w:name="_Toc15377225"/>
      <w:r>
        <w:rPr>
          <w:rFonts w:hint="eastAsia" w:ascii="黑体" w:hAnsi="黑体" w:eastAsia="黑体"/>
          <w:sz w:val="44"/>
          <w:szCs w:val="44"/>
        </w:rPr>
        <w:t>名</w:t>
      </w:r>
      <w:r>
        <w:rPr>
          <w:rStyle w:val="28"/>
          <w:rFonts w:hint="eastAsia" w:ascii="黑体" w:hAnsi="黑体" w:eastAsia="黑体"/>
          <w:b w:val="0"/>
        </w:rPr>
        <w:t>词解释</w:t>
      </w:r>
      <w:bookmarkEnd w:id="86"/>
      <w:bookmarkEnd w:id="87"/>
      <w:bookmarkEnd w:id="88"/>
    </w:p>
    <w:p>
      <w:pPr>
        <w:spacing w:line="600" w:lineRule="exact"/>
        <w:jc w:val="left"/>
        <w:rPr>
          <w:rFonts w:ascii="宋体"/>
          <w:b/>
          <w:sz w:val="44"/>
          <w:szCs w:val="44"/>
        </w:rPr>
      </w:pPr>
    </w:p>
    <w:p>
      <w:pPr>
        <w:pStyle w:val="26"/>
        <w:spacing w:line="560" w:lineRule="exact"/>
        <w:ind w:firstLine="560" w:firstLineChars="200"/>
        <w:rPr>
          <w:rFonts w:hint="eastAsia" w:ascii="仿宋" w:hAnsi="仿宋" w:eastAsia="仿宋" w:cs="仿宋"/>
          <w:sz w:val="28"/>
          <w:szCs w:val="28"/>
        </w:rPr>
      </w:pPr>
      <w:bookmarkStart w:id="89" w:name="_Toc15377226"/>
      <w:r>
        <w:rPr>
          <w:rFonts w:hint="eastAsia" w:ascii="仿宋" w:hAnsi="仿宋" w:eastAsia="仿宋" w:cs="仿宋"/>
          <w:sz w:val="28"/>
          <w:szCs w:val="28"/>
        </w:rPr>
        <w:t>1.财政拨款收入：指单位从同级财政部门取得的财政预算资金。</w:t>
      </w:r>
    </w:p>
    <w:p>
      <w:pPr>
        <w:pStyle w:val="26"/>
        <w:spacing w:line="56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2.事业收入：指事业单位开展专业业务活动及辅助活动取得的收入</w:t>
      </w:r>
      <w:r>
        <w:rPr>
          <w:rFonts w:hint="eastAsia" w:ascii="仿宋" w:hAnsi="仿宋" w:eastAsia="仿宋" w:cs="仿宋"/>
          <w:sz w:val="28"/>
          <w:szCs w:val="28"/>
          <w:lang w:eastAsia="zh-CN"/>
        </w:rPr>
        <w:t>。</w:t>
      </w:r>
    </w:p>
    <w:p>
      <w:pPr>
        <w:pStyle w:val="26"/>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3.经营收入：指事业单位在专业业务活动及其辅助活动之外开展非独立核算经营活动取得的收入。</w:t>
      </w:r>
    </w:p>
    <w:p>
      <w:pPr>
        <w:pStyle w:val="26"/>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4.其他收入：指单位取得的除上述收入以外的各项收入。</w:t>
      </w:r>
    </w:p>
    <w:p>
      <w:pPr>
        <w:pStyle w:val="26"/>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5.使用非财政拨款结余：指事业单位使用以前年度积累的非财政拨款结余弥补当年收支差额的金额。 </w:t>
      </w:r>
    </w:p>
    <w:p>
      <w:pPr>
        <w:pStyle w:val="26"/>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6.年初结转和结余：指以前年度尚未完成、结转到本年按有关规定继续使用的资金。 </w:t>
      </w:r>
    </w:p>
    <w:p>
      <w:pPr>
        <w:pStyle w:val="26"/>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7.结余分配：指事业单位按照会计制度规定缴纳的所得税、提取的专用结余以及转入非财政拨款结余的金额等。</w:t>
      </w:r>
    </w:p>
    <w:p>
      <w:pPr>
        <w:pStyle w:val="26"/>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8、年末结转和结余：指单位按有关规定结转到下年或以后年度继续使用的资金。</w:t>
      </w:r>
    </w:p>
    <w:p>
      <w:pPr>
        <w:spacing w:line="240" w:lineRule="auto"/>
        <w:ind w:firstLine="560" w:firstLineChars="200"/>
        <w:rPr>
          <w:rFonts w:hint="eastAsia" w:ascii="仿宋" w:hAnsi="仿宋" w:eastAsia="仿宋" w:cs="仿宋"/>
          <w:sz w:val="28"/>
          <w:szCs w:val="28"/>
        </w:rPr>
      </w:pPr>
      <w:r>
        <w:rPr>
          <w:rStyle w:val="17"/>
          <w:rFonts w:hint="eastAsia" w:ascii="仿宋" w:hAnsi="仿宋" w:eastAsia="仿宋" w:cs="仿宋"/>
          <w:b w:val="0"/>
          <w:bCs w:val="0"/>
          <w:color w:val="auto"/>
          <w:sz w:val="28"/>
          <w:szCs w:val="28"/>
          <w:lang w:val="en-US" w:eastAsia="zh-CN"/>
        </w:rPr>
        <w:t>9、</w:t>
      </w:r>
      <w:r>
        <w:rPr>
          <w:rStyle w:val="17"/>
          <w:rFonts w:hint="eastAsia" w:ascii="仿宋" w:hAnsi="仿宋" w:eastAsia="仿宋" w:cs="仿宋"/>
          <w:b w:val="0"/>
          <w:bCs w:val="0"/>
          <w:color w:val="auto"/>
          <w:sz w:val="28"/>
          <w:szCs w:val="28"/>
        </w:rPr>
        <w:t>一般公共服务（类）组织事务（款）</w:t>
      </w:r>
      <w:r>
        <w:rPr>
          <w:rStyle w:val="17"/>
          <w:rFonts w:hint="eastAsia" w:ascii="仿宋" w:hAnsi="仿宋" w:eastAsia="仿宋" w:cs="仿宋"/>
          <w:bCs/>
          <w:color w:val="000000"/>
          <w:sz w:val="28"/>
          <w:szCs w:val="28"/>
          <w:highlight w:val="none"/>
        </w:rPr>
        <w:t>行政运行</w:t>
      </w:r>
      <w:r>
        <w:rPr>
          <w:rStyle w:val="17"/>
          <w:rFonts w:hint="eastAsia" w:ascii="仿宋" w:hAnsi="仿宋" w:eastAsia="仿宋" w:cs="仿宋"/>
          <w:b w:val="0"/>
          <w:bCs w:val="0"/>
          <w:color w:val="auto"/>
          <w:sz w:val="28"/>
          <w:szCs w:val="28"/>
        </w:rPr>
        <w:t>（项）</w:t>
      </w:r>
      <w:r>
        <w:rPr>
          <w:rStyle w:val="17"/>
          <w:rFonts w:hint="eastAsia" w:ascii="仿宋" w:hAnsi="仿宋" w:eastAsia="仿宋" w:cs="仿宋"/>
          <w:bCs/>
          <w:color w:val="000000"/>
          <w:sz w:val="28"/>
          <w:szCs w:val="28"/>
          <w:highlight w:val="none"/>
        </w:rPr>
        <w:t>:</w:t>
      </w:r>
      <w:r>
        <w:rPr>
          <w:rStyle w:val="17"/>
          <w:rFonts w:hint="eastAsia" w:ascii="仿宋" w:hAnsi="仿宋" w:eastAsia="仿宋" w:cs="仿宋"/>
          <w:b w:val="0"/>
          <w:bCs/>
          <w:color w:val="000000"/>
          <w:sz w:val="28"/>
          <w:szCs w:val="28"/>
          <w:highlight w:val="none"/>
        </w:rPr>
        <w:t xml:space="preserve"> </w:t>
      </w:r>
      <w:r>
        <w:rPr>
          <w:rFonts w:hint="eastAsia" w:ascii="仿宋" w:hAnsi="仿宋" w:eastAsia="仿宋" w:cs="仿宋"/>
          <w:sz w:val="28"/>
          <w:szCs w:val="28"/>
        </w:rPr>
        <w:t>是指行政单位（包括实行公务员管理的事业单位）的基本支出。</w:t>
      </w:r>
    </w:p>
    <w:p>
      <w:pPr>
        <w:numPr>
          <w:ilvl w:val="0"/>
          <w:numId w:val="0"/>
        </w:numPr>
        <w:spacing w:line="360" w:lineRule="auto"/>
        <w:ind w:firstLine="560" w:firstLineChars="200"/>
        <w:rPr>
          <w:rStyle w:val="17"/>
          <w:rFonts w:hint="eastAsia" w:ascii="仿宋" w:hAnsi="仿宋" w:eastAsia="仿宋" w:cs="仿宋"/>
          <w:b w:val="0"/>
          <w:bCs/>
          <w:color w:val="000000"/>
          <w:sz w:val="28"/>
          <w:szCs w:val="28"/>
          <w:highlight w:val="none"/>
        </w:rPr>
      </w:pPr>
      <w:r>
        <w:rPr>
          <w:rStyle w:val="17"/>
          <w:rFonts w:hint="eastAsia" w:ascii="仿宋" w:hAnsi="仿宋" w:eastAsia="仿宋" w:cs="仿宋"/>
          <w:b w:val="0"/>
          <w:bCs w:val="0"/>
          <w:color w:val="auto"/>
          <w:sz w:val="28"/>
          <w:szCs w:val="28"/>
          <w:lang w:val="en-US" w:eastAsia="zh-CN"/>
        </w:rPr>
        <w:t>10、</w:t>
      </w:r>
      <w:r>
        <w:rPr>
          <w:rStyle w:val="17"/>
          <w:rFonts w:hint="eastAsia" w:ascii="仿宋" w:hAnsi="仿宋" w:eastAsia="仿宋" w:cs="仿宋"/>
          <w:b w:val="0"/>
          <w:bCs w:val="0"/>
          <w:color w:val="auto"/>
          <w:sz w:val="28"/>
          <w:szCs w:val="28"/>
        </w:rPr>
        <w:t>一般公共服务（类）组织事务（款）其他组织事务支出（项）</w:t>
      </w:r>
      <w:r>
        <w:rPr>
          <w:rStyle w:val="17"/>
          <w:rFonts w:hint="eastAsia" w:ascii="仿宋" w:hAnsi="仿宋" w:eastAsia="仿宋" w:cs="仿宋"/>
          <w:bCs/>
          <w:color w:val="000000"/>
          <w:sz w:val="28"/>
          <w:szCs w:val="28"/>
          <w:highlight w:val="none"/>
        </w:rPr>
        <w:t>:</w:t>
      </w:r>
      <w:r>
        <w:rPr>
          <w:rStyle w:val="17"/>
          <w:rFonts w:hint="eastAsia" w:ascii="仿宋" w:hAnsi="仿宋" w:eastAsia="仿宋" w:cs="仿宋"/>
          <w:b w:val="0"/>
          <w:bCs/>
          <w:color w:val="000000"/>
          <w:sz w:val="28"/>
          <w:szCs w:val="28"/>
          <w:highlight w:val="none"/>
        </w:rPr>
        <w:t xml:space="preserve"> </w:t>
      </w:r>
      <w:r>
        <w:rPr>
          <w:rStyle w:val="17"/>
          <w:rFonts w:hint="eastAsia" w:ascii="仿宋" w:hAnsi="仿宋" w:eastAsia="仿宋" w:cs="仿宋"/>
          <w:b w:val="0"/>
          <w:bCs/>
          <w:color w:val="000000"/>
          <w:sz w:val="28"/>
          <w:szCs w:val="28"/>
          <w:highlight w:val="none"/>
          <w:lang w:eastAsia="zh-CN"/>
        </w:rPr>
        <w:t>指其他用于中国共产党组织部门的事业支出</w:t>
      </w:r>
      <w:r>
        <w:rPr>
          <w:rStyle w:val="17"/>
          <w:rFonts w:hint="eastAsia" w:ascii="仿宋" w:hAnsi="仿宋" w:eastAsia="仿宋" w:cs="仿宋"/>
          <w:b w:val="0"/>
          <w:bCs/>
          <w:color w:val="000000"/>
          <w:sz w:val="28"/>
          <w:szCs w:val="28"/>
          <w:highlight w:val="none"/>
        </w:rPr>
        <w:t>。</w:t>
      </w:r>
    </w:p>
    <w:p>
      <w:pPr>
        <w:pStyle w:val="14"/>
        <w:keepNext w:val="0"/>
        <w:keepLines w:val="0"/>
        <w:widowControl/>
        <w:suppressLineNumbers w:val="0"/>
        <w:shd w:val="clear" w:color="auto" w:fill="FFFFFF"/>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11、</w:t>
      </w:r>
      <w:r>
        <w:rPr>
          <w:rFonts w:hint="eastAsia" w:ascii="仿宋" w:hAnsi="仿宋" w:eastAsia="仿宋" w:cs="仿宋"/>
          <w:color w:val="000000"/>
          <w:sz w:val="28"/>
          <w:szCs w:val="28"/>
        </w:rPr>
        <w:t xml:space="preserve"> 社会保障和就业</w:t>
      </w:r>
      <w:r>
        <w:rPr>
          <w:rFonts w:hint="eastAsia" w:ascii="仿宋" w:hAnsi="仿宋" w:eastAsia="仿宋" w:cs="仿宋"/>
          <w:color w:val="000000"/>
          <w:sz w:val="28"/>
          <w:szCs w:val="28"/>
          <w:lang w:eastAsia="zh-CN"/>
        </w:rPr>
        <w:t>（类）</w:t>
      </w:r>
      <w:r>
        <w:rPr>
          <w:rStyle w:val="17"/>
          <w:rFonts w:hint="eastAsia" w:ascii="仿宋" w:hAnsi="仿宋" w:eastAsia="仿宋" w:cs="仿宋"/>
          <w:b w:val="0"/>
          <w:color w:val="000000"/>
          <w:sz w:val="28"/>
          <w:szCs w:val="28"/>
        </w:rPr>
        <w:t>政事业单位离退休</w:t>
      </w:r>
      <w:r>
        <w:rPr>
          <w:rStyle w:val="17"/>
          <w:rFonts w:hint="eastAsia" w:ascii="仿宋" w:hAnsi="仿宋" w:eastAsia="仿宋" w:cs="仿宋"/>
          <w:b w:val="0"/>
          <w:color w:val="000000"/>
          <w:sz w:val="28"/>
          <w:szCs w:val="28"/>
          <w:lang w:eastAsia="zh-CN"/>
        </w:rPr>
        <w:t>（款）</w:t>
      </w:r>
      <w:r>
        <w:rPr>
          <w:rFonts w:hint="eastAsia" w:ascii="仿宋" w:hAnsi="仿宋" w:eastAsia="仿宋" w:cs="仿宋"/>
          <w:color w:val="000000"/>
          <w:sz w:val="28"/>
          <w:szCs w:val="28"/>
        </w:rPr>
        <w:t>机关事业单位基本养老保险缴费支出</w:t>
      </w:r>
      <w:r>
        <w:rPr>
          <w:rFonts w:hint="eastAsia" w:ascii="仿宋" w:hAnsi="仿宋" w:eastAsia="仿宋" w:cs="仿宋"/>
          <w:color w:val="000000"/>
          <w:sz w:val="28"/>
          <w:szCs w:val="28"/>
          <w:lang w:eastAsia="zh-CN"/>
        </w:rPr>
        <w:t>（项）</w:t>
      </w:r>
      <w:r>
        <w:rPr>
          <w:rFonts w:hint="eastAsia" w:ascii="仿宋" w:hAnsi="仿宋" w:eastAsia="仿宋" w:cs="仿宋"/>
          <w:color w:val="000000"/>
          <w:sz w:val="28"/>
          <w:szCs w:val="28"/>
        </w:rPr>
        <w:t>是指机关事业单位实</w:t>
      </w:r>
      <w:r>
        <w:rPr>
          <w:rFonts w:hint="eastAsia" w:ascii="仿宋" w:hAnsi="仿宋" w:eastAsia="仿宋" w:cs="仿宋"/>
          <w:color w:val="000000"/>
          <w:sz w:val="28"/>
          <w:szCs w:val="28"/>
          <w:lang w:eastAsia="zh-CN"/>
        </w:rPr>
        <w:t>施</w:t>
      </w:r>
      <w:r>
        <w:rPr>
          <w:rFonts w:hint="eastAsia" w:ascii="仿宋" w:hAnsi="仿宋" w:eastAsia="仿宋" w:cs="仿宋"/>
          <w:color w:val="000000"/>
          <w:sz w:val="28"/>
          <w:szCs w:val="28"/>
        </w:rPr>
        <w:t>养老保险制度由单位缴纳的基本养老保险费支出。</w:t>
      </w:r>
    </w:p>
    <w:p>
      <w:pPr>
        <w:spacing w:line="24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12、</w:t>
      </w:r>
      <w:r>
        <w:rPr>
          <w:rFonts w:hint="eastAsia" w:ascii="仿宋" w:hAnsi="仿宋" w:eastAsia="仿宋" w:cs="仿宋"/>
          <w:color w:val="000000"/>
          <w:sz w:val="28"/>
          <w:szCs w:val="28"/>
        </w:rPr>
        <w:t>社会保障和就业</w:t>
      </w:r>
      <w:r>
        <w:rPr>
          <w:rFonts w:hint="eastAsia" w:ascii="仿宋" w:hAnsi="仿宋" w:eastAsia="仿宋" w:cs="仿宋"/>
          <w:color w:val="000000"/>
          <w:sz w:val="28"/>
          <w:szCs w:val="28"/>
          <w:lang w:eastAsia="zh-CN"/>
        </w:rPr>
        <w:t>（类）</w:t>
      </w:r>
      <w:r>
        <w:rPr>
          <w:rStyle w:val="17"/>
          <w:rFonts w:hint="eastAsia" w:ascii="仿宋" w:hAnsi="仿宋" w:eastAsia="仿宋" w:cs="仿宋"/>
          <w:b w:val="0"/>
          <w:color w:val="000000"/>
          <w:sz w:val="28"/>
          <w:szCs w:val="28"/>
        </w:rPr>
        <w:t>政事业单位离退休</w:t>
      </w:r>
      <w:r>
        <w:rPr>
          <w:rStyle w:val="17"/>
          <w:rFonts w:hint="eastAsia" w:ascii="仿宋" w:hAnsi="仿宋" w:eastAsia="仿宋" w:cs="仿宋"/>
          <w:b w:val="0"/>
          <w:color w:val="000000"/>
          <w:sz w:val="28"/>
          <w:szCs w:val="28"/>
          <w:lang w:eastAsia="zh-CN"/>
        </w:rPr>
        <w:t>（款）</w:t>
      </w:r>
      <w:r>
        <w:rPr>
          <w:rFonts w:hint="eastAsia" w:ascii="仿宋" w:hAnsi="仿宋" w:eastAsia="仿宋" w:cs="仿宋"/>
          <w:color w:val="000000"/>
          <w:sz w:val="28"/>
          <w:szCs w:val="28"/>
        </w:rPr>
        <w:t>机关事业单位职业年金缴费支出</w:t>
      </w:r>
      <w:r>
        <w:rPr>
          <w:rFonts w:hint="eastAsia" w:ascii="仿宋" w:hAnsi="仿宋" w:eastAsia="仿宋" w:cs="仿宋"/>
          <w:color w:val="000000"/>
          <w:sz w:val="28"/>
          <w:szCs w:val="28"/>
          <w:lang w:eastAsia="zh-CN"/>
        </w:rPr>
        <w:t>（项）</w:t>
      </w:r>
      <w:r>
        <w:rPr>
          <w:rFonts w:hint="eastAsia" w:ascii="仿宋" w:hAnsi="仿宋" w:eastAsia="仿宋" w:cs="仿宋"/>
          <w:color w:val="000000"/>
          <w:sz w:val="28"/>
          <w:szCs w:val="28"/>
        </w:rPr>
        <w:t>是指机关事业单位实</w:t>
      </w:r>
      <w:r>
        <w:rPr>
          <w:rFonts w:hint="eastAsia" w:ascii="仿宋" w:hAnsi="仿宋" w:eastAsia="仿宋" w:cs="仿宋"/>
          <w:color w:val="000000"/>
          <w:sz w:val="28"/>
          <w:szCs w:val="28"/>
          <w:lang w:eastAsia="zh-CN"/>
        </w:rPr>
        <w:t>施</w:t>
      </w:r>
      <w:r>
        <w:rPr>
          <w:rFonts w:hint="eastAsia" w:ascii="仿宋" w:hAnsi="仿宋" w:eastAsia="仿宋" w:cs="仿宋"/>
          <w:color w:val="000000"/>
          <w:sz w:val="28"/>
          <w:szCs w:val="28"/>
        </w:rPr>
        <w:t>养老保险制度由单位缴纳的职业年金缴费支出支出。</w:t>
      </w:r>
    </w:p>
    <w:p>
      <w:pPr>
        <w:spacing w:line="240" w:lineRule="auto"/>
        <w:ind w:firstLine="560" w:firstLineChars="200"/>
        <w:rPr>
          <w:rStyle w:val="17"/>
          <w:rFonts w:hint="eastAsia" w:ascii="仿宋" w:hAnsi="仿宋" w:eastAsia="仿宋" w:cs="仿宋"/>
          <w:b w:val="0"/>
          <w:color w:val="000000"/>
          <w:sz w:val="28"/>
          <w:szCs w:val="28"/>
        </w:rPr>
      </w:pPr>
      <w:r>
        <w:rPr>
          <w:rFonts w:hint="eastAsia" w:ascii="仿宋" w:hAnsi="仿宋" w:eastAsia="仿宋" w:cs="仿宋"/>
          <w:color w:val="000000"/>
          <w:sz w:val="28"/>
          <w:szCs w:val="28"/>
          <w:lang w:val="en-US" w:eastAsia="zh-CN"/>
        </w:rPr>
        <w:t>13、</w:t>
      </w:r>
      <w:r>
        <w:rPr>
          <w:rFonts w:hint="eastAsia" w:ascii="仿宋" w:hAnsi="仿宋" w:eastAsia="仿宋" w:cs="仿宋"/>
          <w:color w:val="000000"/>
          <w:sz w:val="28"/>
          <w:szCs w:val="28"/>
        </w:rPr>
        <w:t>社会保障和就业</w:t>
      </w:r>
      <w:r>
        <w:rPr>
          <w:rFonts w:hint="eastAsia" w:ascii="仿宋" w:hAnsi="仿宋" w:eastAsia="仿宋" w:cs="仿宋"/>
          <w:color w:val="000000"/>
          <w:sz w:val="28"/>
          <w:szCs w:val="28"/>
          <w:lang w:eastAsia="zh-CN"/>
        </w:rPr>
        <w:t>（类）</w:t>
      </w:r>
      <w:r>
        <w:rPr>
          <w:rStyle w:val="17"/>
          <w:rFonts w:hint="eastAsia" w:ascii="仿宋" w:hAnsi="仿宋" w:eastAsia="仿宋" w:cs="仿宋"/>
          <w:b w:val="0"/>
          <w:color w:val="000000"/>
          <w:sz w:val="28"/>
          <w:szCs w:val="28"/>
        </w:rPr>
        <w:t>政事业单位离退休</w:t>
      </w:r>
      <w:r>
        <w:rPr>
          <w:rStyle w:val="17"/>
          <w:rFonts w:hint="eastAsia" w:ascii="仿宋" w:hAnsi="仿宋" w:eastAsia="仿宋" w:cs="仿宋"/>
          <w:b w:val="0"/>
          <w:color w:val="000000"/>
          <w:sz w:val="28"/>
          <w:szCs w:val="28"/>
          <w:lang w:eastAsia="zh-CN"/>
        </w:rPr>
        <w:t>（款）</w:t>
      </w:r>
      <w:r>
        <w:rPr>
          <w:rStyle w:val="17"/>
          <w:rFonts w:hint="eastAsia" w:ascii="仿宋" w:hAnsi="仿宋" w:eastAsia="仿宋" w:cs="仿宋"/>
          <w:b w:val="0"/>
          <w:color w:val="000000"/>
          <w:sz w:val="28"/>
          <w:szCs w:val="28"/>
        </w:rPr>
        <w:t>其他行政事业单位离退休支出</w:t>
      </w:r>
      <w:r>
        <w:rPr>
          <w:rStyle w:val="17"/>
          <w:rFonts w:hint="eastAsia" w:ascii="仿宋" w:hAnsi="仿宋" w:eastAsia="仿宋" w:cs="仿宋"/>
          <w:b w:val="0"/>
          <w:color w:val="000000"/>
          <w:sz w:val="28"/>
          <w:szCs w:val="28"/>
          <w:lang w:eastAsia="zh-CN"/>
        </w:rPr>
        <w:t>（项）</w:t>
      </w:r>
      <w:r>
        <w:rPr>
          <w:rFonts w:hint="eastAsia" w:ascii="仿宋" w:hAnsi="仿宋" w:eastAsia="仿宋" w:cs="仿宋"/>
          <w:color w:val="000000"/>
          <w:sz w:val="28"/>
          <w:szCs w:val="28"/>
        </w:rPr>
        <w:t>是指其他用于</w:t>
      </w:r>
      <w:r>
        <w:rPr>
          <w:rStyle w:val="17"/>
          <w:rFonts w:hint="eastAsia" w:ascii="仿宋" w:hAnsi="仿宋" w:eastAsia="仿宋" w:cs="仿宋"/>
          <w:b w:val="0"/>
          <w:color w:val="000000"/>
          <w:sz w:val="28"/>
          <w:szCs w:val="28"/>
        </w:rPr>
        <w:t>行政事业单位离退休方面的支出。</w:t>
      </w:r>
    </w:p>
    <w:p>
      <w:pPr>
        <w:numPr>
          <w:ilvl w:val="0"/>
          <w:numId w:val="0"/>
        </w:numPr>
        <w:spacing w:line="360" w:lineRule="auto"/>
        <w:ind w:firstLine="560" w:firstLineChars="200"/>
        <w:rPr>
          <w:rStyle w:val="17"/>
          <w:rFonts w:hint="eastAsia" w:ascii="仿宋" w:hAnsi="仿宋" w:eastAsia="仿宋" w:cs="仿宋"/>
          <w:b w:val="0"/>
          <w:bCs w:val="0"/>
          <w:sz w:val="28"/>
          <w:szCs w:val="28"/>
          <w:highlight w:val="none"/>
        </w:rPr>
      </w:pPr>
      <w:r>
        <w:rPr>
          <w:rFonts w:hint="eastAsia" w:ascii="仿宋" w:hAnsi="仿宋" w:eastAsia="仿宋" w:cs="仿宋"/>
          <w:b w:val="0"/>
          <w:bCs w:val="0"/>
          <w:color w:val="000000"/>
          <w:sz w:val="28"/>
          <w:szCs w:val="28"/>
          <w:highlight w:val="none"/>
          <w:lang w:val="en-US" w:eastAsia="zh-CN"/>
        </w:rPr>
        <w:t>14、</w:t>
      </w:r>
      <w:r>
        <w:rPr>
          <w:rFonts w:hint="eastAsia" w:ascii="仿宋" w:hAnsi="仿宋" w:eastAsia="仿宋" w:cs="仿宋"/>
          <w:b w:val="0"/>
          <w:bCs w:val="0"/>
          <w:color w:val="000000"/>
          <w:sz w:val="28"/>
          <w:szCs w:val="28"/>
          <w:highlight w:val="none"/>
        </w:rPr>
        <w:t>卫生健康</w:t>
      </w:r>
      <w:r>
        <w:rPr>
          <w:rStyle w:val="17"/>
          <w:rFonts w:hint="eastAsia" w:ascii="仿宋" w:hAnsi="仿宋" w:eastAsia="仿宋" w:cs="仿宋"/>
          <w:b w:val="0"/>
          <w:bCs w:val="0"/>
          <w:color w:val="000000"/>
          <w:sz w:val="28"/>
          <w:szCs w:val="28"/>
          <w:highlight w:val="none"/>
        </w:rPr>
        <w:t>（类）</w:t>
      </w:r>
      <w:r>
        <w:rPr>
          <w:rStyle w:val="17"/>
          <w:rFonts w:hint="eastAsia" w:ascii="仿宋" w:hAnsi="仿宋" w:eastAsia="仿宋" w:cs="仿宋"/>
          <w:b w:val="0"/>
          <w:bCs w:val="0"/>
          <w:sz w:val="28"/>
          <w:szCs w:val="28"/>
          <w:highlight w:val="none"/>
        </w:rPr>
        <w:t>行政事业单位医疗</w:t>
      </w:r>
      <w:r>
        <w:rPr>
          <w:rStyle w:val="17"/>
          <w:rFonts w:hint="eastAsia" w:ascii="仿宋" w:hAnsi="仿宋" w:eastAsia="仿宋" w:cs="仿宋"/>
          <w:b w:val="0"/>
          <w:bCs w:val="0"/>
          <w:sz w:val="28"/>
          <w:szCs w:val="28"/>
          <w:highlight w:val="none"/>
          <w:lang w:eastAsia="zh-CN"/>
        </w:rPr>
        <w:t>（款）</w:t>
      </w:r>
      <w:r>
        <w:rPr>
          <w:rStyle w:val="17"/>
          <w:rFonts w:hint="eastAsia" w:ascii="仿宋" w:hAnsi="仿宋" w:eastAsia="仿宋" w:cs="仿宋"/>
          <w:b w:val="0"/>
          <w:bCs w:val="0"/>
          <w:sz w:val="28"/>
          <w:szCs w:val="28"/>
          <w:highlight w:val="none"/>
        </w:rPr>
        <w:t>行政单位医疗</w:t>
      </w:r>
      <w:r>
        <w:rPr>
          <w:rStyle w:val="17"/>
          <w:rFonts w:hint="eastAsia" w:ascii="仿宋" w:hAnsi="仿宋" w:eastAsia="仿宋" w:cs="仿宋"/>
          <w:b w:val="0"/>
          <w:bCs w:val="0"/>
          <w:sz w:val="28"/>
          <w:szCs w:val="28"/>
          <w:highlight w:val="none"/>
          <w:lang w:eastAsia="zh-CN"/>
        </w:rPr>
        <w:t>（项）：</w:t>
      </w:r>
      <w:r>
        <w:rPr>
          <w:rStyle w:val="17"/>
          <w:rFonts w:hint="eastAsia" w:ascii="仿宋" w:hAnsi="仿宋" w:eastAsia="仿宋" w:cs="仿宋"/>
          <w:b w:val="0"/>
          <w:bCs w:val="0"/>
          <w:sz w:val="28"/>
          <w:szCs w:val="28"/>
          <w:highlight w:val="none"/>
        </w:rPr>
        <w:t>是指财政部门集中安排的行政单位基本医疗保险缴费经费，未参加医疗保险的行政单位基本的公费医疗经费，按国家规定享受离休人员、老红军战士待遇人员的医疗经费。</w:t>
      </w:r>
    </w:p>
    <w:p>
      <w:pPr>
        <w:numPr>
          <w:ilvl w:val="0"/>
          <w:numId w:val="0"/>
        </w:numPr>
        <w:spacing w:line="360" w:lineRule="auto"/>
        <w:ind w:firstLine="560" w:firstLineChars="200"/>
        <w:rPr>
          <w:rStyle w:val="17"/>
          <w:rFonts w:hint="eastAsia" w:ascii="仿宋" w:hAnsi="仿宋" w:eastAsia="仿宋" w:cs="仿宋"/>
          <w:b w:val="0"/>
          <w:bCs w:val="0"/>
          <w:sz w:val="28"/>
          <w:szCs w:val="28"/>
          <w:highlight w:val="none"/>
        </w:rPr>
      </w:pPr>
      <w:r>
        <w:rPr>
          <w:rStyle w:val="17"/>
          <w:rFonts w:hint="eastAsia" w:ascii="仿宋" w:hAnsi="仿宋" w:eastAsia="仿宋" w:cs="仿宋"/>
          <w:b w:val="0"/>
          <w:bCs w:val="0"/>
          <w:sz w:val="28"/>
          <w:szCs w:val="28"/>
          <w:highlight w:val="none"/>
          <w:lang w:val="en-US" w:eastAsia="zh-CN"/>
        </w:rPr>
        <w:t>15.</w:t>
      </w:r>
      <w:r>
        <w:rPr>
          <w:rFonts w:hint="eastAsia" w:ascii="仿宋" w:hAnsi="仿宋" w:eastAsia="仿宋" w:cs="仿宋"/>
          <w:b w:val="0"/>
          <w:bCs w:val="0"/>
          <w:color w:val="000000"/>
          <w:sz w:val="28"/>
          <w:szCs w:val="28"/>
          <w:highlight w:val="none"/>
        </w:rPr>
        <w:t>卫生健康</w:t>
      </w:r>
      <w:r>
        <w:rPr>
          <w:rStyle w:val="17"/>
          <w:rFonts w:hint="eastAsia" w:ascii="仿宋" w:hAnsi="仿宋" w:eastAsia="仿宋" w:cs="仿宋"/>
          <w:b w:val="0"/>
          <w:bCs w:val="0"/>
          <w:color w:val="000000"/>
          <w:sz w:val="28"/>
          <w:szCs w:val="28"/>
          <w:highlight w:val="none"/>
        </w:rPr>
        <w:t>（类）</w:t>
      </w:r>
      <w:r>
        <w:rPr>
          <w:rStyle w:val="17"/>
          <w:rFonts w:hint="eastAsia" w:ascii="仿宋" w:hAnsi="仿宋" w:eastAsia="仿宋" w:cs="仿宋"/>
          <w:b w:val="0"/>
          <w:bCs w:val="0"/>
          <w:sz w:val="28"/>
          <w:szCs w:val="28"/>
          <w:highlight w:val="none"/>
        </w:rPr>
        <w:t>行政事业单位医疗</w:t>
      </w:r>
      <w:r>
        <w:rPr>
          <w:rStyle w:val="17"/>
          <w:rFonts w:hint="eastAsia" w:ascii="仿宋" w:hAnsi="仿宋" w:eastAsia="仿宋" w:cs="仿宋"/>
          <w:b w:val="0"/>
          <w:bCs w:val="0"/>
          <w:sz w:val="28"/>
          <w:szCs w:val="28"/>
          <w:highlight w:val="none"/>
          <w:lang w:eastAsia="zh-CN"/>
        </w:rPr>
        <w:t>（款）</w:t>
      </w:r>
      <w:r>
        <w:rPr>
          <w:rStyle w:val="17"/>
          <w:rFonts w:hint="eastAsia" w:ascii="仿宋" w:hAnsi="仿宋" w:eastAsia="仿宋" w:cs="仿宋"/>
          <w:b w:val="0"/>
          <w:bCs w:val="0"/>
          <w:sz w:val="28"/>
          <w:szCs w:val="28"/>
          <w:highlight w:val="none"/>
        </w:rPr>
        <w:t>事业单位医疗</w:t>
      </w:r>
      <w:r>
        <w:rPr>
          <w:rStyle w:val="17"/>
          <w:rFonts w:hint="eastAsia" w:ascii="仿宋" w:hAnsi="仿宋" w:eastAsia="仿宋" w:cs="仿宋"/>
          <w:b w:val="0"/>
          <w:bCs w:val="0"/>
          <w:sz w:val="28"/>
          <w:szCs w:val="28"/>
          <w:highlight w:val="none"/>
          <w:lang w:eastAsia="zh-CN"/>
        </w:rPr>
        <w:t>（项）</w:t>
      </w:r>
      <w:r>
        <w:rPr>
          <w:rStyle w:val="17"/>
          <w:rFonts w:hint="eastAsia" w:ascii="仿宋" w:hAnsi="仿宋" w:eastAsia="仿宋" w:cs="仿宋"/>
          <w:b w:val="0"/>
          <w:bCs w:val="0"/>
          <w:sz w:val="28"/>
          <w:szCs w:val="28"/>
          <w:highlight w:val="none"/>
        </w:rPr>
        <w:t>是指财政部门集中安排的事业单位基本医疗保险缴费经费，未参加医疗保险的事业单位基本的公费医疗经费，按国家规定享受离休人员待遇人员的医疗经费。</w:t>
      </w:r>
    </w:p>
    <w:p>
      <w:pPr>
        <w:numPr>
          <w:ilvl w:val="0"/>
          <w:numId w:val="0"/>
        </w:numPr>
        <w:spacing w:line="360" w:lineRule="auto"/>
        <w:ind w:firstLine="560" w:firstLineChars="200"/>
        <w:rPr>
          <w:rFonts w:hint="eastAsia"/>
        </w:rPr>
      </w:pPr>
      <w:r>
        <w:rPr>
          <w:rFonts w:hint="eastAsia" w:ascii="仿宋" w:hAnsi="仿宋" w:eastAsia="仿宋" w:cs="仿宋"/>
          <w:b w:val="0"/>
          <w:bCs w:val="0"/>
          <w:color w:val="000000"/>
          <w:sz w:val="28"/>
          <w:szCs w:val="28"/>
          <w:highlight w:val="none"/>
          <w:lang w:val="en-US" w:eastAsia="zh-CN"/>
        </w:rPr>
        <w:t>16.</w:t>
      </w:r>
      <w:r>
        <w:rPr>
          <w:rFonts w:hint="eastAsia" w:ascii="仿宋" w:hAnsi="仿宋" w:eastAsia="仿宋" w:cs="仿宋"/>
          <w:b w:val="0"/>
          <w:bCs w:val="0"/>
          <w:color w:val="000000"/>
          <w:sz w:val="28"/>
          <w:szCs w:val="28"/>
          <w:highlight w:val="none"/>
        </w:rPr>
        <w:t>卫生健康</w:t>
      </w:r>
      <w:r>
        <w:rPr>
          <w:rStyle w:val="17"/>
          <w:rFonts w:hint="eastAsia" w:ascii="仿宋" w:hAnsi="仿宋" w:eastAsia="仿宋" w:cs="仿宋"/>
          <w:b w:val="0"/>
          <w:bCs w:val="0"/>
          <w:color w:val="000000"/>
          <w:sz w:val="28"/>
          <w:szCs w:val="28"/>
          <w:highlight w:val="none"/>
        </w:rPr>
        <w:t>（类）</w:t>
      </w:r>
      <w:r>
        <w:rPr>
          <w:rStyle w:val="17"/>
          <w:rFonts w:hint="eastAsia" w:ascii="仿宋" w:hAnsi="仿宋" w:eastAsia="仿宋" w:cs="仿宋"/>
          <w:b w:val="0"/>
          <w:bCs w:val="0"/>
          <w:sz w:val="28"/>
          <w:szCs w:val="28"/>
          <w:highlight w:val="none"/>
        </w:rPr>
        <w:t>行政事业单位医疗</w:t>
      </w:r>
      <w:r>
        <w:rPr>
          <w:rStyle w:val="17"/>
          <w:rFonts w:hint="eastAsia" w:ascii="仿宋" w:hAnsi="仿宋" w:eastAsia="仿宋" w:cs="仿宋"/>
          <w:b w:val="0"/>
          <w:bCs w:val="0"/>
          <w:sz w:val="28"/>
          <w:szCs w:val="28"/>
          <w:highlight w:val="none"/>
          <w:lang w:eastAsia="zh-CN"/>
        </w:rPr>
        <w:t>（款）</w:t>
      </w:r>
      <w:r>
        <w:rPr>
          <w:rStyle w:val="17"/>
          <w:rFonts w:hint="eastAsia" w:ascii="仿宋" w:hAnsi="仿宋" w:eastAsia="仿宋" w:cs="仿宋"/>
          <w:b w:val="0"/>
          <w:bCs w:val="0"/>
          <w:sz w:val="28"/>
          <w:szCs w:val="28"/>
          <w:highlight w:val="none"/>
        </w:rPr>
        <w:t>公务员医疗补助</w:t>
      </w:r>
      <w:r>
        <w:rPr>
          <w:rStyle w:val="17"/>
          <w:rFonts w:hint="eastAsia" w:ascii="仿宋" w:hAnsi="仿宋" w:eastAsia="仿宋" w:cs="仿宋"/>
          <w:b w:val="0"/>
          <w:bCs w:val="0"/>
          <w:sz w:val="28"/>
          <w:szCs w:val="28"/>
          <w:highlight w:val="none"/>
          <w:lang w:eastAsia="zh-CN"/>
        </w:rPr>
        <w:t>（项）</w:t>
      </w:r>
      <w:r>
        <w:rPr>
          <w:rStyle w:val="17"/>
          <w:rFonts w:hint="eastAsia" w:ascii="仿宋" w:hAnsi="仿宋" w:eastAsia="仿宋" w:cs="仿宋"/>
          <w:b w:val="0"/>
          <w:bCs w:val="0"/>
          <w:sz w:val="28"/>
          <w:szCs w:val="28"/>
          <w:highlight w:val="none"/>
        </w:rPr>
        <w:t>是指财政部门安排的公务员医疗补助经经费。</w:t>
      </w:r>
    </w:p>
    <w:p>
      <w:pPr>
        <w:pStyle w:val="14"/>
        <w:keepNext w:val="0"/>
        <w:keepLines w:val="0"/>
        <w:widowControl/>
        <w:numPr>
          <w:ilvl w:val="0"/>
          <w:numId w:val="0"/>
        </w:numPr>
        <w:suppressLineNumbers w:val="0"/>
        <w:shd w:val="clear" w:color="auto" w:fill="FFFFFF"/>
        <w:ind w:firstLine="560" w:firstLineChars="200"/>
        <w:jc w:val="left"/>
        <w:rPr>
          <w:rStyle w:val="17"/>
          <w:rFonts w:hint="eastAsia" w:ascii="仿宋" w:hAnsi="仿宋" w:eastAsia="仿宋" w:cs="仿宋"/>
          <w:b w:val="0"/>
          <w:bCs w:val="0"/>
          <w:color w:val="000000"/>
          <w:sz w:val="28"/>
          <w:szCs w:val="28"/>
          <w:highlight w:val="none"/>
          <w:lang w:eastAsia="zh-CN"/>
        </w:rPr>
      </w:pPr>
      <w:r>
        <w:rPr>
          <w:rFonts w:hint="eastAsia" w:ascii="仿宋" w:hAnsi="仿宋" w:eastAsia="仿宋" w:cs="仿宋"/>
          <w:b w:val="0"/>
          <w:bCs w:val="0"/>
          <w:color w:val="auto"/>
          <w:sz w:val="28"/>
          <w:szCs w:val="28"/>
          <w:highlight w:val="none"/>
          <w:lang w:val="en-US" w:eastAsia="zh-CN"/>
        </w:rPr>
        <w:t>17、</w:t>
      </w:r>
      <w:r>
        <w:rPr>
          <w:rFonts w:hint="eastAsia" w:ascii="仿宋" w:hAnsi="仿宋" w:eastAsia="仿宋" w:cs="仿宋"/>
          <w:b w:val="0"/>
          <w:bCs w:val="0"/>
          <w:color w:val="auto"/>
          <w:sz w:val="28"/>
          <w:szCs w:val="28"/>
          <w:highlight w:val="none"/>
        </w:rPr>
        <w:t>住房保障支出</w:t>
      </w:r>
      <w:r>
        <w:rPr>
          <w:rStyle w:val="17"/>
          <w:rFonts w:hint="eastAsia" w:ascii="仿宋" w:hAnsi="仿宋" w:eastAsia="仿宋" w:cs="仿宋"/>
          <w:b w:val="0"/>
          <w:bCs w:val="0"/>
          <w:color w:val="auto"/>
          <w:sz w:val="28"/>
          <w:szCs w:val="28"/>
          <w:highlight w:val="none"/>
        </w:rPr>
        <w:t>（</w:t>
      </w:r>
      <w:r>
        <w:rPr>
          <w:rStyle w:val="17"/>
          <w:rFonts w:hint="eastAsia" w:ascii="仿宋" w:hAnsi="仿宋" w:eastAsia="仿宋" w:cs="仿宋"/>
          <w:b w:val="0"/>
          <w:bCs w:val="0"/>
          <w:color w:val="000000"/>
          <w:sz w:val="28"/>
          <w:szCs w:val="28"/>
          <w:highlight w:val="none"/>
        </w:rPr>
        <w:t>类）</w:t>
      </w:r>
      <w:r>
        <w:rPr>
          <w:rStyle w:val="17"/>
          <w:rFonts w:hint="eastAsia" w:ascii="仿宋" w:hAnsi="仿宋" w:eastAsia="仿宋" w:cs="仿宋"/>
          <w:b w:val="0"/>
          <w:bCs w:val="0"/>
          <w:color w:val="000000"/>
          <w:sz w:val="28"/>
          <w:szCs w:val="28"/>
          <w:highlight w:val="none"/>
          <w:lang w:eastAsia="zh-CN"/>
        </w:rPr>
        <w:t>：集中反映政府用于住房方面的支出。</w:t>
      </w:r>
      <w:r>
        <w:rPr>
          <w:rStyle w:val="17"/>
          <w:rFonts w:hint="eastAsia" w:ascii="仿宋" w:hAnsi="仿宋" w:eastAsia="仿宋" w:cs="仿宋"/>
          <w:b w:val="0"/>
          <w:bCs w:val="0"/>
          <w:color w:val="000000"/>
          <w:sz w:val="28"/>
          <w:szCs w:val="28"/>
          <w:highlight w:val="none"/>
        </w:rPr>
        <w:t xml:space="preserve">住房改革支出（款） </w:t>
      </w:r>
      <w:r>
        <w:rPr>
          <w:rStyle w:val="17"/>
          <w:rFonts w:hint="eastAsia" w:ascii="仿宋" w:hAnsi="仿宋" w:eastAsia="仿宋" w:cs="仿宋"/>
          <w:b w:val="0"/>
          <w:bCs w:val="0"/>
          <w:color w:val="000000"/>
          <w:sz w:val="28"/>
          <w:szCs w:val="28"/>
          <w:highlight w:val="none"/>
          <w:lang w:eastAsia="zh-CN"/>
        </w:rPr>
        <w:t>反映行政事业单位用财政拨款资金和其他资金等安排的</w:t>
      </w:r>
      <w:r>
        <w:rPr>
          <w:rStyle w:val="17"/>
          <w:rFonts w:hint="eastAsia" w:ascii="仿宋" w:hAnsi="仿宋" w:eastAsia="仿宋" w:cs="仿宋"/>
          <w:b w:val="0"/>
          <w:bCs w:val="0"/>
          <w:color w:val="000000"/>
          <w:sz w:val="28"/>
          <w:szCs w:val="28"/>
          <w:highlight w:val="none"/>
        </w:rPr>
        <w:t>住房改革支出</w:t>
      </w:r>
      <w:r>
        <w:rPr>
          <w:rStyle w:val="17"/>
          <w:rFonts w:hint="eastAsia" w:ascii="仿宋" w:hAnsi="仿宋" w:eastAsia="仿宋" w:cs="仿宋"/>
          <w:b w:val="0"/>
          <w:bCs w:val="0"/>
          <w:color w:val="000000"/>
          <w:sz w:val="28"/>
          <w:szCs w:val="28"/>
          <w:highlight w:val="none"/>
          <w:lang w:eastAsia="zh-CN"/>
        </w:rPr>
        <w:t>。</w:t>
      </w:r>
      <w:r>
        <w:rPr>
          <w:rStyle w:val="17"/>
          <w:rFonts w:hint="eastAsia" w:ascii="仿宋" w:hAnsi="仿宋" w:eastAsia="仿宋" w:cs="仿宋"/>
          <w:b w:val="0"/>
          <w:bCs w:val="0"/>
          <w:color w:val="000000"/>
          <w:sz w:val="28"/>
          <w:szCs w:val="28"/>
          <w:highlight w:val="none"/>
        </w:rPr>
        <w:t>住房公积金（项）:</w:t>
      </w:r>
      <w:r>
        <w:rPr>
          <w:rStyle w:val="17"/>
          <w:rFonts w:hint="eastAsia" w:ascii="仿宋" w:hAnsi="仿宋" w:eastAsia="仿宋" w:cs="仿宋"/>
          <w:b w:val="0"/>
          <w:bCs w:val="0"/>
          <w:color w:val="000000"/>
          <w:sz w:val="28"/>
          <w:szCs w:val="28"/>
          <w:highlight w:val="none"/>
          <w:lang w:eastAsia="zh-CN"/>
        </w:rPr>
        <w:t>反映行政事业单位按人力资源和社会保障部、财政部规定的基本工资和津贴补贴以及规定比例为职工缴纳的</w:t>
      </w:r>
      <w:r>
        <w:rPr>
          <w:rStyle w:val="17"/>
          <w:rFonts w:hint="eastAsia" w:ascii="仿宋" w:hAnsi="仿宋" w:eastAsia="仿宋" w:cs="仿宋"/>
          <w:b w:val="0"/>
          <w:bCs w:val="0"/>
          <w:color w:val="000000"/>
          <w:sz w:val="28"/>
          <w:szCs w:val="28"/>
          <w:highlight w:val="none"/>
        </w:rPr>
        <w:t>住房公积金</w:t>
      </w:r>
      <w:r>
        <w:rPr>
          <w:rStyle w:val="17"/>
          <w:rFonts w:hint="eastAsia" w:ascii="仿宋" w:hAnsi="仿宋" w:eastAsia="仿宋" w:cs="仿宋"/>
          <w:b w:val="0"/>
          <w:bCs w:val="0"/>
          <w:color w:val="000000"/>
          <w:sz w:val="28"/>
          <w:szCs w:val="28"/>
          <w:highlight w:val="none"/>
          <w:lang w:eastAsia="zh-CN"/>
        </w:rPr>
        <w:t>。</w:t>
      </w:r>
    </w:p>
    <w:p>
      <w:pPr>
        <w:pStyle w:val="14"/>
        <w:keepNext w:val="0"/>
        <w:keepLines w:val="0"/>
        <w:widowControl/>
        <w:numPr>
          <w:ilvl w:val="0"/>
          <w:numId w:val="0"/>
        </w:numPr>
        <w:suppressLineNumbers w:val="0"/>
        <w:shd w:val="clear" w:color="auto" w:fill="FFFFFF"/>
        <w:ind w:firstLine="560" w:firstLineChars="2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18、</w:t>
      </w:r>
      <w:r>
        <w:rPr>
          <w:rFonts w:hint="eastAsia" w:ascii="仿宋" w:hAnsi="仿宋" w:eastAsia="仿宋" w:cs="仿宋"/>
          <w:color w:val="000000"/>
          <w:sz w:val="28"/>
          <w:szCs w:val="28"/>
        </w:rPr>
        <w:t>基本支出：指为保障机构正常运转、完成日常工作任务而发生的人员支出和公用支出。</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19、</w:t>
      </w:r>
      <w:r>
        <w:rPr>
          <w:rFonts w:hint="eastAsia" w:ascii="仿宋" w:hAnsi="仿宋" w:eastAsia="仿宋" w:cs="仿宋"/>
          <w:color w:val="000000"/>
          <w:sz w:val="28"/>
          <w:szCs w:val="28"/>
        </w:rPr>
        <w:t xml:space="preserve">项目支出：指在基本支出之外为完成特定行政任务和事业发展目标所发生的支出。 </w:t>
      </w:r>
    </w:p>
    <w:p>
      <w:pPr>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20、</w:t>
      </w:r>
      <w:r>
        <w:rPr>
          <w:rFonts w:hint="eastAsia" w:ascii="仿宋" w:hAnsi="仿宋" w:eastAsia="仿宋" w:cs="仿宋"/>
          <w:color w:val="000000"/>
          <w:sz w:val="28"/>
          <w:szCs w:val="28"/>
        </w:rPr>
        <w:t>经营支出：指事业单位在专业业务活动及其辅助活动之外开展非独立核算经营活动发生的支出。</w:t>
      </w:r>
    </w:p>
    <w:p>
      <w:pPr>
        <w:pStyle w:val="26"/>
        <w:spacing w:line="560" w:lineRule="exact"/>
        <w:ind w:firstLine="560" w:firstLineChars="200"/>
        <w:rPr>
          <w:rFonts w:hint="eastAsia" w:ascii="仿宋" w:hAnsi="仿宋" w:eastAsia="仿宋" w:cs="仿宋"/>
          <w:sz w:val="28"/>
          <w:szCs w:val="28"/>
        </w:rPr>
      </w:pPr>
      <w:r>
        <w:rPr>
          <w:rFonts w:hint="eastAsia" w:hAnsi="仿宋" w:cs="仿宋"/>
          <w:sz w:val="28"/>
          <w:szCs w:val="28"/>
          <w:lang w:val="en-US" w:eastAsia="zh-CN"/>
        </w:rPr>
        <w:t>21</w:t>
      </w:r>
      <w:r>
        <w:rPr>
          <w:rFonts w:hint="eastAsia" w:ascii="仿宋" w:hAnsi="仿宋" w:eastAsia="仿宋" w:cs="仿宋"/>
          <w:sz w:val="28"/>
          <w:szCs w:val="28"/>
          <w:lang w:val="en-US" w:eastAsia="zh-CN"/>
        </w:rPr>
        <w:t>、</w:t>
      </w:r>
      <w:r>
        <w:rPr>
          <w:rFonts w:hint="eastAsia" w:ascii="仿宋" w:hAnsi="仿宋" w:eastAsia="仿宋" w:cs="仿宋"/>
          <w:sz w:val="28"/>
          <w:szCs w:val="28"/>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560" w:firstLineChars="200"/>
        <w:rPr>
          <w:rFonts w:hint="eastAsia" w:ascii="仿宋" w:hAnsi="仿宋" w:eastAsia="仿宋" w:cs="仿宋"/>
          <w:sz w:val="44"/>
          <w:szCs w:val="44"/>
        </w:rPr>
      </w:pPr>
      <w:r>
        <w:rPr>
          <w:rFonts w:hint="eastAsia" w:hAnsi="仿宋" w:cs="仿宋"/>
          <w:sz w:val="28"/>
          <w:szCs w:val="28"/>
          <w:lang w:val="en-US" w:eastAsia="zh-CN"/>
        </w:rPr>
        <w:t>22</w:t>
      </w:r>
      <w:r>
        <w:rPr>
          <w:rFonts w:hint="eastAsia" w:ascii="仿宋" w:hAnsi="仿宋" w:eastAsia="仿宋" w:cs="仿宋"/>
          <w:sz w:val="28"/>
          <w:szCs w:val="28"/>
          <w:lang w:val="en-US" w:eastAsia="zh-CN"/>
        </w:rPr>
        <w:t>、</w:t>
      </w:r>
      <w:r>
        <w:rPr>
          <w:rFonts w:hint="eastAsia" w:ascii="仿宋" w:hAnsi="仿宋" w:eastAsia="仿宋" w:cs="仿宋"/>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8"/>
          <w:rFonts w:ascii="黑体" w:hAnsi="黑体" w:eastAsia="黑体"/>
          <w:b w:val="0"/>
        </w:rPr>
      </w:pPr>
      <w:r>
        <w:rPr>
          <w:rFonts w:ascii="宋体"/>
          <w:b/>
          <w:sz w:val="44"/>
          <w:szCs w:val="44"/>
        </w:rPr>
        <w:br w:type="page"/>
      </w:r>
      <w:bookmarkStart w:id="90" w:name="_Toc29786"/>
      <w:bookmarkStart w:id="91" w:name="_Toc15396614"/>
      <w:r>
        <w:rPr>
          <w:rFonts w:hint="eastAsia" w:ascii="黑体" w:hAnsi="黑体" w:eastAsia="黑体"/>
          <w:sz w:val="44"/>
          <w:szCs w:val="44"/>
        </w:rPr>
        <w:t>第</w:t>
      </w:r>
      <w:r>
        <w:rPr>
          <w:rStyle w:val="28"/>
          <w:rFonts w:hint="eastAsia" w:ascii="黑体" w:hAnsi="黑体" w:eastAsia="黑体"/>
          <w:b w:val="0"/>
        </w:rPr>
        <w:t>四部分 附件</w:t>
      </w:r>
      <w:bookmarkEnd w:id="90"/>
      <w:bookmarkEnd w:id="91"/>
    </w:p>
    <w:p>
      <w:pPr>
        <w:spacing w:line="572" w:lineRule="exact"/>
        <w:jc w:val="left"/>
        <w:outlineLvl w:val="9"/>
        <w:rPr>
          <w:rFonts w:ascii="仿宋_GB2312" w:hAnsi="仿宋_GB2312" w:eastAsia="仿宋_GB2312" w:cs="仿宋_GB2312"/>
          <w:sz w:val="32"/>
          <w:szCs w:val="32"/>
        </w:rPr>
      </w:pPr>
    </w:p>
    <w:p>
      <w:pPr>
        <w:spacing w:line="600" w:lineRule="exact"/>
        <w:jc w:val="center"/>
        <w:outlineLvl w:val="1"/>
        <w:rPr>
          <w:rFonts w:ascii="黑体" w:hAnsi="黑体" w:eastAsia="黑体"/>
          <w:color w:val="FF0000"/>
          <w:sz w:val="44"/>
          <w:szCs w:val="44"/>
        </w:rPr>
      </w:pPr>
      <w:bookmarkStart w:id="92" w:name="_Toc109"/>
      <w:bookmarkStart w:id="93" w:name="_Toc15396618"/>
      <w:r>
        <w:rPr>
          <w:rFonts w:hint="eastAsia"/>
          <w:sz w:val="32"/>
          <w:szCs w:val="32"/>
        </w:rPr>
        <w:t>部门预算项目支出绩效自评表（202</w:t>
      </w:r>
      <w:r>
        <w:rPr>
          <w:rFonts w:hint="eastAsia"/>
          <w:sz w:val="32"/>
          <w:szCs w:val="32"/>
          <w:lang w:val="en-US" w:eastAsia="zh-CN"/>
        </w:rPr>
        <w:t>4</w:t>
      </w:r>
      <w:r>
        <w:rPr>
          <w:rFonts w:hint="eastAsia"/>
          <w:sz w:val="32"/>
          <w:szCs w:val="32"/>
        </w:rPr>
        <w:t>年度）</w:t>
      </w:r>
      <w:bookmarkEnd w:id="92"/>
    </w:p>
    <w:p>
      <w:pPr>
        <w:pStyle w:val="2"/>
        <w:spacing w:line="560" w:lineRule="exact"/>
        <w:ind w:left="0" w:leftChars="0" w:firstLine="640"/>
        <w:rPr>
          <w:sz w:val="32"/>
        </w:rPr>
      </w:pP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014"/>
        <w:gridCol w:w="2479"/>
        <w:gridCol w:w="882"/>
        <w:gridCol w:w="441"/>
        <w:gridCol w:w="915"/>
        <w:gridCol w:w="994"/>
        <w:gridCol w:w="228"/>
        <w:gridCol w:w="228"/>
        <w:gridCol w:w="456"/>
        <w:gridCol w:w="456"/>
        <w:gridCol w:w="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80" w:hRule="atLeast"/>
        </w:trPr>
        <w:tc>
          <w:tcPr>
            <w:tcW w:w="0" w:type="auto"/>
            <w:gridSpan w:val="11"/>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老干部特困补贴、特需费、参观考察费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主管部门：</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组织部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实施单位：</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五通桥区老干部活动中心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gridSpan w:val="11"/>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gridSpan w:val="2"/>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9.11</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9.11</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其中：财政拨款</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9.11</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9.11</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年度总体目标</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预期目标</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1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gridSpan w:val="4"/>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通过项目的实施，为组织好老干部政治学习、阅文、情况通报、参观考察、参加重要会议、活动，坚持走访慰问、生病看望、生日慰问等工作提供经费保障，达到丰富老干部晚年生活、关心、关爱老干部、提高老干部凝聚力的目标。同时，不断提高全区老干部对本单位服务工作的满意度。</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基本完成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年度指标值</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实际完成值</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（百分制）</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408" w:hRule="atLeast"/>
        </w:trPr>
        <w:tc>
          <w:tcPr>
            <w:tcW w:w="0" w:type="auto"/>
            <w:gridSpan w:val="7"/>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    分</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预算执行率（10分）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数量指标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给予无退休工资的老干部遗孀困难补助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≥13人/年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≥13人/年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帮助40名老干部订阅一报一刊</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≥40份</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≥40份</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给予老干部重病住院、做大手术等困难补助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≥8人/年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≥8人/年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给予老干部及遗孀突发情况困难补助</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≥8人/年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≥8人/年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老干部生日慰问发放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代为办理30名老干部省外参观考察关事宜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质量指标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老干部特困补贴、特需费、参观考察工作完成合格率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时效指标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老干部特困补贴、特需费、参观考察完成及时率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成本指标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老干部特困补贴、特需费、参观考察费本年金额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＝9.11万元</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＝9.11万元</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社会效益指标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丰富老干部晚年生活、关心、关爱老干部、提高老干部凝聚力，减少不稳定事件的发生</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0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可持续影响指标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老干部特困补贴、特需费、参观考察管理工作机制健全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老干部日常活动管理机制健全性还需不断提高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老干部及其家属满意度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gridSpan w:val="11"/>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老干部相关工作经费</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组织部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实施单位：</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五通桥区老干部活动中心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11"/>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w:t>
            </w:r>
          </w:p>
        </w:tc>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19.73</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19.73</w:t>
            </w:r>
          </w:p>
        </w:tc>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19.73</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19.73</w:t>
            </w:r>
          </w:p>
        </w:tc>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年度总体目标</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预期目标</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gridSpan w:val="4"/>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通过以上项目的实施，为完成本单位做好全区离退休干部服务等日常管理事务相关工作提供经费保障，为老干部送政策、送知识、送温暖、送关爱、应诉求，达到提高老干部身心健康指数、晚年幸福指数的目标。不断提高全区老干部对本单位服务工作的满意度。</w:t>
            </w:r>
          </w:p>
        </w:tc>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基本完成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实际完成值</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（百分制）</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    分</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预算执行率（10分）</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产出指标</w:t>
            </w:r>
          </w:p>
        </w:tc>
        <w:tc>
          <w:tcPr>
            <w:tcW w:w="0" w:type="auto"/>
            <w:vMerge w:val="restar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老干部春节、国庆节、重阳节慰问座谈会</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等于3次/年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等于3次/年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nil"/>
              <w:right w:val="nil"/>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老干部病丧慰问</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≥30次/年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nil"/>
              <w:right w:val="nil"/>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老干部日常活动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nil"/>
              <w:right w:val="nil"/>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老干部体检工作</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3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老干部事务相关工作经费准确率</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5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老干部春节、国庆节、重阳节慰问金发放及时率</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5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老干部事务相关工作经费</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＝19.73万元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＝19.73万元</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做好老干部待遇落实、服务管理、活动组织</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优良</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老干部日常活动管理机制健全性</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优良</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优良</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 xml:space="preserve">10 </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老干部满意度</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w:t>
            </w:r>
          </w:p>
        </w:tc>
        <w:tc>
          <w:tcPr>
            <w:tcW w:w="0" w:type="auto"/>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老干部及其家属满意度有待提高</w:t>
            </w:r>
          </w:p>
        </w:tc>
      </w:tr>
    </w:tbl>
    <w:p>
      <w:pPr>
        <w:pStyle w:val="7"/>
        <w:spacing w:before="93"/>
        <w:rPr>
          <w:rFonts w:hAnsi="Calibri" w:cs="仿宋"/>
          <w:sz w:val="32"/>
          <w:szCs w:val="32"/>
        </w:rPr>
      </w:pP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44"/>
        <w:gridCol w:w="1296"/>
        <w:gridCol w:w="2036"/>
        <w:gridCol w:w="1217"/>
        <w:gridCol w:w="1217"/>
        <w:gridCol w:w="524"/>
        <w:gridCol w:w="524"/>
        <w:gridCol w:w="3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0" w:type="auto"/>
            <w:gridSpan w:val="8"/>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企业退休干部提高待遇补助（市属企业）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组织部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五通桥区老干部活动中心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13.83</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13.83</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13.83</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13.83</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通过以上项目的实施，为落实好全区企业退休干部的生活待遇提供资金保障，达到提高企业退休干部的凝聚力，保证社会稳定的目标。同时，不断提高全区企业退休干部的满意度。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基本完成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（百分制）</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    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预算执行率（10分）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认真统计补助人数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制作补助表按实上报财政审核报批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做好企业退休干部提高待遇补助预算工作</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做好企业退休干部提高待遇补助决算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核实认证补助人员名单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企业退休干部提高待遇补助发放准确率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企业退休干部提高待遇补助发放及时率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市属企业退休干部提高待遇补助预算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＝13.83万元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＝13.83万元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提高企业退休干部待遇，保证社会稳定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提高建国初期人员补助增长机制</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好</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市属企业退休干部补贴管理机制健全性还需不断提高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市属企业退休干部的满意度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区属企业退休干部满意度有待提高</w:t>
            </w:r>
          </w:p>
        </w:tc>
      </w:tr>
    </w:tbl>
    <w:p>
      <w:pPr>
        <w:pStyle w:val="7"/>
        <w:spacing w:before="93"/>
        <w:rPr>
          <w:rFonts w:hAnsi="Calibri" w:cs="仿宋"/>
          <w:sz w:val="32"/>
          <w:szCs w:val="32"/>
        </w:rPr>
      </w:pP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44"/>
        <w:gridCol w:w="1296"/>
        <w:gridCol w:w="2036"/>
        <w:gridCol w:w="1217"/>
        <w:gridCol w:w="1217"/>
        <w:gridCol w:w="524"/>
        <w:gridCol w:w="524"/>
        <w:gridCol w:w="3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0" w:type="auto"/>
            <w:gridSpan w:val="8"/>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企业退休干部提高待遇补助（区属企业）</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组织部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五通桥区老干部活动中心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19.89</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19.89</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19.89</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19.89</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通过以上项目的实施，为落实好全区企业退休干部的生活待遇提供资金保障，达到提高企业退休干部的凝聚力，保证社会稳定的目标。同时，不断提高全区企业退休干部的满意度。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基本完成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（百分制）</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    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预算执行率（10分）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认真统计应发待遇补助人数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制作补助表按实上报财政审核报批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做好企业退休干部提高待遇补助决算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做好企业退休干部提高待遇补助预算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核实认证补助人员名单</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建国初期人员补助发放完成准确率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建国初期人员补助发放完成及时率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区属企事业退休干部提高待遇补助预算</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＝19.89万元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＝19.89万元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提高企业退休干部待遇，保证社会稳定</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建国初期人员补助增长机制</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区属企业退休干部补贴管理机制健全性还需不断提高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全区企业退休干部的满意度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区属企业退休干部满意度有待提高</w:t>
            </w:r>
          </w:p>
        </w:tc>
      </w:tr>
    </w:tbl>
    <w:p>
      <w:pPr>
        <w:pStyle w:val="7"/>
        <w:spacing w:before="93"/>
        <w:rPr>
          <w:rFonts w:hAnsi="Calibri" w:cs="仿宋"/>
          <w:sz w:val="32"/>
          <w:szCs w:val="32"/>
        </w:rPr>
      </w:pP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324"/>
        <w:gridCol w:w="1379"/>
        <w:gridCol w:w="2044"/>
        <w:gridCol w:w="1139"/>
        <w:gridCol w:w="1064"/>
        <w:gridCol w:w="548"/>
        <w:gridCol w:w="548"/>
        <w:gridCol w:w="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0" w:type="auto"/>
            <w:gridSpan w:val="8"/>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四老工作经费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组织部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五通桥区老干部活动中心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通过以上项目的实施，为组织老干部开展丰富多彩、健康向上、寓教于乐的文体活动提供资金保障，达到提高全区老干部的身心健康、满足全区老干部精神生活需求的目标。同时，不断提高全区老干部对本单位服务工作的满意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基本完成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（百分制）</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    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预算执行率（10分）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7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产出指标</w:t>
            </w:r>
          </w:p>
        </w:tc>
        <w:tc>
          <w:tcPr>
            <w:tcW w:w="0" w:type="auto"/>
            <w:vMerge w:val="restart"/>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开展组织开展各项符合老同志特点的政治宣传、书画研究、文化娱乐、体育健身等活动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nil"/>
              <w:right w:val="nil"/>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开展学校公共活动、教学活动安排、总结会等</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nil"/>
              <w:right w:val="nil"/>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开展农村科技培训、示范户指导、科普进校园、科技、卫生、法律“三下乡”活动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vMerge w:val="continue"/>
            <w:tcBorders>
              <w:top w:val="single" w:color="000000" w:sz="4" w:space="0"/>
              <w:left w:val="single" w:color="000000" w:sz="4" w:space="0"/>
              <w:bottom w:val="nil"/>
              <w:right w:val="nil"/>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bdr w:val="none" w:color="auto" w:sz="0" w:space="0"/>
                <w:lang w:val="en-US" w:eastAsia="zh-CN" w:bidi="ar"/>
              </w:rPr>
              <w:t>组织全区老年人参加形式多样、有益老年人身心健康的文体活动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≥12次/年</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四老工作完成合格率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四老管理工作及时率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四老工作经费成本控制数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=32万元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=32万元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提升全区老年人的幸福指数</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老干部工作机制健全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资金管理机制健全性还需不断提高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bdr w:val="none" w:color="auto" w:sz="0" w:space="0"/>
                <w:lang w:val="en-US" w:eastAsia="zh-CN" w:bidi="ar"/>
              </w:rPr>
              <w:t>提升全区老年人的满意度</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bl>
    <w:p>
      <w:pPr>
        <w:pStyle w:val="7"/>
        <w:spacing w:before="93"/>
        <w:rPr>
          <w:rFonts w:hAnsi="Calibri" w:cs="仿宋"/>
          <w:sz w:val="32"/>
          <w:szCs w:val="32"/>
        </w:rPr>
      </w:pP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416"/>
        <w:gridCol w:w="1506"/>
        <w:gridCol w:w="1581"/>
        <w:gridCol w:w="1241"/>
        <w:gridCol w:w="1116"/>
        <w:gridCol w:w="584"/>
        <w:gridCol w:w="576"/>
        <w:gridCol w:w="4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0" w:type="auto"/>
            <w:gridSpan w:val="8"/>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五通桥区老科协换届选举经费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组织部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实施单位：</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五通桥区老干部活动中心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8"/>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nil"/>
            </w:tcBorders>
            <w:shd w:val="clear"/>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全年执行数</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其中：财政拨款</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pPr>
              <w:jc w:val="left"/>
              <w:rPr>
                <w:rFonts w:hint="eastAsia" w:ascii="宋体" w:hAnsi="宋体" w:eastAsia="宋体" w:cs="宋体"/>
                <w:i w:val="0"/>
                <w:iCs w:val="0"/>
                <w:color w:val="000000"/>
                <w:sz w:val="20"/>
                <w:szCs w:val="20"/>
                <w:u w:val="none"/>
              </w:rPr>
            </w:pPr>
          </w:p>
        </w:tc>
        <w:tc>
          <w:tcPr>
            <w:tcW w:w="0" w:type="auto"/>
            <w:gridSpan w:val="3"/>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2024年6月，五通桥区老科协第四届理事会任期届满，区老科协召开了理事会，拟在今年6月（因为人事任免事宜，组织部门要求推迟）召开会员大会进行换届，选举产生新一届理事会。为圆满完成选举工作，特向区政府申请拨款2万元专项经费，用于换届选举工作。</w:t>
            </w:r>
          </w:p>
        </w:tc>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8"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年度指标值</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实际完成值</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分值/权重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（百分制）</w:t>
            </w:r>
          </w:p>
        </w:tc>
        <w:tc>
          <w:tcPr>
            <w:tcW w:w="0" w:type="auto"/>
            <w:tcBorders>
              <w:top w:val="single" w:color="000000" w:sz="4" w:space="0"/>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得分</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0" w:type="auto"/>
            <w:gridSpan w:val="5"/>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得    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预算执行率（10分）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产出指标</w:t>
            </w: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召开换届选举会议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等于1次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等于1次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召开换届选举会议会务资料合格率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召开换届选举会议及时率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召开换届选举会议经费预算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等于2万元</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等于2万元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效益指标</w:t>
            </w: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开展专题调研，科普宣传，法律服务和法律援助工作，为五通桥区经济社会发展建言献策。</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333333"/>
                <w:sz w:val="18"/>
                <w:szCs w:val="18"/>
                <w:u w:val="none"/>
              </w:rPr>
            </w:pP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可持续影响指标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换届选举工作健全性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优</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换届选举参与人员满意率</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bdr w:val="none" w:color="auto" w:sz="0" w:space="0"/>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18"/>
                <w:szCs w:val="18"/>
                <w:u w:val="none"/>
              </w:rPr>
            </w:pPr>
          </w:p>
        </w:tc>
      </w:tr>
    </w:tbl>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spacing w:line="600" w:lineRule="exact"/>
        <w:jc w:val="center"/>
        <w:outlineLvl w:val="0"/>
        <w:rPr>
          <w:rFonts w:hint="eastAsia" w:ascii="黑体" w:hAnsi="黑体" w:eastAsia="黑体"/>
          <w:sz w:val="44"/>
          <w:szCs w:val="44"/>
        </w:rPr>
      </w:pPr>
      <w:bookmarkStart w:id="94" w:name="_Toc28576"/>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8"/>
          <w:rFonts w:hint="eastAsia" w:ascii="黑体" w:hAnsi="黑体" w:eastAsia="黑体"/>
          <w:b w:val="0"/>
        </w:rPr>
        <w:t>五部分 附表</w:t>
      </w:r>
      <w:bookmarkEnd w:id="89"/>
      <w:bookmarkEnd w:id="93"/>
      <w:bookmarkEnd w:id="94"/>
      <w:bookmarkStart w:id="95" w:name="_Toc15396619"/>
    </w:p>
    <w:p>
      <w:pPr>
        <w:pStyle w:val="5"/>
        <w:rPr>
          <w:rFonts w:ascii="仿宋" w:hAnsi="仿宋" w:eastAsia="仿宋"/>
        </w:rPr>
      </w:pPr>
      <w:bookmarkStart w:id="96" w:name="_Toc26803"/>
      <w:r>
        <w:rPr>
          <w:rFonts w:hint="eastAsia" w:ascii="仿宋" w:hAnsi="仿宋" w:eastAsia="仿宋"/>
          <w:b w:val="0"/>
        </w:rPr>
        <w:t>一、收</w:t>
      </w:r>
      <w:r>
        <w:rPr>
          <w:rStyle w:val="29"/>
          <w:rFonts w:hint="eastAsia" w:ascii="仿宋" w:hAnsi="仿宋" w:eastAsia="仿宋"/>
          <w:b w:val="0"/>
          <w:bCs w:val="0"/>
        </w:rPr>
        <w:t>入支出决算总表</w:t>
      </w:r>
      <w:bookmarkEnd w:id="95"/>
      <w:bookmarkEnd w:id="96"/>
    </w:p>
    <w:p>
      <w:pPr>
        <w:pStyle w:val="5"/>
        <w:rPr>
          <w:rFonts w:ascii="仿宋" w:hAnsi="仿宋" w:eastAsia="仿宋"/>
        </w:rPr>
      </w:pPr>
      <w:bookmarkStart w:id="97" w:name="_Toc26276"/>
      <w:bookmarkStart w:id="98" w:name="_Toc15396620"/>
      <w:r>
        <w:rPr>
          <w:rFonts w:hint="eastAsia" w:ascii="仿宋" w:hAnsi="仿宋" w:eastAsia="仿宋"/>
          <w:b w:val="0"/>
        </w:rPr>
        <w:t>二、收</w:t>
      </w:r>
      <w:r>
        <w:rPr>
          <w:rStyle w:val="29"/>
          <w:rFonts w:hint="eastAsia" w:ascii="仿宋" w:hAnsi="仿宋" w:eastAsia="仿宋"/>
          <w:b w:val="0"/>
          <w:bCs w:val="0"/>
        </w:rPr>
        <w:t>入决算表</w:t>
      </w:r>
      <w:bookmarkEnd w:id="97"/>
      <w:bookmarkEnd w:id="98"/>
    </w:p>
    <w:p>
      <w:pPr>
        <w:pStyle w:val="5"/>
        <w:rPr>
          <w:rFonts w:ascii="仿宋" w:hAnsi="仿宋" w:eastAsia="仿宋"/>
        </w:rPr>
      </w:pPr>
      <w:bookmarkStart w:id="99" w:name="_Toc14794"/>
      <w:bookmarkStart w:id="100"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99"/>
      <w:bookmarkEnd w:id="100"/>
    </w:p>
    <w:p>
      <w:pPr>
        <w:pStyle w:val="5"/>
        <w:rPr>
          <w:rFonts w:ascii="仿宋" w:hAnsi="仿宋" w:eastAsia="仿宋"/>
          <w:b w:val="0"/>
        </w:rPr>
      </w:pPr>
      <w:bookmarkStart w:id="101" w:name="_Toc26"/>
      <w:bookmarkStart w:id="102" w:name="_Toc15396622"/>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101"/>
      <w:bookmarkEnd w:id="102"/>
    </w:p>
    <w:p>
      <w:pPr>
        <w:pStyle w:val="5"/>
        <w:rPr>
          <w:rStyle w:val="29"/>
          <w:rFonts w:ascii="仿宋" w:hAnsi="仿宋" w:eastAsia="仿宋"/>
          <w:b w:val="0"/>
          <w:bCs w:val="0"/>
        </w:rPr>
      </w:pPr>
      <w:bookmarkStart w:id="103" w:name="_Toc15396623"/>
      <w:bookmarkStart w:id="104" w:name="_Toc14804"/>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103"/>
      <w:bookmarkEnd w:id="104"/>
      <w:bookmarkStart w:id="105" w:name="_Toc15396624"/>
    </w:p>
    <w:p>
      <w:pPr>
        <w:pStyle w:val="5"/>
        <w:rPr>
          <w:rFonts w:ascii="仿宋" w:hAnsi="仿宋" w:eastAsia="仿宋"/>
        </w:rPr>
      </w:pPr>
      <w:bookmarkStart w:id="106" w:name="_Toc17113"/>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105"/>
      <w:bookmarkEnd w:id="106"/>
    </w:p>
    <w:p>
      <w:pPr>
        <w:pStyle w:val="5"/>
        <w:rPr>
          <w:rFonts w:ascii="仿宋" w:hAnsi="仿宋" w:eastAsia="仿宋"/>
        </w:rPr>
      </w:pPr>
      <w:bookmarkStart w:id="107" w:name="_Toc15396625"/>
      <w:bookmarkStart w:id="108" w:name="_Toc12446"/>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107"/>
      <w:bookmarkEnd w:id="108"/>
    </w:p>
    <w:p>
      <w:pPr>
        <w:pStyle w:val="5"/>
        <w:rPr>
          <w:rFonts w:ascii="仿宋" w:hAnsi="仿宋" w:eastAsia="仿宋"/>
        </w:rPr>
      </w:pPr>
      <w:bookmarkStart w:id="109" w:name="_Toc2692"/>
      <w:bookmarkStart w:id="110"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09"/>
      <w:bookmarkEnd w:id="110"/>
    </w:p>
    <w:p>
      <w:pPr>
        <w:pStyle w:val="5"/>
        <w:rPr>
          <w:rFonts w:ascii="仿宋" w:hAnsi="仿宋" w:eastAsia="仿宋"/>
        </w:rPr>
      </w:pPr>
      <w:bookmarkStart w:id="111" w:name="_Toc15396627"/>
      <w:bookmarkStart w:id="112" w:name="_Toc6691"/>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11"/>
      <w:bookmarkEnd w:id="112"/>
    </w:p>
    <w:p>
      <w:pPr>
        <w:pStyle w:val="5"/>
        <w:rPr>
          <w:rFonts w:ascii="仿宋" w:hAnsi="仿宋" w:eastAsia="仿宋"/>
        </w:rPr>
      </w:pPr>
      <w:bookmarkStart w:id="113" w:name="_Toc15396628"/>
      <w:bookmarkStart w:id="114" w:name="_Toc16004"/>
      <w:r>
        <w:rPr>
          <w:rStyle w:val="29"/>
          <w:rFonts w:hint="eastAsia" w:ascii="仿宋" w:hAnsi="仿宋" w:eastAsia="仿宋"/>
          <w:b w:val="0"/>
          <w:bCs w:val="0"/>
        </w:rPr>
        <w:t>十、</w:t>
      </w:r>
      <w:bookmarkEnd w:id="113"/>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14"/>
    </w:p>
    <w:p>
      <w:pPr>
        <w:pStyle w:val="5"/>
        <w:rPr>
          <w:rFonts w:ascii="仿宋" w:hAnsi="仿宋" w:eastAsia="仿宋"/>
        </w:rPr>
      </w:pPr>
      <w:bookmarkStart w:id="115" w:name="_Toc15396629"/>
      <w:bookmarkStart w:id="116" w:name="_Toc5658"/>
      <w:r>
        <w:rPr>
          <w:rStyle w:val="29"/>
          <w:rFonts w:hint="eastAsia" w:ascii="仿宋" w:hAnsi="仿宋" w:eastAsia="仿宋"/>
          <w:b w:val="0"/>
          <w:bCs w:val="0"/>
        </w:rPr>
        <w:t>十一、</w:t>
      </w:r>
      <w:bookmarkEnd w:id="115"/>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16"/>
    </w:p>
    <w:p>
      <w:pPr>
        <w:pStyle w:val="5"/>
        <w:rPr>
          <w:rFonts w:ascii="仿宋" w:hAnsi="仿宋" w:eastAsia="仿宋"/>
        </w:rPr>
      </w:pPr>
      <w:bookmarkStart w:id="117" w:name="_Toc15396630"/>
      <w:bookmarkStart w:id="118" w:name="_Toc17884"/>
      <w:r>
        <w:rPr>
          <w:rStyle w:val="29"/>
          <w:rFonts w:hint="eastAsia" w:ascii="仿宋" w:hAnsi="仿宋" w:eastAsia="仿宋"/>
          <w:b w:val="0"/>
          <w:bCs w:val="0"/>
        </w:rPr>
        <w:t>十二、</w:t>
      </w:r>
      <w:bookmarkEnd w:id="117"/>
      <w:r>
        <w:rPr>
          <w:rStyle w:val="29"/>
          <w:rFonts w:hint="eastAsia" w:ascii="仿宋" w:hAnsi="仿宋" w:eastAsia="仿宋"/>
          <w:b w:val="0"/>
          <w:bCs w:val="0"/>
        </w:rPr>
        <w:t>国有资本经营预算财政拨款支出决算表</w:t>
      </w:r>
      <w:bookmarkEnd w:id="118"/>
    </w:p>
    <w:p>
      <w:pPr>
        <w:pStyle w:val="5"/>
        <w:rPr>
          <w:rStyle w:val="29"/>
          <w:rFonts w:hint="eastAsia" w:ascii="仿宋" w:hAnsi="仿宋" w:eastAsia="仿宋"/>
          <w:b w:val="0"/>
          <w:bCs w:val="0"/>
        </w:rPr>
      </w:pPr>
      <w:bookmarkStart w:id="119" w:name="_Toc15396631"/>
      <w:bookmarkStart w:id="120" w:name="_Toc17659"/>
      <w:r>
        <w:rPr>
          <w:rStyle w:val="29"/>
          <w:rFonts w:hint="eastAsia" w:ascii="仿宋" w:hAnsi="仿宋" w:eastAsia="仿宋"/>
          <w:b w:val="0"/>
          <w:bCs w:val="0"/>
        </w:rPr>
        <w:t>十三、</w:t>
      </w:r>
      <w:bookmarkEnd w:id="119"/>
      <w:r>
        <w:rPr>
          <w:rStyle w:val="29"/>
          <w:rFonts w:hint="eastAsia" w:ascii="仿宋" w:hAnsi="仿宋" w:eastAsia="仿宋"/>
          <w:b w:val="0"/>
          <w:bCs w:val="0"/>
        </w:rPr>
        <w:t>财政拨款“三公”经费支出决算表</w:t>
      </w:r>
      <w:bookmarkEnd w:id="120"/>
    </w:p>
    <w:p>
      <w:pPr>
        <w:rPr>
          <w:rFonts w:hint="eastAsia" w:eastAsia="仿宋"/>
          <w:lang w:eastAsia="zh-CN"/>
        </w:rPr>
      </w:pPr>
      <w:r>
        <w:rPr>
          <w:rStyle w:val="29"/>
          <w:rFonts w:hint="eastAsia" w:ascii="仿宋" w:hAnsi="仿宋" w:eastAsia="仿宋"/>
          <w:b w:val="0"/>
          <w:bCs w:val="0"/>
          <w:lang w:eastAsia="zh-CN"/>
        </w:rPr>
        <w:t>注：以上附表详见《五通桥区老干部活动中心2024决算公开表》</w:t>
      </w:r>
    </w:p>
    <w:sectPr>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MingLiU-ExtB">
    <w:panose1 w:val="02020500000000000000"/>
    <w:charset w:val="88"/>
    <w:family w:val="auto"/>
    <w:pitch w:val="default"/>
    <w:sig w:usb0="8000002F" w:usb1="02000008" w:usb2="00000000" w:usb3="00000000" w:csb0="00100001"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sdt>
                    <w:sdtPr>
                      <w:id w:val="-1994781956"/>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A6513"/>
    <w:rsid w:val="01BF0437"/>
    <w:rsid w:val="03DC2831"/>
    <w:rsid w:val="05A24692"/>
    <w:rsid w:val="081B5E94"/>
    <w:rsid w:val="0A2032A3"/>
    <w:rsid w:val="0B8A37D8"/>
    <w:rsid w:val="0F5FFB2F"/>
    <w:rsid w:val="0FFFCF60"/>
    <w:rsid w:val="10C055FF"/>
    <w:rsid w:val="118107EC"/>
    <w:rsid w:val="11DD6519"/>
    <w:rsid w:val="12D06040"/>
    <w:rsid w:val="1571672E"/>
    <w:rsid w:val="16BB723D"/>
    <w:rsid w:val="18015F3F"/>
    <w:rsid w:val="1BE8440E"/>
    <w:rsid w:val="1C7D1845"/>
    <w:rsid w:val="1D116FEE"/>
    <w:rsid w:val="1D155CEE"/>
    <w:rsid w:val="1FDBBF84"/>
    <w:rsid w:val="207E1436"/>
    <w:rsid w:val="20F57F95"/>
    <w:rsid w:val="22CC58EC"/>
    <w:rsid w:val="240371BF"/>
    <w:rsid w:val="25711CC6"/>
    <w:rsid w:val="25C741E6"/>
    <w:rsid w:val="276F80C0"/>
    <w:rsid w:val="27842671"/>
    <w:rsid w:val="29FD04D3"/>
    <w:rsid w:val="2ABE7A3E"/>
    <w:rsid w:val="2AFF09B6"/>
    <w:rsid w:val="2CA234A8"/>
    <w:rsid w:val="2EFA178C"/>
    <w:rsid w:val="2EFDF86C"/>
    <w:rsid w:val="2F9D17E1"/>
    <w:rsid w:val="30B46D73"/>
    <w:rsid w:val="319F7F4E"/>
    <w:rsid w:val="352D3F09"/>
    <w:rsid w:val="356A28F1"/>
    <w:rsid w:val="357C035A"/>
    <w:rsid w:val="368E000D"/>
    <w:rsid w:val="373C258F"/>
    <w:rsid w:val="383D272C"/>
    <w:rsid w:val="39AE70AB"/>
    <w:rsid w:val="3A4DCE41"/>
    <w:rsid w:val="3BCB56FA"/>
    <w:rsid w:val="3C0C0783"/>
    <w:rsid w:val="3EE7C2F4"/>
    <w:rsid w:val="3F371B56"/>
    <w:rsid w:val="3F792ED8"/>
    <w:rsid w:val="3F9F3A96"/>
    <w:rsid w:val="3FECA4B2"/>
    <w:rsid w:val="3FF58C48"/>
    <w:rsid w:val="42FF6694"/>
    <w:rsid w:val="46AB6859"/>
    <w:rsid w:val="48BF60AB"/>
    <w:rsid w:val="493C27E9"/>
    <w:rsid w:val="496F39ED"/>
    <w:rsid w:val="49FF41D3"/>
    <w:rsid w:val="4BE068DB"/>
    <w:rsid w:val="4BF6002B"/>
    <w:rsid w:val="4BFFC6BE"/>
    <w:rsid w:val="4DB16423"/>
    <w:rsid w:val="4ECE2238"/>
    <w:rsid w:val="51DB4B86"/>
    <w:rsid w:val="51F64DB0"/>
    <w:rsid w:val="55333C3E"/>
    <w:rsid w:val="555B36C8"/>
    <w:rsid w:val="56110E8F"/>
    <w:rsid w:val="5A9B2FFA"/>
    <w:rsid w:val="5F67802D"/>
    <w:rsid w:val="5F7DC4F2"/>
    <w:rsid w:val="5FB36814"/>
    <w:rsid w:val="5FBB8E56"/>
    <w:rsid w:val="5FFB5535"/>
    <w:rsid w:val="64CA39A1"/>
    <w:rsid w:val="693C1ECC"/>
    <w:rsid w:val="69630ADE"/>
    <w:rsid w:val="69BD5F13"/>
    <w:rsid w:val="69FB0B4B"/>
    <w:rsid w:val="6B6822E6"/>
    <w:rsid w:val="6BFFE1FB"/>
    <w:rsid w:val="6C4A05C8"/>
    <w:rsid w:val="6D3B1A89"/>
    <w:rsid w:val="6DB7D8A3"/>
    <w:rsid w:val="6EC78701"/>
    <w:rsid w:val="6F7A5481"/>
    <w:rsid w:val="6FFE07A9"/>
    <w:rsid w:val="70751315"/>
    <w:rsid w:val="71BF4EC2"/>
    <w:rsid w:val="72734D90"/>
    <w:rsid w:val="73E75B71"/>
    <w:rsid w:val="740A758F"/>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6008A5"/>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spacing w:after="120"/>
      <w:ind w:left="200" w:leftChars="200"/>
    </w:pPr>
    <w:rPr>
      <w:rFonts w:ascii="仿宋_GB2312"/>
      <w:szCs w:val="32"/>
    </w:rPr>
  </w:style>
  <w:style w:type="paragraph" w:styleId="7">
    <w:name w:val="Body Text"/>
    <w:basedOn w:val="1"/>
    <w:link w:val="25"/>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rPr>
      <w:sz w:val="24"/>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7"/>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4"/>
    <w:qFormat/>
    <w:uiPriority w:val="9"/>
    <w:rPr>
      <w:rFonts w:ascii="Times New Roman" w:hAnsi="Times New Roman"/>
      <w:b/>
      <w:bCs/>
      <w:kern w:val="44"/>
      <w:sz w:val="44"/>
      <w:szCs w:val="44"/>
    </w:rPr>
  </w:style>
  <w:style w:type="character" w:customStyle="1" w:styleId="29">
    <w:name w:val="标题 2 字符"/>
    <w:basedOn w:val="16"/>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6"/>
    <w:qFormat/>
    <w:uiPriority w:val="9"/>
    <w:rPr>
      <w:rFonts w:ascii="Times New Roman" w:hAnsi="Times New Roman"/>
      <w:b/>
      <w:bCs/>
      <w:kern w:val="2"/>
      <w:sz w:val="32"/>
      <w:szCs w:val="32"/>
    </w:rPr>
  </w:style>
  <w:style w:type="paragraph" w:customStyle="1" w:styleId="33">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Char Char Char Char Char Char Char Char Char Char Char Char Char Char1 Char Char Char Char"/>
    <w:basedOn w:val="1"/>
    <w:qFormat/>
    <w:uiPriority w:val="0"/>
    <w:rPr>
      <w:rFonts w:ascii="Times New Roman" w:hAnsi="Times New Roman"/>
      <w:szCs w:val="21"/>
    </w:rPr>
  </w:style>
  <w:style w:type="paragraph" w:customStyle="1" w:styleId="35">
    <w:name w:val="WPSOffice手动目录 1"/>
    <w:uiPriority w:val="0"/>
    <w:pPr>
      <w:ind w:leftChars="0"/>
    </w:pPr>
    <w:rPr>
      <w:rFonts w:asciiTheme="minorHAnsi" w:hAnsiTheme="minorHAnsi" w:eastAsiaTheme="minorEastAsia" w:cstheme="minorBidi"/>
      <w:sz w:val="20"/>
      <w:szCs w:val="20"/>
    </w:rPr>
  </w:style>
  <w:style w:type="paragraph" w:customStyle="1" w:styleId="36">
    <w:name w:val="WPSOffice手动目录 2"/>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28</Pages>
  <Words>1142</Words>
  <Characters>6514</Characters>
  <Lines>54</Lines>
  <Paragraphs>15</Paragraphs>
  <TotalTime>30</TotalTime>
  <ScaleCrop>false</ScaleCrop>
  <LinksUpToDate>false</LinksUpToDate>
  <CharactersWithSpaces>7641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Administrator</cp:lastModifiedBy>
  <cp:lastPrinted>2023-08-03T02:35:00Z</cp:lastPrinted>
  <dcterms:modified xsi:type="dcterms:W3CDTF">2025-10-23T04:52:00Z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1EEBD8ECE8904017BBFB7FCF952D9721_12</vt:lpwstr>
  </property>
</Properties>
</file>