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7"/>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77193"/>
      <w:bookmarkStart w:id="2" w:name="_Toc15396597"/>
      <w:bookmarkStart w:id="3" w:name="_Toc15378441"/>
      <w:bookmarkStart w:id="4" w:name="_Toc15377425"/>
      <w:bookmarkStart w:id="5" w:name="_Toc15396475"/>
      <w:bookmarkStart w:id="6" w:name="_Toc17630"/>
      <w:r>
        <w:rPr>
          <w:rFonts w:hint="eastAsia" w:ascii="方正小标宋简体" w:hAnsi="方正小标宋简体" w:eastAsia="方正小标宋简体" w:cs="方正小标宋简体"/>
          <w:sz w:val="72"/>
          <w:szCs w:val="72"/>
        </w:rPr>
        <w:t>202</w:t>
      </w:r>
      <w:r>
        <w:rPr>
          <w:rFonts w:hint="eastAsia" w:ascii="方正小标宋简体" w:hAnsi="方正小标宋简体" w:eastAsia="方正小标宋简体" w:cs="方正小标宋简体"/>
          <w:sz w:val="72"/>
          <w:szCs w:val="72"/>
          <w:lang w:val="en-US" w:eastAsia="zh-CN"/>
        </w:rPr>
        <w:t>4</w:t>
      </w:r>
      <w:r>
        <w:rPr>
          <w:rFonts w:hint="eastAsia" w:ascii="方正小标宋简体" w:hAnsi="方正小标宋简体" w:eastAsia="方正小标宋简体" w:cs="方正小标宋简体"/>
          <w:sz w:val="72"/>
          <w:szCs w:val="72"/>
        </w:rPr>
        <w:t>年度</w:t>
      </w:r>
      <w:bookmarkEnd w:id="1"/>
      <w:bookmarkEnd w:id="2"/>
      <w:bookmarkEnd w:id="3"/>
      <w:bookmarkEnd w:id="4"/>
      <w:bookmarkEnd w:id="5"/>
      <w:bookmarkEnd w:id="6"/>
    </w:p>
    <w:bookmarkEnd w:id="0"/>
    <w:p>
      <w:pPr>
        <w:adjustRightInd w:val="0"/>
        <w:snapToGrid w:val="0"/>
        <w:spacing w:line="360" w:lineRule="auto"/>
        <w:jc w:val="center"/>
        <w:outlineLvl w:val="0"/>
        <w:rPr>
          <w:rFonts w:hint="eastAsia" w:ascii="方正小标宋简体" w:hAnsi="方正小标宋简体" w:eastAsia="方正小标宋简体" w:cs="方正小标宋简体"/>
          <w:sz w:val="72"/>
          <w:szCs w:val="72"/>
        </w:rPr>
      </w:pPr>
      <w:bookmarkStart w:id="7" w:name="_Toc15378442"/>
      <w:bookmarkStart w:id="8" w:name="_Toc15306268"/>
      <w:bookmarkStart w:id="9" w:name="_Toc15377426"/>
      <w:bookmarkStart w:id="10" w:name="_Toc10643"/>
      <w:bookmarkStart w:id="11" w:name="_Toc15396598"/>
      <w:bookmarkStart w:id="12" w:name="_Toc15377194"/>
      <w:bookmarkStart w:id="13" w:name="_Toc15396476"/>
      <w:r>
        <w:rPr>
          <w:rFonts w:hint="eastAsia" w:ascii="方正小标宋简体" w:hAnsi="方正小标宋简体" w:eastAsia="方正小标宋简体" w:cs="方正小标宋简体"/>
          <w:sz w:val="72"/>
          <w:szCs w:val="72"/>
          <w:lang w:val="en-US" w:eastAsia="zh-CN"/>
        </w:rPr>
        <w:t>四川省</w:t>
      </w:r>
      <w:r>
        <w:rPr>
          <w:rFonts w:hint="eastAsia" w:ascii="方正小标宋简体" w:hAnsi="方正小标宋简体" w:eastAsia="方正小标宋简体" w:cs="方正小标宋简体"/>
          <w:sz w:val="72"/>
          <w:szCs w:val="72"/>
        </w:rPr>
        <w:t>乐山市五通桥区</w:t>
      </w:r>
    </w:p>
    <w:p>
      <w:pPr>
        <w:adjustRightInd w:val="0"/>
        <w:snapToGrid w:val="0"/>
        <w:spacing w:line="360" w:lineRule="auto"/>
        <w:jc w:val="center"/>
        <w:outlineLvl w:val="0"/>
        <w:rPr>
          <w:rFonts w:ascii="方正小标宋简体" w:hAnsi="方正小标宋简体" w:eastAsia="方正小标宋简体" w:cs="方正小标宋简体"/>
          <w:w w:val="95"/>
          <w:sz w:val="72"/>
          <w:szCs w:val="72"/>
        </w:rPr>
      </w:pPr>
      <w:r>
        <w:rPr>
          <w:rFonts w:hint="eastAsia" w:ascii="方正小标宋简体" w:hAnsi="方正小标宋简体" w:eastAsia="方正小标宋简体" w:cs="方正小标宋简体"/>
          <w:w w:val="95"/>
          <w:sz w:val="72"/>
          <w:szCs w:val="72"/>
        </w:rPr>
        <w:t>科技开发服务中心单位决算</w:t>
      </w:r>
      <w:bookmarkEnd w:id="7"/>
      <w:bookmarkEnd w:id="8"/>
      <w:bookmarkEnd w:id="9"/>
      <w:bookmarkEnd w:id="10"/>
      <w:bookmarkEnd w:id="11"/>
      <w:bookmarkEnd w:id="12"/>
      <w:bookmarkEnd w:id="13"/>
    </w:p>
    <w:p>
      <w:pPr>
        <w:widowControl/>
        <w:jc w:val="center"/>
        <w:rPr>
          <w:rFonts w:hint="eastAsia" w:ascii="黑体" w:hAnsi="黑体" w:eastAsia="黑体"/>
          <w:sz w:val="48"/>
          <w:szCs w:val="48"/>
        </w:rPr>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pPr>
    </w:p>
    <w:p>
      <w:pPr>
        <w:widowControl/>
        <w:jc w:val="center"/>
        <w:rPr>
          <w:rFonts w:ascii="黑体" w:hAnsi="黑体" w:eastAsia="黑体"/>
          <w:sz w:val="48"/>
          <w:szCs w:val="48"/>
        </w:rPr>
      </w:pP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2"/>
        <w:rPr>
          <w:rFonts w:hint="eastAsia" w:ascii="仿宋_GB2312" w:hAnsi="仿宋_GB2312" w:eastAsia="仿宋_GB2312" w:cs="仿宋_GB2312"/>
          <w:highlight w:val="none"/>
        </w:rPr>
      </w:pPr>
      <w:r>
        <w:rPr>
          <w:rFonts w:hint="eastAsia" w:ascii="仿宋_GB2312" w:hAnsi="仿宋_GB2312" w:eastAsia="仿宋_GB2312" w:cs="仿宋_GB2312"/>
          <w:highlight w:val="none"/>
        </w:rPr>
        <w:t>公开时间：202</w:t>
      </w:r>
      <w:r>
        <w:rPr>
          <w:rFonts w:hint="eastAsia" w:ascii="仿宋_GB2312" w:hAnsi="仿宋_GB2312" w:eastAsia="仿宋_GB2312" w:cs="仿宋_GB2312"/>
          <w:highlight w:val="none"/>
          <w:lang w:val="en-US" w:eastAsia="zh-CN"/>
        </w:rPr>
        <w:t>5</w:t>
      </w:r>
      <w:r>
        <w:rPr>
          <w:rFonts w:hint="eastAsia" w:ascii="仿宋_GB2312" w:hAnsi="仿宋_GB2312" w:eastAsia="仿宋_GB2312" w:cs="仿宋_GB2312"/>
          <w:highlight w:val="none"/>
        </w:rPr>
        <w:t>年</w:t>
      </w:r>
      <w:r>
        <w:rPr>
          <w:rFonts w:hint="eastAsia" w:ascii="仿宋_GB2312" w:hAnsi="仿宋_GB2312" w:eastAsia="仿宋_GB2312" w:cs="仿宋_GB2312"/>
          <w:highlight w:val="none"/>
          <w:lang w:val="en-US" w:eastAsia="zh-CN"/>
        </w:rPr>
        <w:t>10</w:t>
      </w:r>
      <w:r>
        <w:rPr>
          <w:rFonts w:hint="eastAsia" w:ascii="仿宋_GB2312" w:hAnsi="仿宋_GB2312" w:eastAsia="仿宋_GB2312" w:cs="仿宋_GB2312"/>
          <w:highlight w:val="none"/>
        </w:rPr>
        <w:t>月</w:t>
      </w:r>
      <w:r>
        <w:rPr>
          <w:rFonts w:hint="eastAsia" w:ascii="仿宋_GB2312" w:hAnsi="仿宋_GB2312" w:eastAsia="仿宋_GB2312" w:cs="仿宋_GB2312"/>
          <w:highlight w:val="none"/>
          <w:lang w:val="en-US" w:eastAsia="zh-CN"/>
        </w:rPr>
        <w:t xml:space="preserve"> 29</w:t>
      </w:r>
      <w:r>
        <w:rPr>
          <w:rFonts w:hint="eastAsia" w:ascii="仿宋_GB2312" w:hAnsi="仿宋_GB2312" w:eastAsia="仿宋_GB2312" w:cs="仿宋_GB2312"/>
          <w:highlight w:val="none"/>
        </w:rPr>
        <w:t>日</w:t>
      </w:r>
    </w:p>
    <w:p>
      <w:pPr>
        <w:pStyle w:val="12"/>
        <w:rPr>
          <w:highlight w:val="yellow"/>
        </w:rPr>
      </w:pPr>
    </w:p>
    <w:p/>
    <w:sdt>
      <w:sdtPr>
        <w:rPr>
          <w:rFonts w:ascii="宋体" w:hAnsi="宋体" w:eastAsia="宋体" w:cs="Times New Roman"/>
          <w:kern w:val="2"/>
          <w:sz w:val="21"/>
          <w:szCs w:val="24"/>
          <w:lang w:val="en-US" w:eastAsia="zh-CN" w:bidi="ar-SA"/>
        </w:rPr>
        <w:id w:val="147462603"/>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34"/>
            <w:tabs>
              <w:tab w:val="right" w:leader="dot" w:pos="8306"/>
            </w:tabs>
            <w:rPr>
              <w:b/>
            </w:rPr>
          </w:pPr>
          <w:r>
            <w:fldChar w:fldCharType="begin"/>
          </w:r>
          <w:r>
            <w:instrText xml:space="preserve">TOC \o "1-2" \h \u </w:instrText>
          </w:r>
          <w:r>
            <w:fldChar w:fldCharType="separate"/>
          </w:r>
          <w:r>
            <w:rPr>
              <w:b/>
            </w:rPr>
            <w:fldChar w:fldCharType="begin"/>
          </w:r>
          <w:r>
            <w:rPr>
              <w:b/>
            </w:rPr>
            <w:instrText xml:space="preserve"> HYPERLINK \l _Toc3566 </w:instrText>
          </w:r>
          <w:r>
            <w:rPr>
              <w:b/>
            </w:rPr>
            <w:fldChar w:fldCharType="separate"/>
          </w:r>
          <w:r>
            <w:rPr>
              <w:rFonts w:hint="eastAsia" w:ascii="黑体" w:hAnsi="黑体" w:eastAsia="黑体"/>
              <w:b/>
            </w:rPr>
            <w:t>第一部分 单位</w:t>
          </w:r>
          <w:r>
            <w:rPr>
              <w:rFonts w:hint="eastAsia" w:ascii="黑体" w:hAnsi="黑体" w:eastAsia="黑体"/>
              <w:b/>
              <w:bCs w:val="0"/>
            </w:rPr>
            <w:t>概况</w:t>
          </w:r>
          <w:r>
            <w:rPr>
              <w:b/>
            </w:rPr>
            <w:tab/>
          </w:r>
          <w:r>
            <w:rPr>
              <w:b/>
            </w:rPr>
            <w:fldChar w:fldCharType="begin"/>
          </w:r>
          <w:r>
            <w:rPr>
              <w:b/>
            </w:rPr>
            <w:instrText xml:space="preserve"> PAGEREF _Toc3566 \h </w:instrText>
          </w:r>
          <w:r>
            <w:rPr>
              <w:b/>
            </w:rPr>
            <w:fldChar w:fldCharType="separate"/>
          </w:r>
          <w:r>
            <w:rPr>
              <w:b/>
            </w:rPr>
            <w:t>1</w:t>
          </w:r>
          <w:r>
            <w:rPr>
              <w:b/>
            </w:rPr>
            <w:fldChar w:fldCharType="end"/>
          </w:r>
          <w:r>
            <w:rPr>
              <w:b/>
            </w:rPr>
            <w:fldChar w:fldCharType="end"/>
          </w:r>
        </w:p>
        <w:p>
          <w:pPr>
            <w:pStyle w:val="35"/>
            <w:tabs>
              <w:tab w:val="right" w:leader="dot" w:pos="8306"/>
            </w:tabs>
          </w:pPr>
          <w:r>
            <w:fldChar w:fldCharType="begin"/>
          </w:r>
          <w:r>
            <w:instrText xml:space="preserve"> HYPERLINK \l _Toc17180 </w:instrText>
          </w:r>
          <w:r>
            <w:fldChar w:fldCharType="separate"/>
          </w:r>
          <w:r>
            <w:rPr>
              <w:rFonts w:hint="eastAsia" w:ascii="黑体" w:hAnsi="黑体" w:eastAsia="黑体"/>
              <w:bCs w:val="0"/>
            </w:rPr>
            <w:t>一、 主要职责</w:t>
          </w:r>
          <w:r>
            <w:tab/>
          </w:r>
          <w:r>
            <w:fldChar w:fldCharType="begin"/>
          </w:r>
          <w:r>
            <w:instrText xml:space="preserve"> PAGEREF _Toc17180 \h </w:instrText>
          </w:r>
          <w:r>
            <w:fldChar w:fldCharType="separate"/>
          </w:r>
          <w:r>
            <w:t>1</w:t>
          </w:r>
          <w:r>
            <w:fldChar w:fldCharType="end"/>
          </w:r>
          <w:r>
            <w:fldChar w:fldCharType="end"/>
          </w:r>
        </w:p>
        <w:p>
          <w:pPr>
            <w:pStyle w:val="35"/>
            <w:tabs>
              <w:tab w:val="right" w:leader="dot" w:pos="8306"/>
            </w:tabs>
          </w:pPr>
          <w:r>
            <w:fldChar w:fldCharType="begin"/>
          </w:r>
          <w:r>
            <w:instrText xml:space="preserve"> HYPERLINK \l _Toc28609 </w:instrText>
          </w:r>
          <w:r>
            <w:fldChar w:fldCharType="separate"/>
          </w:r>
          <w:r>
            <w:rPr>
              <w:rFonts w:hint="eastAsia" w:ascii="黑体" w:hAnsi="黑体" w:eastAsia="黑体"/>
            </w:rPr>
            <w:t>二、 机构设置</w:t>
          </w:r>
          <w:r>
            <w:tab/>
          </w:r>
          <w:r>
            <w:fldChar w:fldCharType="begin"/>
          </w:r>
          <w:r>
            <w:instrText xml:space="preserve"> PAGEREF _Toc28609 \h </w:instrText>
          </w:r>
          <w:r>
            <w:fldChar w:fldCharType="separate"/>
          </w:r>
          <w:r>
            <w:t>1</w:t>
          </w:r>
          <w:r>
            <w:fldChar w:fldCharType="end"/>
          </w:r>
          <w:r>
            <w:fldChar w:fldCharType="end"/>
          </w:r>
        </w:p>
        <w:p>
          <w:pPr>
            <w:pStyle w:val="34"/>
            <w:tabs>
              <w:tab w:val="right" w:leader="dot" w:pos="8306"/>
            </w:tabs>
            <w:rPr>
              <w:b/>
            </w:rPr>
          </w:pPr>
          <w:r>
            <w:rPr>
              <w:b/>
            </w:rPr>
            <w:fldChar w:fldCharType="begin"/>
          </w:r>
          <w:r>
            <w:rPr>
              <w:b/>
            </w:rPr>
            <w:instrText xml:space="preserve"> HYPERLINK \l _Toc27762 </w:instrText>
          </w:r>
          <w:r>
            <w:rPr>
              <w:b/>
            </w:rPr>
            <w:fldChar w:fldCharType="separate"/>
          </w:r>
          <w:r>
            <w:rPr>
              <w:rFonts w:hint="eastAsia" w:ascii="黑体" w:hAnsi="黑体" w:eastAsia="黑体"/>
              <w:b/>
            </w:rPr>
            <w:t>第二部分 2023年度</w:t>
          </w:r>
          <w:r>
            <w:rPr>
              <w:rFonts w:hint="eastAsia" w:ascii="黑体" w:hAnsi="黑体" w:eastAsia="黑体"/>
              <w:b/>
              <w:bCs/>
            </w:rPr>
            <w:t>单位决算情况说明</w:t>
          </w:r>
          <w:r>
            <w:rPr>
              <w:b/>
            </w:rPr>
            <w:tab/>
          </w:r>
          <w:r>
            <w:rPr>
              <w:b/>
            </w:rPr>
            <w:fldChar w:fldCharType="begin"/>
          </w:r>
          <w:r>
            <w:rPr>
              <w:b/>
            </w:rPr>
            <w:instrText xml:space="preserve"> PAGEREF _Toc27762 \h </w:instrText>
          </w:r>
          <w:r>
            <w:rPr>
              <w:b/>
            </w:rPr>
            <w:fldChar w:fldCharType="separate"/>
          </w:r>
          <w:r>
            <w:rPr>
              <w:b/>
            </w:rPr>
            <w:t>2</w:t>
          </w:r>
          <w:r>
            <w:rPr>
              <w:b/>
            </w:rPr>
            <w:fldChar w:fldCharType="end"/>
          </w:r>
          <w:r>
            <w:rPr>
              <w:b/>
            </w:rPr>
            <w:fldChar w:fldCharType="end"/>
          </w:r>
        </w:p>
        <w:p>
          <w:pPr>
            <w:pStyle w:val="35"/>
            <w:tabs>
              <w:tab w:val="right" w:leader="dot" w:pos="8306"/>
            </w:tabs>
          </w:pPr>
          <w:r>
            <w:fldChar w:fldCharType="begin"/>
          </w:r>
          <w:r>
            <w:instrText xml:space="preserve"> HYPERLINK \l _Toc30960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_Toc30960 \h </w:instrText>
          </w:r>
          <w:r>
            <w:fldChar w:fldCharType="separate"/>
          </w:r>
          <w:r>
            <w:t>2</w:t>
          </w:r>
          <w:r>
            <w:fldChar w:fldCharType="end"/>
          </w:r>
          <w:r>
            <w:fldChar w:fldCharType="end"/>
          </w:r>
        </w:p>
        <w:p>
          <w:pPr>
            <w:pStyle w:val="35"/>
            <w:tabs>
              <w:tab w:val="right" w:leader="dot" w:pos="8306"/>
            </w:tabs>
          </w:pPr>
          <w:r>
            <w:fldChar w:fldCharType="begin"/>
          </w:r>
          <w:r>
            <w:instrText xml:space="preserve"> HYPERLINK \l _Toc27764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_Toc27764 \h </w:instrText>
          </w:r>
          <w:r>
            <w:fldChar w:fldCharType="separate"/>
          </w:r>
          <w:r>
            <w:t>2</w:t>
          </w:r>
          <w:r>
            <w:fldChar w:fldCharType="end"/>
          </w:r>
          <w:r>
            <w:fldChar w:fldCharType="end"/>
          </w:r>
        </w:p>
        <w:p>
          <w:pPr>
            <w:pStyle w:val="35"/>
            <w:tabs>
              <w:tab w:val="right" w:leader="dot" w:pos="8306"/>
            </w:tabs>
          </w:pPr>
          <w:r>
            <w:fldChar w:fldCharType="begin"/>
          </w:r>
          <w:r>
            <w:instrText xml:space="preserve"> HYPERLINK \l _Toc26871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_Toc26871 \h </w:instrText>
          </w:r>
          <w:r>
            <w:fldChar w:fldCharType="separate"/>
          </w:r>
          <w:r>
            <w:t>3</w:t>
          </w:r>
          <w:r>
            <w:fldChar w:fldCharType="end"/>
          </w:r>
          <w:r>
            <w:fldChar w:fldCharType="end"/>
          </w:r>
        </w:p>
        <w:p>
          <w:pPr>
            <w:pStyle w:val="35"/>
            <w:tabs>
              <w:tab w:val="right" w:leader="dot" w:pos="8306"/>
            </w:tabs>
          </w:pPr>
          <w:r>
            <w:fldChar w:fldCharType="begin"/>
          </w:r>
          <w:r>
            <w:instrText xml:space="preserve"> HYPERLINK \l _Toc15883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_Toc15883 \h </w:instrText>
          </w:r>
          <w:r>
            <w:fldChar w:fldCharType="separate"/>
          </w:r>
          <w:r>
            <w:t>4</w:t>
          </w:r>
          <w:r>
            <w:fldChar w:fldCharType="end"/>
          </w:r>
          <w:r>
            <w:fldChar w:fldCharType="end"/>
          </w:r>
        </w:p>
        <w:p>
          <w:pPr>
            <w:pStyle w:val="35"/>
            <w:tabs>
              <w:tab w:val="right" w:leader="dot" w:pos="8306"/>
            </w:tabs>
          </w:pPr>
          <w:r>
            <w:fldChar w:fldCharType="begin"/>
          </w:r>
          <w:r>
            <w:instrText xml:space="preserve"> HYPERLINK \l _Toc3186 </w:instrText>
          </w:r>
          <w: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_Toc3186 \h </w:instrText>
          </w:r>
          <w:r>
            <w:fldChar w:fldCharType="separate"/>
          </w:r>
          <w:r>
            <w:t>4</w:t>
          </w:r>
          <w:r>
            <w:fldChar w:fldCharType="end"/>
          </w:r>
          <w:r>
            <w:fldChar w:fldCharType="end"/>
          </w:r>
        </w:p>
        <w:p>
          <w:pPr>
            <w:pStyle w:val="35"/>
            <w:tabs>
              <w:tab w:val="right" w:leader="dot" w:pos="8306"/>
            </w:tabs>
          </w:pPr>
          <w:r>
            <w:fldChar w:fldCharType="begin"/>
          </w:r>
          <w:r>
            <w:instrText xml:space="preserve"> HYPERLINK \l _Toc13315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_Toc13315 \h </w:instrText>
          </w:r>
          <w:r>
            <w:fldChar w:fldCharType="separate"/>
          </w:r>
          <w:r>
            <w:t>7</w:t>
          </w:r>
          <w:r>
            <w:fldChar w:fldCharType="end"/>
          </w:r>
          <w:r>
            <w:fldChar w:fldCharType="end"/>
          </w:r>
        </w:p>
        <w:p>
          <w:pPr>
            <w:pStyle w:val="35"/>
            <w:tabs>
              <w:tab w:val="right" w:leader="dot" w:pos="8306"/>
            </w:tabs>
          </w:pPr>
          <w:r>
            <w:fldChar w:fldCharType="begin"/>
          </w:r>
          <w:r>
            <w:instrText xml:space="preserve"> HYPERLINK \l _Toc8539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_Toc8539 \h </w:instrText>
          </w:r>
          <w:r>
            <w:fldChar w:fldCharType="separate"/>
          </w:r>
          <w:r>
            <w:t>7</w:t>
          </w:r>
          <w:r>
            <w:fldChar w:fldCharType="end"/>
          </w:r>
          <w:r>
            <w:fldChar w:fldCharType="end"/>
          </w:r>
        </w:p>
        <w:p>
          <w:pPr>
            <w:pStyle w:val="35"/>
            <w:tabs>
              <w:tab w:val="right" w:leader="dot" w:pos="8306"/>
            </w:tabs>
          </w:pPr>
          <w:r>
            <w:fldChar w:fldCharType="begin"/>
          </w:r>
          <w:r>
            <w:instrText xml:space="preserve"> HYPERLINK \l _Toc15583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_Toc15583 \h </w:instrText>
          </w:r>
          <w:r>
            <w:fldChar w:fldCharType="separate"/>
          </w:r>
          <w:r>
            <w:t>9</w:t>
          </w:r>
          <w:r>
            <w:fldChar w:fldCharType="end"/>
          </w:r>
          <w:r>
            <w:fldChar w:fldCharType="end"/>
          </w:r>
        </w:p>
        <w:p>
          <w:pPr>
            <w:pStyle w:val="35"/>
            <w:tabs>
              <w:tab w:val="right" w:leader="dot" w:pos="8306"/>
            </w:tabs>
          </w:pPr>
          <w:r>
            <w:fldChar w:fldCharType="begin"/>
          </w:r>
          <w:r>
            <w:instrText xml:space="preserve"> HYPERLINK \l _Toc16357 </w:instrText>
          </w:r>
          <w:r>
            <w:fldChar w:fldCharType="separate"/>
          </w:r>
          <w:r>
            <w:rPr>
              <w:rFonts w:hint="eastAsia" w:ascii="黑体" w:hAnsi="黑体" w:eastAsia="黑体"/>
            </w:rPr>
            <w:t>九、 国有资本经营预算支出决算情况说明</w:t>
          </w:r>
          <w:r>
            <w:tab/>
          </w:r>
          <w:r>
            <w:fldChar w:fldCharType="begin"/>
          </w:r>
          <w:r>
            <w:instrText xml:space="preserve"> PAGEREF _Toc16357 \h </w:instrText>
          </w:r>
          <w:r>
            <w:fldChar w:fldCharType="separate"/>
          </w:r>
          <w:r>
            <w:t>9</w:t>
          </w:r>
          <w:r>
            <w:fldChar w:fldCharType="end"/>
          </w:r>
          <w:r>
            <w:fldChar w:fldCharType="end"/>
          </w:r>
        </w:p>
        <w:p>
          <w:pPr>
            <w:pStyle w:val="35"/>
            <w:tabs>
              <w:tab w:val="right" w:leader="dot" w:pos="8306"/>
            </w:tabs>
          </w:pPr>
          <w:r>
            <w:fldChar w:fldCharType="begin"/>
          </w:r>
          <w:r>
            <w:instrText xml:space="preserve"> HYPERLINK \l _Toc20275 </w:instrText>
          </w:r>
          <w:r>
            <w:fldChar w:fldCharType="separate"/>
          </w:r>
          <w:r>
            <w:rPr>
              <w:rFonts w:hint="eastAsia" w:ascii="黑体" w:hAnsi="黑体" w:eastAsia="黑体"/>
            </w:rPr>
            <w:t>十、 其他重要事项的情况说明</w:t>
          </w:r>
          <w:r>
            <w:tab/>
          </w:r>
          <w:r>
            <w:fldChar w:fldCharType="begin"/>
          </w:r>
          <w:r>
            <w:instrText xml:space="preserve"> PAGEREF _Toc20275 \h </w:instrText>
          </w:r>
          <w:r>
            <w:fldChar w:fldCharType="separate"/>
          </w:r>
          <w:r>
            <w:t>9</w:t>
          </w:r>
          <w:r>
            <w:fldChar w:fldCharType="end"/>
          </w:r>
          <w:r>
            <w:fldChar w:fldCharType="end"/>
          </w:r>
        </w:p>
        <w:p>
          <w:pPr>
            <w:pStyle w:val="34"/>
            <w:tabs>
              <w:tab w:val="right" w:leader="dot" w:pos="8306"/>
            </w:tabs>
            <w:rPr>
              <w:b/>
            </w:rPr>
          </w:pPr>
          <w:r>
            <w:rPr>
              <w:b/>
            </w:rPr>
            <w:fldChar w:fldCharType="begin"/>
          </w:r>
          <w:r>
            <w:rPr>
              <w:b/>
            </w:rPr>
            <w:instrText xml:space="preserve"> HYPERLINK \l _Toc29915 </w:instrText>
          </w:r>
          <w:r>
            <w:rPr>
              <w:b/>
            </w:rPr>
            <w:fldChar w:fldCharType="separate"/>
          </w:r>
          <w:r>
            <w:rPr>
              <w:rFonts w:hint="eastAsia" w:ascii="黑体" w:hAnsi="黑体" w:eastAsia="黑体" w:cs="黑体"/>
              <w:b/>
              <w:szCs w:val="44"/>
            </w:rPr>
            <w:t xml:space="preserve">第三部分 </w:t>
          </w:r>
          <w:r>
            <w:rPr>
              <w:rFonts w:hint="eastAsia" w:ascii="黑体" w:hAnsi="黑体" w:eastAsia="黑体"/>
              <w:b/>
              <w:szCs w:val="44"/>
            </w:rPr>
            <w:t>名</w:t>
          </w:r>
          <w:r>
            <w:rPr>
              <w:rFonts w:hint="eastAsia" w:ascii="黑体" w:hAnsi="黑体" w:eastAsia="黑体"/>
              <w:b/>
            </w:rPr>
            <w:t>词解释</w:t>
          </w:r>
          <w:r>
            <w:rPr>
              <w:b/>
            </w:rPr>
            <w:tab/>
          </w:r>
          <w:r>
            <w:rPr>
              <w:b/>
            </w:rPr>
            <w:fldChar w:fldCharType="begin"/>
          </w:r>
          <w:r>
            <w:rPr>
              <w:b/>
            </w:rPr>
            <w:instrText xml:space="preserve"> PAGEREF _Toc29915 \h </w:instrText>
          </w:r>
          <w:r>
            <w:rPr>
              <w:b/>
            </w:rPr>
            <w:fldChar w:fldCharType="separate"/>
          </w:r>
          <w:r>
            <w:rPr>
              <w:b/>
            </w:rPr>
            <w:t>11</w:t>
          </w:r>
          <w:r>
            <w:rPr>
              <w:b/>
            </w:rPr>
            <w:fldChar w:fldCharType="end"/>
          </w:r>
          <w:r>
            <w:rPr>
              <w:b/>
            </w:rPr>
            <w:fldChar w:fldCharType="end"/>
          </w:r>
        </w:p>
        <w:p>
          <w:pPr>
            <w:pStyle w:val="34"/>
            <w:tabs>
              <w:tab w:val="right" w:leader="dot" w:pos="8306"/>
            </w:tabs>
            <w:rPr>
              <w:b/>
            </w:rPr>
          </w:pPr>
          <w:r>
            <w:rPr>
              <w:b/>
            </w:rPr>
            <w:fldChar w:fldCharType="begin"/>
          </w:r>
          <w:r>
            <w:rPr>
              <w:b/>
            </w:rPr>
            <w:instrText xml:space="preserve"> HYPERLINK \l _Toc11477 </w:instrText>
          </w:r>
          <w:r>
            <w:rPr>
              <w:b/>
            </w:rPr>
            <w:fldChar w:fldCharType="separate"/>
          </w:r>
          <w:r>
            <w:rPr>
              <w:rFonts w:hint="eastAsia" w:ascii="黑体" w:hAnsi="黑体" w:eastAsia="黑体"/>
              <w:b/>
              <w:szCs w:val="44"/>
            </w:rPr>
            <w:t>第</w:t>
          </w:r>
          <w:r>
            <w:rPr>
              <w:rFonts w:hint="eastAsia" w:ascii="黑体" w:hAnsi="黑体" w:eastAsia="黑体"/>
              <w:b/>
            </w:rPr>
            <w:t>四部分 附件</w:t>
          </w:r>
          <w:r>
            <w:rPr>
              <w:b/>
            </w:rPr>
            <w:tab/>
          </w:r>
          <w:r>
            <w:rPr>
              <w:b/>
            </w:rPr>
            <w:fldChar w:fldCharType="begin"/>
          </w:r>
          <w:r>
            <w:rPr>
              <w:b/>
            </w:rPr>
            <w:instrText xml:space="preserve"> PAGEREF _Toc11477 \h </w:instrText>
          </w:r>
          <w:r>
            <w:rPr>
              <w:b/>
            </w:rPr>
            <w:fldChar w:fldCharType="separate"/>
          </w:r>
          <w:r>
            <w:rPr>
              <w:b/>
            </w:rPr>
            <w:t>15</w:t>
          </w:r>
          <w:r>
            <w:rPr>
              <w:b/>
            </w:rPr>
            <w:fldChar w:fldCharType="end"/>
          </w:r>
          <w:r>
            <w:rPr>
              <w:b/>
            </w:rPr>
            <w:fldChar w:fldCharType="end"/>
          </w:r>
        </w:p>
        <w:p>
          <w:pPr>
            <w:pStyle w:val="34"/>
            <w:tabs>
              <w:tab w:val="right" w:leader="dot" w:pos="8306"/>
            </w:tabs>
            <w:rPr>
              <w:b/>
            </w:rPr>
          </w:pPr>
          <w:r>
            <w:rPr>
              <w:b/>
            </w:rPr>
            <w:fldChar w:fldCharType="begin"/>
          </w:r>
          <w:r>
            <w:rPr>
              <w:b/>
            </w:rPr>
            <w:instrText xml:space="preserve"> HYPERLINK \l _Toc3872 </w:instrText>
          </w:r>
          <w:r>
            <w:rPr>
              <w:b/>
            </w:rPr>
            <w:fldChar w:fldCharType="separate"/>
          </w:r>
          <w:r>
            <w:rPr>
              <w:rFonts w:hint="eastAsia" w:ascii="黑体" w:hAnsi="黑体" w:eastAsia="黑体"/>
              <w:b/>
              <w:szCs w:val="44"/>
            </w:rPr>
            <w:t>第</w:t>
          </w:r>
          <w:r>
            <w:rPr>
              <w:rFonts w:hint="eastAsia" w:ascii="黑体" w:hAnsi="黑体" w:eastAsia="黑体"/>
              <w:b/>
            </w:rPr>
            <w:t>五部分 附表</w:t>
          </w:r>
          <w:r>
            <w:rPr>
              <w:b/>
            </w:rPr>
            <w:tab/>
          </w:r>
          <w:r>
            <w:rPr>
              <w:b/>
            </w:rPr>
            <w:fldChar w:fldCharType="begin"/>
          </w:r>
          <w:r>
            <w:rPr>
              <w:b/>
            </w:rPr>
            <w:instrText xml:space="preserve"> PAGEREF _Toc3872 \h </w:instrText>
          </w:r>
          <w:r>
            <w:rPr>
              <w:b/>
            </w:rPr>
            <w:fldChar w:fldCharType="separate"/>
          </w:r>
          <w:r>
            <w:rPr>
              <w:b/>
            </w:rPr>
            <w:t>29</w:t>
          </w:r>
          <w:r>
            <w:rPr>
              <w:b/>
            </w:rPr>
            <w:fldChar w:fldCharType="end"/>
          </w:r>
          <w:r>
            <w:rPr>
              <w:b/>
            </w:rPr>
            <w:fldChar w:fldCharType="end"/>
          </w:r>
        </w:p>
        <w:p>
          <w:pPr>
            <w:pStyle w:val="35"/>
            <w:tabs>
              <w:tab w:val="right" w:leader="dot" w:pos="8306"/>
            </w:tabs>
            <w:rPr>
              <w:rFonts w:hint="eastAsia" w:ascii="黑体" w:hAnsi="黑体" w:eastAsia="黑体" w:cs="黑体"/>
            </w:rPr>
            <w:sectPr>
              <w:footerReference r:id="rId6" w:type="first"/>
              <w:footerReference r:id="rId5" w:type="default"/>
              <w:pgSz w:w="11906" w:h="16838"/>
              <w:pgMar w:top="1440" w:right="1800" w:bottom="1440" w:left="1800" w:header="851" w:footer="992" w:gutter="0"/>
              <w:pgNumType w:fmt="decimal" w:start="1"/>
              <w:cols w:space="425" w:num="1"/>
              <w:titlePg/>
              <w:docGrid w:type="lines" w:linePitch="312" w:charSpace="0"/>
            </w:sectPr>
          </w:pP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_Toc31222 </w:instrText>
          </w:r>
          <w:r>
            <w:rPr>
              <w:rFonts w:hint="eastAsia" w:ascii="黑体" w:hAnsi="黑体" w:eastAsia="黑体" w:cs="黑体"/>
            </w:rPr>
            <w:fldChar w:fldCharType="separate"/>
          </w:r>
          <w:r>
            <w:rPr>
              <w:rFonts w:hint="eastAsia" w:ascii="黑体" w:hAnsi="黑体" w:eastAsia="黑体" w:cs="黑体"/>
            </w:rPr>
            <w:t>一、收</w:t>
          </w:r>
          <w:r>
            <w:rPr>
              <w:rFonts w:hint="eastAsia" w:ascii="黑体" w:hAnsi="黑体" w:eastAsia="黑体" w:cs="黑体"/>
              <w:bCs w:val="0"/>
            </w:rPr>
            <w:t>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_Toc31222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_Toc6805 </w:instrText>
          </w:r>
          <w:r>
            <w:rPr>
              <w:rFonts w:hint="eastAsia" w:ascii="黑体" w:hAnsi="黑体" w:eastAsia="黑体" w:cs="黑体"/>
            </w:rPr>
            <w:fldChar w:fldCharType="separate"/>
          </w:r>
          <w:r>
            <w:rPr>
              <w:rFonts w:hint="eastAsia" w:ascii="黑体" w:hAnsi="黑体" w:eastAsia="黑体" w:cs="黑体"/>
            </w:rPr>
            <w:t>二、收</w:t>
          </w:r>
          <w:r>
            <w:rPr>
              <w:rFonts w:hint="eastAsia" w:ascii="黑体" w:hAnsi="黑体" w:eastAsia="黑体" w:cs="黑体"/>
              <w:bCs w:val="0"/>
            </w:rPr>
            <w:t>入决算表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_Toc6805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_Toc16838 </w:instrText>
          </w:r>
          <w:r>
            <w:rPr>
              <w:rFonts w:hint="eastAsia" w:ascii="黑体" w:hAnsi="黑体" w:eastAsia="黑体" w:cs="黑体"/>
            </w:rPr>
            <w:fldChar w:fldCharType="separate"/>
          </w:r>
          <w:r>
            <w:rPr>
              <w:rFonts w:hint="eastAsia" w:ascii="黑体" w:hAnsi="黑体" w:eastAsia="黑体" w:cs="黑体"/>
              <w:bCs w:val="0"/>
            </w:rPr>
            <w:t>三、</w:t>
          </w:r>
          <w:r>
            <w:rPr>
              <w:rFonts w:hint="eastAsia" w:ascii="黑体" w:hAnsi="黑体" w:eastAsia="黑体" w:cs="黑体"/>
            </w:rPr>
            <w:t>支</w:t>
          </w:r>
          <w:r>
            <w:rPr>
              <w:rFonts w:hint="eastAsia" w:ascii="黑体" w:hAnsi="黑体" w:eastAsia="黑体" w:cs="黑体"/>
              <w:bCs w:val="0"/>
            </w:rPr>
            <w:t>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_Toc16838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_Toc27574 </w:instrText>
          </w:r>
          <w:r>
            <w:rPr>
              <w:rFonts w:hint="eastAsia" w:ascii="黑体" w:hAnsi="黑体" w:eastAsia="黑体" w:cs="黑体"/>
            </w:rPr>
            <w:fldChar w:fldCharType="separate"/>
          </w:r>
          <w:r>
            <w:rPr>
              <w:rFonts w:hint="eastAsia" w:ascii="黑体" w:hAnsi="黑体" w:eastAsia="黑体" w:cs="黑体"/>
              <w:bCs w:val="0"/>
            </w:rPr>
            <w:t>四、</w:t>
          </w:r>
          <w:r>
            <w:rPr>
              <w:rFonts w:hint="eastAsia" w:ascii="黑体" w:hAnsi="黑体" w:eastAsia="黑体" w:cs="黑体"/>
            </w:rPr>
            <w:t>财</w:t>
          </w:r>
          <w:r>
            <w:rPr>
              <w:rFonts w:hint="eastAsia" w:ascii="黑体" w:hAnsi="黑体" w:eastAsia="黑体" w:cs="黑体"/>
              <w:bCs w:val="0"/>
            </w:rPr>
            <w:t>政拨款收入支出决算总表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_Toc27574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_Toc8013 </w:instrText>
          </w:r>
          <w:r>
            <w:rPr>
              <w:rFonts w:hint="eastAsia" w:ascii="黑体" w:hAnsi="黑体" w:eastAsia="黑体" w:cs="黑体"/>
            </w:rPr>
            <w:fldChar w:fldCharType="separate"/>
          </w:r>
          <w:r>
            <w:rPr>
              <w:rFonts w:hint="eastAsia" w:ascii="黑体" w:hAnsi="黑体" w:eastAsia="黑体" w:cs="黑体"/>
              <w:bCs w:val="0"/>
            </w:rPr>
            <w:t>五、</w:t>
          </w:r>
          <w:r>
            <w:rPr>
              <w:rFonts w:hint="eastAsia" w:ascii="黑体" w:hAnsi="黑体" w:eastAsia="黑体" w:cs="黑体"/>
            </w:rPr>
            <w:t>财</w:t>
          </w:r>
          <w:r>
            <w:rPr>
              <w:rFonts w:hint="eastAsia" w:ascii="黑体" w:hAnsi="黑体" w:eastAsia="黑体" w:cs="黑体"/>
              <w:bCs w:val="0"/>
            </w:rPr>
            <w:t>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_Toc8013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_Toc132 </w:instrText>
          </w:r>
          <w:r>
            <w:rPr>
              <w:rFonts w:hint="eastAsia" w:ascii="黑体" w:hAnsi="黑体" w:eastAsia="黑体" w:cs="黑体"/>
            </w:rPr>
            <w:fldChar w:fldCharType="separate"/>
          </w:r>
          <w:r>
            <w:rPr>
              <w:rFonts w:hint="eastAsia" w:ascii="黑体" w:hAnsi="黑体" w:eastAsia="黑体" w:cs="黑体"/>
              <w:bCs w:val="0"/>
            </w:rPr>
            <w:t>六、</w:t>
          </w:r>
          <w:r>
            <w:rPr>
              <w:rFonts w:hint="eastAsia" w:ascii="黑体" w:hAnsi="黑体" w:eastAsia="黑体" w:cs="黑体"/>
            </w:rPr>
            <w:t>一</w:t>
          </w:r>
          <w:r>
            <w:rPr>
              <w:rFonts w:hint="eastAsia" w:ascii="黑体" w:hAnsi="黑体" w:eastAsia="黑体" w:cs="黑体"/>
              <w:bCs w:val="0"/>
            </w:rPr>
            <w:t>般公共预算财政拨款支出决算表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_Toc132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_Toc30807 </w:instrText>
          </w:r>
          <w:r>
            <w:rPr>
              <w:rFonts w:hint="eastAsia" w:ascii="黑体" w:hAnsi="黑体" w:eastAsia="黑体" w:cs="黑体"/>
            </w:rPr>
            <w:fldChar w:fldCharType="separate"/>
          </w:r>
          <w:r>
            <w:rPr>
              <w:rFonts w:hint="eastAsia" w:ascii="黑体" w:hAnsi="黑体" w:eastAsia="黑体" w:cs="黑体"/>
              <w:bCs w:val="0"/>
            </w:rPr>
            <w:t>七、</w:t>
          </w:r>
          <w:r>
            <w:rPr>
              <w:rFonts w:hint="eastAsia" w:ascii="黑体" w:hAnsi="黑体" w:eastAsia="黑体" w:cs="黑体"/>
            </w:rPr>
            <w:t>一</w:t>
          </w:r>
          <w:r>
            <w:rPr>
              <w:rFonts w:hint="eastAsia" w:ascii="黑体" w:hAnsi="黑体" w:eastAsia="黑体" w:cs="黑体"/>
              <w:bCs w:val="0"/>
            </w:rPr>
            <w:t>般公共预算财政拨款支出决算明细表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_Toc30807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_Toc20517 </w:instrText>
          </w:r>
          <w:r>
            <w:rPr>
              <w:rFonts w:hint="eastAsia" w:ascii="黑体" w:hAnsi="黑体" w:eastAsia="黑体" w:cs="黑体"/>
            </w:rPr>
            <w:fldChar w:fldCharType="separate"/>
          </w:r>
          <w:r>
            <w:rPr>
              <w:rFonts w:hint="eastAsia" w:ascii="黑体" w:hAnsi="黑体" w:eastAsia="黑体" w:cs="黑体"/>
              <w:bCs w:val="0"/>
            </w:rPr>
            <w:t>八、</w:t>
          </w:r>
          <w:r>
            <w:rPr>
              <w:rFonts w:hint="eastAsia" w:ascii="黑体" w:hAnsi="黑体" w:eastAsia="黑体" w:cs="黑体"/>
            </w:rPr>
            <w:t>一</w:t>
          </w:r>
          <w:r>
            <w:rPr>
              <w:rFonts w:hint="eastAsia" w:ascii="黑体" w:hAnsi="黑体" w:eastAsia="黑体" w:cs="黑体"/>
              <w:bCs w:val="0"/>
            </w:rPr>
            <w:t>般公共预算财政拨款基本支出决算表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_Toc20517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_Toc5594 </w:instrText>
          </w:r>
          <w:r>
            <w:rPr>
              <w:rFonts w:hint="eastAsia" w:ascii="黑体" w:hAnsi="黑体" w:eastAsia="黑体" w:cs="黑体"/>
            </w:rPr>
            <w:fldChar w:fldCharType="separate"/>
          </w:r>
          <w:r>
            <w:rPr>
              <w:rFonts w:hint="eastAsia" w:ascii="黑体" w:hAnsi="黑体" w:eastAsia="黑体" w:cs="黑体"/>
              <w:bCs w:val="0"/>
            </w:rPr>
            <w:t>九、</w:t>
          </w:r>
          <w:r>
            <w:rPr>
              <w:rFonts w:hint="eastAsia" w:ascii="黑体" w:hAnsi="黑体" w:eastAsia="黑体" w:cs="黑体"/>
            </w:rPr>
            <w:t>一</w:t>
          </w:r>
          <w:r>
            <w:rPr>
              <w:rFonts w:hint="eastAsia" w:ascii="黑体" w:hAnsi="黑体" w:eastAsia="黑体" w:cs="黑体"/>
              <w:bCs w:val="0"/>
            </w:rPr>
            <w:t>般公共预算财政拨款项目支出决算表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_Toc5594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_Toc31889 </w:instrText>
          </w:r>
          <w:r>
            <w:rPr>
              <w:rFonts w:hint="eastAsia" w:ascii="黑体" w:hAnsi="黑体" w:eastAsia="黑体" w:cs="黑体"/>
            </w:rPr>
            <w:fldChar w:fldCharType="separate"/>
          </w:r>
          <w:r>
            <w:rPr>
              <w:rFonts w:hint="eastAsia" w:ascii="黑体" w:hAnsi="黑体" w:eastAsia="黑体" w:cs="黑体"/>
              <w:bCs w:val="0"/>
            </w:rPr>
            <w:t>十、</w:t>
          </w:r>
          <w:r>
            <w:rPr>
              <w:rFonts w:hint="eastAsia" w:ascii="黑体" w:hAnsi="黑体" w:eastAsia="黑体" w:cs="黑体"/>
            </w:rPr>
            <w:t>政</w:t>
          </w:r>
          <w:r>
            <w:rPr>
              <w:rFonts w:hint="eastAsia" w:ascii="黑体" w:hAnsi="黑体" w:eastAsia="黑体" w:cs="黑体"/>
              <w:bCs w:val="0"/>
            </w:rPr>
            <w:t>府性基金预算财政拨款收入支出决算表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_Toc31889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_Toc858 </w:instrText>
          </w:r>
          <w:r>
            <w:rPr>
              <w:rFonts w:hint="eastAsia" w:ascii="黑体" w:hAnsi="黑体" w:eastAsia="黑体" w:cs="黑体"/>
            </w:rPr>
            <w:fldChar w:fldCharType="separate"/>
          </w:r>
          <w:r>
            <w:rPr>
              <w:rFonts w:hint="eastAsia" w:ascii="黑体" w:hAnsi="黑体" w:eastAsia="黑体" w:cs="黑体"/>
              <w:bCs w:val="0"/>
            </w:rPr>
            <w:t>十一、</w:t>
          </w:r>
          <w:r>
            <w:rPr>
              <w:rFonts w:hint="eastAsia" w:ascii="黑体" w:hAnsi="黑体" w:eastAsia="黑体" w:cs="黑体"/>
            </w:rPr>
            <w:t>国</w:t>
          </w:r>
          <w:r>
            <w:rPr>
              <w:rFonts w:hint="eastAsia" w:ascii="黑体" w:hAnsi="黑体" w:eastAsia="黑体" w:cs="黑体"/>
              <w:bCs w:val="0"/>
            </w:rPr>
            <w:t>有资本经营预算财政拨款收入支出决算表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_Toc858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_Toc22244 </w:instrText>
          </w:r>
          <w:r>
            <w:rPr>
              <w:rFonts w:hint="eastAsia" w:ascii="黑体" w:hAnsi="黑体" w:eastAsia="黑体" w:cs="黑体"/>
            </w:rPr>
            <w:fldChar w:fldCharType="separate"/>
          </w:r>
          <w:r>
            <w:rPr>
              <w:rFonts w:hint="eastAsia" w:ascii="黑体" w:hAnsi="黑体" w:eastAsia="黑体" w:cs="黑体"/>
              <w:bCs w:val="0"/>
            </w:rPr>
            <w:t>十二、国有资本经营预算财政拨款支出决算表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_Toc22244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pStyle w:val="35"/>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_Toc6791 </w:instrText>
          </w:r>
          <w:r>
            <w:rPr>
              <w:rFonts w:hint="eastAsia" w:ascii="黑体" w:hAnsi="黑体" w:eastAsia="黑体" w:cs="黑体"/>
            </w:rPr>
            <w:fldChar w:fldCharType="separate"/>
          </w:r>
          <w:r>
            <w:rPr>
              <w:rFonts w:hint="eastAsia" w:ascii="黑体" w:hAnsi="黑体" w:eastAsia="黑体" w:cs="黑体"/>
              <w:bCs w:val="0"/>
            </w:rPr>
            <w:t>十三、财政拨款“三公”经费支出决算表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_Toc6791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rPr>
            <w:fldChar w:fldCharType="end"/>
          </w:r>
        </w:p>
        <w:p>
          <w:pPr>
            <w:rPr>
              <w:b/>
            </w:rPr>
            <w:sectPr>
              <w:footerReference r:id="rId8" w:type="first"/>
              <w:footerReference r:id="rId7" w:type="default"/>
              <w:pgSz w:w="11906" w:h="16838"/>
              <w:pgMar w:top="1440" w:right="1800" w:bottom="1440" w:left="1800" w:header="851" w:footer="992" w:gutter="0"/>
              <w:pgNumType w:fmt="decimal" w:start="1"/>
              <w:cols w:space="425" w:num="1"/>
              <w:titlePg/>
              <w:docGrid w:type="lines" w:linePitch="312" w:charSpace="0"/>
            </w:sectPr>
          </w:pPr>
          <w:r>
            <w:rPr>
              <w:b/>
            </w:rPr>
            <w:fldChar w:fldCharType="end"/>
          </w:r>
        </w:p>
      </w:sdtContent>
    </w:sdt>
    <w:p>
      <w:pPr>
        <w:widowControl/>
        <w:spacing w:line="440" w:lineRule="exact"/>
        <w:jc w:val="left"/>
        <w:rPr>
          <w:rFonts w:ascii="仿宋" w:hAnsi="仿宋" w:eastAsia="仿宋"/>
          <w:bCs/>
          <w:kern w:val="44"/>
          <w:sz w:val="24"/>
        </w:rPr>
      </w:pPr>
      <w:bookmarkStart w:id="14" w:name="_Toc15377196"/>
      <w:bookmarkStart w:id="15" w:name="_Toc15396599"/>
    </w:p>
    <w:p>
      <w:pPr>
        <w:pStyle w:val="4"/>
        <w:jc w:val="center"/>
        <w:rPr>
          <w:rStyle w:val="28"/>
          <w:rFonts w:ascii="黑体" w:hAnsi="黑体" w:eastAsia="黑体"/>
          <w:b/>
          <w:bCs w:val="0"/>
        </w:rPr>
      </w:pPr>
      <w:bookmarkStart w:id="16" w:name="_Toc3566"/>
      <w:r>
        <w:rPr>
          <w:rFonts w:hint="eastAsia" w:ascii="黑体" w:hAnsi="黑体" w:eastAsia="黑体"/>
          <w:b w:val="0"/>
        </w:rPr>
        <w:t>第一部分 单位</w:t>
      </w:r>
      <w:r>
        <w:rPr>
          <w:rStyle w:val="28"/>
          <w:rFonts w:hint="eastAsia" w:ascii="黑体" w:hAnsi="黑体" w:eastAsia="黑体"/>
          <w:b w:val="0"/>
          <w:bCs w:val="0"/>
        </w:rPr>
        <w:t>概况</w:t>
      </w:r>
      <w:bookmarkEnd w:id="14"/>
      <w:bookmarkEnd w:id="15"/>
      <w:bookmarkEnd w:id="16"/>
    </w:p>
    <w:p>
      <w:pPr>
        <w:widowControl/>
        <w:jc w:val="left"/>
        <w:rPr>
          <w:rFonts w:ascii="黑体" w:eastAsia="黑体"/>
          <w:sz w:val="32"/>
          <w:szCs w:val="32"/>
        </w:rPr>
      </w:pPr>
    </w:p>
    <w:p>
      <w:pPr>
        <w:pStyle w:val="5"/>
        <w:numPr>
          <w:ilvl w:val="0"/>
          <w:numId w:val="1"/>
        </w:numPr>
        <w:rPr>
          <w:rStyle w:val="29"/>
          <w:rFonts w:ascii="黑体" w:hAnsi="黑体" w:eastAsia="黑体"/>
          <w:b w:val="0"/>
          <w:bCs w:val="0"/>
        </w:rPr>
      </w:pPr>
      <w:bookmarkStart w:id="17" w:name="_Toc17180"/>
      <w:bookmarkStart w:id="18" w:name="_Toc15377197"/>
      <w:bookmarkStart w:id="19" w:name="_Toc15396600"/>
      <w:r>
        <w:rPr>
          <w:rStyle w:val="29"/>
          <w:rFonts w:hint="eastAsia" w:ascii="黑体" w:hAnsi="黑体" w:eastAsia="黑体"/>
          <w:b w:val="0"/>
          <w:bCs w:val="0"/>
        </w:rPr>
        <w:t>主要职责</w:t>
      </w:r>
      <w:bookmarkEnd w:id="17"/>
    </w:p>
    <w:p>
      <w:pPr>
        <w:ind w:firstLine="800" w:firstLineChars="25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贯彻执行国家有关科技发展的方针政策、法律法规,制定全区的实施办法,并组织实施;牵头拟订和实施全区科学技术发展规划;研究提出全区科技发展战略和科技促进经济与社会发展的政策措施;研究确定全区科技发展的重大布局和优先领域。</w:t>
      </w:r>
    </w:p>
    <w:p/>
    <w:p>
      <w:pPr>
        <w:pStyle w:val="5"/>
        <w:numPr>
          <w:ilvl w:val="0"/>
          <w:numId w:val="1"/>
        </w:numPr>
        <w:ind w:left="0" w:leftChars="0" w:firstLine="0" w:firstLineChars="0"/>
        <w:rPr>
          <w:rFonts w:hint="eastAsia" w:ascii="黑体" w:hAnsi="黑体" w:eastAsia="黑体"/>
          <w:b w:val="0"/>
        </w:rPr>
      </w:pPr>
      <w:bookmarkStart w:id="20" w:name="_Toc28609"/>
      <w:r>
        <w:rPr>
          <w:rFonts w:hint="eastAsia" w:ascii="黑体" w:hAnsi="黑体" w:eastAsia="黑体"/>
          <w:b w:val="0"/>
        </w:rPr>
        <w:t>机构设置</w:t>
      </w:r>
      <w:bookmarkEnd w:id="20"/>
    </w:p>
    <w:bookmarkEnd w:id="18"/>
    <w:bookmarkEnd w:id="19"/>
    <w:p>
      <w:pPr>
        <w:ind w:firstLine="800" w:firstLineChars="25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乐山市五通桥区科技开发服务中心下属二级</w:t>
      </w:r>
      <w:r>
        <w:rPr>
          <w:rFonts w:hint="eastAsia" w:ascii="仿宋_GB2312" w:hAnsi="仿宋_GB2312" w:eastAsia="仿宋_GB2312" w:cs="仿宋_GB2312"/>
          <w:color w:val="auto"/>
          <w:sz w:val="32"/>
          <w:szCs w:val="32"/>
          <w:highlight w:val="none"/>
          <w:lang w:eastAsia="zh-CN"/>
        </w:rPr>
        <w:t>预算</w:t>
      </w: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个，其中行政单位</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个，参照公务员法管理的事业单位</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个，其他事业单位</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w:t>
      </w:r>
    </w:p>
    <w:p>
      <w:pPr>
        <w:ind w:firstLine="800" w:firstLineChars="25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纳入乐山市五通桥区科技开发服务中心</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color w:val="auto"/>
          <w:sz w:val="32"/>
          <w:szCs w:val="32"/>
          <w:highlight w:val="none"/>
          <w:lang w:val="en-US" w:eastAsia="zh-CN"/>
        </w:rPr>
        <w:t>单位</w:t>
      </w:r>
      <w:r>
        <w:rPr>
          <w:rFonts w:hint="eastAsia" w:ascii="仿宋_GB2312" w:hAnsi="仿宋_GB2312" w:eastAsia="仿宋_GB2312" w:cs="仿宋_GB2312"/>
          <w:color w:val="auto"/>
          <w:sz w:val="32"/>
          <w:szCs w:val="32"/>
          <w:highlight w:val="none"/>
        </w:rPr>
        <w:t>决算编制范围的二级预算单位包括：乐山市五通桥区科技开发服务中心</w:t>
      </w:r>
      <w:r>
        <w:rPr>
          <w:rFonts w:hint="eastAsia" w:ascii="仿宋_GB2312" w:hAnsi="仿宋_GB2312" w:eastAsia="仿宋_GB2312" w:cs="仿宋_GB2312"/>
          <w:color w:val="auto"/>
          <w:sz w:val="32"/>
          <w:szCs w:val="32"/>
          <w:highlight w:val="none"/>
          <w:lang w:eastAsia="zh-CN"/>
        </w:rPr>
        <w:t>。</w:t>
      </w:r>
    </w:p>
    <w:p>
      <w:pPr>
        <w:widowControl/>
        <w:jc w:val="left"/>
        <w:rPr>
          <w:rFonts w:ascii="仿宋" w:hAnsi="仿宋" w:eastAsia="仿宋"/>
          <w:kern w:val="0"/>
          <w:sz w:val="32"/>
          <w:szCs w:val="32"/>
        </w:rPr>
      </w:pPr>
      <w:r>
        <w:rPr>
          <w:rFonts w:ascii="仿宋" w:hAnsi="仿宋" w:eastAsia="仿宋"/>
          <w:sz w:val="32"/>
          <w:szCs w:val="32"/>
        </w:rPr>
        <w:br w:type="page"/>
      </w:r>
    </w:p>
    <w:p>
      <w:pPr>
        <w:pStyle w:val="4"/>
        <w:ind w:right="440"/>
        <w:jc w:val="center"/>
      </w:pPr>
      <w:bookmarkStart w:id="21" w:name="_Toc15377204"/>
      <w:bookmarkStart w:id="22" w:name="_Toc27762"/>
      <w:bookmarkStart w:id="23" w:name="_Toc15396602"/>
      <w:r>
        <w:rPr>
          <w:rFonts w:hint="eastAsia" w:ascii="黑体" w:hAnsi="黑体" w:eastAsia="黑体"/>
          <w:b w:val="0"/>
        </w:rPr>
        <w:t>第二部分 202</w:t>
      </w:r>
      <w:r>
        <w:rPr>
          <w:rFonts w:hint="eastAsia" w:ascii="黑体" w:hAnsi="黑体" w:eastAsia="黑体"/>
          <w:b w:val="0"/>
          <w:lang w:val="en-US" w:eastAsia="zh-CN"/>
        </w:rPr>
        <w:t>4</w:t>
      </w:r>
      <w:r>
        <w:rPr>
          <w:rFonts w:hint="eastAsia" w:ascii="黑体" w:hAnsi="黑体" w:eastAsia="黑体"/>
          <w:b w:val="0"/>
        </w:rPr>
        <w:t>年度</w:t>
      </w:r>
      <w:r>
        <w:rPr>
          <w:rStyle w:val="28"/>
          <w:rFonts w:hint="eastAsia" w:ascii="黑体" w:hAnsi="黑体" w:eastAsia="黑体"/>
          <w:b w:val="0"/>
          <w:bCs/>
        </w:rPr>
        <w:t>单位决算情况说明</w:t>
      </w:r>
      <w:bookmarkEnd w:id="21"/>
      <w:bookmarkEnd w:id="22"/>
      <w:bookmarkEnd w:id="23"/>
    </w:p>
    <w:p>
      <w:pPr>
        <w:pStyle w:val="27"/>
        <w:numPr>
          <w:ilvl w:val="0"/>
          <w:numId w:val="2"/>
        </w:numPr>
        <w:spacing w:line="600" w:lineRule="exact"/>
        <w:ind w:firstLineChars="0"/>
        <w:outlineLvl w:val="1"/>
        <w:rPr>
          <w:rStyle w:val="29"/>
          <w:rFonts w:ascii="黑体" w:hAnsi="黑体" w:eastAsia="黑体"/>
          <w:b w:val="0"/>
        </w:rPr>
      </w:pPr>
      <w:bookmarkStart w:id="24" w:name="_Toc30960"/>
      <w:bookmarkStart w:id="25" w:name="_Toc15377205"/>
      <w:bookmarkStart w:id="26" w:name="_Toc15396603"/>
      <w:r>
        <w:rPr>
          <w:rFonts w:hint="eastAsia" w:ascii="黑体" w:hAnsi="黑体" w:eastAsia="黑体"/>
          <w:sz w:val="32"/>
          <w:szCs w:val="32"/>
        </w:rPr>
        <w:t>收</w:t>
      </w:r>
      <w:r>
        <w:rPr>
          <w:rStyle w:val="29"/>
          <w:rFonts w:hint="eastAsia" w:ascii="黑体" w:hAnsi="黑体" w:eastAsia="黑体"/>
          <w:b w:val="0"/>
        </w:rPr>
        <w:t>入支出决算总体情况说明</w:t>
      </w:r>
      <w:bookmarkEnd w:id="24"/>
      <w:bookmarkEnd w:id="25"/>
      <w:bookmarkEnd w:id="26"/>
    </w:p>
    <w:p>
      <w:pPr>
        <w:keepNext/>
        <w:keepLines/>
        <w:spacing w:beforeLines="0" w:afterLines="0" w:line="576" w:lineRule="exact"/>
        <w:ind w:firstLine="640"/>
        <w:jc w:val="both"/>
        <w:rPr>
          <w:rFonts w:hint="eastAsia" w:ascii="仿宋_GB2312" w:hAnsi="仿宋_GB2312" w:eastAsia="仿宋_GB2312" w:cs="仿宋_GB2312"/>
          <w:color w:val="000000"/>
          <w:kern w:val="2"/>
          <w:sz w:val="32"/>
          <w:lang w:val="zh-CN"/>
        </w:rPr>
      </w:pPr>
      <w:bookmarkStart w:id="27" w:name="_Toc24642"/>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年度收、支总计均为</w:t>
      </w:r>
      <w:r>
        <w:rPr>
          <w:rFonts w:hint="eastAsia" w:ascii="仿宋_GB2312" w:hAnsi="仿宋_GB2312" w:eastAsia="仿宋_GB2312" w:cs="仿宋_GB2312"/>
          <w:b/>
          <w:sz w:val="32"/>
          <w:szCs w:val="32"/>
          <w:lang w:val="en-US" w:eastAsia="zh-CN"/>
        </w:rPr>
        <w:t>107.03</w:t>
      </w:r>
      <w:r>
        <w:rPr>
          <w:rFonts w:hint="eastAsia" w:ascii="仿宋_GB2312" w:hAnsi="仿宋_GB2312" w:eastAsia="仿宋_GB2312" w:cs="仿宋_GB2312"/>
          <w:sz w:val="32"/>
          <w:szCs w:val="32"/>
        </w:rPr>
        <w:t>万元。</w:t>
      </w:r>
      <w:bookmarkEnd w:id="27"/>
      <w:r>
        <w:rPr>
          <w:rFonts w:hint="eastAsia" w:ascii="仿宋_GB2312" w:hAnsi="仿宋_GB2312" w:eastAsia="仿宋_GB2312" w:cs="仿宋_GB2312"/>
          <w:sz w:val="32"/>
          <w:szCs w:val="32"/>
        </w:rPr>
        <w:t>与202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val="en-US" w:eastAsia="zh-CN"/>
        </w:rPr>
        <w:t>65.03万元</w:t>
      </w:r>
      <w:r>
        <w:rPr>
          <w:rFonts w:hint="eastAsia" w:ascii="仿宋_GB2312" w:hAnsi="仿宋_GB2312" w:eastAsia="仿宋_GB2312" w:cs="仿宋_GB2312"/>
          <w:sz w:val="32"/>
          <w:szCs w:val="32"/>
        </w:rPr>
        <w:t>相比，收、支总计各</w:t>
      </w:r>
      <w:r>
        <w:rPr>
          <w:rFonts w:hint="eastAsia" w:ascii="仿宋_GB2312" w:hAnsi="仿宋_GB2312" w:eastAsia="仿宋_GB2312" w:cs="仿宋_GB2312"/>
          <w:sz w:val="32"/>
          <w:szCs w:val="32"/>
          <w:lang w:val="en-US" w:eastAsia="zh-CN"/>
        </w:rPr>
        <w:t>增加42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增加64.6</w:t>
      </w:r>
      <w:r>
        <w:rPr>
          <w:rFonts w:hint="eastAsia" w:ascii="仿宋_GB2312" w:hAnsi="仿宋_GB2312" w:eastAsia="仿宋_GB2312" w:cs="仿宋_GB2312"/>
          <w:sz w:val="32"/>
          <w:szCs w:val="32"/>
        </w:rPr>
        <w:t>%。主要变动原因是</w:t>
      </w:r>
      <w:r>
        <w:rPr>
          <w:rFonts w:hint="eastAsia" w:ascii="仿宋_GB2312" w:hAnsi="仿宋_GB2312" w:eastAsia="仿宋_GB2312" w:cs="仿宋_GB2312"/>
          <w:sz w:val="32"/>
          <w:szCs w:val="32"/>
          <w:lang w:val="en-US" w:eastAsia="zh-CN"/>
        </w:rPr>
        <w:t>:在收入方面，</w:t>
      </w:r>
      <w:r>
        <w:rPr>
          <w:rFonts w:hint="eastAsia" w:ascii="仿宋_GB2312" w:hAnsi="仿宋_GB2312" w:eastAsia="仿宋_GB2312" w:cs="仿宋_GB2312"/>
          <w:sz w:val="32"/>
          <w:szCs w:val="32"/>
        </w:rPr>
        <w:t>一般公共预算财政拨款收入</w:t>
      </w:r>
      <w:r>
        <w:rPr>
          <w:rFonts w:hint="eastAsia" w:ascii="仿宋_GB2312" w:hAnsi="仿宋_GB2312" w:eastAsia="仿宋_GB2312" w:cs="仿宋_GB2312"/>
          <w:sz w:val="32"/>
          <w:szCs w:val="32"/>
          <w:lang w:val="en-US" w:eastAsia="zh-CN"/>
        </w:rPr>
        <w:t>增加41.99万元、其他收入减少0.01万元、年初结转和结余增加0.02万元；在支出方面，</w:t>
      </w:r>
      <w:r>
        <w:rPr>
          <w:rFonts w:hint="eastAsia" w:ascii="仿宋_GB2312" w:hAnsi="仿宋_GB2312" w:eastAsia="仿宋_GB2312" w:cs="仿宋_GB2312"/>
          <w:color w:val="000000"/>
          <w:kern w:val="2"/>
          <w:sz w:val="32"/>
          <w:lang w:val="zh-CN"/>
        </w:rPr>
        <w:t>科学技术支出支出增加</w:t>
      </w:r>
      <w:r>
        <w:rPr>
          <w:rFonts w:hint="eastAsia" w:ascii="仿宋_GB2312" w:hAnsi="仿宋_GB2312" w:eastAsia="仿宋_GB2312" w:cs="仿宋_GB2312"/>
          <w:color w:val="000000"/>
          <w:kern w:val="2"/>
          <w:sz w:val="32"/>
          <w:lang w:val="en-US" w:eastAsia="zh-CN"/>
        </w:rPr>
        <w:t>30.02</w:t>
      </w:r>
      <w:r>
        <w:rPr>
          <w:rFonts w:hint="eastAsia" w:ascii="仿宋_GB2312" w:hAnsi="仿宋_GB2312" w:eastAsia="仿宋_GB2312" w:cs="仿宋_GB2312"/>
          <w:color w:val="000000"/>
          <w:kern w:val="2"/>
          <w:sz w:val="32"/>
          <w:lang w:val="zh-CN"/>
        </w:rPr>
        <w:t>万元、社会保障和就业支出</w:t>
      </w:r>
      <w:r>
        <w:rPr>
          <w:rFonts w:hint="eastAsia" w:ascii="仿宋_GB2312" w:hAnsi="仿宋_GB2312" w:eastAsia="仿宋_GB2312" w:cs="仿宋_GB2312"/>
          <w:color w:val="000000"/>
          <w:kern w:val="2"/>
          <w:sz w:val="32"/>
          <w:lang w:val="en-US" w:eastAsia="zh-CN"/>
        </w:rPr>
        <w:t>增加5.27</w:t>
      </w:r>
      <w:r>
        <w:rPr>
          <w:rFonts w:hint="eastAsia" w:ascii="仿宋_GB2312" w:hAnsi="仿宋_GB2312" w:eastAsia="仿宋_GB2312" w:cs="仿宋_GB2312"/>
          <w:color w:val="000000"/>
          <w:kern w:val="2"/>
          <w:sz w:val="32"/>
          <w:lang w:val="zh-CN"/>
        </w:rPr>
        <w:t>万元、卫生健康支出</w:t>
      </w:r>
      <w:r>
        <w:rPr>
          <w:rFonts w:hint="eastAsia" w:ascii="仿宋_GB2312" w:hAnsi="仿宋_GB2312" w:eastAsia="仿宋_GB2312" w:cs="仿宋_GB2312"/>
          <w:color w:val="000000"/>
          <w:kern w:val="2"/>
          <w:sz w:val="32"/>
          <w:lang w:val="en-US" w:eastAsia="zh-CN"/>
        </w:rPr>
        <w:t>增加2.67</w:t>
      </w:r>
      <w:r>
        <w:rPr>
          <w:rFonts w:hint="eastAsia" w:ascii="仿宋_GB2312" w:hAnsi="仿宋_GB2312" w:eastAsia="仿宋_GB2312" w:cs="仿宋_GB2312"/>
          <w:color w:val="000000"/>
          <w:kern w:val="2"/>
          <w:sz w:val="32"/>
          <w:lang w:val="zh-CN"/>
        </w:rPr>
        <w:t>万元、住房保障支出</w:t>
      </w:r>
      <w:r>
        <w:rPr>
          <w:rFonts w:hint="eastAsia" w:ascii="仿宋_GB2312" w:hAnsi="仿宋_GB2312" w:eastAsia="仿宋_GB2312" w:cs="仿宋_GB2312"/>
          <w:color w:val="000000"/>
          <w:kern w:val="2"/>
          <w:sz w:val="32"/>
          <w:lang w:val="en-US" w:eastAsia="zh-CN"/>
        </w:rPr>
        <w:t>增加4.02</w:t>
      </w:r>
      <w:r>
        <w:rPr>
          <w:rFonts w:hint="eastAsia" w:ascii="仿宋_GB2312" w:hAnsi="仿宋_GB2312" w:eastAsia="仿宋_GB2312" w:cs="仿宋_GB2312"/>
          <w:color w:val="000000"/>
          <w:kern w:val="2"/>
          <w:sz w:val="32"/>
          <w:lang w:val="zh-CN"/>
        </w:rPr>
        <w:t>万元、年末结转和结余增加</w:t>
      </w:r>
      <w:r>
        <w:rPr>
          <w:rFonts w:hint="eastAsia" w:ascii="仿宋_GB2312" w:hAnsi="仿宋_GB2312" w:eastAsia="仿宋_GB2312" w:cs="仿宋_GB2312"/>
          <w:color w:val="000000"/>
          <w:kern w:val="2"/>
          <w:sz w:val="32"/>
          <w:lang w:val="en-US" w:eastAsia="zh-CN"/>
        </w:rPr>
        <w:t>0.01万元</w:t>
      </w:r>
      <w:r>
        <w:rPr>
          <w:rFonts w:hint="eastAsia" w:ascii="仿宋_GB2312" w:hAnsi="仿宋_GB2312" w:eastAsia="仿宋_GB2312" w:cs="仿宋_GB2312"/>
          <w:color w:val="000000"/>
          <w:kern w:val="2"/>
          <w:sz w:val="32"/>
          <w:lang w:val="zh-CN"/>
        </w:rPr>
        <w:t>所致。</w:t>
      </w:r>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pStyle w:val="13"/>
        <w:rPr>
          <w:rFonts w:ascii="仿宋_GB2312" w:eastAsia="仿宋_GB2312"/>
          <w:sz w:val="32"/>
          <w:szCs w:val="32"/>
        </w:rPr>
      </w:pPr>
      <w:r>
        <w:rPr>
          <w:rFonts w:hint="eastAsia" w:eastAsia="宋体"/>
          <w:lang w:eastAsia="zh-CN"/>
        </w:rPr>
        <w:drawing>
          <wp:inline distT="0" distB="0" distL="114300" distR="114300">
            <wp:extent cx="4584065" cy="2889250"/>
            <wp:effectExtent l="0" t="0" r="6985" b="6350"/>
            <wp:docPr id="10" name="图片 10"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
                    <pic:cNvPicPr>
                      <a:picLocks noChangeAspect="1"/>
                    </pic:cNvPicPr>
                  </pic:nvPicPr>
                  <pic:blipFill>
                    <a:blip r:embed="rId11"/>
                    <a:stretch>
                      <a:fillRect/>
                    </a:stretch>
                  </pic:blipFill>
                  <pic:spPr>
                    <a:xfrm>
                      <a:off x="0" y="0"/>
                      <a:ext cx="4584065" cy="2889250"/>
                    </a:xfrm>
                    <a:prstGeom prst="rect">
                      <a:avLst/>
                    </a:prstGeom>
                  </pic:spPr>
                </pic:pic>
              </a:graphicData>
            </a:graphic>
          </wp:inline>
        </w:drawing>
      </w:r>
    </w:p>
    <w:p>
      <w:pPr>
        <w:pStyle w:val="27"/>
        <w:numPr>
          <w:ilvl w:val="0"/>
          <w:numId w:val="2"/>
        </w:numPr>
        <w:spacing w:line="600" w:lineRule="exact"/>
        <w:ind w:firstLineChars="0"/>
        <w:outlineLvl w:val="1"/>
        <w:rPr>
          <w:rStyle w:val="29"/>
          <w:rFonts w:ascii="黑体" w:hAnsi="黑体" w:eastAsia="黑体"/>
          <w:b w:val="0"/>
        </w:rPr>
      </w:pPr>
      <w:bookmarkStart w:id="28" w:name="_Toc15396604"/>
      <w:bookmarkStart w:id="29" w:name="_Toc27764"/>
      <w:bookmarkStart w:id="30" w:name="_Toc15377206"/>
      <w:r>
        <w:rPr>
          <w:rFonts w:hint="eastAsia" w:ascii="黑体" w:hAnsi="黑体" w:eastAsia="黑体"/>
          <w:sz w:val="32"/>
          <w:szCs w:val="32"/>
        </w:rPr>
        <w:t>收</w:t>
      </w:r>
      <w:r>
        <w:rPr>
          <w:rStyle w:val="29"/>
          <w:rFonts w:hint="eastAsia" w:ascii="黑体" w:hAnsi="黑体" w:eastAsia="黑体"/>
          <w:b w:val="0"/>
        </w:rPr>
        <w:t>入决算情况说明</w:t>
      </w:r>
      <w:bookmarkEnd w:id="28"/>
      <w:bookmarkEnd w:id="29"/>
      <w:bookmarkEnd w:id="30"/>
    </w:p>
    <w:p>
      <w:pPr>
        <w:spacing w:line="600" w:lineRule="exact"/>
        <w:ind w:firstLine="640" w:firstLineChars="200"/>
        <w:rPr>
          <w:rFonts w:hint="eastAsia" w:ascii="仿宋_GB2312" w:hAnsi="仿宋_GB2312" w:eastAsia="仿宋_GB2312" w:cs="仿宋_GB2312"/>
          <w:b w:val="0"/>
          <w:bCs w:val="0"/>
          <w:sz w:val="32"/>
          <w:szCs w:val="32"/>
          <w:lang w:eastAsia="zh-CN"/>
        </w:rPr>
      </w:pPr>
      <w:bookmarkStart w:id="31" w:name="_Toc9437"/>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年度本年收入合计107.0</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万元，其中：一般公共预算财政拨款收入107.00万元，占99.9</w:t>
      </w:r>
      <w:r>
        <w:rPr>
          <w:rFonts w:hint="eastAsia" w:ascii="仿宋_GB2312" w:hAnsi="仿宋_GB2312" w:eastAsia="仿宋_GB2312" w:cs="仿宋_GB2312"/>
          <w:b w:val="0"/>
          <w:bCs w:val="0"/>
          <w:sz w:val="32"/>
          <w:szCs w:val="32"/>
          <w:lang w:val="en-US" w:eastAsia="zh-CN"/>
        </w:rPr>
        <w:t>8</w:t>
      </w:r>
      <w:r>
        <w:rPr>
          <w:rFonts w:hint="eastAsia" w:ascii="仿宋_GB2312" w:hAnsi="仿宋_GB2312" w:eastAsia="仿宋_GB2312" w:cs="仿宋_GB2312"/>
          <w:b w:val="0"/>
          <w:bCs w:val="0"/>
          <w:sz w:val="32"/>
          <w:szCs w:val="32"/>
        </w:rPr>
        <w:t>%；其他收入0.0</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万元，占0.0</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w:t>
      </w:r>
      <w:bookmarkEnd w:id="31"/>
      <w:r>
        <w:rPr>
          <w:rFonts w:hint="eastAsia" w:ascii="仿宋_GB2312" w:hAnsi="仿宋_GB2312" w:eastAsia="仿宋_GB2312" w:cs="仿宋_GB2312"/>
          <w:b w:val="0"/>
          <w:bCs w:val="0"/>
          <w:sz w:val="32"/>
          <w:szCs w:val="32"/>
          <w:lang w:eastAsia="zh-CN"/>
        </w:rPr>
        <w:t>。</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图2：收入决算结构图</w:t>
      </w:r>
    </w:p>
    <w:p>
      <w:pPr>
        <w:pStyle w:val="2"/>
        <w:rPr>
          <w:rFonts w:hint="eastAsia" w:eastAsia="宋体"/>
          <w:lang w:eastAsia="zh-CN"/>
        </w:rPr>
      </w:pPr>
      <w:r>
        <w:rPr>
          <w:rFonts w:hint="eastAsia" w:eastAsia="宋体"/>
          <w:lang w:eastAsia="zh-CN"/>
        </w:rPr>
        <w:drawing>
          <wp:inline distT="0" distB="0" distL="114300" distR="114300">
            <wp:extent cx="4584065" cy="2496820"/>
            <wp:effectExtent l="0" t="0" r="6985" b="17780"/>
            <wp:docPr id="2" name="图片 2"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2"/>
                    <pic:cNvPicPr>
                      <a:picLocks noChangeAspect="1"/>
                    </pic:cNvPicPr>
                  </pic:nvPicPr>
                  <pic:blipFill>
                    <a:blip r:embed="rId12"/>
                    <a:stretch>
                      <a:fillRect/>
                    </a:stretch>
                  </pic:blipFill>
                  <pic:spPr>
                    <a:xfrm>
                      <a:off x="0" y="0"/>
                      <a:ext cx="4584065" cy="2496820"/>
                    </a:xfrm>
                    <a:prstGeom prst="rect">
                      <a:avLst/>
                    </a:prstGeom>
                  </pic:spPr>
                </pic:pic>
              </a:graphicData>
            </a:graphic>
          </wp:inline>
        </w:drawing>
      </w:r>
    </w:p>
    <w:p>
      <w:pPr>
        <w:pStyle w:val="13"/>
        <w:rPr>
          <w:rFonts w:hint="eastAsia" w:eastAsia="宋体"/>
          <w:lang w:eastAsia="zh-CN"/>
        </w:rPr>
      </w:pPr>
    </w:p>
    <w:p>
      <w:pPr>
        <w:pStyle w:val="27"/>
        <w:numPr>
          <w:ilvl w:val="0"/>
          <w:numId w:val="2"/>
        </w:numPr>
        <w:spacing w:line="600" w:lineRule="exact"/>
        <w:ind w:firstLineChars="0"/>
        <w:outlineLvl w:val="1"/>
        <w:rPr>
          <w:rStyle w:val="29"/>
          <w:rFonts w:ascii="黑体" w:hAnsi="黑体" w:eastAsia="黑体"/>
          <w:b w:val="0"/>
        </w:rPr>
      </w:pPr>
      <w:bookmarkStart w:id="32" w:name="_Toc26871"/>
      <w:bookmarkStart w:id="33" w:name="_Toc15377207"/>
      <w:bookmarkStart w:id="34" w:name="_Toc15396605"/>
      <w:r>
        <w:rPr>
          <w:rFonts w:hint="eastAsia" w:ascii="黑体" w:hAnsi="黑体" w:eastAsia="黑体"/>
          <w:sz w:val="32"/>
          <w:szCs w:val="32"/>
        </w:rPr>
        <w:t>支</w:t>
      </w:r>
      <w:r>
        <w:rPr>
          <w:rStyle w:val="29"/>
          <w:rFonts w:hint="eastAsia" w:ascii="黑体" w:hAnsi="黑体" w:eastAsia="黑体"/>
          <w:b w:val="0"/>
        </w:rPr>
        <w:t>出决算情况说明</w:t>
      </w:r>
      <w:bookmarkEnd w:id="32"/>
      <w:bookmarkEnd w:id="33"/>
      <w:bookmarkEnd w:id="34"/>
    </w:p>
    <w:p>
      <w:pPr>
        <w:spacing w:line="600" w:lineRule="exact"/>
        <w:ind w:firstLine="640" w:firstLineChars="200"/>
        <w:outlineLvl w:val="1"/>
        <w:rPr>
          <w:rFonts w:hint="eastAsia" w:ascii="仿宋_GB2312" w:hAnsi="仿宋_GB2312" w:eastAsia="仿宋_GB2312" w:cs="仿宋_GB2312"/>
          <w:b w:val="0"/>
          <w:bCs w:val="0"/>
          <w:sz w:val="32"/>
          <w:szCs w:val="32"/>
          <w:shd w:val="pct10" w:color="auto" w:fill="FFFFFF"/>
        </w:rPr>
      </w:pPr>
      <w:bookmarkStart w:id="35" w:name="_Toc8730"/>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年度本年支出合计107.0</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万元，其中：基本支出107.01万元，占</w:t>
      </w:r>
      <w:r>
        <w:rPr>
          <w:rFonts w:hint="eastAsia" w:ascii="仿宋_GB2312" w:hAnsi="仿宋_GB2312" w:eastAsia="仿宋_GB2312" w:cs="仿宋_GB2312"/>
          <w:b w:val="0"/>
          <w:bCs w:val="0"/>
          <w:sz w:val="32"/>
          <w:szCs w:val="32"/>
          <w:lang w:val="en-US" w:eastAsia="zh-CN"/>
        </w:rPr>
        <w:t>100</w:t>
      </w:r>
      <w:r>
        <w:rPr>
          <w:rFonts w:hint="eastAsia" w:ascii="仿宋_GB2312" w:hAnsi="仿宋_GB2312" w:eastAsia="仿宋_GB2312" w:cs="仿宋_GB2312"/>
          <w:b w:val="0"/>
          <w:bCs w:val="0"/>
          <w:sz w:val="32"/>
          <w:szCs w:val="32"/>
        </w:rPr>
        <w:t>%</w:t>
      </w:r>
      <w:bookmarkEnd w:id="35"/>
      <w:r>
        <w:rPr>
          <w:rFonts w:hint="eastAsia" w:ascii="仿宋_GB2312" w:hAnsi="仿宋_GB2312" w:eastAsia="仿宋_GB2312" w:cs="仿宋_GB2312"/>
          <w:b w:val="0"/>
          <w:bCs w:val="0"/>
          <w:sz w:val="32"/>
          <w:szCs w:val="32"/>
          <w:lang w:eastAsia="zh-CN"/>
        </w:rPr>
        <w:t>，项目支出</w:t>
      </w:r>
      <w:r>
        <w:rPr>
          <w:rFonts w:hint="eastAsia" w:ascii="仿宋_GB2312" w:hAnsi="仿宋_GB2312" w:eastAsia="仿宋_GB2312" w:cs="仿宋_GB2312"/>
          <w:b w:val="0"/>
          <w:bCs w:val="0"/>
          <w:sz w:val="32"/>
          <w:szCs w:val="32"/>
          <w:lang w:val="en-US" w:eastAsia="zh-CN"/>
        </w:rPr>
        <w:t>0万元，占0%。</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图3：支出决算结构图</w:t>
      </w:r>
    </w:p>
    <w:p>
      <w:pPr>
        <w:pStyle w:val="13"/>
        <w:rPr>
          <w:rFonts w:hint="eastAsia" w:eastAsia="宋体"/>
          <w:lang w:eastAsia="zh-CN"/>
        </w:rPr>
      </w:pPr>
      <w:r>
        <w:rPr>
          <w:rFonts w:hint="eastAsia" w:eastAsia="宋体"/>
          <w:lang w:eastAsia="zh-CN"/>
        </w:rPr>
        <w:drawing>
          <wp:inline distT="0" distB="0" distL="114300" distR="114300">
            <wp:extent cx="4584065" cy="2889250"/>
            <wp:effectExtent l="0" t="0" r="6985" b="6350"/>
            <wp:docPr id="3" name="图片 3"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3"/>
                    <pic:cNvPicPr>
                      <a:picLocks noChangeAspect="1"/>
                    </pic:cNvPicPr>
                  </pic:nvPicPr>
                  <pic:blipFill>
                    <a:blip r:embed="rId13"/>
                    <a:stretch>
                      <a:fillRect/>
                    </a:stretch>
                  </pic:blipFill>
                  <pic:spPr>
                    <a:xfrm>
                      <a:off x="0" y="0"/>
                      <a:ext cx="4584065" cy="2889250"/>
                    </a:xfrm>
                    <a:prstGeom prst="rect">
                      <a:avLst/>
                    </a:prstGeom>
                  </pic:spPr>
                </pic:pic>
              </a:graphicData>
            </a:graphic>
          </wp:inline>
        </w:drawing>
      </w:r>
    </w:p>
    <w:p>
      <w:pPr>
        <w:spacing w:line="600" w:lineRule="exact"/>
        <w:ind w:firstLine="640" w:firstLineChars="200"/>
        <w:outlineLvl w:val="1"/>
        <w:rPr>
          <w:rStyle w:val="29"/>
          <w:rFonts w:ascii="黑体" w:hAnsi="黑体" w:eastAsia="黑体"/>
          <w:b w:val="0"/>
        </w:rPr>
      </w:pPr>
      <w:bookmarkStart w:id="36" w:name="_Toc15396606"/>
      <w:bookmarkStart w:id="37" w:name="_Toc15377208"/>
      <w:bookmarkStart w:id="38" w:name="_Toc15883"/>
      <w:r>
        <w:rPr>
          <w:rFonts w:hint="eastAsia" w:ascii="黑体" w:hAnsi="黑体" w:eastAsia="黑体"/>
          <w:sz w:val="32"/>
          <w:szCs w:val="32"/>
        </w:rPr>
        <w:t>四、财</w:t>
      </w:r>
      <w:r>
        <w:rPr>
          <w:rStyle w:val="29"/>
          <w:rFonts w:hint="eastAsia" w:ascii="黑体" w:hAnsi="黑体" w:eastAsia="黑体"/>
          <w:b w:val="0"/>
        </w:rPr>
        <w:t>政拨款收入支出决算总体情况说明</w:t>
      </w:r>
      <w:bookmarkEnd w:id="36"/>
      <w:bookmarkEnd w:id="37"/>
      <w:bookmarkEnd w:id="38"/>
    </w:p>
    <w:p>
      <w:pPr>
        <w:keepNext/>
        <w:keepLines/>
        <w:spacing w:beforeLines="0" w:afterLines="0" w:line="576" w:lineRule="exact"/>
        <w:ind w:firstLine="640"/>
        <w:jc w:val="both"/>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年度财政拨款收、支总计均为</w:t>
      </w:r>
      <w:r>
        <w:rPr>
          <w:rFonts w:hint="eastAsia" w:ascii="仿宋_GB2312" w:hAnsi="仿宋_GB2312" w:eastAsia="仿宋_GB2312" w:cs="仿宋_GB2312"/>
          <w:b w:val="0"/>
          <w:bCs w:val="0"/>
          <w:sz w:val="32"/>
          <w:szCs w:val="32"/>
          <w:lang w:val="en-US" w:eastAsia="zh-CN"/>
        </w:rPr>
        <w:t>107</w:t>
      </w:r>
      <w:r>
        <w:rPr>
          <w:rFonts w:hint="eastAsia" w:ascii="仿宋_GB2312" w:hAnsi="仿宋_GB2312" w:eastAsia="仿宋_GB2312" w:cs="仿宋_GB2312"/>
          <w:b w:val="0"/>
          <w:bCs w:val="0"/>
          <w:sz w:val="32"/>
          <w:szCs w:val="32"/>
        </w:rPr>
        <w:t>万元。与202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年度</w:t>
      </w:r>
      <w:r>
        <w:rPr>
          <w:rFonts w:hint="eastAsia" w:ascii="仿宋_GB2312" w:hAnsi="仿宋_GB2312" w:eastAsia="仿宋_GB2312" w:cs="仿宋_GB2312"/>
          <w:b w:val="0"/>
          <w:bCs w:val="0"/>
          <w:sz w:val="32"/>
          <w:szCs w:val="32"/>
          <w:lang w:val="en-US" w:eastAsia="zh-CN"/>
        </w:rPr>
        <w:t>65.01万元</w:t>
      </w:r>
      <w:r>
        <w:rPr>
          <w:rFonts w:hint="eastAsia" w:ascii="仿宋_GB2312" w:hAnsi="仿宋_GB2312" w:eastAsia="仿宋_GB2312" w:cs="仿宋_GB2312"/>
          <w:b w:val="0"/>
          <w:bCs w:val="0"/>
          <w:sz w:val="32"/>
          <w:szCs w:val="32"/>
        </w:rPr>
        <w:t>相比，财政拨款收、支总计各</w:t>
      </w:r>
      <w:r>
        <w:rPr>
          <w:rFonts w:hint="eastAsia" w:ascii="仿宋_GB2312" w:hAnsi="仿宋_GB2312" w:eastAsia="仿宋_GB2312" w:cs="仿宋_GB2312"/>
          <w:b w:val="0"/>
          <w:bCs w:val="0"/>
          <w:sz w:val="32"/>
          <w:szCs w:val="32"/>
          <w:lang w:val="en-US" w:eastAsia="zh-CN"/>
        </w:rPr>
        <w:t>增加41.99</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val="en-US" w:eastAsia="zh-CN"/>
        </w:rPr>
        <w:t>增加64.6</w:t>
      </w:r>
      <w:r>
        <w:rPr>
          <w:rFonts w:hint="eastAsia" w:ascii="仿宋_GB2312" w:hAnsi="仿宋_GB2312" w:eastAsia="仿宋_GB2312" w:cs="仿宋_GB2312"/>
          <w:b w:val="0"/>
          <w:bCs w:val="0"/>
          <w:sz w:val="32"/>
          <w:szCs w:val="32"/>
        </w:rPr>
        <w:t>%。主要变动原因是</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在收入方面，</w:t>
      </w:r>
      <w:r>
        <w:rPr>
          <w:rFonts w:hint="eastAsia" w:ascii="仿宋_GB2312" w:hAnsi="仿宋_GB2312" w:eastAsia="仿宋_GB2312" w:cs="仿宋_GB2312"/>
          <w:b w:val="0"/>
          <w:bCs w:val="0"/>
          <w:sz w:val="32"/>
          <w:szCs w:val="32"/>
        </w:rPr>
        <w:t>一般公共预算财政拨款收入</w:t>
      </w:r>
      <w:r>
        <w:rPr>
          <w:rFonts w:hint="eastAsia" w:ascii="仿宋_GB2312" w:hAnsi="仿宋_GB2312" w:eastAsia="仿宋_GB2312" w:cs="仿宋_GB2312"/>
          <w:b w:val="0"/>
          <w:bCs w:val="0"/>
          <w:sz w:val="32"/>
          <w:szCs w:val="32"/>
          <w:lang w:val="en-US" w:eastAsia="zh-CN"/>
        </w:rPr>
        <w:t>增加41.99万元；在支出方面，</w:t>
      </w:r>
      <w:r>
        <w:rPr>
          <w:rFonts w:hint="eastAsia" w:ascii="仿宋_GB2312" w:hAnsi="仿宋_GB2312" w:eastAsia="仿宋_GB2312" w:cs="仿宋_GB2312"/>
          <w:b w:val="0"/>
          <w:bCs w:val="0"/>
          <w:color w:val="000000"/>
          <w:kern w:val="2"/>
          <w:sz w:val="32"/>
          <w:lang w:val="zh-CN"/>
        </w:rPr>
        <w:t>科学技术支出支出增加</w:t>
      </w:r>
      <w:r>
        <w:rPr>
          <w:rFonts w:hint="eastAsia" w:ascii="仿宋_GB2312" w:hAnsi="仿宋_GB2312" w:eastAsia="仿宋_GB2312" w:cs="仿宋_GB2312"/>
          <w:b w:val="0"/>
          <w:bCs w:val="0"/>
          <w:color w:val="000000"/>
          <w:kern w:val="2"/>
          <w:sz w:val="32"/>
          <w:lang w:val="en-US" w:eastAsia="zh-CN"/>
        </w:rPr>
        <w:t>30.02</w:t>
      </w:r>
      <w:r>
        <w:rPr>
          <w:rFonts w:hint="eastAsia" w:ascii="仿宋_GB2312" w:hAnsi="仿宋_GB2312" w:eastAsia="仿宋_GB2312" w:cs="仿宋_GB2312"/>
          <w:b w:val="0"/>
          <w:bCs w:val="0"/>
          <w:color w:val="000000"/>
          <w:kern w:val="2"/>
          <w:sz w:val="32"/>
          <w:lang w:val="zh-CN"/>
        </w:rPr>
        <w:t>万元、社会保障和就业支出</w:t>
      </w:r>
      <w:r>
        <w:rPr>
          <w:rFonts w:hint="eastAsia" w:ascii="仿宋_GB2312" w:hAnsi="仿宋_GB2312" w:eastAsia="仿宋_GB2312" w:cs="仿宋_GB2312"/>
          <w:b w:val="0"/>
          <w:bCs w:val="0"/>
          <w:color w:val="000000"/>
          <w:kern w:val="2"/>
          <w:sz w:val="32"/>
          <w:lang w:val="en-US" w:eastAsia="zh-CN"/>
        </w:rPr>
        <w:t>增加5.27</w:t>
      </w:r>
      <w:r>
        <w:rPr>
          <w:rFonts w:hint="eastAsia" w:ascii="仿宋_GB2312" w:hAnsi="仿宋_GB2312" w:eastAsia="仿宋_GB2312" w:cs="仿宋_GB2312"/>
          <w:b w:val="0"/>
          <w:bCs w:val="0"/>
          <w:color w:val="000000"/>
          <w:kern w:val="2"/>
          <w:sz w:val="32"/>
          <w:lang w:val="zh-CN"/>
        </w:rPr>
        <w:t>万元、卫生健康支出</w:t>
      </w:r>
      <w:r>
        <w:rPr>
          <w:rFonts w:hint="eastAsia" w:ascii="仿宋_GB2312" w:hAnsi="仿宋_GB2312" w:eastAsia="仿宋_GB2312" w:cs="仿宋_GB2312"/>
          <w:b w:val="0"/>
          <w:bCs w:val="0"/>
          <w:color w:val="000000"/>
          <w:kern w:val="2"/>
          <w:sz w:val="32"/>
          <w:lang w:val="en-US" w:eastAsia="zh-CN"/>
        </w:rPr>
        <w:t>增加2.67</w:t>
      </w:r>
      <w:r>
        <w:rPr>
          <w:rFonts w:hint="eastAsia" w:ascii="仿宋_GB2312" w:hAnsi="仿宋_GB2312" w:eastAsia="仿宋_GB2312" w:cs="仿宋_GB2312"/>
          <w:b w:val="0"/>
          <w:bCs w:val="0"/>
          <w:color w:val="000000"/>
          <w:kern w:val="2"/>
          <w:sz w:val="32"/>
          <w:lang w:val="zh-CN"/>
        </w:rPr>
        <w:t>万元、住房保障支出</w:t>
      </w:r>
      <w:r>
        <w:rPr>
          <w:rFonts w:hint="eastAsia" w:ascii="仿宋_GB2312" w:hAnsi="仿宋_GB2312" w:eastAsia="仿宋_GB2312" w:cs="仿宋_GB2312"/>
          <w:b w:val="0"/>
          <w:bCs w:val="0"/>
          <w:color w:val="000000"/>
          <w:kern w:val="2"/>
          <w:sz w:val="32"/>
          <w:lang w:val="en-US" w:eastAsia="zh-CN"/>
        </w:rPr>
        <w:t>增加4.02</w:t>
      </w:r>
      <w:r>
        <w:rPr>
          <w:rFonts w:hint="eastAsia" w:ascii="仿宋_GB2312" w:hAnsi="仿宋_GB2312" w:eastAsia="仿宋_GB2312" w:cs="仿宋_GB2312"/>
          <w:b w:val="0"/>
          <w:bCs w:val="0"/>
          <w:color w:val="000000"/>
          <w:kern w:val="2"/>
          <w:sz w:val="32"/>
          <w:lang w:val="zh-CN"/>
        </w:rPr>
        <w:t>万元所致。</w:t>
      </w:r>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图4：财政拨款收、支决算总计变动情况</w:t>
      </w:r>
      <w:r>
        <w:rPr>
          <w:rFonts w:hint="eastAsia" w:ascii="仿宋" w:hAnsi="仿宋" w:eastAsia="仿宋"/>
          <w:sz w:val="32"/>
          <w:szCs w:val="32"/>
          <w:lang w:val="en-US" w:eastAsia="zh-CN"/>
        </w:rPr>
        <w:t>图</w:t>
      </w:r>
    </w:p>
    <w:p>
      <w:pPr>
        <w:pStyle w:val="2"/>
        <w:rPr>
          <w:rFonts w:ascii="仿宋" w:hAnsi="仿宋" w:eastAsia="仿宋"/>
          <w:b/>
          <w:sz w:val="32"/>
          <w:szCs w:val="32"/>
        </w:rPr>
      </w:pPr>
      <w:r>
        <w:rPr>
          <w:rFonts w:hint="eastAsia"/>
          <w:lang w:val="en-US" w:eastAsia="zh-CN"/>
        </w:rPr>
        <w:drawing>
          <wp:inline distT="0" distB="0" distL="114300" distR="114300">
            <wp:extent cx="4584065" cy="2755265"/>
            <wp:effectExtent l="0" t="0" r="6985" b="6985"/>
            <wp:docPr id="13" name="图片 13"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4"/>
                    <pic:cNvPicPr>
                      <a:picLocks noChangeAspect="1"/>
                    </pic:cNvPicPr>
                  </pic:nvPicPr>
                  <pic:blipFill>
                    <a:blip r:embed="rId14"/>
                    <a:stretch>
                      <a:fillRect/>
                    </a:stretch>
                  </pic:blipFill>
                  <pic:spPr>
                    <a:xfrm>
                      <a:off x="0" y="0"/>
                      <a:ext cx="4584065" cy="2755265"/>
                    </a:xfrm>
                    <a:prstGeom prst="rect">
                      <a:avLst/>
                    </a:prstGeom>
                  </pic:spPr>
                </pic:pic>
              </a:graphicData>
            </a:graphic>
          </wp:inline>
        </w:drawing>
      </w:r>
    </w:p>
    <w:p>
      <w:pPr>
        <w:spacing w:line="600" w:lineRule="exact"/>
        <w:ind w:firstLine="640" w:firstLineChars="200"/>
        <w:outlineLvl w:val="1"/>
        <w:rPr>
          <w:rStyle w:val="29"/>
          <w:rFonts w:ascii="黑体" w:hAnsi="黑体" w:eastAsia="黑体"/>
          <w:b w:val="0"/>
        </w:rPr>
      </w:pPr>
      <w:bookmarkStart w:id="39" w:name="_Toc15377209"/>
      <w:bookmarkStart w:id="40" w:name="_Toc3186"/>
      <w:bookmarkStart w:id="41" w:name="_Toc15396607"/>
      <w:r>
        <w:rPr>
          <w:rFonts w:hint="eastAsia" w:ascii="黑体" w:hAnsi="黑体" w:eastAsia="黑体"/>
          <w:sz w:val="32"/>
          <w:szCs w:val="32"/>
        </w:rPr>
        <w:t>五、</w:t>
      </w:r>
      <w:r>
        <w:rPr>
          <w:rFonts w:hint="eastAsia" w:ascii="黑体" w:hAnsi="黑体" w:eastAsia="黑体"/>
          <w:b/>
          <w:sz w:val="32"/>
          <w:szCs w:val="32"/>
        </w:rPr>
        <w:t>一</w:t>
      </w:r>
      <w:r>
        <w:rPr>
          <w:rStyle w:val="29"/>
          <w:rFonts w:hint="eastAsia" w:ascii="黑体" w:hAnsi="黑体" w:eastAsia="黑体"/>
          <w:b w:val="0"/>
        </w:rPr>
        <w:t>般公共预算财政拨款支出决算情况说明</w:t>
      </w:r>
      <w:bookmarkEnd w:id="39"/>
      <w:bookmarkEnd w:id="40"/>
      <w:bookmarkEnd w:id="41"/>
    </w:p>
    <w:p>
      <w:pPr>
        <w:spacing w:line="600" w:lineRule="exact"/>
        <w:ind w:firstLine="642" w:firstLineChars="200"/>
        <w:outlineLvl w:val="2"/>
        <w:rPr>
          <w:rFonts w:hint="eastAsia" w:ascii="仿宋" w:hAnsi="仿宋" w:eastAsia="仿宋"/>
          <w:b/>
          <w:sz w:val="32"/>
          <w:szCs w:val="32"/>
        </w:rPr>
      </w:pPr>
      <w:bookmarkStart w:id="42" w:name="_Toc15377210"/>
      <w:r>
        <w:rPr>
          <w:rFonts w:hint="eastAsia" w:ascii="仿宋" w:hAnsi="仿宋" w:eastAsia="仿宋"/>
          <w:b/>
          <w:sz w:val="32"/>
          <w:szCs w:val="32"/>
        </w:rPr>
        <w:t>（一）一般公共预算财政拨款支出决算总体情况</w:t>
      </w:r>
      <w:bookmarkEnd w:id="42"/>
      <w:bookmarkStart w:id="43" w:name="_Toc2380"/>
    </w:p>
    <w:p>
      <w:pPr>
        <w:spacing w:line="600" w:lineRule="exact"/>
        <w:ind w:firstLine="640" w:firstLineChars="200"/>
        <w:outlineLvl w:val="2"/>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年度一般公共预算财政拨款支出</w:t>
      </w:r>
      <w:r>
        <w:rPr>
          <w:rFonts w:hint="eastAsia" w:ascii="仿宋_GB2312" w:hAnsi="仿宋_GB2312" w:eastAsia="仿宋_GB2312" w:cs="仿宋_GB2312"/>
          <w:b w:val="0"/>
          <w:bCs w:val="0"/>
          <w:sz w:val="32"/>
          <w:szCs w:val="32"/>
          <w:lang w:val="en-US" w:eastAsia="zh-CN"/>
        </w:rPr>
        <w:t>107</w:t>
      </w:r>
      <w:r>
        <w:rPr>
          <w:rFonts w:hint="eastAsia" w:ascii="仿宋_GB2312" w:hAnsi="仿宋_GB2312" w:eastAsia="仿宋_GB2312" w:cs="仿宋_GB2312"/>
          <w:b w:val="0"/>
          <w:bCs w:val="0"/>
          <w:sz w:val="32"/>
          <w:szCs w:val="32"/>
        </w:rPr>
        <w:t>万元，占本年支出合计的</w:t>
      </w:r>
      <w:r>
        <w:rPr>
          <w:rFonts w:hint="eastAsia" w:ascii="仿宋_GB2312" w:hAnsi="仿宋_GB2312" w:eastAsia="仿宋_GB2312" w:cs="仿宋_GB2312"/>
          <w:b w:val="0"/>
          <w:bCs w:val="0"/>
          <w:sz w:val="32"/>
          <w:szCs w:val="32"/>
          <w:lang w:val="en-US" w:eastAsia="zh-CN"/>
        </w:rPr>
        <w:t>100</w:t>
      </w:r>
      <w:r>
        <w:rPr>
          <w:rFonts w:hint="eastAsia" w:ascii="仿宋_GB2312" w:hAnsi="仿宋_GB2312" w:eastAsia="仿宋_GB2312" w:cs="仿宋_GB2312"/>
          <w:b w:val="0"/>
          <w:bCs w:val="0"/>
          <w:sz w:val="32"/>
          <w:szCs w:val="32"/>
        </w:rPr>
        <w:t>%。</w:t>
      </w:r>
      <w:bookmarkEnd w:id="43"/>
      <w:r>
        <w:rPr>
          <w:rFonts w:hint="eastAsia" w:ascii="仿宋_GB2312" w:hAnsi="仿宋_GB2312" w:eastAsia="仿宋_GB2312" w:cs="仿宋_GB2312"/>
          <w:b w:val="0"/>
          <w:bCs w:val="0"/>
          <w:sz w:val="32"/>
          <w:szCs w:val="32"/>
        </w:rPr>
        <w:t>与202</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年度</w:t>
      </w:r>
      <w:r>
        <w:rPr>
          <w:rFonts w:hint="eastAsia" w:ascii="仿宋_GB2312" w:hAnsi="仿宋_GB2312" w:eastAsia="仿宋_GB2312" w:cs="仿宋_GB2312"/>
          <w:b w:val="0"/>
          <w:bCs w:val="0"/>
          <w:sz w:val="32"/>
          <w:szCs w:val="32"/>
          <w:lang w:val="en-US" w:eastAsia="zh-CN"/>
        </w:rPr>
        <w:t>65.01万元</w:t>
      </w:r>
      <w:r>
        <w:rPr>
          <w:rFonts w:hint="eastAsia" w:ascii="仿宋_GB2312" w:hAnsi="仿宋_GB2312" w:eastAsia="仿宋_GB2312" w:cs="仿宋_GB2312"/>
          <w:b w:val="0"/>
          <w:bCs w:val="0"/>
          <w:sz w:val="32"/>
          <w:szCs w:val="32"/>
        </w:rPr>
        <w:t>相比，一般公共预算财政拨款支出</w:t>
      </w:r>
      <w:r>
        <w:rPr>
          <w:rFonts w:hint="eastAsia" w:ascii="仿宋_GB2312" w:hAnsi="仿宋_GB2312" w:eastAsia="仿宋_GB2312" w:cs="仿宋_GB2312"/>
          <w:b w:val="0"/>
          <w:bCs w:val="0"/>
          <w:sz w:val="32"/>
          <w:szCs w:val="32"/>
          <w:lang w:val="en-US" w:eastAsia="zh-CN"/>
        </w:rPr>
        <w:t>增加41.99</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val="en-US" w:eastAsia="zh-CN"/>
        </w:rPr>
        <w:t>增加64.59</w:t>
      </w:r>
      <w:r>
        <w:rPr>
          <w:rFonts w:hint="eastAsia" w:ascii="仿宋_GB2312" w:hAnsi="仿宋_GB2312" w:eastAsia="仿宋_GB2312" w:cs="仿宋_GB2312"/>
          <w:b w:val="0"/>
          <w:bCs w:val="0"/>
          <w:sz w:val="32"/>
          <w:szCs w:val="32"/>
        </w:rPr>
        <w:t>%。主要变动原因是</w:t>
      </w:r>
      <w:r>
        <w:rPr>
          <w:rFonts w:hint="eastAsia" w:ascii="仿宋_GB2312" w:hAnsi="仿宋_GB2312" w:eastAsia="仿宋_GB2312" w:cs="仿宋_GB2312"/>
          <w:b w:val="0"/>
          <w:bCs w:val="0"/>
          <w:sz w:val="32"/>
          <w:szCs w:val="32"/>
          <w:lang w:val="en-US" w:eastAsia="zh-CN"/>
        </w:rPr>
        <w:t>在收入方面，</w:t>
      </w:r>
      <w:r>
        <w:rPr>
          <w:rFonts w:hint="eastAsia" w:ascii="仿宋_GB2312" w:hAnsi="仿宋_GB2312" w:eastAsia="仿宋_GB2312" w:cs="仿宋_GB2312"/>
          <w:b w:val="0"/>
          <w:bCs w:val="0"/>
          <w:sz w:val="32"/>
          <w:szCs w:val="32"/>
        </w:rPr>
        <w:t>一般公共预算财政拨款收入</w:t>
      </w:r>
      <w:r>
        <w:rPr>
          <w:rFonts w:hint="eastAsia" w:ascii="仿宋_GB2312" w:hAnsi="仿宋_GB2312" w:eastAsia="仿宋_GB2312" w:cs="仿宋_GB2312"/>
          <w:b w:val="0"/>
          <w:bCs w:val="0"/>
          <w:sz w:val="32"/>
          <w:szCs w:val="32"/>
          <w:lang w:val="en-US" w:eastAsia="zh-CN"/>
        </w:rPr>
        <w:t>增加41.99万元；在支出方面，</w:t>
      </w:r>
      <w:r>
        <w:rPr>
          <w:rFonts w:hint="eastAsia" w:ascii="仿宋_GB2312" w:hAnsi="仿宋_GB2312" w:eastAsia="仿宋_GB2312" w:cs="仿宋_GB2312"/>
          <w:b w:val="0"/>
          <w:bCs w:val="0"/>
          <w:sz w:val="32"/>
          <w:szCs w:val="32"/>
          <w:lang w:val="zh-CN"/>
        </w:rPr>
        <w:t>科学技术支出支出增加</w:t>
      </w:r>
      <w:r>
        <w:rPr>
          <w:rFonts w:hint="eastAsia" w:ascii="仿宋_GB2312" w:hAnsi="仿宋_GB2312" w:eastAsia="仿宋_GB2312" w:cs="仿宋_GB2312"/>
          <w:b w:val="0"/>
          <w:bCs w:val="0"/>
          <w:sz w:val="32"/>
          <w:szCs w:val="32"/>
          <w:lang w:val="en-US" w:eastAsia="zh-CN"/>
        </w:rPr>
        <w:t>30.02</w:t>
      </w:r>
      <w:r>
        <w:rPr>
          <w:rFonts w:hint="eastAsia" w:ascii="仿宋_GB2312" w:hAnsi="仿宋_GB2312" w:eastAsia="仿宋_GB2312" w:cs="仿宋_GB2312"/>
          <w:b w:val="0"/>
          <w:bCs w:val="0"/>
          <w:sz w:val="32"/>
          <w:szCs w:val="32"/>
          <w:lang w:val="zh-CN"/>
        </w:rPr>
        <w:t>万元、社会保障和就业支出</w:t>
      </w:r>
      <w:r>
        <w:rPr>
          <w:rFonts w:hint="eastAsia" w:ascii="仿宋_GB2312" w:hAnsi="仿宋_GB2312" w:eastAsia="仿宋_GB2312" w:cs="仿宋_GB2312"/>
          <w:b w:val="0"/>
          <w:bCs w:val="0"/>
          <w:sz w:val="32"/>
          <w:szCs w:val="32"/>
          <w:lang w:val="en-US" w:eastAsia="zh-CN"/>
        </w:rPr>
        <w:t>增加5.27</w:t>
      </w:r>
      <w:r>
        <w:rPr>
          <w:rFonts w:hint="eastAsia" w:ascii="仿宋_GB2312" w:hAnsi="仿宋_GB2312" w:eastAsia="仿宋_GB2312" w:cs="仿宋_GB2312"/>
          <w:b w:val="0"/>
          <w:bCs w:val="0"/>
          <w:sz w:val="32"/>
          <w:szCs w:val="32"/>
          <w:lang w:val="zh-CN"/>
        </w:rPr>
        <w:t>万元、卫生健康支出</w:t>
      </w:r>
      <w:r>
        <w:rPr>
          <w:rFonts w:hint="eastAsia" w:ascii="仿宋_GB2312" w:hAnsi="仿宋_GB2312" w:eastAsia="仿宋_GB2312" w:cs="仿宋_GB2312"/>
          <w:b w:val="0"/>
          <w:bCs w:val="0"/>
          <w:sz w:val="32"/>
          <w:szCs w:val="32"/>
          <w:lang w:val="en-US" w:eastAsia="zh-CN"/>
        </w:rPr>
        <w:t>增加2.67</w:t>
      </w:r>
      <w:r>
        <w:rPr>
          <w:rFonts w:hint="eastAsia" w:ascii="仿宋_GB2312" w:hAnsi="仿宋_GB2312" w:eastAsia="仿宋_GB2312" w:cs="仿宋_GB2312"/>
          <w:b w:val="0"/>
          <w:bCs w:val="0"/>
          <w:sz w:val="32"/>
          <w:szCs w:val="32"/>
          <w:lang w:val="zh-CN"/>
        </w:rPr>
        <w:t>万元、住房保障支出</w:t>
      </w:r>
      <w:r>
        <w:rPr>
          <w:rFonts w:hint="eastAsia" w:ascii="仿宋_GB2312" w:hAnsi="仿宋_GB2312" w:eastAsia="仿宋_GB2312" w:cs="仿宋_GB2312"/>
          <w:b w:val="0"/>
          <w:bCs w:val="0"/>
          <w:sz w:val="32"/>
          <w:szCs w:val="32"/>
          <w:lang w:val="en-US" w:eastAsia="zh-CN"/>
        </w:rPr>
        <w:t>增加4.02</w:t>
      </w:r>
      <w:r>
        <w:rPr>
          <w:rFonts w:hint="eastAsia" w:ascii="仿宋_GB2312" w:hAnsi="仿宋_GB2312" w:eastAsia="仿宋_GB2312" w:cs="仿宋_GB2312"/>
          <w:b w:val="0"/>
          <w:bCs w:val="0"/>
          <w:sz w:val="32"/>
          <w:szCs w:val="32"/>
          <w:lang w:val="zh-CN"/>
        </w:rPr>
        <w:t>万元所致。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图5：一般公共预算财政拨款支出决算变动情况图</w:t>
      </w:r>
    </w:p>
    <w:p>
      <w:pPr>
        <w:pStyle w:val="2"/>
        <w:rPr>
          <w:rFonts w:hint="eastAsia" w:eastAsia="仿宋"/>
          <w:lang w:eastAsia="zh-CN"/>
        </w:rPr>
      </w:pPr>
      <w:r>
        <w:rPr>
          <w:rFonts w:hint="eastAsia" w:eastAsia="仿宋"/>
          <w:lang w:eastAsia="zh-CN"/>
        </w:rPr>
        <w:drawing>
          <wp:inline distT="0" distB="0" distL="114300" distR="114300">
            <wp:extent cx="4651375" cy="3486785"/>
            <wp:effectExtent l="0" t="0" r="15875" b="18415"/>
            <wp:docPr id="14" name="图片 14"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5"/>
                    <pic:cNvPicPr>
                      <a:picLocks noChangeAspect="1"/>
                    </pic:cNvPicPr>
                  </pic:nvPicPr>
                  <pic:blipFill>
                    <a:blip r:embed="rId15"/>
                    <a:stretch>
                      <a:fillRect/>
                    </a:stretch>
                  </pic:blipFill>
                  <pic:spPr>
                    <a:xfrm>
                      <a:off x="0" y="0"/>
                      <a:ext cx="4651375" cy="3486785"/>
                    </a:xfrm>
                    <a:prstGeom prst="rect">
                      <a:avLst/>
                    </a:prstGeom>
                  </pic:spPr>
                </pic:pic>
              </a:graphicData>
            </a:graphic>
          </wp:inline>
        </w:drawing>
      </w:r>
    </w:p>
    <w:p>
      <w:pPr>
        <w:spacing w:line="600" w:lineRule="exact"/>
        <w:ind w:firstLine="640" w:firstLineChars="200"/>
        <w:rPr>
          <w:rFonts w:ascii="仿宋" w:hAnsi="仿宋" w:eastAsia="仿宋"/>
          <w:sz w:val="32"/>
          <w:szCs w:val="32"/>
        </w:rPr>
      </w:pPr>
    </w:p>
    <w:p>
      <w:pPr>
        <w:spacing w:line="600" w:lineRule="exact"/>
        <w:ind w:firstLine="642" w:firstLineChars="200"/>
        <w:outlineLvl w:val="2"/>
        <w:rPr>
          <w:rFonts w:ascii="仿宋" w:hAnsi="仿宋" w:eastAsia="仿宋"/>
          <w:b/>
          <w:sz w:val="32"/>
          <w:szCs w:val="32"/>
        </w:rPr>
      </w:pPr>
      <w:bookmarkStart w:id="44" w:name="_Toc15377211"/>
      <w:r>
        <w:rPr>
          <w:rFonts w:hint="eastAsia" w:ascii="仿宋" w:hAnsi="仿宋" w:eastAsia="仿宋"/>
          <w:b/>
          <w:sz w:val="32"/>
          <w:szCs w:val="32"/>
        </w:rPr>
        <w:t>（二）一般公共预算财政拨款支出决算结构情况</w:t>
      </w:r>
      <w:bookmarkEnd w:id="44"/>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年度一般公共预算财政拨款支出</w:t>
      </w:r>
      <w:r>
        <w:rPr>
          <w:rFonts w:hint="eastAsia" w:ascii="仿宋_GB2312" w:hAnsi="仿宋_GB2312" w:eastAsia="仿宋_GB2312" w:cs="仿宋_GB2312"/>
          <w:b w:val="0"/>
          <w:bCs w:val="0"/>
          <w:sz w:val="32"/>
          <w:szCs w:val="32"/>
          <w:lang w:val="en-US" w:eastAsia="zh-CN"/>
        </w:rPr>
        <w:t>107</w:t>
      </w:r>
      <w:r>
        <w:rPr>
          <w:rFonts w:hint="eastAsia" w:ascii="仿宋_GB2312" w:hAnsi="仿宋_GB2312" w:eastAsia="仿宋_GB2312" w:cs="仿宋_GB2312"/>
          <w:b w:val="0"/>
          <w:bCs w:val="0"/>
          <w:sz w:val="32"/>
          <w:szCs w:val="32"/>
        </w:rPr>
        <w:t>万元，主要用于以下方面:科学技术支出</w:t>
      </w:r>
      <w:r>
        <w:rPr>
          <w:rFonts w:hint="eastAsia" w:ascii="仿宋_GB2312" w:hAnsi="仿宋_GB2312" w:eastAsia="仿宋_GB2312" w:cs="仿宋_GB2312"/>
          <w:b w:val="0"/>
          <w:bCs w:val="0"/>
          <w:sz w:val="32"/>
          <w:szCs w:val="32"/>
          <w:lang w:val="en-US" w:eastAsia="zh-CN"/>
        </w:rPr>
        <w:t>80.64</w:t>
      </w:r>
      <w:r>
        <w:rPr>
          <w:rFonts w:hint="eastAsia" w:ascii="仿宋_GB2312" w:hAnsi="仿宋_GB2312" w:eastAsia="仿宋_GB2312" w:cs="仿宋_GB2312"/>
          <w:b w:val="0"/>
          <w:bCs w:val="0"/>
          <w:sz w:val="32"/>
          <w:szCs w:val="32"/>
        </w:rPr>
        <w:t>万元，占</w:t>
      </w:r>
      <w:r>
        <w:rPr>
          <w:rFonts w:hint="eastAsia" w:ascii="仿宋_GB2312" w:hAnsi="仿宋_GB2312" w:eastAsia="仿宋_GB2312" w:cs="仿宋_GB2312"/>
          <w:b w:val="0"/>
          <w:bCs w:val="0"/>
          <w:sz w:val="32"/>
          <w:szCs w:val="32"/>
          <w:lang w:val="en-US" w:eastAsia="zh-CN"/>
        </w:rPr>
        <w:t>75.4</w:t>
      </w:r>
      <w:r>
        <w:rPr>
          <w:rFonts w:hint="eastAsia" w:ascii="仿宋_GB2312" w:hAnsi="仿宋_GB2312" w:eastAsia="仿宋_GB2312" w:cs="仿宋_GB2312"/>
          <w:b w:val="0"/>
          <w:bCs w:val="0"/>
          <w:sz w:val="32"/>
          <w:szCs w:val="32"/>
        </w:rPr>
        <w:t>%；社会保障和就业支出</w:t>
      </w:r>
      <w:r>
        <w:rPr>
          <w:rFonts w:hint="eastAsia" w:ascii="仿宋_GB2312" w:hAnsi="仿宋_GB2312" w:eastAsia="仿宋_GB2312" w:cs="仿宋_GB2312"/>
          <w:b w:val="0"/>
          <w:bCs w:val="0"/>
          <w:sz w:val="32"/>
          <w:szCs w:val="32"/>
          <w:lang w:val="en-US" w:eastAsia="zh-CN"/>
        </w:rPr>
        <w:t>14.27</w:t>
      </w:r>
      <w:r>
        <w:rPr>
          <w:rFonts w:hint="eastAsia" w:ascii="仿宋_GB2312" w:hAnsi="仿宋_GB2312" w:eastAsia="仿宋_GB2312" w:cs="仿宋_GB2312"/>
          <w:b w:val="0"/>
          <w:bCs w:val="0"/>
          <w:sz w:val="32"/>
          <w:szCs w:val="32"/>
        </w:rPr>
        <w:t>万元，占</w:t>
      </w:r>
      <w:r>
        <w:rPr>
          <w:rFonts w:hint="eastAsia" w:ascii="仿宋_GB2312" w:hAnsi="仿宋_GB2312" w:eastAsia="仿宋_GB2312" w:cs="仿宋_GB2312"/>
          <w:b w:val="0"/>
          <w:bCs w:val="0"/>
          <w:sz w:val="32"/>
          <w:szCs w:val="32"/>
          <w:lang w:val="en-US" w:eastAsia="zh-CN"/>
        </w:rPr>
        <w:t>13.3</w:t>
      </w:r>
      <w:r>
        <w:rPr>
          <w:rFonts w:hint="eastAsia" w:ascii="仿宋_GB2312" w:hAnsi="仿宋_GB2312" w:eastAsia="仿宋_GB2312" w:cs="仿宋_GB2312"/>
          <w:b w:val="0"/>
          <w:bCs w:val="0"/>
          <w:sz w:val="32"/>
          <w:szCs w:val="32"/>
        </w:rPr>
        <w:t>%；卫生健康支出</w:t>
      </w:r>
      <w:r>
        <w:rPr>
          <w:rFonts w:hint="eastAsia" w:ascii="仿宋_GB2312" w:hAnsi="仿宋_GB2312" w:eastAsia="仿宋_GB2312" w:cs="仿宋_GB2312"/>
          <w:b w:val="0"/>
          <w:bCs w:val="0"/>
          <w:sz w:val="32"/>
          <w:szCs w:val="32"/>
          <w:lang w:val="en-US" w:eastAsia="zh-CN"/>
        </w:rPr>
        <w:t>4.35</w:t>
      </w:r>
      <w:r>
        <w:rPr>
          <w:rFonts w:hint="eastAsia" w:ascii="仿宋_GB2312" w:hAnsi="仿宋_GB2312" w:eastAsia="仿宋_GB2312" w:cs="仿宋_GB2312"/>
          <w:b w:val="0"/>
          <w:bCs w:val="0"/>
          <w:sz w:val="32"/>
          <w:szCs w:val="32"/>
        </w:rPr>
        <w:t>万元，占</w:t>
      </w:r>
      <w:r>
        <w:rPr>
          <w:rFonts w:hint="eastAsia" w:ascii="仿宋_GB2312" w:hAnsi="仿宋_GB2312" w:eastAsia="仿宋_GB2312" w:cs="仿宋_GB2312"/>
          <w:b w:val="0"/>
          <w:bCs w:val="0"/>
          <w:sz w:val="32"/>
          <w:szCs w:val="32"/>
          <w:lang w:val="en-US" w:eastAsia="zh-CN"/>
        </w:rPr>
        <w:t>4.1</w:t>
      </w:r>
      <w:r>
        <w:rPr>
          <w:rFonts w:hint="eastAsia" w:ascii="仿宋_GB2312" w:hAnsi="仿宋_GB2312" w:eastAsia="仿宋_GB2312" w:cs="仿宋_GB2312"/>
          <w:b w:val="0"/>
          <w:bCs w:val="0"/>
          <w:sz w:val="32"/>
          <w:szCs w:val="32"/>
        </w:rPr>
        <w:t>%；住房保障支出</w:t>
      </w:r>
      <w:r>
        <w:rPr>
          <w:rFonts w:hint="eastAsia" w:ascii="仿宋_GB2312" w:hAnsi="仿宋_GB2312" w:eastAsia="仿宋_GB2312" w:cs="仿宋_GB2312"/>
          <w:b w:val="0"/>
          <w:bCs w:val="0"/>
          <w:sz w:val="32"/>
          <w:szCs w:val="32"/>
          <w:lang w:val="en-US" w:eastAsia="zh-CN"/>
        </w:rPr>
        <w:t>7.73</w:t>
      </w:r>
      <w:r>
        <w:rPr>
          <w:rFonts w:hint="eastAsia" w:ascii="仿宋_GB2312" w:hAnsi="仿宋_GB2312" w:eastAsia="仿宋_GB2312" w:cs="仿宋_GB2312"/>
          <w:b w:val="0"/>
          <w:bCs w:val="0"/>
          <w:sz w:val="32"/>
          <w:szCs w:val="32"/>
        </w:rPr>
        <w:t>万元，占</w:t>
      </w:r>
      <w:r>
        <w:rPr>
          <w:rFonts w:hint="eastAsia" w:ascii="仿宋_GB2312" w:hAnsi="仿宋_GB2312" w:eastAsia="仿宋_GB2312" w:cs="仿宋_GB2312"/>
          <w:b w:val="0"/>
          <w:bCs w:val="0"/>
          <w:sz w:val="32"/>
          <w:szCs w:val="32"/>
          <w:lang w:val="en-US" w:eastAsia="zh-CN"/>
        </w:rPr>
        <w:t>7.2</w:t>
      </w:r>
      <w:r>
        <w:rPr>
          <w:rFonts w:hint="eastAsia" w:ascii="仿宋_GB2312" w:hAnsi="仿宋_GB2312" w:eastAsia="仿宋_GB2312" w:cs="仿宋_GB2312"/>
          <w:b w:val="0"/>
          <w:bCs w:val="0"/>
          <w:sz w:val="32"/>
          <w:szCs w:val="32"/>
        </w:rPr>
        <w:t>%。</w:t>
      </w:r>
    </w:p>
    <w:p>
      <w:pPr>
        <w:spacing w:line="600" w:lineRule="exact"/>
        <w:ind w:firstLine="640"/>
        <w:rPr>
          <w:rFonts w:ascii="仿宋" w:hAnsi="仿宋" w:eastAsia="仿宋"/>
          <w:sz w:val="32"/>
          <w:szCs w:val="32"/>
        </w:rPr>
      </w:pP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图6：一般公共预算财政拨款支出决算结构图</w:t>
      </w:r>
    </w:p>
    <w:p>
      <w:pPr>
        <w:pStyle w:val="2"/>
        <w:rPr>
          <w:rFonts w:hint="eastAsia" w:eastAsia="仿宋"/>
          <w:lang w:eastAsia="zh-CN"/>
        </w:rPr>
      </w:pPr>
      <w:r>
        <w:rPr>
          <w:rFonts w:hint="eastAsia" w:eastAsia="仿宋"/>
          <w:lang w:eastAsia="zh-CN"/>
        </w:rPr>
        <w:drawing>
          <wp:inline distT="0" distB="0" distL="114300" distR="114300">
            <wp:extent cx="4243070" cy="3401695"/>
            <wp:effectExtent l="0" t="0" r="5080" b="8255"/>
            <wp:docPr id="4" name="图片 4"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6"/>
                    <pic:cNvPicPr>
                      <a:picLocks noChangeAspect="1"/>
                    </pic:cNvPicPr>
                  </pic:nvPicPr>
                  <pic:blipFill>
                    <a:blip r:embed="rId16"/>
                    <a:stretch>
                      <a:fillRect/>
                    </a:stretch>
                  </pic:blipFill>
                  <pic:spPr>
                    <a:xfrm>
                      <a:off x="0" y="0"/>
                      <a:ext cx="4243070" cy="3401695"/>
                    </a:xfrm>
                    <a:prstGeom prst="rect">
                      <a:avLst/>
                    </a:prstGeom>
                  </pic:spPr>
                </pic:pic>
              </a:graphicData>
            </a:graphic>
          </wp:inline>
        </w:drawing>
      </w:r>
    </w:p>
    <w:p>
      <w:pPr>
        <w:spacing w:line="600" w:lineRule="exact"/>
        <w:ind w:firstLine="640" w:firstLineChars="200"/>
        <w:rPr>
          <w:rFonts w:ascii="仿宋" w:hAnsi="仿宋" w:eastAsia="仿宋"/>
          <w:sz w:val="32"/>
          <w:szCs w:val="32"/>
        </w:rPr>
      </w:pPr>
    </w:p>
    <w:p>
      <w:pPr>
        <w:spacing w:line="600" w:lineRule="exact"/>
        <w:ind w:firstLine="642" w:firstLineChars="200"/>
        <w:outlineLvl w:val="2"/>
        <w:rPr>
          <w:rFonts w:ascii="仿宋" w:hAnsi="仿宋" w:eastAsia="仿宋"/>
          <w:b/>
          <w:sz w:val="32"/>
          <w:szCs w:val="32"/>
        </w:rPr>
      </w:pPr>
      <w:bookmarkStart w:id="45" w:name="_Toc15377212"/>
      <w:r>
        <w:rPr>
          <w:rFonts w:hint="eastAsia" w:ascii="仿宋" w:hAnsi="仿宋" w:eastAsia="仿宋"/>
          <w:b/>
          <w:sz w:val="32"/>
          <w:szCs w:val="32"/>
        </w:rPr>
        <w:t>（三）一般公共预算财政拨款支出决算具体情况</w:t>
      </w:r>
      <w:bookmarkEnd w:id="45"/>
    </w:p>
    <w:p>
      <w:pPr>
        <w:spacing w:line="600" w:lineRule="exact"/>
        <w:ind w:firstLine="640" w:firstLineChars="200"/>
        <w:outlineLvl w:val="1"/>
        <w:rPr>
          <w:rFonts w:hint="eastAsia" w:ascii="仿宋_GB2312" w:hAnsi="仿宋_GB2312" w:eastAsia="仿宋_GB2312" w:cs="仿宋_GB2312"/>
          <w:b w:val="0"/>
          <w:bCs/>
          <w:sz w:val="32"/>
          <w:szCs w:val="32"/>
        </w:rPr>
      </w:pPr>
      <w:bookmarkStart w:id="46" w:name="_Toc15377213"/>
      <w:bookmarkStart w:id="47" w:name="_Toc15378460"/>
      <w:bookmarkStart w:id="48" w:name="_Toc8399"/>
      <w:bookmarkStart w:id="49" w:name="_Toc15377444"/>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rPr>
        <w:t>年度一般公共预算支出决算数为107</w:t>
      </w:r>
      <w:r>
        <w:rPr>
          <w:rFonts w:hint="eastAsia" w:ascii="仿宋_GB2312" w:hAnsi="仿宋_GB2312" w:eastAsia="仿宋_GB2312" w:cs="仿宋_GB2312"/>
          <w:b w:val="0"/>
          <w:bCs/>
          <w:sz w:val="32"/>
          <w:szCs w:val="32"/>
          <w:lang w:val="en-US" w:eastAsia="zh-CN"/>
        </w:rPr>
        <w:t>万元</w:t>
      </w:r>
      <w:r>
        <w:rPr>
          <w:rFonts w:hint="eastAsia" w:ascii="仿宋_GB2312" w:hAnsi="仿宋_GB2312" w:eastAsia="仿宋_GB2312" w:cs="仿宋_GB2312"/>
          <w:b w:val="0"/>
          <w:bCs/>
          <w:sz w:val="32"/>
          <w:szCs w:val="32"/>
        </w:rPr>
        <w:t>，</w:t>
      </w:r>
      <w:r>
        <w:rPr>
          <w:rStyle w:val="17"/>
          <w:rFonts w:hint="eastAsia" w:ascii="仿宋_GB2312" w:hAnsi="仿宋_GB2312" w:eastAsia="仿宋_GB2312" w:cs="仿宋_GB2312"/>
          <w:b w:val="0"/>
          <w:bCs/>
          <w:sz w:val="32"/>
          <w:szCs w:val="32"/>
        </w:rPr>
        <w:t>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%。其中：</w:t>
      </w:r>
      <w:bookmarkEnd w:id="46"/>
      <w:bookmarkEnd w:id="47"/>
      <w:bookmarkEnd w:id="48"/>
      <w:bookmarkEnd w:id="49"/>
    </w:p>
    <w:p>
      <w:pPr>
        <w:spacing w:line="600" w:lineRule="exact"/>
        <w:ind w:firstLine="640" w:firstLineChars="200"/>
        <w:rPr>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rPr>
        <w:t>1.科学技术支出（类）技术研究与开发（款）机构运行（项）: 支出决算为</w:t>
      </w:r>
      <w:r>
        <w:rPr>
          <w:rStyle w:val="17"/>
          <w:rFonts w:hint="eastAsia" w:ascii="仿宋_GB2312" w:hAnsi="仿宋_GB2312" w:eastAsia="仿宋_GB2312" w:cs="仿宋_GB2312"/>
          <w:b w:val="0"/>
          <w:bCs/>
          <w:sz w:val="32"/>
          <w:szCs w:val="32"/>
          <w:lang w:val="en-US" w:eastAsia="zh-CN"/>
        </w:rPr>
        <w:t>80.64</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spacing w:line="600" w:lineRule="exact"/>
        <w:ind w:firstLine="640" w:firstLineChars="200"/>
        <w:rPr>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2</w:t>
      </w:r>
      <w:r>
        <w:rPr>
          <w:rStyle w:val="17"/>
          <w:rFonts w:hint="eastAsia" w:ascii="仿宋_GB2312" w:hAnsi="仿宋_GB2312" w:eastAsia="仿宋_GB2312" w:cs="仿宋_GB2312"/>
          <w:b w:val="0"/>
          <w:bCs/>
          <w:sz w:val="32"/>
          <w:szCs w:val="32"/>
        </w:rPr>
        <w:t>.社会保障和就业支出（类）行政事业单位养老支出（款）机关事业单位基本养老保险缴费支出（项）: 支出决算为</w:t>
      </w:r>
      <w:r>
        <w:rPr>
          <w:rStyle w:val="17"/>
          <w:rFonts w:hint="eastAsia" w:ascii="仿宋_GB2312" w:hAnsi="仿宋_GB2312" w:eastAsia="仿宋_GB2312" w:cs="仿宋_GB2312"/>
          <w:b w:val="0"/>
          <w:bCs/>
          <w:sz w:val="32"/>
          <w:szCs w:val="32"/>
          <w:lang w:val="en-US" w:eastAsia="zh-CN"/>
        </w:rPr>
        <w:t>9.38</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spacing w:line="600" w:lineRule="exact"/>
        <w:ind w:firstLine="640" w:firstLineChars="200"/>
        <w:rPr>
          <w:rStyle w:val="17"/>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3</w:t>
      </w:r>
      <w:r>
        <w:rPr>
          <w:rStyle w:val="17"/>
          <w:rFonts w:hint="eastAsia" w:ascii="仿宋_GB2312" w:hAnsi="仿宋_GB2312" w:eastAsia="仿宋_GB2312" w:cs="仿宋_GB2312"/>
          <w:b w:val="0"/>
          <w:bCs/>
          <w:sz w:val="32"/>
          <w:szCs w:val="32"/>
        </w:rPr>
        <w:t>.社会保障和就业支出（类）行政事业单位养老支出（款）机关事业单位职业年金缴费支出（项）: 支出决算为</w:t>
      </w:r>
      <w:r>
        <w:rPr>
          <w:rStyle w:val="17"/>
          <w:rFonts w:hint="eastAsia" w:ascii="仿宋_GB2312" w:hAnsi="仿宋_GB2312" w:eastAsia="仿宋_GB2312" w:cs="仿宋_GB2312"/>
          <w:b w:val="0"/>
          <w:bCs/>
          <w:sz w:val="32"/>
          <w:szCs w:val="32"/>
          <w:lang w:val="en-US" w:eastAsia="zh-CN"/>
        </w:rPr>
        <w:t>4.30</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pStyle w:val="2"/>
        <w:ind w:left="0" w:leftChars="0" w:firstLine="640" w:firstLineChars="200"/>
        <w:rPr>
          <w:rStyle w:val="17"/>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4</w:t>
      </w:r>
      <w:r>
        <w:rPr>
          <w:rStyle w:val="17"/>
          <w:rFonts w:hint="eastAsia" w:ascii="仿宋_GB2312" w:hAnsi="仿宋_GB2312" w:eastAsia="仿宋_GB2312" w:cs="仿宋_GB2312"/>
          <w:b w:val="0"/>
          <w:bCs/>
          <w:sz w:val="32"/>
          <w:szCs w:val="32"/>
        </w:rPr>
        <w:t>.社会保障和就业支出（类）其他社会保障和就业支出（款）其他社会保障和就业支出（项）: 支出决算为</w:t>
      </w:r>
      <w:r>
        <w:rPr>
          <w:rStyle w:val="17"/>
          <w:rFonts w:hint="eastAsia" w:ascii="仿宋_GB2312" w:hAnsi="仿宋_GB2312" w:eastAsia="仿宋_GB2312" w:cs="仿宋_GB2312"/>
          <w:b w:val="0"/>
          <w:bCs/>
          <w:sz w:val="32"/>
          <w:szCs w:val="32"/>
          <w:lang w:val="en-US" w:eastAsia="zh-CN"/>
        </w:rPr>
        <w:t>0.6</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spacing w:line="600" w:lineRule="exact"/>
        <w:ind w:firstLine="640" w:firstLineChars="200"/>
        <w:rPr>
          <w:rStyle w:val="17"/>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5.</w:t>
      </w:r>
      <w:r>
        <w:rPr>
          <w:rStyle w:val="17"/>
          <w:rFonts w:hint="eastAsia" w:ascii="仿宋_GB2312" w:hAnsi="仿宋_GB2312" w:eastAsia="仿宋_GB2312" w:cs="仿宋_GB2312"/>
          <w:b w:val="0"/>
          <w:bCs/>
          <w:sz w:val="32"/>
          <w:szCs w:val="32"/>
        </w:rPr>
        <w:t>卫生健康支出（类）行政事业单位医疗（款）事业单位医疗（项）: 支出决算为</w:t>
      </w:r>
      <w:r>
        <w:rPr>
          <w:rStyle w:val="17"/>
          <w:rFonts w:hint="eastAsia" w:ascii="仿宋_GB2312" w:hAnsi="仿宋_GB2312" w:eastAsia="仿宋_GB2312" w:cs="仿宋_GB2312"/>
          <w:b w:val="0"/>
          <w:bCs/>
          <w:sz w:val="32"/>
          <w:szCs w:val="32"/>
          <w:lang w:val="en-US" w:eastAsia="zh-CN"/>
        </w:rPr>
        <w:t>3.75</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spacing w:line="600" w:lineRule="exact"/>
        <w:ind w:firstLine="640" w:firstLineChars="200"/>
        <w:rPr>
          <w:rStyle w:val="17"/>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6.</w:t>
      </w:r>
      <w:r>
        <w:rPr>
          <w:rStyle w:val="17"/>
          <w:rFonts w:hint="eastAsia" w:ascii="仿宋_GB2312" w:hAnsi="仿宋_GB2312" w:eastAsia="仿宋_GB2312" w:cs="仿宋_GB2312"/>
          <w:b w:val="0"/>
          <w:bCs/>
          <w:sz w:val="32"/>
          <w:szCs w:val="32"/>
        </w:rPr>
        <w:t>卫生健康支出（类）行政事业单位医疗（款）公务员医疗补助（项）: 支出决算为</w:t>
      </w:r>
      <w:r>
        <w:rPr>
          <w:rStyle w:val="17"/>
          <w:rFonts w:hint="eastAsia" w:ascii="仿宋_GB2312" w:hAnsi="仿宋_GB2312" w:eastAsia="仿宋_GB2312" w:cs="仿宋_GB2312"/>
          <w:b w:val="0"/>
          <w:bCs/>
          <w:sz w:val="32"/>
          <w:szCs w:val="32"/>
          <w:lang w:val="en-US" w:eastAsia="zh-CN"/>
        </w:rPr>
        <w:t>0.60</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spacing w:line="600" w:lineRule="exact"/>
        <w:ind w:firstLine="640" w:firstLineChars="200"/>
        <w:rPr>
          <w:rFonts w:hint="eastAsia" w:ascii="仿宋_GB2312" w:hAnsi="仿宋_GB2312" w:eastAsia="仿宋_GB2312" w:cs="仿宋_GB2312"/>
          <w:b w:val="0"/>
          <w:bCs/>
          <w:sz w:val="32"/>
          <w:szCs w:val="32"/>
        </w:rPr>
      </w:pPr>
      <w:r>
        <w:rPr>
          <w:rStyle w:val="17"/>
          <w:rFonts w:hint="eastAsia" w:ascii="仿宋_GB2312" w:hAnsi="仿宋_GB2312" w:eastAsia="仿宋_GB2312" w:cs="仿宋_GB2312"/>
          <w:b w:val="0"/>
          <w:bCs/>
          <w:sz w:val="32"/>
          <w:szCs w:val="32"/>
          <w:lang w:val="en-US" w:eastAsia="zh-CN"/>
        </w:rPr>
        <w:t>7.</w:t>
      </w:r>
      <w:r>
        <w:rPr>
          <w:rStyle w:val="17"/>
          <w:rFonts w:hint="eastAsia" w:ascii="仿宋_GB2312" w:hAnsi="仿宋_GB2312" w:eastAsia="仿宋_GB2312" w:cs="仿宋_GB2312"/>
          <w:b w:val="0"/>
          <w:bCs/>
          <w:sz w:val="32"/>
          <w:szCs w:val="32"/>
        </w:rPr>
        <w:t>住房保障支出（类）住房改革支出（款）住房公积金（项）: 支出决算为</w:t>
      </w:r>
      <w:r>
        <w:rPr>
          <w:rStyle w:val="17"/>
          <w:rFonts w:hint="eastAsia" w:ascii="仿宋_GB2312" w:hAnsi="仿宋_GB2312" w:eastAsia="仿宋_GB2312" w:cs="仿宋_GB2312"/>
          <w:b w:val="0"/>
          <w:bCs/>
          <w:sz w:val="32"/>
          <w:szCs w:val="32"/>
          <w:lang w:val="en-US" w:eastAsia="zh-CN"/>
        </w:rPr>
        <w:t>7.73</w:t>
      </w:r>
      <w:r>
        <w:rPr>
          <w:rStyle w:val="17"/>
          <w:rFonts w:hint="eastAsia" w:ascii="仿宋_GB2312" w:hAnsi="仿宋_GB2312" w:eastAsia="仿宋_GB2312" w:cs="仿宋_GB2312"/>
          <w:b w:val="0"/>
          <w:bCs/>
          <w:sz w:val="32"/>
          <w:szCs w:val="32"/>
        </w:rPr>
        <w:t>万元，完成预算</w:t>
      </w:r>
      <w:r>
        <w:rPr>
          <w:rStyle w:val="17"/>
          <w:rFonts w:hint="eastAsia" w:ascii="仿宋_GB2312" w:hAnsi="仿宋_GB2312" w:eastAsia="仿宋_GB2312" w:cs="仿宋_GB2312"/>
          <w:b w:val="0"/>
          <w:bCs/>
          <w:sz w:val="32"/>
          <w:szCs w:val="32"/>
          <w:lang w:val="en-US" w:eastAsia="zh-CN"/>
        </w:rPr>
        <w:t>100</w:t>
      </w:r>
      <w:r>
        <w:rPr>
          <w:rStyle w:val="17"/>
          <w:rFonts w:hint="eastAsia" w:ascii="仿宋_GB2312" w:hAnsi="仿宋_GB2312" w:eastAsia="仿宋_GB2312" w:cs="仿宋_GB2312"/>
          <w:b w:val="0"/>
          <w:bCs/>
          <w:sz w:val="32"/>
          <w:szCs w:val="32"/>
        </w:rPr>
        <w:t>%，决算数</w:t>
      </w:r>
      <w:r>
        <w:rPr>
          <w:rStyle w:val="17"/>
          <w:rFonts w:hint="eastAsia" w:ascii="仿宋_GB2312" w:hAnsi="仿宋_GB2312" w:eastAsia="仿宋_GB2312" w:cs="仿宋_GB2312"/>
          <w:b w:val="0"/>
          <w:bCs/>
          <w:sz w:val="32"/>
          <w:szCs w:val="32"/>
          <w:lang w:val="en-US" w:eastAsia="zh-CN"/>
        </w:rPr>
        <w:t>与</w:t>
      </w:r>
      <w:r>
        <w:rPr>
          <w:rStyle w:val="17"/>
          <w:rFonts w:hint="eastAsia" w:ascii="仿宋_GB2312" w:hAnsi="仿宋_GB2312" w:eastAsia="仿宋_GB2312" w:cs="仿宋_GB2312"/>
          <w:b w:val="0"/>
          <w:bCs/>
          <w:sz w:val="32"/>
          <w:szCs w:val="32"/>
        </w:rPr>
        <w:t>预算数</w:t>
      </w:r>
      <w:r>
        <w:rPr>
          <w:rStyle w:val="17"/>
          <w:rFonts w:hint="eastAsia" w:ascii="仿宋_GB2312" w:hAnsi="仿宋_GB2312" w:eastAsia="仿宋_GB2312" w:cs="仿宋_GB2312"/>
          <w:b w:val="0"/>
          <w:bCs/>
          <w:sz w:val="32"/>
          <w:szCs w:val="32"/>
          <w:lang w:val="en-US" w:eastAsia="zh-CN"/>
        </w:rPr>
        <w:t>持平</w:t>
      </w:r>
      <w:r>
        <w:rPr>
          <w:rStyle w:val="17"/>
          <w:rFonts w:hint="eastAsia" w:ascii="仿宋_GB2312" w:hAnsi="仿宋_GB2312" w:eastAsia="仿宋_GB2312" w:cs="仿宋_GB2312"/>
          <w:b w:val="0"/>
          <w:bCs/>
          <w:sz w:val="32"/>
          <w:szCs w:val="32"/>
        </w:rPr>
        <w:t>。</w:t>
      </w:r>
    </w:p>
    <w:p>
      <w:pPr>
        <w:tabs>
          <w:tab w:val="right" w:pos="8306"/>
        </w:tabs>
        <w:spacing w:line="600" w:lineRule="exact"/>
        <w:ind w:firstLine="640"/>
        <w:outlineLvl w:val="1"/>
        <w:rPr>
          <w:rStyle w:val="29"/>
        </w:rPr>
      </w:pPr>
      <w:bookmarkStart w:id="50" w:name="_Toc15396608"/>
      <w:bookmarkStart w:id="51" w:name="_Toc15377214"/>
      <w:bookmarkStart w:id="52" w:name="_Toc13315"/>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9"/>
          <w:rFonts w:hint="eastAsia" w:ascii="黑体" w:hAnsi="黑体" w:eastAsia="黑体"/>
          <w:b w:val="0"/>
        </w:rPr>
        <w:t>般公共预算财政拨款基本支出决算情况说明</w:t>
      </w:r>
      <w:bookmarkEnd w:id="50"/>
      <w:bookmarkEnd w:id="51"/>
      <w:bookmarkEnd w:id="52"/>
      <w:r>
        <w:rPr>
          <w:rStyle w:val="29"/>
          <w:rFonts w:ascii="黑体" w:hAnsi="黑体" w:eastAsia="黑体"/>
          <w:b w:val="0"/>
        </w:rPr>
        <w:tab/>
      </w:r>
    </w:p>
    <w:p>
      <w:pPr>
        <w:spacing w:line="600" w:lineRule="exact"/>
        <w:ind w:firstLine="64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年度一般公共预算财政拨款基本支出</w:t>
      </w:r>
      <w:r>
        <w:rPr>
          <w:rFonts w:hint="eastAsia" w:ascii="仿宋_GB2312" w:hAnsi="仿宋_GB2312" w:eastAsia="仿宋_GB2312" w:cs="仿宋_GB2312"/>
          <w:b w:val="0"/>
          <w:bCs w:val="0"/>
          <w:sz w:val="32"/>
          <w:szCs w:val="32"/>
          <w:lang w:val="en-US" w:eastAsia="zh-CN"/>
        </w:rPr>
        <w:t>107</w:t>
      </w:r>
      <w:r>
        <w:rPr>
          <w:rFonts w:hint="eastAsia" w:ascii="仿宋_GB2312" w:hAnsi="仿宋_GB2312" w:eastAsia="仿宋_GB2312" w:cs="仿宋_GB2312"/>
          <w:b w:val="0"/>
          <w:bCs w:val="0"/>
          <w:sz w:val="32"/>
          <w:szCs w:val="32"/>
        </w:rPr>
        <w:t>万元，其中：</w:t>
      </w:r>
    </w:p>
    <w:p>
      <w:pPr>
        <w:spacing w:line="600" w:lineRule="exact"/>
        <w:ind w:firstLine="645"/>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人员经费96.70万元，主要包括：基本工资、津贴补贴、绩效工资、机关事业单位基本养老保险缴费、职业年金缴费、住房公积金、职工基本医疗保险缴费</w:t>
      </w:r>
      <w:r>
        <w:rPr>
          <w:rFonts w:hint="eastAsia" w:ascii="仿宋_GB2312" w:hAnsi="仿宋_GB2312" w:eastAsia="仿宋_GB2312" w:cs="仿宋_GB2312"/>
          <w:b w:val="0"/>
          <w:bCs w:val="0"/>
          <w:sz w:val="32"/>
          <w:szCs w:val="32"/>
          <w:lang w:eastAsia="zh-CN"/>
        </w:rPr>
        <w:t>、其他社会保障缴费</w:t>
      </w:r>
      <w:r>
        <w:rPr>
          <w:rFonts w:hint="eastAsia" w:ascii="仿宋_GB2312" w:hAnsi="仿宋_GB2312" w:eastAsia="仿宋_GB2312" w:cs="仿宋_GB2312"/>
          <w:b w:val="0"/>
          <w:bCs w:val="0"/>
          <w:sz w:val="32"/>
          <w:szCs w:val="32"/>
        </w:rPr>
        <w:t>等。</w:t>
      </w:r>
      <w:r>
        <w:rPr>
          <w:rFonts w:hint="eastAsia" w:ascii="仿宋_GB2312" w:hAnsi="仿宋_GB2312" w:eastAsia="仿宋_GB2312" w:cs="仿宋_GB2312"/>
          <w:b w:val="0"/>
          <w:bCs w:val="0"/>
          <w:sz w:val="32"/>
          <w:szCs w:val="32"/>
        </w:rPr>
        <w:br w:type="textWrapping"/>
      </w:r>
      <w:r>
        <w:rPr>
          <w:rFonts w:hint="eastAsia" w:ascii="仿宋_GB2312" w:hAnsi="仿宋_GB2312" w:eastAsia="仿宋_GB2312" w:cs="仿宋_GB2312"/>
          <w:b w:val="0"/>
          <w:bCs w:val="0"/>
          <w:sz w:val="32"/>
          <w:szCs w:val="32"/>
        </w:rPr>
        <w:t>公用经费10.30万元，主要包括：办公费、工会经费、福利费等。</w:t>
      </w:r>
    </w:p>
    <w:p>
      <w:pPr>
        <w:spacing w:line="600" w:lineRule="exact"/>
        <w:ind w:firstLine="640"/>
        <w:outlineLvl w:val="1"/>
        <w:rPr>
          <w:rStyle w:val="29"/>
          <w:rFonts w:ascii="黑体" w:hAnsi="黑体" w:eastAsia="黑体"/>
          <w:b w:val="0"/>
        </w:rPr>
      </w:pPr>
      <w:bookmarkStart w:id="53" w:name="_Toc15396609"/>
      <w:bookmarkStart w:id="54" w:name="_Toc15377215"/>
      <w:bookmarkStart w:id="55" w:name="_Toc8539"/>
      <w:r>
        <w:rPr>
          <w:rFonts w:hint="eastAsia" w:ascii="黑体" w:eastAsia="黑体"/>
          <w:sz w:val="32"/>
          <w:szCs w:val="32"/>
        </w:rPr>
        <w:t>七、</w:t>
      </w:r>
      <w:r>
        <w:rPr>
          <w:rStyle w:val="29"/>
          <w:rFonts w:hint="eastAsia" w:ascii="黑体" w:hAnsi="黑体" w:eastAsia="黑体"/>
          <w:b w:val="0"/>
        </w:rPr>
        <w:t>财政拨款</w:t>
      </w:r>
      <w:r>
        <w:rPr>
          <w:rStyle w:val="29"/>
          <w:rFonts w:hint="eastAsia" w:ascii="黑体" w:hAnsi="黑体" w:eastAsia="黑体"/>
        </w:rPr>
        <w:t>“</w:t>
      </w:r>
      <w:r>
        <w:rPr>
          <w:rStyle w:val="29"/>
          <w:rFonts w:hint="eastAsia" w:ascii="黑体" w:hAnsi="黑体" w:eastAsia="黑体"/>
          <w:b w:val="0"/>
        </w:rPr>
        <w:t>三公”经费支出决算情况说明</w:t>
      </w:r>
      <w:bookmarkEnd w:id="53"/>
      <w:bookmarkEnd w:id="54"/>
      <w:bookmarkEnd w:id="55"/>
    </w:p>
    <w:p>
      <w:pPr>
        <w:spacing w:line="600" w:lineRule="exact"/>
        <w:ind w:firstLine="640"/>
        <w:outlineLvl w:val="2"/>
        <w:rPr>
          <w:rFonts w:ascii="仿宋" w:hAnsi="仿宋" w:eastAsia="仿宋"/>
          <w:b/>
          <w:sz w:val="32"/>
          <w:szCs w:val="32"/>
        </w:rPr>
      </w:pPr>
      <w:bookmarkStart w:id="56" w:name="_Toc15377216"/>
      <w:bookmarkStart w:id="57" w:name="_Toc15377218"/>
      <w:bookmarkStart w:id="58" w:name="_Toc15396610"/>
      <w:r>
        <w:rPr>
          <w:rFonts w:hint="eastAsia" w:ascii="仿宋" w:hAnsi="仿宋" w:eastAsia="仿宋"/>
          <w:b/>
          <w:sz w:val="32"/>
          <w:szCs w:val="32"/>
        </w:rPr>
        <w:t>（一）“三公”经费财政拨款支出决算总体情况说明</w:t>
      </w:r>
      <w:bookmarkEnd w:id="56"/>
    </w:p>
    <w:p>
      <w:pPr>
        <w:spacing w:line="600" w:lineRule="exact"/>
        <w:ind w:firstLine="640" w:firstLineChars="200"/>
        <w:outlineLvl w:val="1"/>
        <w:rPr>
          <w:rFonts w:hint="eastAsia" w:ascii="仿宋_GB2312" w:hAnsi="仿宋_GB2312" w:eastAsia="仿宋_GB2312" w:cs="仿宋_GB2312"/>
          <w:sz w:val="32"/>
          <w:szCs w:val="32"/>
          <w:lang w:eastAsia="zh-CN"/>
        </w:rPr>
      </w:pPr>
      <w:bookmarkStart w:id="59" w:name="_Toc2029"/>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年度“三公”经费财政拨款支出决算为</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万元，完成预算</w:t>
      </w:r>
      <w:r>
        <w:rPr>
          <w:rFonts w:hint="eastAsia" w:ascii="仿宋_GB2312" w:hAnsi="仿宋_GB2312" w:eastAsia="仿宋_GB2312" w:cs="仿宋_GB2312"/>
          <w:b/>
          <w:sz w:val="32"/>
          <w:szCs w:val="32"/>
          <w:lang w:val="en-US" w:eastAsia="zh-CN"/>
        </w:rPr>
        <w:t>0</w:t>
      </w:r>
      <w:r>
        <w:rPr>
          <w:rFonts w:hint="eastAsia" w:ascii="仿宋_GB2312" w:hAnsi="仿宋_GB2312" w:eastAsia="仿宋_GB2312" w:cs="仿宋_GB2312"/>
          <w:sz w:val="32"/>
          <w:szCs w:val="32"/>
        </w:rPr>
        <w:t>%，决算数与预算数持平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与上年数持平</w:t>
      </w:r>
      <w:r>
        <w:rPr>
          <w:rFonts w:hint="eastAsia" w:ascii="仿宋_GB2312" w:hAnsi="仿宋_GB2312" w:eastAsia="仿宋_GB2312" w:cs="仿宋_GB2312"/>
          <w:sz w:val="32"/>
          <w:szCs w:val="32"/>
          <w:lang w:val="zh-CN"/>
        </w:rPr>
        <w:t>。</w:t>
      </w:r>
      <w:bookmarkEnd w:id="59"/>
    </w:p>
    <w:p>
      <w:pPr>
        <w:spacing w:line="600" w:lineRule="exact"/>
        <w:ind w:firstLine="640"/>
        <w:outlineLvl w:val="2"/>
        <w:rPr>
          <w:rFonts w:ascii="仿宋" w:hAnsi="仿宋" w:eastAsia="仿宋"/>
          <w:b/>
          <w:sz w:val="32"/>
          <w:szCs w:val="32"/>
        </w:rPr>
      </w:pPr>
      <w:bookmarkStart w:id="60" w:name="_Toc15377217"/>
      <w:r>
        <w:rPr>
          <w:rFonts w:hint="eastAsia" w:ascii="仿宋" w:hAnsi="仿宋" w:eastAsia="仿宋"/>
          <w:b/>
          <w:sz w:val="32"/>
          <w:szCs w:val="32"/>
        </w:rPr>
        <w:t>（二）“三公”经费财政拨款支出决算具体情况说明</w:t>
      </w:r>
      <w:bookmarkEnd w:id="60"/>
    </w:p>
    <w:p>
      <w:pPr>
        <w:spacing w:line="60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年度“三公”经费财政拨款支出决算中，因公出国（境）费支出决算</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%；公务用车购置及运行维护费支出决算</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%；公务接待费支出决算</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b/>
          <w:sz w:val="32"/>
          <w:szCs w:val="32"/>
        </w:rPr>
        <w:t>0</w:t>
      </w:r>
      <w:r>
        <w:rPr>
          <w:rFonts w:hint="eastAsia" w:ascii="仿宋_GB2312" w:hAnsi="仿宋_GB2312" w:eastAsia="仿宋_GB2312" w:cs="仿宋_GB2312"/>
          <w:sz w:val="32"/>
          <w:szCs w:val="32"/>
        </w:rPr>
        <w:t>%。具体情况如下：</w:t>
      </w:r>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rPr>
        <w:t>图7：“三公”经费财政拨款支出结构</w:t>
      </w:r>
      <w:r>
        <w:rPr>
          <w:rFonts w:hint="eastAsia" w:ascii="仿宋" w:hAnsi="仿宋" w:eastAsia="仿宋"/>
          <w:sz w:val="32"/>
          <w:szCs w:val="32"/>
          <w:lang w:eastAsia="zh-CN"/>
        </w:rPr>
        <w:t>（</w:t>
      </w:r>
      <w:r>
        <w:rPr>
          <w:rFonts w:hint="eastAsia" w:ascii="仿宋" w:hAnsi="仿宋" w:eastAsia="仿宋"/>
          <w:sz w:val="32"/>
          <w:szCs w:val="32"/>
          <w:lang w:val="en-US" w:eastAsia="zh-CN"/>
        </w:rPr>
        <w:t>无</w:t>
      </w:r>
      <w:r>
        <w:rPr>
          <w:rFonts w:hint="eastAsia" w:ascii="仿宋" w:hAnsi="仿宋" w:eastAsia="仿宋"/>
          <w:sz w:val="32"/>
          <w:szCs w:val="32"/>
          <w:lang w:eastAsia="zh-CN"/>
        </w:rPr>
        <w:t>）</w:t>
      </w:r>
    </w:p>
    <w:p>
      <w:pPr>
        <w:spacing w:line="240" w:lineRule="auto"/>
        <w:ind w:firstLine="640"/>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78350" cy="3176270"/>
            <wp:effectExtent l="0" t="0" r="12700" b="5080"/>
            <wp:docPr id="9" name="图片 9"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7"/>
                    <pic:cNvPicPr>
                      <a:picLocks noChangeAspect="1"/>
                    </pic:cNvPicPr>
                  </pic:nvPicPr>
                  <pic:blipFill>
                    <a:blip r:embed="rId17"/>
                    <a:stretch>
                      <a:fillRect/>
                    </a:stretch>
                  </pic:blipFill>
                  <pic:spPr>
                    <a:xfrm>
                      <a:off x="0" y="0"/>
                      <a:ext cx="4578350" cy="3176270"/>
                    </a:xfrm>
                    <a:prstGeom prst="rect">
                      <a:avLst/>
                    </a:prstGeom>
                  </pic:spPr>
                </pic:pic>
              </a:graphicData>
            </a:graphic>
          </wp:inline>
        </w:drawing>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rPr>
        <w:t>1.因公出国（境）经费支出0万元，</w:t>
      </w:r>
      <w:r>
        <w:rPr>
          <w:rStyle w:val="17"/>
          <w:rFonts w:hint="eastAsia" w:ascii="仿宋_GB2312" w:hAnsi="仿宋_GB2312" w:eastAsia="仿宋_GB2312" w:cs="仿宋_GB2312"/>
          <w:b w:val="0"/>
          <w:bCs/>
          <w:sz w:val="32"/>
          <w:szCs w:val="32"/>
        </w:rPr>
        <w:t>完成预算0%。</w:t>
      </w:r>
      <w:r>
        <w:rPr>
          <w:rFonts w:hint="eastAsia" w:ascii="仿宋_GB2312" w:hAnsi="仿宋_GB2312" w:eastAsia="仿宋_GB2312" w:cs="仿宋_GB2312"/>
          <w:b w:val="0"/>
          <w:bCs/>
          <w:sz w:val="32"/>
          <w:szCs w:val="32"/>
        </w:rPr>
        <w:t>全年安排因公出国（境）团组0次，出国（境）0人。决算数与预算数持平</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与上年数持平。</w:t>
      </w:r>
      <w:r>
        <w:rPr>
          <w:rFonts w:hint="eastAsia" w:ascii="仿宋_GB2312" w:hAnsi="仿宋_GB2312" w:eastAsia="仿宋_GB2312" w:cs="仿宋_GB2312"/>
          <w:b w:val="0"/>
          <w:bCs/>
          <w:sz w:val="32"/>
          <w:szCs w:val="32"/>
        </w:rPr>
        <w:t>开支内容包括：</w:t>
      </w:r>
      <w:r>
        <w:rPr>
          <w:rFonts w:hint="eastAsia" w:ascii="仿宋_GB2312" w:hAnsi="仿宋_GB2312" w:eastAsia="仿宋_GB2312" w:cs="仿宋_GB2312"/>
          <w:b w:val="0"/>
          <w:bCs/>
          <w:sz w:val="32"/>
          <w:szCs w:val="32"/>
          <w:lang w:eastAsia="zh-CN"/>
        </w:rPr>
        <w:t>无</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2.公务用车购置及运行维护费支出0万元,</w:t>
      </w:r>
      <w:r>
        <w:rPr>
          <w:rStyle w:val="17"/>
          <w:rFonts w:hint="eastAsia" w:ascii="仿宋_GB2312" w:hAnsi="仿宋_GB2312" w:eastAsia="仿宋_GB2312" w:cs="仿宋_GB2312"/>
          <w:b w:val="0"/>
          <w:bCs/>
          <w:sz w:val="32"/>
          <w:szCs w:val="32"/>
        </w:rPr>
        <w:t>完成预算0%。</w:t>
      </w:r>
      <w:r>
        <w:rPr>
          <w:rFonts w:hint="eastAsia" w:ascii="仿宋_GB2312" w:hAnsi="仿宋_GB2312" w:eastAsia="仿宋_GB2312" w:cs="仿宋_GB2312"/>
          <w:b w:val="0"/>
          <w:bCs/>
          <w:sz w:val="32"/>
          <w:szCs w:val="32"/>
        </w:rPr>
        <w:t>决算数与预算数持平</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与上年数持平</w:t>
      </w:r>
    </w:p>
    <w:p>
      <w:pPr>
        <w:spacing w:line="60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其中：公务用车购置支出0万元。全年按规定更新购置公务用车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辆、金额</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万元，主要用于</w:t>
      </w:r>
      <w:r>
        <w:rPr>
          <w:rFonts w:hint="eastAsia" w:ascii="仿宋_GB2312" w:hAnsi="仿宋_GB2312" w:eastAsia="仿宋_GB2312" w:cs="仿宋_GB2312"/>
          <w:b w:val="0"/>
          <w:bCs/>
          <w:sz w:val="32"/>
          <w:szCs w:val="32"/>
          <w:lang w:eastAsia="zh-CN"/>
        </w:rPr>
        <w:t>（无）</w:t>
      </w:r>
      <w:r>
        <w:rPr>
          <w:rFonts w:hint="eastAsia" w:ascii="仿宋_GB2312" w:hAnsi="仿宋_GB2312" w:eastAsia="仿宋_GB2312" w:cs="仿宋_GB2312"/>
          <w:b w:val="0"/>
          <w:bCs/>
          <w:sz w:val="32"/>
          <w:szCs w:val="32"/>
        </w:rPr>
        <w:t>。截至202</w:t>
      </w:r>
      <w:r>
        <w:rPr>
          <w:rFonts w:hint="eastAsia" w:ascii="仿宋_GB2312" w:hAnsi="仿宋_GB2312" w:eastAsia="仿宋_GB2312" w:cs="仿宋_GB2312"/>
          <w:b w:val="0"/>
          <w:bCs/>
          <w:sz w:val="32"/>
          <w:szCs w:val="32"/>
          <w:lang w:val="en-US" w:eastAsia="zh-CN"/>
        </w:rPr>
        <w:t>4</w:t>
      </w:r>
      <w:r>
        <w:rPr>
          <w:rFonts w:hint="eastAsia" w:ascii="仿宋_GB2312" w:hAnsi="仿宋_GB2312" w:eastAsia="仿宋_GB2312" w:cs="仿宋_GB2312"/>
          <w:b w:val="0"/>
          <w:bCs/>
          <w:sz w:val="32"/>
          <w:szCs w:val="32"/>
        </w:rPr>
        <w:t>年12月31日，单位共有公务用车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辆，其中：轿车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辆、越野车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辆、载客汽车</w:t>
      </w:r>
      <w:r>
        <w:rPr>
          <w:rFonts w:hint="eastAsia" w:ascii="仿宋_GB2312" w:hAnsi="仿宋_GB2312" w:eastAsia="仿宋_GB2312" w:cs="仿宋_GB2312"/>
          <w:b w:val="0"/>
          <w:bCs/>
          <w:sz w:val="32"/>
          <w:szCs w:val="32"/>
          <w:lang w:val="en-US" w:eastAsia="zh-CN"/>
        </w:rPr>
        <w:t>0</w:t>
      </w:r>
      <w:r>
        <w:rPr>
          <w:rFonts w:hint="eastAsia" w:ascii="仿宋_GB2312" w:hAnsi="仿宋_GB2312" w:eastAsia="仿宋_GB2312" w:cs="仿宋_GB2312"/>
          <w:b w:val="0"/>
          <w:bCs/>
          <w:sz w:val="32"/>
          <w:szCs w:val="32"/>
        </w:rPr>
        <w:t>辆。</w:t>
      </w:r>
    </w:p>
    <w:p>
      <w:pPr>
        <w:spacing w:line="600" w:lineRule="exact"/>
        <w:ind w:firstLine="640"/>
        <w:outlineLvl w:val="1"/>
        <w:rPr>
          <w:rFonts w:hint="eastAsia" w:ascii="仿宋_GB2312" w:hAnsi="仿宋_GB2312" w:eastAsia="仿宋_GB2312" w:cs="仿宋_GB2312"/>
          <w:b w:val="0"/>
          <w:bCs/>
          <w:sz w:val="32"/>
          <w:szCs w:val="32"/>
          <w:lang w:eastAsia="zh-CN"/>
        </w:rPr>
      </w:pPr>
      <w:bookmarkStart w:id="61" w:name="_Toc7704"/>
      <w:r>
        <w:rPr>
          <w:rFonts w:hint="eastAsia" w:ascii="仿宋_GB2312" w:hAnsi="仿宋_GB2312" w:eastAsia="仿宋_GB2312" w:cs="仿宋_GB2312"/>
          <w:b w:val="0"/>
          <w:bCs/>
          <w:sz w:val="32"/>
          <w:szCs w:val="32"/>
        </w:rPr>
        <w:t>公务用车运行维护费支出0万元。</w:t>
      </w:r>
      <w:bookmarkEnd w:id="61"/>
      <w:r>
        <w:rPr>
          <w:rFonts w:hint="eastAsia" w:ascii="仿宋_GB2312" w:hAnsi="仿宋_GB2312" w:eastAsia="仿宋_GB2312" w:cs="仿宋_GB2312"/>
          <w:b w:val="0"/>
          <w:bCs/>
          <w:sz w:val="32"/>
          <w:szCs w:val="32"/>
          <w:lang w:eastAsia="zh-CN"/>
        </w:rPr>
        <w:t>未安排本项支出。</w:t>
      </w:r>
    </w:p>
    <w:p>
      <w:pPr>
        <w:spacing w:line="600" w:lineRule="exact"/>
        <w:ind w:firstLine="640"/>
        <w:rPr>
          <w:rFonts w:hint="eastAsia" w:ascii="仿宋_GB2312" w:hAnsi="仿宋_GB2312" w:eastAsia="仿宋_GB2312" w:cs="仿宋_GB2312"/>
          <w:b w:val="0"/>
          <w:bCs/>
          <w:sz w:val="32"/>
          <w:szCs w:val="32"/>
          <w:lang w:eastAsia="zh-CN"/>
        </w:rPr>
      </w:pPr>
      <w:r>
        <w:rPr>
          <w:rFonts w:hint="eastAsia" w:ascii="仿宋_GB2312" w:hAnsi="仿宋_GB2312" w:eastAsia="仿宋_GB2312" w:cs="仿宋_GB2312"/>
          <w:b w:val="0"/>
          <w:bCs/>
          <w:sz w:val="32"/>
          <w:szCs w:val="32"/>
          <w:lang w:eastAsia="zh-CN"/>
        </w:rPr>
        <w:t>3.公务接待费支出0万元，完成预算0%。</w:t>
      </w:r>
      <w:r>
        <w:rPr>
          <w:rFonts w:hint="eastAsia" w:ascii="仿宋_GB2312" w:hAnsi="仿宋_GB2312" w:eastAsia="仿宋_GB2312" w:cs="仿宋_GB2312"/>
          <w:b w:val="0"/>
          <w:bCs/>
          <w:sz w:val="32"/>
          <w:szCs w:val="32"/>
          <w:lang w:val="en-US" w:eastAsia="zh-CN"/>
        </w:rPr>
        <w:t>与上年数持平</w:t>
      </w:r>
    </w:p>
    <w:p>
      <w:pPr>
        <w:spacing w:line="600" w:lineRule="exact"/>
        <w:ind w:firstLine="64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国</w:t>
      </w:r>
      <w:bookmarkStart w:id="106" w:name="_GoBack"/>
      <w:bookmarkEnd w:id="106"/>
      <w:r>
        <w:rPr>
          <w:rFonts w:hint="eastAsia" w:ascii="仿宋_GB2312" w:hAnsi="仿宋_GB2312" w:eastAsia="仿宋_GB2312" w:cs="仿宋_GB2312"/>
          <w:b w:val="0"/>
          <w:bCs/>
          <w:sz w:val="32"/>
          <w:szCs w:val="32"/>
        </w:rPr>
        <w:t>内公务接待支出0万元，</w:t>
      </w:r>
      <w:r>
        <w:rPr>
          <w:rFonts w:hint="eastAsia" w:ascii="仿宋_GB2312" w:hAnsi="仿宋_GB2312" w:eastAsia="仿宋_GB2312" w:cs="仿宋_GB2312"/>
          <w:b w:val="0"/>
          <w:bCs/>
          <w:sz w:val="32"/>
          <w:szCs w:val="32"/>
          <w:lang w:eastAsia="zh-CN"/>
        </w:rPr>
        <w:t>未安排本项支出。</w:t>
      </w:r>
    </w:p>
    <w:p>
      <w:pPr>
        <w:spacing w:line="600" w:lineRule="exact"/>
        <w:ind w:firstLine="640" w:firstLineChars="200"/>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外事接待支出0万元，</w:t>
      </w:r>
      <w:r>
        <w:rPr>
          <w:rFonts w:hint="eastAsia" w:ascii="仿宋_GB2312" w:hAnsi="仿宋_GB2312" w:eastAsia="仿宋_GB2312" w:cs="仿宋_GB2312"/>
          <w:b w:val="0"/>
          <w:bCs/>
          <w:sz w:val="32"/>
          <w:szCs w:val="32"/>
          <w:lang w:eastAsia="zh-CN"/>
        </w:rPr>
        <w:t>未安排本项支出。</w:t>
      </w:r>
    </w:p>
    <w:p>
      <w:pPr>
        <w:spacing w:line="600" w:lineRule="exact"/>
        <w:ind w:firstLine="640"/>
        <w:outlineLvl w:val="1"/>
        <w:rPr>
          <w:rStyle w:val="29"/>
          <w:rFonts w:ascii="黑体" w:hAnsi="黑体" w:eastAsia="黑体"/>
        </w:rPr>
      </w:pPr>
      <w:bookmarkStart w:id="62" w:name="_Toc15583"/>
      <w:r>
        <w:rPr>
          <w:rFonts w:hint="eastAsia" w:ascii="黑体" w:eastAsia="黑体"/>
          <w:sz w:val="32"/>
          <w:szCs w:val="32"/>
        </w:rPr>
        <w:t>八、</w:t>
      </w:r>
      <w:r>
        <w:rPr>
          <w:rStyle w:val="29"/>
          <w:rFonts w:hint="eastAsia" w:ascii="黑体" w:hAnsi="黑体" w:eastAsia="黑体"/>
          <w:b w:val="0"/>
        </w:rPr>
        <w:t>政府性基金预算支出决算情况说明</w:t>
      </w:r>
      <w:bookmarkEnd w:id="57"/>
      <w:bookmarkEnd w:id="58"/>
      <w:bookmarkEnd w:id="62"/>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年度政府性基金预算财政拨款支出0万元。</w:t>
      </w:r>
    </w:p>
    <w:p>
      <w:pPr>
        <w:numPr>
          <w:ilvl w:val="0"/>
          <w:numId w:val="3"/>
        </w:numPr>
        <w:spacing w:line="600" w:lineRule="exact"/>
        <w:ind w:firstLine="640"/>
        <w:outlineLvl w:val="1"/>
        <w:rPr>
          <w:rStyle w:val="29"/>
          <w:rFonts w:ascii="黑体" w:hAnsi="黑体" w:eastAsia="黑体"/>
          <w:b w:val="0"/>
        </w:rPr>
      </w:pPr>
      <w:bookmarkStart w:id="63" w:name="_Toc16357"/>
      <w:bookmarkStart w:id="64" w:name="_Toc15377219"/>
      <w:bookmarkStart w:id="65" w:name="_Toc15396611"/>
      <w:r>
        <w:rPr>
          <w:rStyle w:val="29"/>
          <w:rFonts w:hint="eastAsia" w:ascii="黑体" w:hAnsi="黑体" w:eastAsia="黑体"/>
          <w:b w:val="0"/>
        </w:rPr>
        <w:t>国有资本经营预算支出决算情况说明</w:t>
      </w:r>
      <w:bookmarkEnd w:id="63"/>
      <w:bookmarkEnd w:id="64"/>
      <w:bookmarkEnd w:id="65"/>
    </w:p>
    <w:p>
      <w:pPr>
        <w:spacing w:line="60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年度国有资本经营预算财政拨款支出0万元。</w:t>
      </w:r>
    </w:p>
    <w:p>
      <w:pPr>
        <w:numPr>
          <w:ilvl w:val="0"/>
          <w:numId w:val="3"/>
        </w:numPr>
        <w:spacing w:line="600" w:lineRule="exact"/>
        <w:ind w:firstLine="640"/>
        <w:outlineLvl w:val="1"/>
        <w:rPr>
          <w:rStyle w:val="29"/>
          <w:rFonts w:ascii="黑体" w:hAnsi="黑体" w:eastAsia="黑体"/>
          <w:b w:val="0"/>
        </w:rPr>
      </w:pPr>
      <w:bookmarkStart w:id="66" w:name="_Toc15377221"/>
      <w:bookmarkStart w:id="67" w:name="_Toc15396612"/>
      <w:bookmarkStart w:id="68" w:name="_Toc20275"/>
      <w:r>
        <w:rPr>
          <w:rStyle w:val="29"/>
          <w:rFonts w:hint="eastAsia" w:ascii="黑体" w:hAnsi="黑体" w:eastAsia="黑体"/>
          <w:b w:val="0"/>
        </w:rPr>
        <w:t>其他重要事项的情况说明</w:t>
      </w:r>
      <w:bookmarkEnd w:id="66"/>
      <w:bookmarkEnd w:id="67"/>
      <w:bookmarkEnd w:id="68"/>
    </w:p>
    <w:p>
      <w:pPr>
        <w:spacing w:line="600" w:lineRule="exact"/>
        <w:ind w:firstLine="642" w:firstLineChars="200"/>
        <w:outlineLvl w:val="2"/>
        <w:rPr>
          <w:rFonts w:ascii="仿宋" w:hAnsi="仿宋" w:eastAsia="仿宋"/>
          <w:sz w:val="32"/>
          <w:szCs w:val="32"/>
        </w:rPr>
      </w:pPr>
      <w:bookmarkStart w:id="69" w:name="_Toc15377222"/>
      <w:r>
        <w:rPr>
          <w:rFonts w:hint="eastAsia" w:ascii="仿宋" w:hAnsi="仿宋" w:eastAsia="仿宋"/>
          <w:b/>
          <w:sz w:val="32"/>
          <w:szCs w:val="32"/>
        </w:rPr>
        <w:t>（一）机关运行经费支出情况</w:t>
      </w:r>
      <w:bookmarkEnd w:id="69"/>
    </w:p>
    <w:p>
      <w:pPr>
        <w:spacing w:line="600" w:lineRule="exact"/>
        <w:ind w:firstLine="640" w:firstLineChars="2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年度，乐山市五通桥区科技开发服务中心机关运行经费支出0万元，</w:t>
      </w:r>
      <w:r>
        <w:rPr>
          <w:rFonts w:hint="eastAsia" w:ascii="仿宋_GB2312" w:hAnsi="仿宋_GB2312" w:eastAsia="仿宋_GB2312" w:cs="仿宋_GB2312"/>
          <w:b w:val="0"/>
          <w:bCs w:val="0"/>
          <w:sz w:val="32"/>
          <w:szCs w:val="32"/>
          <w:lang w:eastAsia="zh-CN"/>
        </w:rPr>
        <w:t>与上年持平。</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0" w:name="_Toc15377223"/>
      <w:r>
        <w:rPr>
          <w:rFonts w:hint="eastAsia" w:ascii="仿宋" w:hAnsi="仿宋" w:eastAsia="仿宋"/>
          <w:b/>
          <w:sz w:val="32"/>
          <w:szCs w:val="32"/>
        </w:rPr>
        <w:t>（二）政府采购支出情况</w:t>
      </w:r>
      <w:bookmarkEnd w:id="70"/>
    </w:p>
    <w:p>
      <w:pPr>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年度，乐山市五通桥区科技开发服务中心政府采购支出总额0万元，其中：政府采购货物支出0万元、政府采购工程支出0万元、政府采购服务支出0万元。主要用于（</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）。授予中小企业合同金额0万元，占政府采购支出总额的0%，其中：授予小微企业合同金额0万元，占政府采购支出总额的0%。</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1" w:name="_Toc15377224"/>
      <w:r>
        <w:rPr>
          <w:rFonts w:hint="eastAsia" w:ascii="仿宋" w:hAnsi="仿宋" w:eastAsia="仿宋"/>
          <w:b/>
          <w:sz w:val="32"/>
          <w:szCs w:val="32"/>
        </w:rPr>
        <w:t>（三）国有资产占有使用情况</w:t>
      </w:r>
      <w:bookmarkEnd w:id="71"/>
    </w:p>
    <w:p>
      <w:pPr>
        <w:autoSpaceDE w:val="0"/>
        <w:autoSpaceDN w:val="0"/>
        <w:adjustRightInd w:val="0"/>
        <w:spacing w:line="600" w:lineRule="exact"/>
        <w:ind w:firstLine="640" w:firstLineChars="200"/>
        <w:jc w:val="left"/>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截至202</w:t>
      </w:r>
      <w:r>
        <w:rPr>
          <w:rFonts w:hint="eastAsia" w:ascii="仿宋_GB2312" w:hAnsi="仿宋_GB2312" w:eastAsia="仿宋_GB2312" w:cs="仿宋_GB2312"/>
          <w:b w:val="0"/>
          <w:bCs w:val="0"/>
          <w:sz w:val="32"/>
          <w:szCs w:val="32"/>
          <w:lang w:val="en-US" w:eastAsia="zh-CN"/>
        </w:rPr>
        <w:t>4</w:t>
      </w:r>
      <w:r>
        <w:rPr>
          <w:rFonts w:hint="eastAsia" w:ascii="仿宋_GB2312" w:hAnsi="仿宋_GB2312" w:eastAsia="仿宋_GB2312" w:cs="仿宋_GB2312"/>
          <w:b w:val="0"/>
          <w:bCs w:val="0"/>
          <w:sz w:val="32"/>
          <w:szCs w:val="32"/>
        </w:rPr>
        <w:t>年12月31日，乐山市五通桥区科技开发服务中心共有车辆0辆，其中：主要领导干部用车</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辆、机要通信用车</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辆、应急保障用车</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辆、其他用车</w:t>
      </w:r>
      <w:r>
        <w:rPr>
          <w:rFonts w:hint="eastAsia" w:ascii="仿宋_GB2312" w:hAnsi="仿宋_GB2312" w:eastAsia="仿宋_GB2312" w:cs="仿宋_GB2312"/>
          <w:b w:val="0"/>
          <w:bCs w:val="0"/>
          <w:sz w:val="32"/>
          <w:szCs w:val="32"/>
          <w:lang w:val="en-US" w:eastAsia="zh-CN"/>
        </w:rPr>
        <w:t>0</w:t>
      </w:r>
      <w:r>
        <w:rPr>
          <w:rFonts w:hint="eastAsia" w:ascii="仿宋_GB2312" w:hAnsi="仿宋_GB2312" w:eastAsia="仿宋_GB2312" w:cs="仿宋_GB2312"/>
          <w:b w:val="0"/>
          <w:bCs w:val="0"/>
          <w:sz w:val="32"/>
          <w:szCs w:val="32"/>
        </w:rPr>
        <w:t>辆，其他用车主要是用于（</w:t>
      </w:r>
      <w:r>
        <w:rPr>
          <w:rFonts w:hint="eastAsia" w:ascii="仿宋_GB2312" w:hAnsi="仿宋_GB2312" w:eastAsia="仿宋_GB2312" w:cs="仿宋_GB2312"/>
          <w:b w:val="0"/>
          <w:bCs w:val="0"/>
          <w:sz w:val="32"/>
          <w:szCs w:val="32"/>
          <w:lang w:eastAsia="zh-CN"/>
        </w:rPr>
        <w:t>无</w:t>
      </w:r>
      <w:r>
        <w:rPr>
          <w:rFonts w:hint="eastAsia" w:ascii="仿宋_GB2312" w:hAnsi="仿宋_GB2312" w:eastAsia="仿宋_GB2312" w:cs="仿宋_GB2312"/>
          <w:b w:val="0"/>
          <w:bCs w:val="0"/>
          <w:sz w:val="32"/>
          <w:szCs w:val="32"/>
        </w:rPr>
        <w:t>）。单价100万元以上设备（不含车辆）0台（套）。</w:t>
      </w:r>
    </w:p>
    <w:p>
      <w:pPr>
        <w:autoSpaceDE w:val="0"/>
        <w:autoSpaceDN w:val="0"/>
        <w:adjustRightInd w:val="0"/>
        <w:spacing w:line="600" w:lineRule="exact"/>
        <w:ind w:firstLine="642" w:firstLineChars="200"/>
        <w:jc w:val="left"/>
        <w:outlineLvl w:val="2"/>
        <w:rPr>
          <w:rFonts w:ascii="仿宋" w:hAnsi="仿宋" w:eastAsia="仿宋"/>
          <w:b/>
          <w:sz w:val="32"/>
          <w:szCs w:val="32"/>
          <w:highlight w:val="none"/>
        </w:rPr>
      </w:pPr>
      <w:r>
        <w:rPr>
          <w:rFonts w:hint="eastAsia" w:ascii="仿宋" w:hAnsi="仿宋" w:eastAsia="仿宋"/>
          <w:b/>
          <w:sz w:val="32"/>
          <w:szCs w:val="32"/>
          <w:highlight w:val="none"/>
        </w:rPr>
        <w:t>（四）预算绩效管理情况</w:t>
      </w:r>
    </w:p>
    <w:p>
      <w:pPr>
        <w:spacing w:line="60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根据预算绩效管理要求，本单位在202</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rPr>
        <w:t>年度预算编制阶段，组织对</w:t>
      </w:r>
      <w:r>
        <w:rPr>
          <w:rFonts w:hint="eastAsia" w:ascii="仿宋_GB2312" w:hAnsi="仿宋_GB2312" w:eastAsia="仿宋_GB2312" w:cs="仿宋_GB2312"/>
          <w:b w:val="0"/>
          <w:bCs w:val="0"/>
          <w:sz w:val="32"/>
          <w:szCs w:val="32"/>
          <w:highlight w:val="none"/>
          <w:lang w:val="en-US" w:eastAsia="zh-CN"/>
        </w:rPr>
        <w:t>公用经费、人员经费</w:t>
      </w:r>
      <w:r>
        <w:rPr>
          <w:rFonts w:hint="eastAsia" w:ascii="仿宋_GB2312" w:hAnsi="仿宋_GB2312" w:eastAsia="仿宋_GB2312" w:cs="仿宋_GB2312"/>
          <w:b w:val="0"/>
          <w:bCs w:val="0"/>
          <w:sz w:val="32"/>
          <w:szCs w:val="32"/>
          <w:highlight w:val="none"/>
        </w:rPr>
        <w:t>等</w:t>
      </w:r>
      <w:r>
        <w:rPr>
          <w:rFonts w:hint="eastAsia" w:ascii="仿宋_GB2312" w:hAnsi="仿宋_GB2312" w:eastAsia="仿宋_GB2312" w:cs="仿宋_GB2312"/>
          <w:b w:val="0"/>
          <w:bCs w:val="0"/>
          <w:sz w:val="32"/>
          <w:szCs w:val="32"/>
          <w:highlight w:val="none"/>
          <w:lang w:val="en-US" w:eastAsia="zh-CN"/>
        </w:rPr>
        <w:t>15</w:t>
      </w:r>
      <w:r>
        <w:rPr>
          <w:rFonts w:hint="eastAsia" w:ascii="仿宋_GB2312" w:hAnsi="仿宋_GB2312" w:eastAsia="仿宋_GB2312" w:cs="仿宋_GB2312"/>
          <w:b w:val="0"/>
          <w:bCs w:val="0"/>
          <w:sz w:val="32"/>
          <w:szCs w:val="32"/>
          <w:highlight w:val="none"/>
        </w:rPr>
        <w:t>个项目开展了预算事前绩效评估，对</w:t>
      </w:r>
      <w:r>
        <w:rPr>
          <w:rFonts w:hint="eastAsia" w:ascii="仿宋_GB2312" w:hAnsi="仿宋_GB2312" w:eastAsia="仿宋_GB2312" w:cs="仿宋_GB2312"/>
          <w:b w:val="0"/>
          <w:bCs w:val="0"/>
          <w:sz w:val="32"/>
          <w:szCs w:val="32"/>
          <w:highlight w:val="none"/>
          <w:lang w:val="en-US" w:eastAsia="zh-CN"/>
        </w:rPr>
        <w:t>15</w:t>
      </w:r>
      <w:r>
        <w:rPr>
          <w:rFonts w:hint="eastAsia" w:ascii="仿宋_GB2312" w:hAnsi="仿宋_GB2312" w:eastAsia="仿宋_GB2312" w:cs="仿宋_GB2312"/>
          <w:b w:val="0"/>
          <w:bCs w:val="0"/>
          <w:sz w:val="32"/>
          <w:szCs w:val="32"/>
          <w:highlight w:val="none"/>
        </w:rPr>
        <w:t>个项目编制了绩效目标，预算执行过程中，选取</w:t>
      </w:r>
      <w:r>
        <w:rPr>
          <w:rFonts w:hint="eastAsia" w:ascii="仿宋_GB2312" w:hAnsi="仿宋_GB2312" w:eastAsia="仿宋_GB2312" w:cs="仿宋_GB2312"/>
          <w:b w:val="0"/>
          <w:bCs w:val="0"/>
          <w:sz w:val="32"/>
          <w:szCs w:val="32"/>
          <w:highlight w:val="none"/>
          <w:lang w:val="en-US" w:eastAsia="zh-CN"/>
        </w:rPr>
        <w:t>15</w:t>
      </w:r>
      <w:r>
        <w:rPr>
          <w:rFonts w:hint="eastAsia" w:ascii="仿宋_GB2312" w:hAnsi="仿宋_GB2312" w:eastAsia="仿宋_GB2312" w:cs="仿宋_GB2312"/>
          <w:b w:val="0"/>
          <w:bCs w:val="0"/>
          <w:sz w:val="32"/>
          <w:szCs w:val="32"/>
          <w:highlight w:val="none"/>
        </w:rPr>
        <w:t>个项目开展绩效监控，组织对</w:t>
      </w:r>
      <w:r>
        <w:rPr>
          <w:rFonts w:hint="eastAsia" w:ascii="仿宋_GB2312" w:hAnsi="仿宋_GB2312" w:eastAsia="仿宋_GB2312" w:cs="仿宋_GB2312"/>
          <w:b w:val="0"/>
          <w:bCs w:val="0"/>
          <w:sz w:val="32"/>
          <w:szCs w:val="32"/>
          <w:highlight w:val="none"/>
          <w:lang w:val="en-US" w:eastAsia="zh-CN"/>
        </w:rPr>
        <w:t>15</w:t>
      </w:r>
      <w:r>
        <w:rPr>
          <w:rFonts w:hint="eastAsia" w:ascii="仿宋_GB2312" w:hAnsi="仿宋_GB2312" w:eastAsia="仿宋_GB2312" w:cs="仿宋_GB2312"/>
          <w:b w:val="0"/>
          <w:bCs w:val="0"/>
          <w:sz w:val="32"/>
          <w:szCs w:val="32"/>
          <w:highlight w:val="none"/>
        </w:rPr>
        <w:t>个项目开展绩效自评，绩效自评表详见第四部分附件。</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pPr>
        <w:numPr>
          <w:ilvl w:val="0"/>
          <w:numId w:val="4"/>
        </w:numPr>
        <w:spacing w:line="600" w:lineRule="exact"/>
        <w:ind w:firstLine="660" w:firstLineChars="150"/>
        <w:jc w:val="center"/>
        <w:outlineLvl w:val="0"/>
        <w:rPr>
          <w:rStyle w:val="28"/>
          <w:rFonts w:ascii="黑体" w:hAnsi="黑体" w:eastAsia="黑体"/>
          <w:b w:val="0"/>
        </w:rPr>
      </w:pPr>
      <w:bookmarkStart w:id="72" w:name="_Toc29915"/>
      <w:bookmarkStart w:id="73" w:name="_Toc15396613"/>
      <w:bookmarkStart w:id="74" w:name="_Toc15377225"/>
      <w:r>
        <w:rPr>
          <w:rFonts w:hint="eastAsia" w:ascii="黑体" w:hAnsi="黑体" w:eastAsia="黑体"/>
          <w:sz w:val="44"/>
          <w:szCs w:val="44"/>
        </w:rPr>
        <w:t>名</w:t>
      </w:r>
      <w:r>
        <w:rPr>
          <w:rStyle w:val="28"/>
          <w:rFonts w:hint="eastAsia" w:ascii="黑体" w:hAnsi="黑体" w:eastAsia="黑体"/>
          <w:b w:val="0"/>
        </w:rPr>
        <w:t>词解释</w:t>
      </w:r>
      <w:bookmarkEnd w:id="72"/>
      <w:bookmarkEnd w:id="73"/>
      <w:bookmarkEnd w:id="74"/>
    </w:p>
    <w:p>
      <w:pPr>
        <w:spacing w:line="600" w:lineRule="exact"/>
        <w:jc w:val="left"/>
        <w:rPr>
          <w:rFonts w:ascii="宋体"/>
          <w:b/>
          <w:sz w:val="44"/>
          <w:szCs w:val="44"/>
        </w:rPr>
      </w:pP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bookmarkStart w:id="75" w:name="_Toc15377226"/>
      <w:r>
        <w:rPr>
          <w:rFonts w:hint="eastAsia" w:ascii="仿宋_GB2312" w:hAnsi="仿宋_GB2312" w:eastAsia="仿宋_GB2312" w:cs="仿宋_GB2312"/>
          <w:b w:val="0"/>
          <w:bCs w:val="0"/>
          <w:color w:val="000000"/>
          <w:kern w:val="2"/>
          <w:sz w:val="32"/>
          <w:szCs w:val="24"/>
          <w:lang w:val="zh-CN" w:eastAsia="zh-CN" w:bidi="ar-SA"/>
        </w:rPr>
        <w:t>1.财政拨款收入：指单位从同级财政部门取得的财政预算资金。</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2.事业收入：指事业单位开展专业业务活动及辅助活动取得的收入。</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3.经营收入：指事业单位在专业业务活动及其辅助活动之外开展非独立核算经营活动取得的收入。</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4.其他收入：指单位取得的除上述收入以外的各项收入。</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 xml:space="preserve">5.使用非财政拨款结余：指事业单位使用以前年度积累的非财政拨款结余弥补当年收支差额的金额。 </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 xml:space="preserve">6.年初结转和结余：指以前年度尚未完成、结转到本年按有关规定继续使用的资金。 </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7.结余分配：指事业单位按照会计制度规定缴纳的所得税、提取的专用结余以及转入非财政拨款结余的金额等。</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8、年末结转和结余：指单位按有关规定结转到下年或以后年度继续使用的资金。</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9、</w:t>
      </w:r>
      <w:r>
        <w:rPr>
          <w:rFonts w:hint="eastAsia" w:ascii="仿宋_GB2312" w:hAnsi="仿宋_GB2312" w:eastAsia="仿宋_GB2312" w:cs="仿宋_GB2312"/>
          <w:b w:val="0"/>
          <w:bCs w:val="0"/>
          <w:color w:val="000000"/>
          <w:kern w:val="2"/>
          <w:sz w:val="32"/>
          <w:szCs w:val="24"/>
          <w:lang w:val="zh-CN" w:eastAsia="zh-CN" w:bidi="ar-SA"/>
        </w:rPr>
        <w:t>一般公共服务（类）发展与改革事务（款）行政运行（项）是指行政单位（包括实行公务员管理的事业单位）在发展与改革事务的基本支出。</w:t>
      </w:r>
    </w:p>
    <w:p>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10</w:t>
      </w:r>
      <w:r>
        <w:rPr>
          <w:rFonts w:hint="eastAsia" w:ascii="仿宋_GB2312" w:hAnsi="仿宋_GB2312" w:eastAsia="仿宋_GB2312" w:cs="仿宋_GB2312"/>
          <w:b w:val="0"/>
          <w:bCs w:val="0"/>
          <w:color w:val="000000"/>
          <w:kern w:val="2"/>
          <w:sz w:val="32"/>
          <w:szCs w:val="24"/>
          <w:lang w:val="zh-CN" w:eastAsia="zh-CN" w:bidi="ar-SA"/>
        </w:rPr>
        <w:t>、一般公共服务（类）发展与改革事务（款）一般行政管理事务（项）是指行政单位（包括实行公务员管理的事业单位）在发展与改革事务中未单独设置项级科目的其他项目支出。</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11、</w:t>
      </w:r>
      <w:r>
        <w:rPr>
          <w:rFonts w:hint="eastAsia" w:ascii="仿宋_GB2312" w:hAnsi="仿宋_GB2312" w:eastAsia="仿宋_GB2312" w:cs="仿宋_GB2312"/>
          <w:b w:val="0"/>
          <w:bCs w:val="0"/>
          <w:color w:val="000000"/>
          <w:kern w:val="2"/>
          <w:sz w:val="32"/>
          <w:szCs w:val="24"/>
          <w:lang w:val="zh-CN" w:eastAsia="zh-CN" w:bidi="ar-SA"/>
        </w:rPr>
        <w:t>一般公共服务（类）发展与改革事务（款）事业运行（项）是指事业单位在发展与改革事务的基本支出。不包括行政单位（包括实行公务员管理的事业单位）后勤服务中心、医务室等附属事业单位。</w:t>
      </w:r>
    </w:p>
    <w:p>
      <w:pPr>
        <w:keepNext w:val="0"/>
        <w:keepLines w:val="0"/>
        <w:pageBreakBefore w:val="0"/>
        <w:widowControl w:val="0"/>
        <w:kinsoku/>
        <w:wordWrap/>
        <w:overflowPunct/>
        <w:topLinePunct w:val="0"/>
        <w:bidi w:val="0"/>
        <w:snapToGrid/>
        <w:spacing w:line="240" w:lineRule="auto"/>
        <w:ind w:firstLine="640" w:firstLineChars="200"/>
        <w:textAlignment w:val="auto"/>
        <w:outlineLvl w:val="9"/>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12、</w:t>
      </w:r>
      <w:r>
        <w:rPr>
          <w:rFonts w:hint="eastAsia" w:ascii="仿宋_GB2312" w:hAnsi="仿宋_GB2312" w:eastAsia="仿宋_GB2312" w:cs="仿宋_GB2312"/>
          <w:b w:val="0"/>
          <w:bCs w:val="0"/>
          <w:color w:val="000000"/>
          <w:kern w:val="2"/>
          <w:sz w:val="32"/>
          <w:szCs w:val="24"/>
          <w:lang w:val="zh-CN" w:eastAsia="zh-CN" w:bidi="ar-SA"/>
        </w:rPr>
        <w:t>科学技术支出（类）科学技术管理事务（款）其他科学技术管理事务（项）是指其他用于科学技术管理事务方面的支出。</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13、</w:t>
      </w:r>
      <w:r>
        <w:rPr>
          <w:rFonts w:hint="eastAsia" w:ascii="仿宋_GB2312" w:hAnsi="仿宋_GB2312" w:eastAsia="仿宋_GB2312" w:cs="仿宋_GB2312"/>
          <w:b w:val="0"/>
          <w:bCs w:val="0"/>
          <w:color w:val="000000"/>
          <w:kern w:val="2"/>
          <w:sz w:val="32"/>
          <w:szCs w:val="24"/>
          <w:lang w:val="zh-CN" w:eastAsia="zh-CN" w:bidi="ar-SA"/>
        </w:rPr>
        <w:t>科学技术支出（类）技术研究与开发（款）机构运行（项）是指各类技术研究与开发机构的基本支出。</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1</w:t>
      </w:r>
      <w:r>
        <w:rPr>
          <w:rFonts w:hint="eastAsia" w:ascii="仿宋_GB2312" w:hAnsi="仿宋_GB2312" w:eastAsia="仿宋_GB2312" w:cs="仿宋_GB2312"/>
          <w:b w:val="0"/>
          <w:bCs w:val="0"/>
          <w:color w:val="000000"/>
          <w:kern w:val="2"/>
          <w:sz w:val="32"/>
          <w:szCs w:val="24"/>
          <w:lang w:val="en-US" w:eastAsia="zh-CN" w:bidi="ar-SA"/>
        </w:rPr>
        <w:t>4</w:t>
      </w:r>
      <w:r>
        <w:rPr>
          <w:rFonts w:hint="eastAsia" w:ascii="仿宋_GB2312" w:hAnsi="仿宋_GB2312" w:eastAsia="仿宋_GB2312" w:cs="仿宋_GB2312"/>
          <w:b w:val="0"/>
          <w:bCs w:val="0"/>
          <w:color w:val="000000"/>
          <w:kern w:val="2"/>
          <w:sz w:val="32"/>
          <w:szCs w:val="24"/>
          <w:lang w:val="zh-CN" w:eastAsia="zh-CN" w:bidi="ar-SA"/>
        </w:rPr>
        <w:t>.社会保障和就业（类）政事业单位离退休（款）机关事业单位基本养老保险缴费支出（项）是指机关事业单位实旗养老保险制度由单位缴纳的基本养老保险费支出。</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15、</w:t>
      </w:r>
      <w:r>
        <w:rPr>
          <w:rFonts w:hint="eastAsia" w:ascii="仿宋_GB2312" w:hAnsi="仿宋_GB2312" w:eastAsia="仿宋_GB2312" w:cs="仿宋_GB2312"/>
          <w:b w:val="0"/>
          <w:bCs w:val="0"/>
          <w:color w:val="000000"/>
          <w:kern w:val="2"/>
          <w:sz w:val="32"/>
          <w:szCs w:val="24"/>
          <w:lang w:val="zh-CN" w:eastAsia="zh-CN" w:bidi="ar-SA"/>
        </w:rPr>
        <w:t>社会保障和就业（类）政事业单位离退休（款）机关事业单位职业年金缴费支出（项）是指机关事业单位实施养老保险制度由单位缴纳的职业年金缴费支出支出。</w:t>
      </w:r>
    </w:p>
    <w:p>
      <w:pPr>
        <w:spacing w:line="240" w:lineRule="auto"/>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1</w:t>
      </w:r>
      <w:r>
        <w:rPr>
          <w:rFonts w:hint="eastAsia" w:ascii="仿宋_GB2312" w:hAnsi="仿宋_GB2312" w:eastAsia="仿宋_GB2312" w:cs="仿宋_GB2312"/>
          <w:b w:val="0"/>
          <w:bCs w:val="0"/>
          <w:color w:val="000000"/>
          <w:kern w:val="2"/>
          <w:sz w:val="32"/>
          <w:szCs w:val="24"/>
          <w:lang w:val="en-US" w:eastAsia="zh-CN" w:bidi="ar-SA"/>
        </w:rPr>
        <w:t>6</w:t>
      </w:r>
      <w:r>
        <w:rPr>
          <w:rFonts w:hint="eastAsia" w:ascii="仿宋_GB2312" w:hAnsi="仿宋_GB2312" w:eastAsia="仿宋_GB2312" w:cs="仿宋_GB2312"/>
          <w:b w:val="0"/>
          <w:bCs w:val="0"/>
          <w:color w:val="000000"/>
          <w:kern w:val="2"/>
          <w:sz w:val="32"/>
          <w:szCs w:val="24"/>
          <w:lang w:val="zh-CN" w:eastAsia="zh-CN" w:bidi="ar-SA"/>
        </w:rPr>
        <w:t>、社会保障和就业（类）政事业单位离退休（款）-其他行政事业单位离退休支出（项）是指其他用于行政事业单位离退休方面的支出。</w:t>
      </w:r>
    </w:p>
    <w:p>
      <w:pPr>
        <w:spacing w:line="240" w:lineRule="auto"/>
        <w:ind w:firstLine="64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1</w:t>
      </w:r>
      <w:r>
        <w:rPr>
          <w:rFonts w:hint="eastAsia" w:ascii="仿宋_GB2312" w:hAnsi="仿宋_GB2312" w:eastAsia="仿宋_GB2312" w:cs="仿宋_GB2312"/>
          <w:b w:val="0"/>
          <w:bCs w:val="0"/>
          <w:color w:val="000000"/>
          <w:kern w:val="2"/>
          <w:sz w:val="32"/>
          <w:szCs w:val="24"/>
          <w:lang w:val="en-US" w:eastAsia="zh-CN" w:bidi="ar-SA"/>
        </w:rPr>
        <w:t>7</w:t>
      </w:r>
      <w:r>
        <w:rPr>
          <w:rFonts w:hint="eastAsia" w:ascii="仿宋_GB2312" w:hAnsi="仿宋_GB2312" w:eastAsia="仿宋_GB2312" w:cs="仿宋_GB2312"/>
          <w:b w:val="0"/>
          <w:bCs w:val="0"/>
          <w:color w:val="000000"/>
          <w:kern w:val="2"/>
          <w:sz w:val="32"/>
          <w:szCs w:val="24"/>
          <w:lang w:val="zh-CN" w:eastAsia="zh-CN" w:bidi="ar-SA"/>
        </w:rPr>
        <w:t>、卫生健康支出（类）行政事业单位医疗（款）行政单位医疗（项）是指财政部门集中安排的行政单位基本医疗保险缴费经费，未参加医疗保险的行政单位基本的公费医疗经费，按国家规定享受离休人员、老红军战士待遇人员的医疗经费。</w:t>
      </w:r>
    </w:p>
    <w:p>
      <w:pPr>
        <w:spacing w:line="240" w:lineRule="auto"/>
        <w:ind w:firstLine="64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zh-CN" w:eastAsia="zh-CN" w:bidi="ar-SA"/>
        </w:rPr>
        <w:t>1</w:t>
      </w:r>
      <w:r>
        <w:rPr>
          <w:rFonts w:hint="eastAsia" w:ascii="仿宋_GB2312" w:hAnsi="仿宋_GB2312" w:eastAsia="仿宋_GB2312" w:cs="仿宋_GB2312"/>
          <w:b w:val="0"/>
          <w:bCs w:val="0"/>
          <w:color w:val="000000"/>
          <w:kern w:val="2"/>
          <w:sz w:val="32"/>
          <w:szCs w:val="24"/>
          <w:lang w:val="en-US" w:eastAsia="zh-CN" w:bidi="ar-SA"/>
        </w:rPr>
        <w:t>8</w:t>
      </w:r>
      <w:r>
        <w:rPr>
          <w:rFonts w:hint="eastAsia" w:ascii="仿宋_GB2312" w:hAnsi="仿宋_GB2312" w:eastAsia="仿宋_GB2312" w:cs="仿宋_GB2312"/>
          <w:b w:val="0"/>
          <w:bCs w:val="0"/>
          <w:color w:val="000000"/>
          <w:kern w:val="2"/>
          <w:sz w:val="32"/>
          <w:szCs w:val="24"/>
          <w:lang w:val="zh-CN" w:eastAsia="zh-CN" w:bidi="ar-SA"/>
        </w:rPr>
        <w:t>、卫生健康支出（类）行政事业单位医疗（款）事业单位医疗（项）是指财政部门集中安排的事业单位基本医疗保险缴费经费，未参加医疗保险的事业单位基本的公费医疗经费，按国家规定享受离休人员待遇人员的医疗经费。</w:t>
      </w:r>
    </w:p>
    <w:p>
      <w:pPr>
        <w:spacing w:line="240" w:lineRule="auto"/>
        <w:ind w:firstLine="64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19.</w:t>
      </w:r>
      <w:r>
        <w:rPr>
          <w:rFonts w:hint="eastAsia" w:ascii="仿宋_GB2312" w:hAnsi="仿宋_GB2312" w:eastAsia="仿宋_GB2312" w:cs="仿宋_GB2312"/>
          <w:b w:val="0"/>
          <w:bCs w:val="0"/>
          <w:color w:val="000000"/>
          <w:kern w:val="2"/>
          <w:sz w:val="32"/>
          <w:szCs w:val="24"/>
          <w:lang w:val="zh-CN" w:eastAsia="zh-CN" w:bidi="ar-SA"/>
        </w:rPr>
        <w:t>卫生健康支出（类）行政事业单位医疗（款）公务员医疗补助（项）：指财政部门安排的公务员医疗补助经经费。</w:t>
      </w:r>
    </w:p>
    <w:p>
      <w:pPr>
        <w:spacing w:line="240" w:lineRule="auto"/>
        <w:ind w:firstLine="64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20.</w:t>
      </w:r>
      <w:r>
        <w:rPr>
          <w:rFonts w:hint="eastAsia" w:ascii="仿宋_GB2312" w:hAnsi="仿宋_GB2312" w:eastAsia="仿宋_GB2312" w:cs="仿宋_GB2312"/>
          <w:b w:val="0"/>
          <w:bCs w:val="0"/>
          <w:color w:val="000000"/>
          <w:kern w:val="2"/>
          <w:sz w:val="32"/>
          <w:szCs w:val="24"/>
          <w:lang w:val="zh-CN" w:eastAsia="zh-CN" w:bidi="ar-SA"/>
        </w:rPr>
        <w:t>卫生健康支出（类）行政事业单位医疗（款）其他行政事业单位医疗支出（项）：反映反映财政部门集中安排的事业单位其他医疗保险缴费经费。</w:t>
      </w:r>
    </w:p>
    <w:p>
      <w:pPr>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21</w:t>
      </w:r>
      <w:r>
        <w:rPr>
          <w:rFonts w:hint="eastAsia" w:ascii="仿宋_GB2312" w:hAnsi="仿宋_GB2312" w:eastAsia="仿宋_GB2312" w:cs="仿宋_GB2312"/>
          <w:b w:val="0"/>
          <w:bCs w:val="0"/>
          <w:color w:val="000000"/>
          <w:kern w:val="2"/>
          <w:sz w:val="32"/>
          <w:szCs w:val="24"/>
          <w:lang w:val="zh-CN" w:eastAsia="zh-CN" w:bidi="ar-SA"/>
        </w:rPr>
        <w:t>.资源勘探工业信息等支出（类）支持中小企业发展和管理支出（款）其他支持中小企业发展和管理支出（项）指其他用于中小企业管理及支持中小企业发展方面的支出。</w:t>
      </w:r>
    </w:p>
    <w:p>
      <w:pPr>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22</w:t>
      </w:r>
      <w:r>
        <w:rPr>
          <w:rFonts w:hint="eastAsia" w:ascii="仿宋_GB2312" w:hAnsi="仿宋_GB2312" w:eastAsia="仿宋_GB2312" w:cs="仿宋_GB2312"/>
          <w:b w:val="0"/>
          <w:bCs w:val="0"/>
          <w:color w:val="000000"/>
          <w:kern w:val="2"/>
          <w:sz w:val="32"/>
          <w:szCs w:val="24"/>
          <w:lang w:val="zh-CN" w:eastAsia="zh-CN" w:bidi="ar-SA"/>
        </w:rPr>
        <w:t>.基本支出：指为保障机构正常运转、完成日常工作任务而发生的人员支出和公用支出。</w:t>
      </w:r>
    </w:p>
    <w:p>
      <w:pPr>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23</w:t>
      </w:r>
      <w:r>
        <w:rPr>
          <w:rFonts w:hint="eastAsia" w:ascii="仿宋_GB2312" w:hAnsi="仿宋_GB2312" w:eastAsia="仿宋_GB2312" w:cs="仿宋_GB2312"/>
          <w:b w:val="0"/>
          <w:bCs w:val="0"/>
          <w:color w:val="000000"/>
          <w:kern w:val="2"/>
          <w:sz w:val="32"/>
          <w:szCs w:val="24"/>
          <w:lang w:val="zh-CN" w:eastAsia="zh-CN" w:bidi="ar-SA"/>
        </w:rPr>
        <w:t xml:space="preserve">.项目支出：指在基本支出之外为完成特定行政任务和事业发展目标所发生的支出。 </w:t>
      </w:r>
    </w:p>
    <w:p>
      <w:pPr>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24</w:t>
      </w:r>
      <w:r>
        <w:rPr>
          <w:rFonts w:hint="eastAsia" w:ascii="仿宋_GB2312" w:hAnsi="仿宋_GB2312" w:eastAsia="仿宋_GB2312" w:cs="仿宋_GB2312"/>
          <w:b w:val="0"/>
          <w:bCs w:val="0"/>
          <w:color w:val="000000"/>
          <w:kern w:val="2"/>
          <w:sz w:val="32"/>
          <w:szCs w:val="24"/>
          <w:lang w:val="zh-CN" w:eastAsia="zh-CN" w:bidi="ar-SA"/>
        </w:rPr>
        <w:t>.经营支出：指事业单位在专业业务活动及其辅助活动之外开展非独立核算经营活动发生的支出。</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25</w:t>
      </w:r>
      <w:r>
        <w:rPr>
          <w:rFonts w:hint="eastAsia" w:ascii="仿宋_GB2312" w:hAnsi="仿宋_GB2312" w:eastAsia="仿宋_GB2312" w:cs="仿宋_GB2312"/>
          <w:b w:val="0"/>
          <w:bCs w:val="0"/>
          <w:color w:val="000000"/>
          <w:kern w:val="2"/>
          <w:sz w:val="32"/>
          <w:szCs w:val="24"/>
          <w:lang w:val="zh-CN" w:eastAsia="zh-CN" w:bidi="ar-S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6"/>
        <w:spacing w:line="560" w:lineRule="exact"/>
        <w:ind w:firstLine="640" w:firstLineChars="200"/>
        <w:rPr>
          <w:rFonts w:hint="eastAsia" w:ascii="仿宋_GB2312" w:hAnsi="仿宋_GB2312" w:eastAsia="仿宋_GB2312" w:cs="仿宋_GB2312"/>
          <w:b w:val="0"/>
          <w:bCs w:val="0"/>
          <w:color w:val="000000"/>
          <w:kern w:val="2"/>
          <w:sz w:val="32"/>
          <w:szCs w:val="24"/>
          <w:lang w:val="zh-CN" w:eastAsia="zh-CN" w:bidi="ar-SA"/>
        </w:rPr>
      </w:pPr>
      <w:r>
        <w:rPr>
          <w:rFonts w:hint="eastAsia" w:ascii="仿宋_GB2312" w:hAnsi="仿宋_GB2312" w:eastAsia="仿宋_GB2312" w:cs="仿宋_GB2312"/>
          <w:b w:val="0"/>
          <w:bCs w:val="0"/>
          <w:color w:val="000000"/>
          <w:kern w:val="2"/>
          <w:sz w:val="32"/>
          <w:szCs w:val="24"/>
          <w:lang w:val="en-US" w:eastAsia="zh-CN" w:bidi="ar-SA"/>
        </w:rPr>
        <w:t>26</w:t>
      </w:r>
      <w:r>
        <w:rPr>
          <w:rFonts w:hint="eastAsia" w:ascii="仿宋_GB2312" w:hAnsi="仿宋_GB2312" w:eastAsia="仿宋_GB2312" w:cs="仿宋_GB2312"/>
          <w:b w:val="0"/>
          <w:bCs w:val="0"/>
          <w:color w:val="000000"/>
          <w:kern w:val="2"/>
          <w:sz w:val="32"/>
          <w:szCs w:val="24"/>
          <w:lang w:val="zh-CN" w:eastAsia="zh-CN" w:bidi="ar-SA"/>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numPr>
          <w:ilvl w:val="0"/>
          <w:numId w:val="0"/>
        </w:numPr>
        <w:spacing w:line="600" w:lineRule="exact"/>
        <w:ind w:firstLine="640" w:firstLineChars="200"/>
        <w:outlineLvl w:val="2"/>
        <w:rPr>
          <w:rFonts w:hint="eastAsia" w:ascii="仿宋_GB2312" w:hAnsi="仿宋_GB2312" w:eastAsia="仿宋_GB2312" w:cs="仿宋_GB2312"/>
          <w:b w:val="0"/>
          <w:bCs w:val="0"/>
          <w:color w:val="000000"/>
          <w:kern w:val="2"/>
          <w:sz w:val="32"/>
          <w:highlight w:val="none"/>
          <w:lang w:val="zh-CN" w:eastAsia="zh-CN"/>
        </w:rPr>
      </w:pPr>
      <w:r>
        <w:rPr>
          <w:rFonts w:hint="eastAsia" w:ascii="仿宋_GB2312" w:hAnsi="仿宋_GB2312" w:eastAsia="仿宋_GB2312" w:cs="仿宋_GB2312"/>
          <w:b w:val="0"/>
          <w:bCs w:val="0"/>
          <w:color w:val="000000"/>
          <w:kern w:val="2"/>
          <w:sz w:val="32"/>
          <w:highlight w:val="none"/>
          <w:lang w:val="en-US" w:eastAsia="zh-CN"/>
        </w:rPr>
        <w:t>27.</w:t>
      </w:r>
      <w:r>
        <w:rPr>
          <w:rFonts w:hint="eastAsia" w:ascii="仿宋_GB2312" w:hAnsi="仿宋_GB2312" w:eastAsia="仿宋_GB2312" w:cs="仿宋_GB2312"/>
          <w:b w:val="0"/>
          <w:bCs w:val="0"/>
          <w:color w:val="000000"/>
          <w:kern w:val="2"/>
          <w:sz w:val="32"/>
          <w:highlight w:val="none"/>
          <w:lang w:val="zh-CN"/>
        </w:rPr>
        <w:t>节能环保支出（类）其他节能环保支出（款）其他节能环保支出（项）</w:t>
      </w:r>
      <w:r>
        <w:rPr>
          <w:rFonts w:hint="eastAsia" w:ascii="仿宋_GB2312" w:hAnsi="仿宋_GB2312" w:eastAsia="仿宋_GB2312" w:cs="仿宋_GB2312"/>
          <w:b w:val="0"/>
          <w:bCs w:val="0"/>
          <w:color w:val="000000"/>
          <w:kern w:val="2"/>
          <w:sz w:val="32"/>
          <w:highlight w:val="none"/>
          <w:lang w:val="zh-CN" w:eastAsia="zh-CN"/>
        </w:rPr>
        <w:t>：指反映政府</w:t>
      </w:r>
      <w:r>
        <w:rPr>
          <w:rFonts w:hint="eastAsia" w:ascii="仿宋_GB2312" w:hAnsi="仿宋_GB2312" w:eastAsia="仿宋_GB2312" w:cs="仿宋_GB2312"/>
          <w:b w:val="0"/>
          <w:bCs w:val="0"/>
          <w:color w:val="000000"/>
          <w:kern w:val="2"/>
          <w:sz w:val="32"/>
          <w:highlight w:val="none"/>
          <w:lang w:val="zh-CN"/>
        </w:rPr>
        <w:t>节能环保方面的支出。</w:t>
      </w:r>
    </w:p>
    <w:p>
      <w:pPr>
        <w:numPr>
          <w:ilvl w:val="0"/>
          <w:numId w:val="0"/>
        </w:numPr>
        <w:spacing w:line="600" w:lineRule="exact"/>
        <w:ind w:firstLine="640" w:firstLineChars="200"/>
        <w:outlineLvl w:val="2"/>
        <w:rPr>
          <w:rFonts w:hint="eastAsia" w:ascii="仿宋_GB2312" w:hAnsi="仿宋_GB2312" w:eastAsia="仿宋_GB2312" w:cs="仿宋_GB2312"/>
          <w:b w:val="0"/>
          <w:bCs w:val="0"/>
          <w:color w:val="000000"/>
          <w:kern w:val="2"/>
          <w:sz w:val="32"/>
          <w:highlight w:val="none"/>
          <w:lang w:val="zh-CN"/>
        </w:rPr>
      </w:pPr>
      <w:r>
        <w:rPr>
          <w:rFonts w:hint="eastAsia" w:ascii="仿宋_GB2312" w:hAnsi="仿宋_GB2312" w:eastAsia="仿宋_GB2312" w:cs="仿宋_GB2312"/>
          <w:b w:val="0"/>
          <w:bCs w:val="0"/>
          <w:color w:val="000000"/>
          <w:kern w:val="2"/>
          <w:sz w:val="32"/>
          <w:highlight w:val="none"/>
          <w:lang w:val="en-US" w:eastAsia="zh-CN"/>
        </w:rPr>
        <w:t>28.交通运输支出</w:t>
      </w:r>
      <w:r>
        <w:rPr>
          <w:rFonts w:hint="eastAsia" w:ascii="仿宋_GB2312" w:hAnsi="仿宋_GB2312" w:eastAsia="仿宋_GB2312" w:cs="仿宋_GB2312"/>
          <w:b w:val="0"/>
          <w:bCs w:val="0"/>
          <w:color w:val="000000"/>
          <w:kern w:val="2"/>
          <w:sz w:val="32"/>
          <w:highlight w:val="none"/>
          <w:lang w:val="zh-CN"/>
        </w:rPr>
        <w:t>（类）</w:t>
      </w:r>
      <w:r>
        <w:rPr>
          <w:rFonts w:hint="eastAsia" w:ascii="仿宋_GB2312" w:hAnsi="仿宋_GB2312" w:eastAsia="仿宋_GB2312" w:cs="仿宋_GB2312"/>
          <w:b w:val="0"/>
          <w:bCs w:val="0"/>
          <w:color w:val="000000"/>
          <w:kern w:val="2"/>
          <w:sz w:val="32"/>
          <w:highlight w:val="none"/>
          <w:lang w:val="en-US" w:eastAsia="zh-CN"/>
        </w:rPr>
        <w:t>民用航空运输</w:t>
      </w:r>
      <w:r>
        <w:rPr>
          <w:rFonts w:hint="eastAsia" w:ascii="仿宋_GB2312" w:hAnsi="仿宋_GB2312" w:eastAsia="仿宋_GB2312" w:cs="仿宋_GB2312"/>
          <w:b w:val="0"/>
          <w:bCs w:val="0"/>
          <w:color w:val="000000"/>
          <w:kern w:val="2"/>
          <w:sz w:val="32"/>
          <w:highlight w:val="none"/>
          <w:lang w:val="zh-CN"/>
        </w:rPr>
        <w:t>（款）</w:t>
      </w:r>
      <w:r>
        <w:rPr>
          <w:rFonts w:hint="eastAsia" w:ascii="仿宋_GB2312" w:hAnsi="仿宋_GB2312" w:eastAsia="仿宋_GB2312" w:cs="仿宋_GB2312"/>
          <w:b w:val="0"/>
          <w:bCs w:val="0"/>
          <w:color w:val="000000"/>
          <w:kern w:val="2"/>
          <w:sz w:val="32"/>
          <w:highlight w:val="none"/>
          <w:lang w:val="en-US" w:eastAsia="zh-CN"/>
        </w:rPr>
        <w:t>机场建设：</w:t>
      </w:r>
      <w:r>
        <w:rPr>
          <w:rFonts w:hint="eastAsia" w:ascii="仿宋_GB2312" w:hAnsi="仿宋_GB2312" w:eastAsia="仿宋_GB2312" w:cs="仿宋_GB2312"/>
          <w:b w:val="0"/>
          <w:bCs w:val="0"/>
          <w:color w:val="000000"/>
          <w:kern w:val="2"/>
          <w:sz w:val="32"/>
          <w:highlight w:val="none"/>
          <w:lang w:val="zh-CN" w:eastAsia="zh-CN"/>
        </w:rPr>
        <w:t>指反映政府在</w:t>
      </w:r>
      <w:r>
        <w:rPr>
          <w:rFonts w:hint="eastAsia" w:ascii="仿宋_GB2312" w:hAnsi="仿宋_GB2312" w:eastAsia="仿宋_GB2312" w:cs="仿宋_GB2312"/>
          <w:b w:val="0"/>
          <w:bCs w:val="0"/>
          <w:color w:val="000000"/>
          <w:kern w:val="2"/>
          <w:sz w:val="32"/>
          <w:highlight w:val="none"/>
          <w:lang w:val="en-US" w:eastAsia="zh-CN"/>
        </w:rPr>
        <w:t>民用航空运输机场建设方面的支出。</w:t>
      </w:r>
    </w:p>
    <w:p>
      <w:pPr>
        <w:spacing w:line="600" w:lineRule="exact"/>
        <w:jc w:val="center"/>
        <w:outlineLvl w:val="0"/>
        <w:rPr>
          <w:rStyle w:val="28"/>
          <w:rFonts w:hint="eastAsia" w:ascii="黑体" w:hAnsi="黑体" w:eastAsia="黑体"/>
          <w:b w:val="0"/>
        </w:rPr>
      </w:pPr>
      <w:r>
        <w:rPr>
          <w:rFonts w:ascii="宋体"/>
          <w:b/>
          <w:sz w:val="44"/>
          <w:szCs w:val="44"/>
        </w:rPr>
        <w:br w:type="page"/>
      </w:r>
      <w:bookmarkStart w:id="76" w:name="_Toc11477"/>
      <w:bookmarkStart w:id="77" w:name="_Toc15396614"/>
      <w:r>
        <w:rPr>
          <w:rFonts w:hint="eastAsia" w:ascii="黑体" w:hAnsi="黑体" w:eastAsia="黑体"/>
          <w:sz w:val="44"/>
          <w:szCs w:val="44"/>
        </w:rPr>
        <w:t>第</w:t>
      </w:r>
      <w:r>
        <w:rPr>
          <w:rStyle w:val="28"/>
          <w:rFonts w:hint="eastAsia" w:ascii="黑体" w:hAnsi="黑体" w:eastAsia="黑体"/>
          <w:b w:val="0"/>
        </w:rPr>
        <w:t>四部分 附件</w:t>
      </w:r>
      <w:bookmarkEnd w:id="76"/>
      <w:bookmarkEnd w:id="77"/>
    </w:p>
    <w:p>
      <w:pPr>
        <w:pStyle w:val="2"/>
      </w:pPr>
    </w:p>
    <w:tbl>
      <w:tblPr>
        <w:tblStyle w:val="15"/>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3"/>
        <w:gridCol w:w="839"/>
        <w:gridCol w:w="758"/>
        <w:gridCol w:w="1994"/>
        <w:gridCol w:w="475"/>
        <w:gridCol w:w="525"/>
        <w:gridCol w:w="475"/>
        <w:gridCol w:w="977"/>
        <w:gridCol w:w="508"/>
        <w:gridCol w:w="508"/>
        <w:gridCol w:w="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bookmarkStart w:id="78" w:name="_Toc15396618"/>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40.90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“三公经费”控制率[计算方法为：（三公经费实际支出数/预算安排数]×100%）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51111222R000000412382-公务员医疗补助缴费（事业）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19.35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51111224R000010257005-工会福利费（事业）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51111224R000011469793-失业保险缴费（事业）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51111224R000011510005-其他社会保障缴费支出（事业）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51111225R000013149931-调资和抚恤追加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乐山市五通桥区科技开发服务中心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pStyle w:val="7"/>
        <w:spacing w:before="93"/>
        <w:rPr>
          <w:rFonts w:hAnsi="Calibri" w:cs="仿宋"/>
          <w:sz w:val="32"/>
          <w:szCs w:val="32"/>
        </w:rPr>
      </w:pPr>
    </w:p>
    <w:p>
      <w:pPr>
        <w:pStyle w:val="7"/>
        <w:spacing w:before="93"/>
        <w:rPr>
          <w:rFonts w:hAnsi="Calibri" w:cs="仿宋"/>
          <w:sz w:val="32"/>
          <w:szCs w:val="32"/>
        </w:rPr>
      </w:pPr>
    </w:p>
    <w:p>
      <w:pPr>
        <w:spacing w:line="600" w:lineRule="exact"/>
        <w:jc w:val="center"/>
        <w:outlineLvl w:val="0"/>
        <w:rPr>
          <w:rFonts w:ascii="仿宋" w:hAnsi="仿宋" w:eastAsia="仿宋"/>
        </w:rPr>
      </w:pPr>
      <w:bookmarkStart w:id="79" w:name="_Toc3872"/>
      <w:r>
        <w:rPr>
          <w:rFonts w:hint="eastAsia" w:ascii="黑体" w:hAnsi="黑体" w:eastAsia="黑体"/>
          <w:sz w:val="44"/>
          <w:szCs w:val="44"/>
        </w:rPr>
        <w:t>第</w:t>
      </w:r>
      <w:r>
        <w:rPr>
          <w:rStyle w:val="28"/>
          <w:rFonts w:hint="eastAsia" w:ascii="黑体" w:hAnsi="黑体" w:eastAsia="黑体"/>
          <w:b w:val="0"/>
        </w:rPr>
        <w:t>五部分 附表</w:t>
      </w:r>
      <w:bookmarkEnd w:id="75"/>
      <w:bookmarkEnd w:id="78"/>
      <w:bookmarkEnd w:id="79"/>
      <w:bookmarkStart w:id="80" w:name="_Toc15396619"/>
    </w:p>
    <w:p>
      <w:pPr>
        <w:pStyle w:val="5"/>
        <w:rPr>
          <w:rFonts w:hint="eastAsia" w:ascii="仿宋_GB2312" w:hAnsi="仿宋_GB2312" w:eastAsia="仿宋_GB2312" w:cs="仿宋_GB2312"/>
          <w:sz w:val="28"/>
          <w:szCs w:val="28"/>
        </w:rPr>
      </w:pPr>
      <w:bookmarkStart w:id="81" w:name="_Toc31222"/>
      <w:r>
        <w:rPr>
          <w:rFonts w:hint="eastAsia" w:ascii="仿宋_GB2312" w:hAnsi="仿宋_GB2312" w:eastAsia="仿宋_GB2312" w:cs="仿宋_GB2312"/>
          <w:b w:val="0"/>
          <w:sz w:val="28"/>
          <w:szCs w:val="28"/>
        </w:rPr>
        <w:t>一、收</w:t>
      </w:r>
      <w:r>
        <w:rPr>
          <w:rStyle w:val="29"/>
          <w:rFonts w:hint="eastAsia" w:ascii="仿宋_GB2312" w:hAnsi="仿宋_GB2312" w:eastAsia="仿宋_GB2312" w:cs="仿宋_GB2312"/>
          <w:b w:val="0"/>
          <w:bCs w:val="0"/>
          <w:sz w:val="28"/>
          <w:szCs w:val="28"/>
        </w:rPr>
        <w:t>入支出决算总表</w:t>
      </w:r>
      <w:bookmarkEnd w:id="80"/>
      <w:bookmarkEnd w:id="81"/>
    </w:p>
    <w:p>
      <w:pPr>
        <w:pStyle w:val="5"/>
        <w:rPr>
          <w:rFonts w:hint="eastAsia" w:ascii="仿宋_GB2312" w:hAnsi="仿宋_GB2312" w:eastAsia="仿宋_GB2312" w:cs="仿宋_GB2312"/>
          <w:sz w:val="28"/>
          <w:szCs w:val="28"/>
        </w:rPr>
      </w:pPr>
      <w:bookmarkStart w:id="82" w:name="_Toc6805"/>
      <w:bookmarkStart w:id="83" w:name="_Toc15396620"/>
      <w:r>
        <w:rPr>
          <w:rFonts w:hint="eastAsia" w:ascii="仿宋_GB2312" w:hAnsi="仿宋_GB2312" w:eastAsia="仿宋_GB2312" w:cs="仿宋_GB2312"/>
          <w:b w:val="0"/>
          <w:sz w:val="28"/>
          <w:szCs w:val="28"/>
        </w:rPr>
        <w:t>二、收</w:t>
      </w:r>
      <w:r>
        <w:rPr>
          <w:rStyle w:val="29"/>
          <w:rFonts w:hint="eastAsia" w:ascii="仿宋_GB2312" w:hAnsi="仿宋_GB2312" w:eastAsia="仿宋_GB2312" w:cs="仿宋_GB2312"/>
          <w:b w:val="0"/>
          <w:bCs w:val="0"/>
          <w:sz w:val="28"/>
          <w:szCs w:val="28"/>
        </w:rPr>
        <w:t>入决算表</w:t>
      </w:r>
      <w:bookmarkEnd w:id="82"/>
      <w:bookmarkEnd w:id="83"/>
    </w:p>
    <w:p>
      <w:pPr>
        <w:pStyle w:val="5"/>
        <w:rPr>
          <w:rFonts w:hint="eastAsia" w:ascii="仿宋_GB2312" w:hAnsi="仿宋_GB2312" w:eastAsia="仿宋_GB2312" w:cs="仿宋_GB2312"/>
          <w:sz w:val="28"/>
          <w:szCs w:val="28"/>
        </w:rPr>
      </w:pPr>
      <w:bookmarkStart w:id="84" w:name="_Toc15396621"/>
      <w:bookmarkStart w:id="85" w:name="_Toc16838"/>
      <w:r>
        <w:rPr>
          <w:rStyle w:val="29"/>
          <w:rFonts w:hint="eastAsia" w:ascii="仿宋_GB2312" w:hAnsi="仿宋_GB2312" w:eastAsia="仿宋_GB2312" w:cs="仿宋_GB2312"/>
          <w:b w:val="0"/>
          <w:bCs w:val="0"/>
          <w:sz w:val="28"/>
          <w:szCs w:val="28"/>
        </w:rPr>
        <w:t>三、</w:t>
      </w:r>
      <w:r>
        <w:rPr>
          <w:rFonts w:hint="eastAsia" w:ascii="仿宋_GB2312" w:hAnsi="仿宋_GB2312" w:eastAsia="仿宋_GB2312" w:cs="仿宋_GB2312"/>
          <w:b w:val="0"/>
          <w:sz w:val="28"/>
          <w:szCs w:val="28"/>
        </w:rPr>
        <w:t>支</w:t>
      </w:r>
      <w:r>
        <w:rPr>
          <w:rStyle w:val="29"/>
          <w:rFonts w:hint="eastAsia" w:ascii="仿宋_GB2312" w:hAnsi="仿宋_GB2312" w:eastAsia="仿宋_GB2312" w:cs="仿宋_GB2312"/>
          <w:b w:val="0"/>
          <w:bCs w:val="0"/>
          <w:sz w:val="28"/>
          <w:szCs w:val="28"/>
        </w:rPr>
        <w:t>出决算表</w:t>
      </w:r>
      <w:bookmarkEnd w:id="84"/>
      <w:bookmarkEnd w:id="85"/>
    </w:p>
    <w:p>
      <w:pPr>
        <w:pStyle w:val="5"/>
        <w:rPr>
          <w:rFonts w:hint="eastAsia" w:ascii="仿宋_GB2312" w:hAnsi="仿宋_GB2312" w:eastAsia="仿宋_GB2312" w:cs="仿宋_GB2312"/>
          <w:b w:val="0"/>
          <w:sz w:val="28"/>
          <w:szCs w:val="28"/>
        </w:rPr>
      </w:pPr>
      <w:bookmarkStart w:id="86" w:name="_Toc27574"/>
      <w:bookmarkStart w:id="87" w:name="_Toc15396622"/>
      <w:r>
        <w:rPr>
          <w:rStyle w:val="29"/>
          <w:rFonts w:hint="eastAsia" w:ascii="仿宋_GB2312" w:hAnsi="仿宋_GB2312" w:eastAsia="仿宋_GB2312" w:cs="仿宋_GB2312"/>
          <w:b w:val="0"/>
          <w:bCs w:val="0"/>
          <w:sz w:val="28"/>
          <w:szCs w:val="28"/>
        </w:rPr>
        <w:t>四、</w:t>
      </w:r>
      <w:r>
        <w:rPr>
          <w:rFonts w:hint="eastAsia" w:ascii="仿宋_GB2312" w:hAnsi="仿宋_GB2312" w:eastAsia="仿宋_GB2312" w:cs="仿宋_GB2312"/>
          <w:b w:val="0"/>
          <w:sz w:val="28"/>
          <w:szCs w:val="28"/>
        </w:rPr>
        <w:t>财</w:t>
      </w:r>
      <w:r>
        <w:rPr>
          <w:rStyle w:val="29"/>
          <w:rFonts w:hint="eastAsia" w:ascii="仿宋_GB2312" w:hAnsi="仿宋_GB2312" w:eastAsia="仿宋_GB2312" w:cs="仿宋_GB2312"/>
          <w:b w:val="0"/>
          <w:bCs w:val="0"/>
          <w:sz w:val="28"/>
          <w:szCs w:val="28"/>
        </w:rPr>
        <w:t>政拨款收入支出决算总表</w:t>
      </w:r>
      <w:bookmarkEnd w:id="86"/>
      <w:bookmarkEnd w:id="87"/>
    </w:p>
    <w:p>
      <w:pPr>
        <w:pStyle w:val="5"/>
        <w:rPr>
          <w:rStyle w:val="29"/>
          <w:rFonts w:hint="eastAsia" w:ascii="仿宋_GB2312" w:hAnsi="仿宋_GB2312" w:eastAsia="仿宋_GB2312" w:cs="仿宋_GB2312"/>
          <w:b w:val="0"/>
          <w:bCs w:val="0"/>
          <w:sz w:val="28"/>
          <w:szCs w:val="28"/>
        </w:rPr>
      </w:pPr>
      <w:bookmarkStart w:id="88" w:name="_Toc8013"/>
      <w:bookmarkStart w:id="89" w:name="_Toc15396623"/>
      <w:r>
        <w:rPr>
          <w:rStyle w:val="29"/>
          <w:rFonts w:hint="eastAsia" w:ascii="仿宋_GB2312" w:hAnsi="仿宋_GB2312" w:eastAsia="仿宋_GB2312" w:cs="仿宋_GB2312"/>
          <w:b w:val="0"/>
          <w:bCs w:val="0"/>
          <w:sz w:val="28"/>
          <w:szCs w:val="28"/>
        </w:rPr>
        <w:t>五、</w:t>
      </w:r>
      <w:r>
        <w:rPr>
          <w:rFonts w:hint="eastAsia" w:ascii="仿宋_GB2312" w:hAnsi="仿宋_GB2312" w:eastAsia="仿宋_GB2312" w:cs="仿宋_GB2312"/>
          <w:b w:val="0"/>
          <w:sz w:val="28"/>
          <w:szCs w:val="28"/>
        </w:rPr>
        <w:t>财</w:t>
      </w:r>
      <w:r>
        <w:rPr>
          <w:rStyle w:val="29"/>
          <w:rFonts w:hint="eastAsia" w:ascii="仿宋_GB2312" w:hAnsi="仿宋_GB2312" w:eastAsia="仿宋_GB2312" w:cs="仿宋_GB2312"/>
          <w:b w:val="0"/>
          <w:bCs w:val="0"/>
          <w:sz w:val="28"/>
          <w:szCs w:val="28"/>
        </w:rPr>
        <w:t>政拨款支出决算明细表</w:t>
      </w:r>
      <w:bookmarkEnd w:id="88"/>
      <w:bookmarkEnd w:id="89"/>
      <w:bookmarkStart w:id="90" w:name="_Toc15396624"/>
    </w:p>
    <w:p>
      <w:pPr>
        <w:pStyle w:val="5"/>
        <w:rPr>
          <w:rFonts w:hint="eastAsia" w:ascii="仿宋_GB2312" w:hAnsi="仿宋_GB2312" w:eastAsia="仿宋_GB2312" w:cs="仿宋_GB2312"/>
          <w:sz w:val="28"/>
          <w:szCs w:val="28"/>
        </w:rPr>
      </w:pPr>
      <w:bookmarkStart w:id="91" w:name="_Toc132"/>
      <w:r>
        <w:rPr>
          <w:rStyle w:val="29"/>
          <w:rFonts w:hint="eastAsia" w:ascii="仿宋_GB2312" w:hAnsi="仿宋_GB2312" w:eastAsia="仿宋_GB2312" w:cs="仿宋_GB2312"/>
          <w:b w:val="0"/>
          <w:bCs w:val="0"/>
          <w:sz w:val="28"/>
          <w:szCs w:val="28"/>
        </w:rPr>
        <w:t>六、</w:t>
      </w:r>
      <w:r>
        <w:rPr>
          <w:rFonts w:hint="eastAsia" w:ascii="仿宋_GB2312" w:hAnsi="仿宋_GB2312" w:eastAsia="仿宋_GB2312" w:cs="仿宋_GB2312"/>
          <w:b w:val="0"/>
          <w:sz w:val="28"/>
          <w:szCs w:val="28"/>
        </w:rPr>
        <w:t>一</w:t>
      </w:r>
      <w:r>
        <w:rPr>
          <w:rStyle w:val="29"/>
          <w:rFonts w:hint="eastAsia" w:ascii="仿宋_GB2312" w:hAnsi="仿宋_GB2312" w:eastAsia="仿宋_GB2312" w:cs="仿宋_GB2312"/>
          <w:b w:val="0"/>
          <w:bCs w:val="0"/>
          <w:sz w:val="28"/>
          <w:szCs w:val="28"/>
        </w:rPr>
        <w:t>般公共预算财政拨款支出决算表</w:t>
      </w:r>
      <w:bookmarkEnd w:id="90"/>
      <w:bookmarkEnd w:id="91"/>
    </w:p>
    <w:p>
      <w:pPr>
        <w:pStyle w:val="5"/>
        <w:rPr>
          <w:rFonts w:hint="eastAsia" w:ascii="仿宋_GB2312" w:hAnsi="仿宋_GB2312" w:eastAsia="仿宋_GB2312" w:cs="仿宋_GB2312"/>
          <w:sz w:val="28"/>
          <w:szCs w:val="28"/>
        </w:rPr>
      </w:pPr>
      <w:bookmarkStart w:id="92" w:name="_Toc30807"/>
      <w:bookmarkStart w:id="93" w:name="_Toc15396625"/>
      <w:r>
        <w:rPr>
          <w:rStyle w:val="29"/>
          <w:rFonts w:hint="eastAsia" w:ascii="仿宋_GB2312" w:hAnsi="仿宋_GB2312" w:eastAsia="仿宋_GB2312" w:cs="仿宋_GB2312"/>
          <w:b w:val="0"/>
          <w:bCs w:val="0"/>
          <w:sz w:val="28"/>
          <w:szCs w:val="28"/>
        </w:rPr>
        <w:t>七、</w:t>
      </w:r>
      <w:r>
        <w:rPr>
          <w:rFonts w:hint="eastAsia" w:ascii="仿宋_GB2312" w:hAnsi="仿宋_GB2312" w:eastAsia="仿宋_GB2312" w:cs="仿宋_GB2312"/>
          <w:b w:val="0"/>
          <w:sz w:val="28"/>
          <w:szCs w:val="28"/>
        </w:rPr>
        <w:t>一</w:t>
      </w:r>
      <w:r>
        <w:rPr>
          <w:rStyle w:val="29"/>
          <w:rFonts w:hint="eastAsia" w:ascii="仿宋_GB2312" w:hAnsi="仿宋_GB2312" w:eastAsia="仿宋_GB2312" w:cs="仿宋_GB2312"/>
          <w:b w:val="0"/>
          <w:bCs w:val="0"/>
          <w:sz w:val="28"/>
          <w:szCs w:val="28"/>
        </w:rPr>
        <w:t>般公共预算财政拨款支出决算明细表</w:t>
      </w:r>
      <w:bookmarkEnd w:id="92"/>
      <w:bookmarkEnd w:id="93"/>
    </w:p>
    <w:p>
      <w:pPr>
        <w:pStyle w:val="5"/>
        <w:rPr>
          <w:rFonts w:hint="eastAsia" w:ascii="仿宋_GB2312" w:hAnsi="仿宋_GB2312" w:eastAsia="仿宋_GB2312" w:cs="仿宋_GB2312"/>
          <w:sz w:val="28"/>
          <w:szCs w:val="28"/>
        </w:rPr>
      </w:pPr>
      <w:bookmarkStart w:id="94" w:name="_Toc15396626"/>
      <w:bookmarkStart w:id="95" w:name="_Toc20517"/>
      <w:r>
        <w:rPr>
          <w:rStyle w:val="29"/>
          <w:rFonts w:hint="eastAsia" w:ascii="仿宋_GB2312" w:hAnsi="仿宋_GB2312" w:eastAsia="仿宋_GB2312" w:cs="仿宋_GB2312"/>
          <w:b w:val="0"/>
          <w:bCs w:val="0"/>
          <w:sz w:val="28"/>
          <w:szCs w:val="28"/>
        </w:rPr>
        <w:t>八、</w:t>
      </w:r>
      <w:r>
        <w:rPr>
          <w:rFonts w:hint="eastAsia" w:ascii="仿宋_GB2312" w:hAnsi="仿宋_GB2312" w:eastAsia="仿宋_GB2312" w:cs="仿宋_GB2312"/>
          <w:b w:val="0"/>
          <w:sz w:val="28"/>
          <w:szCs w:val="28"/>
        </w:rPr>
        <w:t>一</w:t>
      </w:r>
      <w:r>
        <w:rPr>
          <w:rStyle w:val="29"/>
          <w:rFonts w:hint="eastAsia" w:ascii="仿宋_GB2312" w:hAnsi="仿宋_GB2312" w:eastAsia="仿宋_GB2312" w:cs="仿宋_GB2312"/>
          <w:b w:val="0"/>
          <w:bCs w:val="0"/>
          <w:sz w:val="28"/>
          <w:szCs w:val="28"/>
        </w:rPr>
        <w:t>般公共预算财政拨款基本支出决算表</w:t>
      </w:r>
      <w:bookmarkEnd w:id="94"/>
      <w:bookmarkEnd w:id="95"/>
    </w:p>
    <w:p>
      <w:pPr>
        <w:pStyle w:val="5"/>
        <w:rPr>
          <w:rFonts w:hint="eastAsia" w:ascii="仿宋_GB2312" w:hAnsi="仿宋_GB2312" w:eastAsia="仿宋_GB2312" w:cs="仿宋_GB2312"/>
          <w:sz w:val="28"/>
          <w:szCs w:val="28"/>
        </w:rPr>
      </w:pPr>
      <w:bookmarkStart w:id="96" w:name="_Toc15396627"/>
      <w:bookmarkStart w:id="97" w:name="_Toc5594"/>
      <w:r>
        <w:rPr>
          <w:rStyle w:val="29"/>
          <w:rFonts w:hint="eastAsia" w:ascii="仿宋_GB2312" w:hAnsi="仿宋_GB2312" w:eastAsia="仿宋_GB2312" w:cs="仿宋_GB2312"/>
          <w:b w:val="0"/>
          <w:bCs w:val="0"/>
          <w:sz w:val="28"/>
          <w:szCs w:val="28"/>
        </w:rPr>
        <w:t>九、</w:t>
      </w:r>
      <w:r>
        <w:rPr>
          <w:rFonts w:hint="eastAsia" w:ascii="仿宋_GB2312" w:hAnsi="仿宋_GB2312" w:eastAsia="仿宋_GB2312" w:cs="仿宋_GB2312"/>
          <w:b w:val="0"/>
          <w:sz w:val="28"/>
          <w:szCs w:val="28"/>
        </w:rPr>
        <w:t>一</w:t>
      </w:r>
      <w:r>
        <w:rPr>
          <w:rStyle w:val="29"/>
          <w:rFonts w:hint="eastAsia" w:ascii="仿宋_GB2312" w:hAnsi="仿宋_GB2312" w:eastAsia="仿宋_GB2312" w:cs="仿宋_GB2312"/>
          <w:b w:val="0"/>
          <w:bCs w:val="0"/>
          <w:sz w:val="28"/>
          <w:szCs w:val="28"/>
        </w:rPr>
        <w:t>般公共预算财政拨款项目支出决算表</w:t>
      </w:r>
      <w:bookmarkEnd w:id="96"/>
      <w:bookmarkEnd w:id="97"/>
    </w:p>
    <w:p>
      <w:pPr>
        <w:pStyle w:val="5"/>
        <w:rPr>
          <w:rFonts w:hint="eastAsia" w:ascii="仿宋_GB2312" w:hAnsi="仿宋_GB2312" w:eastAsia="仿宋_GB2312" w:cs="仿宋_GB2312"/>
          <w:sz w:val="28"/>
          <w:szCs w:val="28"/>
        </w:rPr>
      </w:pPr>
      <w:bookmarkStart w:id="98" w:name="_Toc15396628"/>
      <w:bookmarkStart w:id="99" w:name="_Toc31889"/>
      <w:r>
        <w:rPr>
          <w:rStyle w:val="29"/>
          <w:rFonts w:hint="eastAsia" w:ascii="仿宋_GB2312" w:hAnsi="仿宋_GB2312" w:eastAsia="仿宋_GB2312" w:cs="仿宋_GB2312"/>
          <w:b w:val="0"/>
          <w:bCs w:val="0"/>
          <w:sz w:val="28"/>
          <w:szCs w:val="28"/>
        </w:rPr>
        <w:t>十、</w:t>
      </w:r>
      <w:bookmarkEnd w:id="98"/>
      <w:r>
        <w:rPr>
          <w:rFonts w:hint="eastAsia" w:ascii="仿宋_GB2312" w:hAnsi="仿宋_GB2312" w:eastAsia="仿宋_GB2312" w:cs="仿宋_GB2312"/>
          <w:b w:val="0"/>
          <w:sz w:val="28"/>
          <w:szCs w:val="28"/>
        </w:rPr>
        <w:t>政</w:t>
      </w:r>
      <w:r>
        <w:rPr>
          <w:rStyle w:val="29"/>
          <w:rFonts w:hint="eastAsia" w:ascii="仿宋_GB2312" w:hAnsi="仿宋_GB2312" w:eastAsia="仿宋_GB2312" w:cs="仿宋_GB2312"/>
          <w:b w:val="0"/>
          <w:bCs w:val="0"/>
          <w:sz w:val="28"/>
          <w:szCs w:val="28"/>
        </w:rPr>
        <w:t>府性基金预算财政拨款收入支出决算表</w:t>
      </w:r>
      <w:bookmarkEnd w:id="99"/>
    </w:p>
    <w:p>
      <w:pPr>
        <w:pStyle w:val="5"/>
        <w:rPr>
          <w:rFonts w:hint="eastAsia" w:ascii="仿宋_GB2312" w:hAnsi="仿宋_GB2312" w:eastAsia="仿宋_GB2312" w:cs="仿宋_GB2312"/>
          <w:sz w:val="28"/>
          <w:szCs w:val="28"/>
        </w:rPr>
      </w:pPr>
      <w:bookmarkStart w:id="100" w:name="_Toc15396629"/>
      <w:bookmarkStart w:id="101" w:name="_Toc858"/>
      <w:r>
        <w:rPr>
          <w:rStyle w:val="29"/>
          <w:rFonts w:hint="eastAsia" w:ascii="仿宋_GB2312" w:hAnsi="仿宋_GB2312" w:eastAsia="仿宋_GB2312" w:cs="仿宋_GB2312"/>
          <w:b w:val="0"/>
          <w:bCs w:val="0"/>
          <w:sz w:val="28"/>
          <w:szCs w:val="28"/>
        </w:rPr>
        <w:t>十一、</w:t>
      </w:r>
      <w:bookmarkEnd w:id="100"/>
      <w:r>
        <w:rPr>
          <w:rFonts w:hint="eastAsia" w:ascii="仿宋_GB2312" w:hAnsi="仿宋_GB2312" w:eastAsia="仿宋_GB2312" w:cs="仿宋_GB2312"/>
          <w:b w:val="0"/>
          <w:sz w:val="28"/>
          <w:szCs w:val="28"/>
        </w:rPr>
        <w:t>国</w:t>
      </w:r>
      <w:r>
        <w:rPr>
          <w:rStyle w:val="29"/>
          <w:rFonts w:hint="eastAsia" w:ascii="仿宋_GB2312" w:hAnsi="仿宋_GB2312" w:eastAsia="仿宋_GB2312" w:cs="仿宋_GB2312"/>
          <w:b w:val="0"/>
          <w:bCs w:val="0"/>
          <w:sz w:val="28"/>
          <w:szCs w:val="28"/>
        </w:rPr>
        <w:t>有资本经营预算财政拨款收入支出决算表</w:t>
      </w:r>
      <w:bookmarkEnd w:id="101"/>
    </w:p>
    <w:p>
      <w:pPr>
        <w:pStyle w:val="5"/>
        <w:rPr>
          <w:rFonts w:hint="eastAsia" w:ascii="仿宋_GB2312" w:hAnsi="仿宋_GB2312" w:eastAsia="仿宋_GB2312" w:cs="仿宋_GB2312"/>
          <w:sz w:val="28"/>
          <w:szCs w:val="28"/>
        </w:rPr>
      </w:pPr>
      <w:bookmarkStart w:id="102" w:name="_Toc15396630"/>
      <w:bookmarkStart w:id="103" w:name="_Toc22244"/>
      <w:r>
        <w:rPr>
          <w:rStyle w:val="29"/>
          <w:rFonts w:hint="eastAsia" w:ascii="仿宋_GB2312" w:hAnsi="仿宋_GB2312" w:eastAsia="仿宋_GB2312" w:cs="仿宋_GB2312"/>
          <w:b w:val="0"/>
          <w:bCs w:val="0"/>
          <w:sz w:val="28"/>
          <w:szCs w:val="28"/>
        </w:rPr>
        <w:t>十二、</w:t>
      </w:r>
      <w:bookmarkEnd w:id="102"/>
      <w:r>
        <w:rPr>
          <w:rStyle w:val="29"/>
          <w:rFonts w:hint="eastAsia" w:ascii="仿宋_GB2312" w:hAnsi="仿宋_GB2312" w:eastAsia="仿宋_GB2312" w:cs="仿宋_GB2312"/>
          <w:b w:val="0"/>
          <w:bCs w:val="0"/>
          <w:sz w:val="28"/>
          <w:szCs w:val="28"/>
        </w:rPr>
        <w:t>国有资本经营预算财政拨款支出决算表</w:t>
      </w:r>
      <w:bookmarkEnd w:id="103"/>
    </w:p>
    <w:p>
      <w:pPr>
        <w:pStyle w:val="5"/>
        <w:rPr>
          <w:rStyle w:val="29"/>
          <w:rFonts w:hint="eastAsia" w:ascii="仿宋_GB2312" w:hAnsi="仿宋_GB2312" w:eastAsia="仿宋_GB2312" w:cs="仿宋_GB2312"/>
          <w:b w:val="0"/>
          <w:bCs w:val="0"/>
          <w:sz w:val="28"/>
          <w:szCs w:val="28"/>
        </w:rPr>
      </w:pPr>
      <w:bookmarkStart w:id="104" w:name="_Toc15396631"/>
      <w:bookmarkStart w:id="105" w:name="_Toc6791"/>
      <w:r>
        <w:rPr>
          <w:rStyle w:val="29"/>
          <w:rFonts w:hint="eastAsia" w:ascii="仿宋_GB2312" w:hAnsi="仿宋_GB2312" w:eastAsia="仿宋_GB2312" w:cs="仿宋_GB2312"/>
          <w:b w:val="0"/>
          <w:bCs w:val="0"/>
          <w:sz w:val="28"/>
          <w:szCs w:val="28"/>
        </w:rPr>
        <w:t>十三、</w:t>
      </w:r>
      <w:bookmarkEnd w:id="104"/>
      <w:r>
        <w:rPr>
          <w:rStyle w:val="29"/>
          <w:rFonts w:hint="eastAsia" w:ascii="仿宋_GB2312" w:hAnsi="仿宋_GB2312" w:eastAsia="仿宋_GB2312" w:cs="仿宋_GB2312"/>
          <w:b w:val="0"/>
          <w:bCs w:val="0"/>
          <w:sz w:val="28"/>
          <w:szCs w:val="28"/>
        </w:rPr>
        <w:t>财政拨款“三公”经费支出决算表</w:t>
      </w:r>
      <w:bookmarkEnd w:id="105"/>
    </w:p>
    <w:p>
      <w:pPr>
        <w:rPr>
          <w:rFonts w:hint="eastAsia" w:ascii="仿宋_GB2312" w:hAnsi="仿宋_GB2312" w:eastAsia="仿宋_GB2312" w:cs="仿宋_GB2312"/>
          <w:sz w:val="28"/>
          <w:szCs w:val="28"/>
        </w:rPr>
      </w:pPr>
      <w:r>
        <w:rPr>
          <w:rStyle w:val="36"/>
          <w:rFonts w:hint="eastAsia" w:ascii="仿宋_GB2312" w:hAnsi="仿宋_GB2312" w:eastAsia="仿宋_GB2312" w:cs="仿宋_GB2312"/>
          <w:b w:val="0"/>
          <w:bCs w:val="0"/>
          <w:color w:val="auto"/>
          <w:sz w:val="28"/>
          <w:szCs w:val="28"/>
          <w:highlight w:val="none"/>
          <w:lang w:eastAsia="zh-CN"/>
        </w:rPr>
        <w:t>注：以上附表详见《</w:t>
      </w:r>
      <w:r>
        <w:rPr>
          <w:rStyle w:val="37"/>
          <w:rFonts w:hint="eastAsia" w:ascii="仿宋_GB2312" w:hAnsi="仿宋_GB2312" w:eastAsia="仿宋_GB2312" w:cs="仿宋_GB2312"/>
          <w:b w:val="0"/>
          <w:bCs/>
          <w:color w:val="auto"/>
          <w:sz w:val="28"/>
          <w:szCs w:val="28"/>
          <w:highlight w:val="none"/>
          <w:lang w:eastAsia="zh-CN"/>
        </w:rPr>
        <w:t>乐山市五通桥区科技开发服务中心</w:t>
      </w:r>
      <w:r>
        <w:rPr>
          <w:rStyle w:val="36"/>
          <w:rFonts w:hint="eastAsia" w:ascii="仿宋_GB2312" w:hAnsi="仿宋_GB2312" w:eastAsia="仿宋_GB2312" w:cs="仿宋_GB2312"/>
          <w:b w:val="0"/>
          <w:bCs w:val="0"/>
          <w:color w:val="auto"/>
          <w:sz w:val="28"/>
          <w:szCs w:val="28"/>
          <w:highlight w:val="none"/>
          <w:lang w:eastAsia="zh-CN"/>
        </w:rPr>
        <w:t>20</w:t>
      </w:r>
      <w:r>
        <w:rPr>
          <w:rStyle w:val="36"/>
          <w:rFonts w:hint="eastAsia" w:ascii="仿宋_GB2312" w:hAnsi="仿宋_GB2312" w:eastAsia="仿宋_GB2312" w:cs="仿宋_GB2312"/>
          <w:b w:val="0"/>
          <w:bCs w:val="0"/>
          <w:color w:val="auto"/>
          <w:sz w:val="28"/>
          <w:szCs w:val="28"/>
          <w:highlight w:val="none"/>
          <w:lang w:val="en-US" w:eastAsia="zh-CN"/>
        </w:rPr>
        <w:t>24</w:t>
      </w:r>
      <w:r>
        <w:rPr>
          <w:rStyle w:val="36"/>
          <w:rFonts w:hint="eastAsia" w:ascii="仿宋_GB2312" w:hAnsi="仿宋_GB2312" w:eastAsia="仿宋_GB2312" w:cs="仿宋_GB2312"/>
          <w:b w:val="0"/>
          <w:bCs w:val="0"/>
          <w:color w:val="auto"/>
          <w:sz w:val="28"/>
          <w:szCs w:val="28"/>
          <w:highlight w:val="none"/>
          <w:lang w:eastAsia="zh-CN"/>
        </w:rPr>
        <w:t>年</w:t>
      </w:r>
      <w:r>
        <w:rPr>
          <w:rStyle w:val="36"/>
          <w:rFonts w:hint="eastAsia" w:ascii="仿宋_GB2312" w:hAnsi="仿宋_GB2312" w:eastAsia="仿宋_GB2312" w:cs="仿宋_GB2312"/>
          <w:b w:val="0"/>
          <w:bCs w:val="0"/>
          <w:color w:val="auto"/>
          <w:sz w:val="28"/>
          <w:szCs w:val="28"/>
          <w:highlight w:val="none"/>
          <w:lang w:val="en-US" w:eastAsia="zh-CN"/>
        </w:rPr>
        <w:t>单位</w:t>
      </w:r>
      <w:r>
        <w:rPr>
          <w:rStyle w:val="36"/>
          <w:rFonts w:hint="eastAsia" w:ascii="仿宋_GB2312" w:hAnsi="仿宋_GB2312" w:eastAsia="仿宋_GB2312" w:cs="仿宋_GB2312"/>
          <w:b w:val="0"/>
          <w:bCs w:val="0"/>
          <w:color w:val="auto"/>
          <w:sz w:val="28"/>
          <w:szCs w:val="28"/>
          <w:highlight w:val="none"/>
          <w:lang w:eastAsia="zh-CN"/>
        </w:rPr>
        <w:t>决算公开表》</w:t>
      </w:r>
    </w:p>
    <w:sectPr>
      <w:footerReference r:id="rId9"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147475914"/>
                          </w:sdtPr>
                          <w:sdtEndPr>
                            <w:rPr>
                              <w:rFonts w:hint="eastAsia" w:ascii="宋体" w:hAnsi="宋体" w:eastAsia="宋体" w:cs="宋体"/>
                              <w:sz w:val="28"/>
                              <w:szCs w:val="28"/>
                            </w:rPr>
                          </w:sdtEndPr>
                          <w:sdtContent>
                            <w:p>
                              <w:pPr>
                                <w:pStyle w:val="1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i4dkMgIAAGE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PWLh2QyAgAAYQQAAA4AAAAAAAAAAQAgAAAA&#10;NQEAAGRycy9lMm9Eb2MueG1sUEsFBgAAAAAGAAYAWQEAANkFA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47475914"/>
                    </w:sdtPr>
                    <w:sdtEndPr>
                      <w:rPr>
                        <w:rFonts w:hint="eastAsia" w:ascii="宋体" w:hAnsi="宋体" w:eastAsia="宋体" w:cs="宋体"/>
                        <w:sz w:val="28"/>
                        <w:szCs w:val="28"/>
                      </w:rPr>
                    </w:sdtEndPr>
                    <w:sdtContent>
                      <w:p>
                        <w:pPr>
                          <w:pStyle w:val="10"/>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pPr>
                  </w:p>
                </w:txbxContent>
              </v:textbox>
            </v:shape>
          </w:pict>
        </mc:Fallback>
      </mc:AlternateContent>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646CFD"/>
    <w:rsid w:val="03DC2831"/>
    <w:rsid w:val="081B5E94"/>
    <w:rsid w:val="0A2032A3"/>
    <w:rsid w:val="0B8A37D8"/>
    <w:rsid w:val="0D994588"/>
    <w:rsid w:val="0F5FFB2F"/>
    <w:rsid w:val="0FFFCF60"/>
    <w:rsid w:val="10A91F3D"/>
    <w:rsid w:val="10C055FF"/>
    <w:rsid w:val="118107EC"/>
    <w:rsid w:val="11DD6519"/>
    <w:rsid w:val="13AC26A5"/>
    <w:rsid w:val="16BB723D"/>
    <w:rsid w:val="18015F3F"/>
    <w:rsid w:val="1B792117"/>
    <w:rsid w:val="1BDF5D88"/>
    <w:rsid w:val="1BE8440E"/>
    <w:rsid w:val="1D155CEE"/>
    <w:rsid w:val="1FDBBF84"/>
    <w:rsid w:val="20F57F95"/>
    <w:rsid w:val="240371BF"/>
    <w:rsid w:val="25711CC6"/>
    <w:rsid w:val="25C741E6"/>
    <w:rsid w:val="26841416"/>
    <w:rsid w:val="276F80C0"/>
    <w:rsid w:val="27842671"/>
    <w:rsid w:val="29FD04D3"/>
    <w:rsid w:val="2ABE7A3E"/>
    <w:rsid w:val="2AFF09B6"/>
    <w:rsid w:val="2C0635BA"/>
    <w:rsid w:val="2CA234A8"/>
    <w:rsid w:val="2EFA178C"/>
    <w:rsid w:val="2EFDF86C"/>
    <w:rsid w:val="2F931AC4"/>
    <w:rsid w:val="2F9D17E1"/>
    <w:rsid w:val="30B46D73"/>
    <w:rsid w:val="319F7F4E"/>
    <w:rsid w:val="356A28F1"/>
    <w:rsid w:val="357C035A"/>
    <w:rsid w:val="368E000D"/>
    <w:rsid w:val="36BB65A0"/>
    <w:rsid w:val="383D272C"/>
    <w:rsid w:val="39AE70AB"/>
    <w:rsid w:val="3A4DCE41"/>
    <w:rsid w:val="3BCB56FA"/>
    <w:rsid w:val="3BF829E8"/>
    <w:rsid w:val="3C0C0783"/>
    <w:rsid w:val="3CBF3F18"/>
    <w:rsid w:val="3EE7C2F4"/>
    <w:rsid w:val="3F371B56"/>
    <w:rsid w:val="3F792ED8"/>
    <w:rsid w:val="3F9F3A96"/>
    <w:rsid w:val="3FECA4B2"/>
    <w:rsid w:val="3FF58C48"/>
    <w:rsid w:val="42FF6694"/>
    <w:rsid w:val="48BF60AB"/>
    <w:rsid w:val="493C27E9"/>
    <w:rsid w:val="496F39ED"/>
    <w:rsid w:val="49FF41D3"/>
    <w:rsid w:val="4BE068DB"/>
    <w:rsid w:val="4BF6002B"/>
    <w:rsid w:val="4BFFC6BE"/>
    <w:rsid w:val="4ECE2238"/>
    <w:rsid w:val="4FD775FE"/>
    <w:rsid w:val="51DB4B86"/>
    <w:rsid w:val="51F64DB0"/>
    <w:rsid w:val="55333C3E"/>
    <w:rsid w:val="5889612A"/>
    <w:rsid w:val="5D851A7E"/>
    <w:rsid w:val="5E0746F5"/>
    <w:rsid w:val="5F67802D"/>
    <w:rsid w:val="5F7DC4F2"/>
    <w:rsid w:val="5FB36814"/>
    <w:rsid w:val="5FBB8E56"/>
    <w:rsid w:val="5FFB5535"/>
    <w:rsid w:val="64CA39A1"/>
    <w:rsid w:val="69630ADE"/>
    <w:rsid w:val="699D23D7"/>
    <w:rsid w:val="69BD5F13"/>
    <w:rsid w:val="69FB0B4B"/>
    <w:rsid w:val="6BFFE1FB"/>
    <w:rsid w:val="6C4A05C8"/>
    <w:rsid w:val="6D3B1A89"/>
    <w:rsid w:val="6DB7D8A3"/>
    <w:rsid w:val="6EC78701"/>
    <w:rsid w:val="6F7A5481"/>
    <w:rsid w:val="6FFE07A9"/>
    <w:rsid w:val="71BF4EC2"/>
    <w:rsid w:val="72270D50"/>
    <w:rsid w:val="72734D90"/>
    <w:rsid w:val="72E807F1"/>
    <w:rsid w:val="73E75B71"/>
    <w:rsid w:val="7412278C"/>
    <w:rsid w:val="75DDCDA9"/>
    <w:rsid w:val="75FF44B1"/>
    <w:rsid w:val="77670518"/>
    <w:rsid w:val="777FA627"/>
    <w:rsid w:val="77B4AA9B"/>
    <w:rsid w:val="77DF1B5F"/>
    <w:rsid w:val="77EF2D9D"/>
    <w:rsid w:val="78D90A08"/>
    <w:rsid w:val="79E7B28D"/>
    <w:rsid w:val="7A113AD1"/>
    <w:rsid w:val="7ACFF0C2"/>
    <w:rsid w:val="7AFB9108"/>
    <w:rsid w:val="7BD5340C"/>
    <w:rsid w:val="7BFB19D2"/>
    <w:rsid w:val="7BFD1750"/>
    <w:rsid w:val="7BFDAA1B"/>
    <w:rsid w:val="7C0C1B1D"/>
    <w:rsid w:val="7CDF9A82"/>
    <w:rsid w:val="7CFFA1BD"/>
    <w:rsid w:val="7D2E3F7A"/>
    <w:rsid w:val="7DED9490"/>
    <w:rsid w:val="7DFF4872"/>
    <w:rsid w:val="7E2929E7"/>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BFFF82B6"/>
    <w:rsid w:val="CD9BBABB"/>
    <w:rsid w:val="CF99F292"/>
    <w:rsid w:val="CF9F3403"/>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DFBC3D"/>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7"/>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qFormat/>
    <w:uiPriority w:val="0"/>
    <w:pPr>
      <w:spacing w:after="120"/>
      <w:ind w:left="200" w:leftChars="200"/>
    </w:pPr>
    <w:rPr>
      <w:rFonts w:ascii="仿宋_GB2312"/>
      <w:szCs w:val="32"/>
    </w:rPr>
  </w:style>
  <w:style w:type="paragraph" w:styleId="7">
    <w:name w:val="Body Text"/>
    <w:basedOn w:val="1"/>
    <w:link w:val="25"/>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able of figures"/>
    <w:basedOn w:val="1"/>
    <w:next w:val="1"/>
    <w:qFormat/>
    <w:uiPriority w:val="99"/>
    <w:pPr>
      <w:ind w:left="200" w:leftChars="200" w:hanging="200" w:hangingChars="200"/>
    </w:p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7"/>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4"/>
    <w:qFormat/>
    <w:uiPriority w:val="9"/>
    <w:rPr>
      <w:rFonts w:ascii="Times New Roman" w:hAnsi="Times New Roman"/>
      <w:b/>
      <w:bCs/>
      <w:kern w:val="44"/>
      <w:sz w:val="44"/>
      <w:szCs w:val="44"/>
    </w:rPr>
  </w:style>
  <w:style w:type="character" w:customStyle="1" w:styleId="29">
    <w:name w:val="标题 2 字符"/>
    <w:basedOn w:val="16"/>
    <w:link w:val="5"/>
    <w:qFormat/>
    <w:uiPriority w:val="9"/>
    <w:rPr>
      <w:rFonts w:asciiTheme="majorHAnsi" w:hAnsiTheme="majorHAnsi" w:eastAsiaTheme="majorEastAsia" w:cstheme="majorBidi"/>
      <w:b/>
      <w:bCs/>
      <w:kern w:val="2"/>
      <w:sz w:val="32"/>
      <w:szCs w:val="32"/>
    </w:rPr>
  </w:style>
  <w:style w:type="paragraph" w:customStyle="1" w:styleId="30">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9"/>
    <w:semiHidden/>
    <w:qFormat/>
    <w:uiPriority w:val="99"/>
    <w:rPr>
      <w:rFonts w:ascii="Times New Roman" w:hAnsi="Times New Roman"/>
      <w:kern w:val="2"/>
      <w:sz w:val="18"/>
      <w:szCs w:val="18"/>
    </w:rPr>
  </w:style>
  <w:style w:type="character" w:customStyle="1" w:styleId="32">
    <w:name w:val="标题 3 字符"/>
    <w:basedOn w:val="16"/>
    <w:link w:val="6"/>
    <w:qFormat/>
    <w:uiPriority w:val="9"/>
    <w:rPr>
      <w:rFonts w:ascii="Times New Roman" w:hAnsi="Times New Roman"/>
      <w:b/>
      <w:bCs/>
      <w:kern w:val="2"/>
      <w:sz w:val="32"/>
      <w:szCs w:val="32"/>
    </w:rPr>
  </w:style>
  <w:style w:type="paragraph" w:customStyle="1" w:styleId="33">
    <w:name w:val="TOC 标题2"/>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WPSOffice手动目录 1"/>
    <w:qFormat/>
    <w:uiPriority w:val="0"/>
    <w:pPr>
      <w:ind w:leftChars="0"/>
    </w:pPr>
    <w:rPr>
      <w:rFonts w:asciiTheme="minorHAnsi" w:hAnsiTheme="minorHAnsi" w:eastAsiaTheme="minorEastAsia" w:cstheme="minorBidi"/>
      <w:sz w:val="20"/>
      <w:szCs w:val="20"/>
    </w:rPr>
  </w:style>
  <w:style w:type="paragraph" w:customStyle="1" w:styleId="35">
    <w:name w:val="WPSOffice手动目录 2"/>
    <w:qFormat/>
    <w:uiPriority w:val="0"/>
    <w:pPr>
      <w:ind w:leftChars="200"/>
    </w:pPr>
    <w:rPr>
      <w:rFonts w:asciiTheme="minorHAnsi" w:hAnsiTheme="minorHAnsi" w:eastAsiaTheme="minorEastAsia" w:cstheme="minorBidi"/>
      <w:sz w:val="20"/>
      <w:szCs w:val="20"/>
    </w:rPr>
  </w:style>
  <w:style w:type="character" w:customStyle="1" w:styleId="36">
    <w:name w:val="标题 2 Char"/>
    <w:basedOn w:val="16"/>
    <w:link w:val="5"/>
    <w:qFormat/>
    <w:uiPriority w:val="9"/>
    <w:rPr>
      <w:rFonts w:ascii="Calibri Light" w:hAnsi="Calibri Light" w:eastAsia="宋体" w:cs="Times New Roman"/>
      <w:b/>
      <w:bCs/>
      <w:sz w:val="32"/>
      <w:szCs w:val="32"/>
    </w:rPr>
  </w:style>
  <w:style w:type="character" w:customStyle="1" w:styleId="37">
    <w:name w:val="标题 1 Char"/>
    <w:basedOn w:val="16"/>
    <w:link w:val="4"/>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32</Pages>
  <Words>10657</Words>
  <Characters>12540</Characters>
  <Lines>54</Lines>
  <Paragraphs>15</Paragraphs>
  <TotalTime>15</TotalTime>
  <ScaleCrop>false</ScaleCrop>
  <LinksUpToDate>false</LinksUpToDate>
  <CharactersWithSpaces>12857</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fgj4</cp:lastModifiedBy>
  <cp:lastPrinted>2025-10-29T09:57:07Z</cp:lastPrinted>
  <dcterms:modified xsi:type="dcterms:W3CDTF">2025-10-29T09:57:57Z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24DED99585A2476DAB6DA9E2E3A2608F_12</vt:lpwstr>
  </property>
</Properties>
</file>