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4FF07">
      <w:pPr>
        <w:pStyle w:val="2"/>
        <w:jc w:val="both"/>
        <w:rPr>
          <w:rFonts w:hint="eastAsia" w:ascii="Times New Roman" w:hAnsi="Times New Roman" w:eastAsia="方正小标宋简体" w:cs="Times New Roman"/>
          <w:color w:val="auto"/>
          <w:kern w:val="2"/>
          <w:sz w:val="44"/>
          <w:szCs w:val="44"/>
          <w:highlight w:val="none"/>
          <w:lang w:val="en-US" w:eastAsia="zh-CN" w:bidi="ar-SA"/>
        </w:rPr>
      </w:pPr>
      <w:bookmarkStart w:id="0" w:name="_Toc15396597"/>
      <w:bookmarkStart w:id="1" w:name="_Toc15396475"/>
      <w:bookmarkStart w:id="2" w:name="_Toc15377425"/>
      <w:bookmarkStart w:id="3" w:name="_Toc15378441"/>
      <w:bookmarkStart w:id="4" w:name="_Toc15377193"/>
      <w:bookmarkStart w:id="5" w:name="_Toc15306267"/>
    </w:p>
    <w:bookmarkEnd w:id="0"/>
    <w:bookmarkEnd w:id="1"/>
    <w:bookmarkEnd w:id="2"/>
    <w:bookmarkEnd w:id="3"/>
    <w:bookmarkEnd w:id="4"/>
    <w:p w14:paraId="7A5B819D">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96598"/>
      <w:bookmarkStart w:id="7" w:name="_Toc15378442"/>
      <w:bookmarkStart w:id="8" w:name="_Toc15377426"/>
      <w:bookmarkStart w:id="9" w:name="_Toc15396476"/>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w:t>
      </w:r>
    </w:p>
    <w:p w14:paraId="6EA2E490">
      <w:pPr>
        <w:pStyle w:val="2"/>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五通桥区</w:t>
      </w:r>
    </w:p>
    <w:p w14:paraId="7817607C">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中小企业服务中心单位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r>
        <w:rPr>
          <w:rFonts w:hint="eastAsia" w:ascii="Times New Roman" w:eastAsia="方正小标宋简体" w:cs="Times New Roman"/>
          <w:color w:val="auto"/>
          <w:kern w:val="2"/>
          <w:sz w:val="44"/>
          <w:szCs w:val="44"/>
          <w:highlight w:val="none"/>
          <w:lang w:val="en-US" w:eastAsia="zh-CN" w:bidi="ar-SA"/>
        </w:rPr>
        <w:t>公开</w:t>
      </w:r>
    </w:p>
    <w:p w14:paraId="3D8085D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left"/>
        <w:textAlignment w:val="auto"/>
        <w:rPr>
          <w:rFonts w:hint="eastAsia" w:ascii="Times New Roman" w:hAnsi="Times New Roman" w:eastAsia="仿宋_GB2312" w:cs="仿宋_GB2312"/>
          <w:b/>
          <w:color w:val="auto"/>
          <w:sz w:val="32"/>
          <w:szCs w:val="32"/>
          <w:highlight w:val="none"/>
        </w:rPr>
      </w:pPr>
      <w:bookmarkStart w:id="12" w:name="_Toc15396599"/>
      <w:bookmarkStart w:id="13" w:name="_Toc15377196"/>
      <w:r>
        <w:rPr>
          <w:rFonts w:hint="eastAsia" w:ascii="Times New Roman" w:hAnsi="Times New Roman" w:eastAsia="仿宋_GB2312" w:cs="仿宋_GB2312"/>
          <w:b/>
          <w:color w:val="auto"/>
          <w:sz w:val="32"/>
          <w:szCs w:val="32"/>
          <w:highlight w:val="none"/>
        </w:rPr>
        <w:br w:type="page"/>
      </w:r>
    </w:p>
    <w:sdt>
      <w:sdtPr>
        <w:rPr>
          <w:rFonts w:ascii="宋体" w:hAnsi="宋体" w:eastAsia="宋体" w:cs="Times New Roman"/>
          <w:kern w:val="2"/>
          <w:sz w:val="21"/>
          <w:szCs w:val="24"/>
          <w:lang w:val="en-US" w:eastAsia="zh-CN" w:bidi="ar-SA"/>
        </w:rPr>
        <w:id w:val="147452725"/>
        <w15:color w:val="DBDBDB"/>
        <w:docPartObj>
          <w:docPartGallery w:val="Table of Contents"/>
          <w:docPartUnique/>
        </w:docPartObj>
      </w:sdtPr>
      <w:sdtEndPr>
        <w:rPr>
          <w:rFonts w:hint="eastAsia" w:ascii="仿宋_GB2312" w:hAnsi="Times New Roman" w:eastAsia="仿宋_GB2312" w:cs="Times New Roman"/>
          <w:kern w:val="0"/>
          <w:sz w:val="30"/>
          <w:szCs w:val="24"/>
          <w:lang w:val="en-US" w:eastAsia="zh-CN" w:bidi="ar-SA"/>
        </w:rPr>
      </w:sdtEndPr>
      <w:sdtContent>
        <w:p w14:paraId="5E13108D">
          <w:pPr>
            <w:spacing w:before="0" w:beforeLines="0" w:after="0" w:afterLines="0" w:line="240" w:lineRule="auto"/>
            <w:ind w:left="0" w:leftChars="0" w:right="0" w:rightChars="0" w:firstLine="0" w:firstLineChars="0"/>
            <w:jc w:val="center"/>
          </w:pPr>
          <w:r>
            <w:rPr>
              <w:rFonts w:ascii="宋体" w:hAnsi="宋体" w:eastAsia="宋体"/>
              <w:sz w:val="21"/>
            </w:rPr>
            <w:t>目录</w:t>
          </w:r>
        </w:p>
        <w:p w14:paraId="41D69F45">
          <w:pPr>
            <w:pStyle w:val="12"/>
            <w:tabs>
              <w:tab w:val="right" w:leader="dot" w:pos="8306"/>
              <w:tab w:val="clear" w:pos="8296"/>
            </w:tabs>
            <w:rPr>
              <w:rFonts w:hint="eastAsia" w:ascii="黑体" w:hAnsi="黑体" w:eastAsia="黑体" w:cs="黑体"/>
            </w:rPr>
          </w:pPr>
          <w:r>
            <w:rPr>
              <w:rFonts w:hint="eastAsia"/>
            </w:rPr>
            <w:fldChar w:fldCharType="begin"/>
          </w:r>
          <w:r>
            <w:rPr>
              <w:rFonts w:hint="eastAsia"/>
            </w:rPr>
            <w:instrText xml:space="preserve">TOC \o "1-3" \h \u </w:instrText>
          </w:r>
          <w:r>
            <w:rPr>
              <w:rFonts w:hint="eastAsia"/>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_Toc26141 </w:instrText>
          </w:r>
          <w:r>
            <w:rPr>
              <w:rFonts w:hint="eastAsia" w:ascii="黑体" w:hAnsi="黑体" w:eastAsia="黑体" w:cs="黑体"/>
            </w:rPr>
            <w:fldChar w:fldCharType="separate"/>
          </w:r>
          <w:r>
            <w:rPr>
              <w:rFonts w:hint="eastAsia" w:ascii="黑体" w:hAnsi="黑体" w:eastAsia="黑体" w:cs="黑体"/>
              <w:highlight w:val="none"/>
            </w:rPr>
            <w:t>第一部分</w:t>
          </w:r>
          <w:r>
            <w:rPr>
              <w:rFonts w:hint="eastAsia" w:ascii="黑体" w:hAnsi="黑体" w:eastAsia="黑体" w:cs="黑体"/>
              <w:highlight w:val="none"/>
              <w:lang w:val="en-US" w:eastAsia="zh-CN"/>
            </w:rPr>
            <w:t xml:space="preserve"> </w:t>
          </w:r>
          <w:r>
            <w:rPr>
              <w:rFonts w:hint="eastAsia" w:ascii="黑体" w:hAnsi="黑体" w:eastAsia="黑体" w:cs="黑体"/>
              <w:highlight w:val="none"/>
            </w:rPr>
            <w:t xml:space="preserve"> </w:t>
          </w:r>
          <w:r>
            <w:rPr>
              <w:rFonts w:hint="eastAsia" w:ascii="黑体" w:hAnsi="黑体" w:eastAsia="黑体" w:cs="黑体"/>
              <w:bCs w:val="0"/>
              <w:highlight w:val="none"/>
            </w:rPr>
            <w:t>部门概况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_Toc26141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1837CB1D">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_Toc13329 </w:instrText>
          </w:r>
          <w:r>
            <w:rPr>
              <w:rFonts w:hint="eastAsia" w:ascii="黑体" w:hAnsi="黑体" w:eastAsia="黑体" w:cs="黑体"/>
            </w:rPr>
            <w:fldChar w:fldCharType="separate"/>
          </w:r>
          <w:r>
            <w:rPr>
              <w:rFonts w:hint="eastAsia" w:ascii="黑体" w:hAnsi="黑体" w:eastAsia="黑体" w:cs="黑体"/>
              <w:highlight w:val="none"/>
            </w:rPr>
            <w:t>一、</w:t>
          </w:r>
          <w:r>
            <w:rPr>
              <w:rFonts w:hint="eastAsia" w:ascii="黑体" w:hAnsi="黑体" w:eastAsia="黑体" w:cs="黑体"/>
              <w:highlight w:val="none"/>
              <w:lang w:eastAsia="zh-CN"/>
            </w:rPr>
            <w:t>部门职责</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_Toc13329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5A9F4FFC">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_Toc19787 </w:instrText>
          </w:r>
          <w:r>
            <w:rPr>
              <w:rFonts w:hint="eastAsia" w:ascii="黑体" w:hAnsi="黑体" w:eastAsia="黑体" w:cs="黑体"/>
            </w:rPr>
            <w:fldChar w:fldCharType="separate"/>
          </w:r>
          <w:r>
            <w:rPr>
              <w:rFonts w:hint="eastAsia" w:ascii="黑体" w:hAnsi="黑体" w:eastAsia="黑体" w:cs="黑体"/>
              <w:highlight w:val="none"/>
            </w:rPr>
            <w:t>二、机</w:t>
          </w:r>
          <w:r>
            <w:rPr>
              <w:rFonts w:hint="eastAsia" w:ascii="黑体" w:hAnsi="黑体" w:eastAsia="黑体" w:cs="黑体"/>
              <w:bCs w:val="0"/>
              <w:highlight w:val="none"/>
            </w:rPr>
            <w:t>构设置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_Toc19787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3C15EF2">
          <w:pPr>
            <w:pStyle w:val="12"/>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_Toc11212 </w:instrText>
          </w:r>
          <w:r>
            <w:rPr>
              <w:rFonts w:hint="eastAsia" w:ascii="黑体" w:hAnsi="黑体" w:eastAsia="黑体" w:cs="黑体"/>
            </w:rPr>
            <w:fldChar w:fldCharType="separate"/>
          </w:r>
          <w:r>
            <w:rPr>
              <w:rFonts w:hint="eastAsia" w:ascii="黑体" w:hAnsi="黑体" w:eastAsia="黑体" w:cs="黑体"/>
              <w:highlight w:val="none"/>
            </w:rPr>
            <w:t>第二部分</w:t>
          </w:r>
          <w:r>
            <w:rPr>
              <w:rFonts w:hint="eastAsia" w:ascii="黑体" w:hAnsi="黑体" w:eastAsia="黑体" w:cs="黑体"/>
              <w:highlight w:val="none"/>
              <w:lang w:val="en-US" w:eastAsia="zh-CN"/>
            </w:rPr>
            <w:t xml:space="preserve"> </w:t>
          </w:r>
          <w:r>
            <w:rPr>
              <w:rFonts w:hint="eastAsia" w:ascii="黑体" w:hAnsi="黑体" w:eastAsia="黑体" w:cs="黑体"/>
              <w:highlight w:val="none"/>
            </w:rPr>
            <w:t xml:space="preserve"> </w:t>
          </w:r>
          <w:r>
            <w:rPr>
              <w:rFonts w:hint="eastAsia" w:ascii="黑体" w:hAnsi="黑体" w:eastAsia="黑体" w:cs="黑体"/>
              <w:highlight w:val="none"/>
              <w:lang w:val="en-US" w:eastAsia="zh-CN"/>
            </w:rPr>
            <w:t>2024年度</w:t>
          </w:r>
          <w:r>
            <w:rPr>
              <w:rFonts w:hint="eastAsia" w:ascii="黑体" w:hAnsi="黑体" w:eastAsia="黑体" w:cs="黑体"/>
              <w:highlight w:val="none"/>
            </w:rPr>
            <w:t>部门决算情况说明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_Toc11212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37EABA1A">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_Toc14191 </w:instrText>
          </w:r>
          <w:r>
            <w:rPr>
              <w:rFonts w:hint="eastAsia" w:ascii="黑体" w:hAnsi="黑体" w:eastAsia="黑体" w:cs="黑体"/>
            </w:rPr>
            <w:fldChar w:fldCharType="separate"/>
          </w:r>
          <w:r>
            <w:rPr>
              <w:rFonts w:hint="eastAsia" w:ascii="黑体" w:hAnsi="黑体" w:eastAsia="黑体" w:cs="黑体"/>
              <w:szCs w:val="32"/>
              <w:highlight w:val="none"/>
              <w:lang w:eastAsia="zh-CN"/>
            </w:rPr>
            <w:t>一、</w:t>
          </w:r>
          <w:r>
            <w:rPr>
              <w:rFonts w:hint="eastAsia" w:ascii="黑体" w:hAnsi="黑体" w:eastAsia="黑体" w:cs="黑体"/>
              <w:szCs w:val="32"/>
              <w:highlight w:val="none"/>
            </w:rPr>
            <w:t>收</w:t>
          </w:r>
          <w:r>
            <w:rPr>
              <w:rFonts w:hint="eastAsia" w:ascii="黑体" w:hAnsi="黑体" w:eastAsia="黑体" w:cs="黑体"/>
              <w:highlight w:val="none"/>
            </w:rPr>
            <w:t>入支出决算总体情况说明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_Toc14191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979F33B">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_Toc4363 </w:instrText>
          </w:r>
          <w:r>
            <w:rPr>
              <w:rFonts w:hint="eastAsia" w:ascii="黑体" w:hAnsi="黑体" w:eastAsia="黑体" w:cs="黑体"/>
            </w:rPr>
            <w:fldChar w:fldCharType="separate"/>
          </w:r>
          <w:r>
            <w:rPr>
              <w:rFonts w:hint="eastAsia" w:ascii="黑体" w:hAnsi="黑体" w:eastAsia="黑体" w:cs="黑体"/>
              <w:szCs w:val="32"/>
              <w:highlight w:val="none"/>
              <w:lang w:eastAsia="zh-CN"/>
            </w:rPr>
            <w:t>二、收入决算情况说明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_Toc4363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5AEEA5E2">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_Toc5367 </w:instrText>
          </w:r>
          <w:r>
            <w:rPr>
              <w:rFonts w:hint="eastAsia" w:ascii="黑体" w:hAnsi="黑体" w:eastAsia="黑体" w:cs="黑体"/>
            </w:rPr>
            <w:fldChar w:fldCharType="separate"/>
          </w:r>
          <w:r>
            <w:rPr>
              <w:rFonts w:hint="eastAsia" w:ascii="黑体" w:hAnsi="黑体" w:eastAsia="黑体" w:cs="黑体"/>
              <w:szCs w:val="32"/>
              <w:highlight w:val="none"/>
              <w:lang w:eastAsia="zh-CN"/>
            </w:rPr>
            <w:t>三、</w:t>
          </w:r>
          <w:r>
            <w:rPr>
              <w:rFonts w:hint="eastAsia" w:ascii="黑体" w:hAnsi="黑体" w:eastAsia="黑体" w:cs="黑体"/>
              <w:szCs w:val="32"/>
              <w:highlight w:val="none"/>
            </w:rPr>
            <w:t>支</w:t>
          </w:r>
          <w:r>
            <w:rPr>
              <w:rFonts w:hint="eastAsia" w:ascii="黑体" w:hAnsi="黑体" w:eastAsia="黑体" w:cs="黑体"/>
              <w:highlight w:val="none"/>
            </w:rPr>
            <w:t>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_Toc5367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6146D9E7">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_Toc12747 </w:instrText>
          </w:r>
          <w:r>
            <w:rPr>
              <w:rFonts w:hint="eastAsia" w:ascii="黑体" w:hAnsi="黑体" w:eastAsia="黑体" w:cs="黑体"/>
            </w:rPr>
            <w:fldChar w:fldCharType="separate"/>
          </w:r>
          <w:r>
            <w:rPr>
              <w:rFonts w:hint="eastAsia" w:ascii="黑体" w:hAnsi="黑体" w:eastAsia="黑体" w:cs="黑体"/>
              <w:szCs w:val="32"/>
              <w:highlight w:val="none"/>
            </w:rPr>
            <w:t>四、财</w:t>
          </w:r>
          <w:r>
            <w:rPr>
              <w:rFonts w:hint="eastAsia" w:ascii="黑体" w:hAnsi="黑体" w:eastAsia="黑体" w:cs="黑体"/>
              <w:highlight w:val="none"/>
            </w:rPr>
            <w:t>政拨款收入支出决算总体情况说明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_Toc12747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03BDD064">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_Toc30924 </w:instrText>
          </w:r>
          <w:r>
            <w:rPr>
              <w:rFonts w:hint="eastAsia" w:ascii="黑体" w:hAnsi="黑体" w:eastAsia="黑体" w:cs="黑体"/>
            </w:rPr>
            <w:fldChar w:fldCharType="separate"/>
          </w:r>
          <w:r>
            <w:rPr>
              <w:rFonts w:hint="eastAsia" w:ascii="黑体" w:hAnsi="黑体" w:eastAsia="黑体" w:cs="黑体"/>
              <w:szCs w:val="32"/>
              <w:highlight w:val="none"/>
            </w:rPr>
            <w:t>五、一</w:t>
          </w:r>
          <w:r>
            <w:rPr>
              <w:rFonts w:hint="eastAsia" w:ascii="黑体" w:hAnsi="黑体" w:eastAsia="黑体" w:cs="黑体"/>
              <w:highlight w:val="none"/>
            </w:rPr>
            <w:t>般公共预算财政拨款支出决算情况说明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_Toc30924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18ADF3F7">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_Toc12137 </w:instrText>
          </w:r>
          <w:r>
            <w:rPr>
              <w:rFonts w:hint="eastAsia" w:ascii="黑体" w:hAnsi="黑体" w:eastAsia="黑体" w:cs="黑体"/>
            </w:rPr>
            <w:fldChar w:fldCharType="separate"/>
          </w:r>
          <w:r>
            <w:rPr>
              <w:rFonts w:hint="eastAsia" w:ascii="黑体" w:hAnsi="黑体" w:eastAsia="黑体" w:cs="黑体"/>
              <w:szCs w:val="32"/>
              <w:highlight w:val="none"/>
            </w:rPr>
            <w:t>（一）一般公共预算财政拨款支出决算总体情况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_Toc12137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3138D08A">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_Toc32160 </w:instrText>
          </w:r>
          <w:r>
            <w:rPr>
              <w:rFonts w:hint="eastAsia" w:ascii="黑体" w:hAnsi="黑体" w:eastAsia="黑体" w:cs="黑体"/>
            </w:rPr>
            <w:fldChar w:fldCharType="separate"/>
          </w:r>
          <w:r>
            <w:rPr>
              <w:rFonts w:hint="eastAsia" w:ascii="黑体" w:hAnsi="黑体" w:eastAsia="黑体" w:cs="黑体"/>
              <w:szCs w:val="32"/>
              <w:highlight w:val="none"/>
            </w:rPr>
            <w:t>（二）一般公共预算财政拨款支出决算结构情况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_Toc32160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73DC84A8">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_Toc15872 </w:instrText>
          </w:r>
          <w:r>
            <w:rPr>
              <w:rFonts w:hint="eastAsia" w:ascii="黑体" w:hAnsi="黑体" w:eastAsia="黑体" w:cs="黑体"/>
            </w:rPr>
            <w:fldChar w:fldCharType="separate"/>
          </w:r>
          <w:r>
            <w:rPr>
              <w:rFonts w:hint="eastAsia" w:ascii="黑体" w:hAnsi="黑体" w:eastAsia="黑体" w:cs="黑体"/>
              <w:szCs w:val="32"/>
              <w:highlight w:val="none"/>
            </w:rPr>
            <w:t>（三）一般公共预算财政拨款支出决算具体情况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_Toc15872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rPr>
            <w:fldChar w:fldCharType="end"/>
          </w:r>
        </w:p>
        <w:p w14:paraId="39C31AD6">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_Toc14404 </w:instrText>
          </w:r>
          <w:r>
            <w:rPr>
              <w:rFonts w:hint="eastAsia" w:ascii="黑体" w:hAnsi="黑体" w:eastAsia="黑体" w:cs="黑体"/>
            </w:rPr>
            <w:fldChar w:fldCharType="separate"/>
          </w:r>
          <w:r>
            <w:rPr>
              <w:rFonts w:hint="eastAsia" w:ascii="黑体" w:hAnsi="黑体" w:eastAsia="黑体" w:cs="黑体"/>
              <w:szCs w:val="32"/>
              <w:highlight w:val="none"/>
            </w:rPr>
            <w:t>六、一</w:t>
          </w:r>
          <w:r>
            <w:rPr>
              <w:rFonts w:hint="eastAsia" w:ascii="黑体" w:hAnsi="黑体" w:eastAsia="黑体" w:cs="黑体"/>
              <w:highlight w:val="none"/>
            </w:rPr>
            <w:t>般公共预算财政拨款基本支出决算情况说明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_Toc14404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rPr>
            <w:fldChar w:fldCharType="end"/>
          </w:r>
        </w:p>
        <w:p w14:paraId="7A3C173A">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_Toc8704 </w:instrText>
          </w:r>
          <w:r>
            <w:rPr>
              <w:rFonts w:hint="eastAsia" w:ascii="黑体" w:hAnsi="黑体" w:eastAsia="黑体" w:cs="黑体"/>
            </w:rPr>
            <w:fldChar w:fldCharType="separate"/>
          </w:r>
          <w:r>
            <w:rPr>
              <w:rFonts w:hint="eastAsia" w:ascii="黑体" w:hAnsi="黑体" w:eastAsia="黑体" w:cs="黑体"/>
              <w:szCs w:val="32"/>
              <w:highlight w:val="none"/>
            </w:rPr>
            <w:t>七、</w:t>
          </w:r>
          <w:r>
            <w:rPr>
              <w:rFonts w:hint="eastAsia" w:ascii="黑体" w:hAnsi="黑体" w:eastAsia="黑体" w:cs="黑体"/>
              <w:highlight w:val="none"/>
            </w:rPr>
            <w:t>财政拨款“三公”经费支出决算情况说明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_Toc8704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1F18E31A">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_Toc31525 </w:instrText>
          </w:r>
          <w:r>
            <w:rPr>
              <w:rFonts w:hint="eastAsia" w:ascii="黑体" w:hAnsi="黑体" w:eastAsia="黑体" w:cs="黑体"/>
            </w:rPr>
            <w:fldChar w:fldCharType="separate"/>
          </w:r>
          <w:r>
            <w:rPr>
              <w:rFonts w:hint="eastAsia" w:ascii="黑体" w:hAnsi="黑体" w:eastAsia="黑体" w:cs="黑体"/>
              <w:szCs w:val="32"/>
              <w:highlight w:val="none"/>
            </w:rPr>
            <w:t>（一）“三公”经费财政拨款支出决算总体情况说明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_Toc31525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6FDBD07C">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_Toc3287 </w:instrText>
          </w:r>
          <w:r>
            <w:rPr>
              <w:rFonts w:hint="eastAsia" w:ascii="黑体" w:hAnsi="黑体" w:eastAsia="黑体" w:cs="黑体"/>
            </w:rPr>
            <w:fldChar w:fldCharType="separate"/>
          </w:r>
          <w:r>
            <w:rPr>
              <w:rFonts w:hint="eastAsia" w:ascii="黑体" w:hAnsi="黑体" w:eastAsia="黑体" w:cs="黑体"/>
              <w:szCs w:val="32"/>
              <w:highlight w:val="none"/>
            </w:rPr>
            <w:t>（二）“三公”经费财政拨款支出决算具体情况说明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_Toc3287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7EB30830">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_Toc8143 </w:instrText>
          </w:r>
          <w:r>
            <w:rPr>
              <w:rFonts w:hint="eastAsia" w:ascii="黑体" w:hAnsi="黑体" w:eastAsia="黑体" w:cs="黑体"/>
            </w:rPr>
            <w:fldChar w:fldCharType="separate"/>
          </w:r>
          <w:r>
            <w:rPr>
              <w:rFonts w:hint="eastAsia" w:ascii="黑体" w:hAnsi="黑体" w:eastAsia="黑体" w:cs="黑体"/>
              <w:szCs w:val="32"/>
              <w:highlight w:val="none"/>
            </w:rPr>
            <w:t>八、</w:t>
          </w:r>
          <w:r>
            <w:rPr>
              <w:rFonts w:hint="eastAsia" w:ascii="黑体" w:hAnsi="黑体" w:eastAsia="黑体" w:cs="黑体"/>
              <w:highlight w:val="none"/>
            </w:rPr>
            <w:t>政府性基金预算支出决算情况说明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_Toc8143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5A33EC5A">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_Toc28784 </w:instrText>
          </w:r>
          <w:r>
            <w:rPr>
              <w:rFonts w:hint="eastAsia" w:ascii="黑体" w:hAnsi="黑体" w:eastAsia="黑体" w:cs="黑体"/>
            </w:rPr>
            <w:fldChar w:fldCharType="separate"/>
          </w:r>
          <w:r>
            <w:rPr>
              <w:rFonts w:hint="eastAsia" w:ascii="黑体" w:hAnsi="黑体" w:eastAsia="黑体" w:cs="黑体"/>
              <w:highlight w:val="none"/>
              <w:lang w:eastAsia="zh-CN"/>
            </w:rPr>
            <w:t>九、</w:t>
          </w:r>
          <w:r>
            <w:rPr>
              <w:rFonts w:hint="eastAsia" w:ascii="黑体" w:hAnsi="黑体" w:eastAsia="黑体" w:cs="黑体"/>
              <w:highlight w:val="none"/>
            </w:rPr>
            <w:t>国有资本经营预算支出决算情况说明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_Toc28784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7BB7A9B3">
          <w:pPr>
            <w:pStyle w:val="14"/>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_Toc31968 </w:instrText>
          </w:r>
          <w:r>
            <w:rPr>
              <w:rFonts w:hint="eastAsia" w:ascii="黑体" w:hAnsi="黑体" w:eastAsia="黑体" w:cs="黑体"/>
            </w:rPr>
            <w:fldChar w:fldCharType="separate"/>
          </w:r>
          <w:r>
            <w:rPr>
              <w:rFonts w:hint="eastAsia" w:ascii="黑体" w:hAnsi="黑体" w:eastAsia="黑体" w:cs="黑体"/>
              <w:highlight w:val="none"/>
              <w:lang w:eastAsia="zh-CN"/>
            </w:rPr>
            <w:t>十、</w:t>
          </w:r>
          <w:r>
            <w:rPr>
              <w:rFonts w:hint="eastAsia" w:ascii="黑体" w:hAnsi="黑体" w:eastAsia="黑体" w:cs="黑体"/>
              <w:highlight w:val="none"/>
            </w:rPr>
            <w:t>其他重要事项的情况说明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_Toc31968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2C38F14F">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_Toc19400 </w:instrText>
          </w:r>
          <w:r>
            <w:rPr>
              <w:rFonts w:hint="eastAsia" w:ascii="黑体" w:hAnsi="黑体" w:eastAsia="黑体" w:cs="黑体"/>
            </w:rPr>
            <w:fldChar w:fldCharType="separate"/>
          </w:r>
          <w:r>
            <w:rPr>
              <w:rFonts w:hint="eastAsia" w:ascii="黑体" w:hAnsi="黑体" w:eastAsia="黑体" w:cs="黑体"/>
              <w:szCs w:val="32"/>
              <w:highlight w:val="none"/>
            </w:rPr>
            <w:t>（一）机关运行经费支出情况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_Toc19400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45C7867F">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_Toc29907 </w:instrText>
          </w:r>
          <w:r>
            <w:rPr>
              <w:rFonts w:hint="eastAsia" w:ascii="黑体" w:hAnsi="黑体" w:eastAsia="黑体" w:cs="黑体"/>
            </w:rPr>
            <w:fldChar w:fldCharType="separate"/>
          </w:r>
          <w:r>
            <w:rPr>
              <w:rFonts w:hint="eastAsia" w:ascii="黑体" w:hAnsi="黑体" w:eastAsia="黑体" w:cs="黑体"/>
              <w:szCs w:val="32"/>
              <w:highlight w:val="none"/>
            </w:rPr>
            <w:t>（二）政府采购支出情况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_Toc29907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1553C301">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_Toc8475 </w:instrText>
          </w:r>
          <w:r>
            <w:rPr>
              <w:rFonts w:hint="eastAsia" w:ascii="黑体" w:hAnsi="黑体" w:eastAsia="黑体" w:cs="黑体"/>
            </w:rPr>
            <w:fldChar w:fldCharType="separate"/>
          </w:r>
          <w:r>
            <w:rPr>
              <w:rFonts w:hint="eastAsia" w:ascii="黑体" w:hAnsi="黑体" w:eastAsia="黑体" w:cs="黑体"/>
              <w:szCs w:val="32"/>
              <w:highlight w:val="none"/>
            </w:rPr>
            <w:t>（三）国有资产占有使用情况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_Toc8475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26151283">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_Toc11257 </w:instrText>
          </w:r>
          <w:r>
            <w:rPr>
              <w:rFonts w:hint="eastAsia" w:ascii="黑体" w:hAnsi="黑体" w:eastAsia="黑体" w:cs="黑体"/>
            </w:rPr>
            <w:fldChar w:fldCharType="separate"/>
          </w:r>
          <w:r>
            <w:rPr>
              <w:rFonts w:hint="eastAsia" w:ascii="黑体" w:hAnsi="黑体" w:eastAsia="黑体" w:cs="黑体"/>
              <w:szCs w:val="32"/>
              <w:highlight w:val="none"/>
            </w:rPr>
            <w:t>（四）预算绩效管理情况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_Toc11257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rPr>
            <w:fldChar w:fldCharType="end"/>
          </w:r>
        </w:p>
        <w:p w14:paraId="4B79DEF7">
          <w:pPr>
            <w:pStyle w:val="12"/>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_Toc2670 </w:instrText>
          </w:r>
          <w:r>
            <w:rPr>
              <w:rFonts w:hint="eastAsia" w:ascii="黑体" w:hAnsi="黑体" w:eastAsia="黑体" w:cs="黑体"/>
            </w:rPr>
            <w:fldChar w:fldCharType="separate"/>
          </w:r>
          <w:r>
            <w:rPr>
              <w:rFonts w:hint="eastAsia" w:ascii="黑体" w:hAnsi="黑体" w:eastAsia="黑体" w:cs="黑体"/>
              <w:szCs w:val="44"/>
              <w:highlight w:val="none"/>
            </w:rPr>
            <w:t>第</w:t>
          </w:r>
          <w:r>
            <w:rPr>
              <w:rFonts w:hint="eastAsia" w:ascii="黑体" w:hAnsi="黑体" w:eastAsia="黑体" w:cs="黑体"/>
              <w:szCs w:val="44"/>
              <w:highlight w:val="none"/>
              <w:lang w:eastAsia="zh-CN"/>
            </w:rPr>
            <w:t>三</w:t>
          </w:r>
          <w:r>
            <w:rPr>
              <w:rFonts w:hint="eastAsia" w:ascii="黑体" w:hAnsi="黑体" w:eastAsia="黑体" w:cs="黑体"/>
              <w:szCs w:val="44"/>
              <w:highlight w:val="none"/>
            </w:rPr>
            <w:t>部分</w:t>
          </w:r>
          <w:r>
            <w:rPr>
              <w:rFonts w:hint="eastAsia" w:ascii="黑体" w:hAnsi="黑体" w:eastAsia="黑体" w:cs="黑体"/>
              <w:szCs w:val="44"/>
              <w:highlight w:val="none"/>
              <w:lang w:val="en-US" w:eastAsia="zh-CN"/>
            </w:rPr>
            <w:t xml:space="preserve">  </w:t>
          </w:r>
          <w:r>
            <w:rPr>
              <w:rFonts w:hint="eastAsia" w:ascii="黑体" w:hAnsi="黑体" w:eastAsia="黑体" w:cs="黑体"/>
              <w:szCs w:val="44"/>
              <w:highlight w:val="none"/>
            </w:rPr>
            <w:t>名词解释</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_Toc2670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rPr>
            <w:fldChar w:fldCharType="end"/>
          </w:r>
        </w:p>
        <w:p w14:paraId="5E7892CF">
          <w:pPr>
            <w:pStyle w:val="12"/>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_Toc10067 </w:instrText>
          </w:r>
          <w:r>
            <w:rPr>
              <w:rFonts w:hint="eastAsia" w:ascii="黑体" w:hAnsi="黑体" w:eastAsia="黑体" w:cs="黑体"/>
            </w:rPr>
            <w:fldChar w:fldCharType="separate"/>
          </w:r>
          <w:r>
            <w:rPr>
              <w:rFonts w:hint="eastAsia" w:ascii="黑体" w:hAnsi="黑体" w:eastAsia="黑体" w:cs="黑体"/>
              <w:szCs w:val="44"/>
              <w:highlight w:val="none"/>
            </w:rPr>
            <w:t>第四部分</w:t>
          </w:r>
          <w:r>
            <w:rPr>
              <w:rFonts w:hint="eastAsia" w:ascii="黑体" w:hAnsi="黑体" w:eastAsia="黑体" w:cs="黑体"/>
              <w:szCs w:val="44"/>
              <w:highlight w:val="none"/>
              <w:lang w:val="en-US" w:eastAsia="zh-CN"/>
            </w:rPr>
            <w:t xml:space="preserve"> </w:t>
          </w:r>
          <w:r>
            <w:rPr>
              <w:rFonts w:hint="eastAsia" w:ascii="黑体" w:hAnsi="黑体" w:eastAsia="黑体" w:cs="黑体"/>
              <w:szCs w:val="44"/>
              <w:highlight w:val="none"/>
            </w:rPr>
            <w:t xml:space="preserve"> 附件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_Toc10067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rPr>
            <w:fldChar w:fldCharType="end"/>
          </w:r>
        </w:p>
        <w:p w14:paraId="08C8E923">
          <w:pPr>
            <w:pStyle w:val="12"/>
            <w:tabs>
              <w:tab w:val="right" w:leader="dot" w:pos="8306"/>
              <w:tab w:val="clear" w:pos="8296"/>
            </w:tabs>
          </w:pPr>
          <w:r>
            <w:rPr>
              <w:rFonts w:hint="eastAsia" w:ascii="黑体" w:hAnsi="黑体" w:eastAsia="黑体" w:cs="黑体"/>
            </w:rPr>
            <w:fldChar w:fldCharType="begin"/>
          </w:r>
          <w:r>
            <w:rPr>
              <w:rFonts w:hint="eastAsia" w:ascii="黑体" w:hAnsi="黑体" w:eastAsia="黑体" w:cs="黑体"/>
            </w:rPr>
            <w:instrText xml:space="preserve"> HYPERLINK \l _Toc18311 </w:instrText>
          </w:r>
          <w:r>
            <w:rPr>
              <w:rFonts w:hint="eastAsia" w:ascii="黑体" w:hAnsi="黑体" w:eastAsia="黑体" w:cs="黑体"/>
            </w:rPr>
            <w:fldChar w:fldCharType="separate"/>
          </w:r>
          <w:r>
            <w:rPr>
              <w:rFonts w:hint="eastAsia" w:ascii="黑体" w:hAnsi="黑体" w:eastAsia="黑体" w:cs="黑体"/>
              <w:szCs w:val="44"/>
              <w:highlight w:val="none"/>
            </w:rPr>
            <w:t>第</w:t>
          </w:r>
          <w:r>
            <w:rPr>
              <w:rFonts w:hint="eastAsia" w:ascii="黑体" w:hAnsi="黑体" w:eastAsia="黑体" w:cs="黑体"/>
              <w:highlight w:val="none"/>
            </w:rPr>
            <w:t>五部分 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_Toc18311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rPr>
            <w:fldChar w:fldCharType="end"/>
          </w:r>
        </w:p>
        <w:p w14:paraId="2D24501A">
          <w:pPr>
            <w:pStyle w:val="2"/>
            <w:rPr>
              <w:rFonts w:hint="eastAsia" w:ascii="仿宋_GB2312" w:hAnsi="Times New Roman" w:eastAsia="仿宋_GB2312" w:cs="Times New Roman"/>
              <w:kern w:val="0"/>
              <w:sz w:val="30"/>
              <w:szCs w:val="24"/>
              <w:lang w:val="en-US" w:eastAsia="zh-CN" w:bidi="ar-SA"/>
            </w:rPr>
          </w:pPr>
          <w:r>
            <w:rPr>
              <w:rFonts w:hint="eastAsia"/>
            </w:rPr>
            <w:fldChar w:fldCharType="end"/>
          </w:r>
        </w:p>
      </w:sdtContent>
    </w:sdt>
    <w:p w14:paraId="7BDBF302">
      <w:pPr>
        <w:pStyle w:val="2"/>
        <w:rPr>
          <w:rFonts w:hint="eastAsia" w:ascii="仿宋_GB2312" w:hAnsi="Times New Roman" w:eastAsia="仿宋_GB2312" w:cs="Times New Roman"/>
          <w:kern w:val="0"/>
          <w:sz w:val="30"/>
          <w:szCs w:val="24"/>
          <w:lang w:val="en-US" w:eastAsia="zh-CN" w:bidi="ar-SA"/>
        </w:rPr>
      </w:pPr>
    </w:p>
    <w:p w14:paraId="0093EE0B">
      <w:pPr>
        <w:pStyle w:val="3"/>
        <w:jc w:val="center"/>
        <w:rPr>
          <w:rFonts w:hint="eastAsia" w:ascii="Times New Roman" w:hAnsi="Times New Roman" w:eastAsia="方正小标宋简体" w:cs="方正小标宋简体"/>
          <w:b w:val="0"/>
          <w:color w:val="auto"/>
          <w:highlight w:val="none"/>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bookmarkStart w:id="14" w:name="_Toc26141"/>
    </w:p>
    <w:p w14:paraId="7E69C121">
      <w:pPr>
        <w:pStyle w:val="3"/>
        <w:jc w:val="center"/>
        <w:rPr>
          <w:rFonts w:ascii="Times New Roman" w:hAnsi="Times New Roman" w:eastAsia="黑体"/>
          <w:color w:val="auto"/>
          <w:sz w:val="32"/>
          <w:szCs w:val="32"/>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bookmarkEnd w:id="12"/>
      <w:bookmarkEnd w:id="13"/>
      <w:bookmarkEnd w:id="14"/>
    </w:p>
    <w:p w14:paraId="3F35B7AB">
      <w:pPr>
        <w:pStyle w:val="4"/>
        <w:rPr>
          <w:rFonts w:hint="eastAsia" w:ascii="Times New Roman" w:hAnsi="Times New Roman" w:eastAsia="黑体"/>
          <w:b w:val="0"/>
          <w:color w:val="auto"/>
          <w:highlight w:val="none"/>
          <w:lang w:eastAsia="zh-CN"/>
        </w:rPr>
      </w:pPr>
      <w:bookmarkStart w:id="15" w:name="_Toc15377197"/>
      <w:bookmarkStart w:id="16" w:name="_Toc15396600"/>
      <w:bookmarkStart w:id="17" w:name="_Toc13329"/>
      <w:r>
        <w:rPr>
          <w:rFonts w:hint="eastAsia" w:ascii="Times New Roman" w:hAnsi="Times New Roman" w:eastAsia="黑体"/>
          <w:b w:val="0"/>
          <w:color w:val="auto"/>
          <w:highlight w:val="none"/>
        </w:rPr>
        <w:t>一、</w:t>
      </w:r>
      <w:bookmarkEnd w:id="15"/>
      <w:bookmarkEnd w:id="16"/>
      <w:r>
        <w:rPr>
          <w:rFonts w:hint="eastAsia" w:ascii="Times New Roman" w:hAnsi="Times New Roman" w:eastAsia="黑体"/>
          <w:b w:val="0"/>
          <w:color w:val="auto"/>
          <w:highlight w:val="none"/>
          <w:lang w:eastAsia="zh-CN"/>
        </w:rPr>
        <w:t>部门职责</w:t>
      </w:r>
      <w:bookmarkEnd w:id="17"/>
    </w:p>
    <w:p w14:paraId="01A7850B">
      <w:pPr>
        <w:snapToGrid w:val="0"/>
        <w:spacing w:line="520" w:lineRule="exact"/>
        <w:ind w:firstLine="320" w:firstLineChars="100"/>
        <w:rPr>
          <w:rFonts w:hint="eastAsia" w:ascii="仿宋_GB2312" w:hAnsi="仿宋" w:eastAsia="仿宋_GB2312"/>
          <w:sz w:val="32"/>
          <w:szCs w:val="32"/>
        </w:rPr>
      </w:pPr>
      <w:r>
        <w:rPr>
          <w:rFonts w:hint="eastAsia" w:ascii="仿宋_GB2312" w:hAnsi="仿宋" w:eastAsia="仿宋_GB2312"/>
          <w:sz w:val="32"/>
          <w:szCs w:val="32"/>
        </w:rPr>
        <w:t>主要职能。</w:t>
      </w:r>
    </w:p>
    <w:p w14:paraId="2216BF2D">
      <w:pPr>
        <w:snapToGrid w:val="0"/>
        <w:spacing w:line="520" w:lineRule="exact"/>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（1）服务全区中小企业。</w:t>
      </w:r>
    </w:p>
    <w:p w14:paraId="514BB24A">
      <w:pPr>
        <w:rPr>
          <w:rFonts w:hint="eastAsia"/>
          <w:lang w:eastAsia="zh-CN"/>
        </w:rPr>
      </w:pPr>
      <w:r>
        <w:rPr>
          <w:rFonts w:hint="eastAsia" w:ascii="仿宋_GB2312" w:hAnsi="仿宋" w:eastAsia="仿宋_GB2312"/>
          <w:sz w:val="32"/>
          <w:szCs w:val="32"/>
          <w:lang w:val="en-US" w:eastAsia="zh-CN"/>
        </w:rPr>
        <w:t>（2）引导中小企业调整产业结构和产品结构，助推中小企业技术创新和产品上档升级。</w:t>
      </w:r>
    </w:p>
    <w:p w14:paraId="7361D244">
      <w:pPr>
        <w:pStyle w:val="4"/>
        <w:rPr>
          <w:rStyle w:val="30"/>
          <w:rFonts w:ascii="Times New Roman" w:hAnsi="Times New Roman"/>
          <w:b w:val="0"/>
          <w:bCs w:val="0"/>
          <w:color w:val="auto"/>
          <w:highlight w:val="none"/>
        </w:rPr>
      </w:pPr>
      <w:bookmarkStart w:id="18" w:name="_Toc15396601"/>
      <w:bookmarkStart w:id="19" w:name="_Toc15377200"/>
      <w:bookmarkStart w:id="20" w:name="_Toc19787"/>
      <w:r>
        <w:rPr>
          <w:rFonts w:hint="eastAsia" w:ascii="Times New Roman" w:hAnsi="Times New Roman" w:eastAsia="黑体"/>
          <w:b w:val="0"/>
          <w:color w:val="auto"/>
          <w:highlight w:val="none"/>
        </w:rPr>
        <w:t>二、机</w:t>
      </w:r>
      <w:r>
        <w:rPr>
          <w:rStyle w:val="30"/>
          <w:rFonts w:hint="eastAsia" w:ascii="Times New Roman" w:hAnsi="Times New Roman" w:eastAsia="黑体"/>
          <w:b w:val="0"/>
          <w:bCs w:val="0"/>
          <w:color w:val="auto"/>
          <w:highlight w:val="none"/>
        </w:rPr>
        <w:t>构设置</w:t>
      </w:r>
      <w:bookmarkEnd w:id="18"/>
      <w:bookmarkEnd w:id="19"/>
      <w:bookmarkEnd w:id="20"/>
    </w:p>
    <w:p w14:paraId="40802883">
      <w:pPr>
        <w:ind w:firstLine="640" w:firstLineChars="200"/>
        <w:rPr>
          <w:rFonts w:hint="eastAsia" w:ascii="Times New Roman" w:hAnsi="Times New Roman" w:eastAsia="仿宋_GB2312" w:cs="仿宋_GB2312"/>
          <w:color w:val="auto"/>
          <w:sz w:val="32"/>
          <w:szCs w:val="32"/>
          <w:highlight w:val="none"/>
        </w:rPr>
      </w:pPr>
      <w:r>
        <w:rPr>
          <w:rFonts w:hint="eastAsia" w:ascii="仿宋_GB2312" w:hAnsi="仿宋" w:eastAsia="仿宋_GB2312"/>
          <w:sz w:val="32"/>
          <w:szCs w:val="32"/>
        </w:rPr>
        <w:t>本单位是【</w:t>
      </w:r>
      <w:r>
        <w:rPr>
          <w:rFonts w:hint="eastAsia" w:ascii="仿宋_GB2312" w:hAnsi="仿宋" w:eastAsia="仿宋_GB2312"/>
          <w:sz w:val="32"/>
          <w:szCs w:val="32"/>
          <w:lang w:val="en-US" w:eastAsia="zh-CN"/>
        </w:rPr>
        <w:t>事业</w:t>
      </w:r>
      <w:r>
        <w:rPr>
          <w:rFonts w:hint="eastAsia" w:ascii="仿宋_GB2312" w:hAnsi="仿宋" w:eastAsia="仿宋_GB2312"/>
          <w:sz w:val="32"/>
          <w:szCs w:val="32"/>
        </w:rPr>
        <w:t>单位】，执行政府会计准则制度。本报表为单户报表，为【二】级预算单位，年末独立编制机构数1个,独立核算机构数1个</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与上年相比无变化</w:t>
      </w:r>
      <w:r>
        <w:rPr>
          <w:rFonts w:hint="eastAsia" w:ascii="Times New Roman" w:hAnsi="Times New Roman" w:eastAsia="仿宋_GB2312" w:cs="仿宋_GB2312"/>
          <w:color w:val="auto"/>
          <w:sz w:val="32"/>
          <w:szCs w:val="32"/>
          <w:highlight w:val="none"/>
        </w:rPr>
        <w:t>。</w:t>
      </w:r>
    </w:p>
    <w:p w14:paraId="094928F2">
      <w:pPr>
        <w:pStyle w:val="3"/>
        <w:jc w:val="center"/>
        <w:rPr>
          <w:rFonts w:ascii="Times New Roman" w:hAnsi="Times New Roman"/>
          <w:color w:val="auto"/>
          <w:highlight w:val="none"/>
        </w:rPr>
      </w:pPr>
      <w:bookmarkStart w:id="21" w:name="_Toc15377204"/>
      <w:bookmarkStart w:id="22" w:name="_Toc11212"/>
      <w:bookmarkStart w:id="23"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21"/>
      <w:bookmarkEnd w:id="22"/>
      <w:bookmarkEnd w:id="23"/>
    </w:p>
    <w:p w14:paraId="0D00F81D">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4" w:name="_Toc15396603"/>
      <w:bookmarkStart w:id="25" w:name="_Toc15377205"/>
      <w:bookmarkStart w:id="26" w:name="_Toc14191"/>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24"/>
      <w:bookmarkEnd w:id="25"/>
      <w:bookmarkEnd w:id="26"/>
    </w:p>
    <w:p w14:paraId="0CB241A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112.88</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总计各增加17.40万元，增长18.23%。主要变动原因是本年收入增长主要因财政拨款收入增长，单位业务拓展导致收入整体上升。</w:t>
      </w:r>
    </w:p>
    <w:p w14:paraId="027EB85B">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仿宋_GB2312" w:cs="仿宋_GB2312"/>
          <w:color w:val="auto"/>
          <w:sz w:val="32"/>
          <w:szCs w:val="32"/>
          <w:highlight w:val="none"/>
        </w:rPr>
      </w:pPr>
    </w:p>
    <w:p w14:paraId="0A05F810">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2D2BB722">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13D0846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342900</wp:posOffset>
            </wp:positionH>
            <wp:positionV relativeFrom="paragraph">
              <wp:posOffset>-74930</wp:posOffset>
            </wp:positionV>
            <wp:extent cx="4839335" cy="2837180"/>
            <wp:effectExtent l="0" t="0" r="18415" b="127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650A3065">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742F7AF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76C6C4E8">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p>
    <w:p w14:paraId="4E06EE88">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p>
    <w:p w14:paraId="063CE60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p>
    <w:p w14:paraId="0DAC1CD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p>
    <w:p w14:paraId="3EB9936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p>
    <w:p w14:paraId="5E01EF3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（图1：</w:t>
      </w:r>
      <w:r>
        <w:rPr>
          <w:rFonts w:hint="eastAsia" w:ascii="楷体" w:hAnsi="楷体" w:eastAsia="楷体" w:cs="楷体"/>
          <w:color w:val="auto"/>
          <w:sz w:val="21"/>
          <w:szCs w:val="21"/>
          <w:highlight w:val="none"/>
          <w:lang w:eastAsia="zh-CN"/>
        </w:rPr>
        <w:t>收入</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eastAsia="zh-CN"/>
        </w:rPr>
        <w:t>支出</w:t>
      </w:r>
      <w:r>
        <w:rPr>
          <w:rFonts w:hint="eastAsia" w:ascii="楷体" w:hAnsi="楷体" w:eastAsia="楷体" w:cs="楷体"/>
          <w:color w:val="auto"/>
          <w:sz w:val="21"/>
          <w:szCs w:val="21"/>
          <w:highlight w:val="none"/>
        </w:rPr>
        <w:t>决算总计变动情况图）</w:t>
      </w:r>
    </w:p>
    <w:p w14:paraId="48B6433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7" w:name="_Toc15377206"/>
      <w:bookmarkStart w:id="28" w:name="_Toc4363"/>
      <w:bookmarkStart w:id="29" w:name="_Toc15396604"/>
      <w:r>
        <w:rPr>
          <w:rFonts w:hint="eastAsia" w:ascii="Times New Roman" w:hAnsi="Times New Roman" w:eastAsia="黑体"/>
          <w:color w:val="auto"/>
          <w:sz w:val="32"/>
          <w:szCs w:val="32"/>
          <w:highlight w:val="none"/>
          <w:lang w:eastAsia="zh-CN"/>
        </w:rPr>
        <w:t>二、收入决算情况说明</w:t>
      </w:r>
      <w:bookmarkEnd w:id="27"/>
      <w:bookmarkEnd w:id="28"/>
      <w:bookmarkEnd w:id="29"/>
    </w:p>
    <w:p w14:paraId="59BEAA27">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Times New Roman" w:hAnsi="Times New Roman" w:eastAsia="仿宋_GB2312" w:cs="仿宋_GB2312"/>
          <w:b/>
          <w:bCs/>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112.88万元，其中：一般公共预算财政拨款收入112.88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12CA9067">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-635</wp:posOffset>
            </wp:positionV>
            <wp:extent cx="4905375" cy="2580640"/>
            <wp:effectExtent l="4445" t="4445" r="5080" b="571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27E922AD">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063E68E5">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7C5CCF3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7A14C101">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4DF2426F">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619FF580">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p>
    <w:p w14:paraId="27B5133B">
      <w:pPr>
        <w:ind w:firstLine="525" w:firstLineChars="25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（图2：收入决算结构图）</w:t>
      </w:r>
    </w:p>
    <w:p w14:paraId="7DDE90E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30" w:name="_Toc5367"/>
      <w:bookmarkStart w:id="31" w:name="_Toc15396605"/>
      <w:bookmarkStart w:id="32"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30"/>
      <w:bookmarkEnd w:id="31"/>
      <w:bookmarkEnd w:id="32"/>
    </w:p>
    <w:p w14:paraId="1A4C236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112.88</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112.88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2136ECE1">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447675</wp:posOffset>
            </wp:positionH>
            <wp:positionV relativeFrom="paragraph">
              <wp:posOffset>154305</wp:posOffset>
            </wp:positionV>
            <wp:extent cx="4152265" cy="1997710"/>
            <wp:effectExtent l="4445" t="4445" r="15240" b="1714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1261D73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6B842DA0">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3AA64B05">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1DB9CEAD">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1C865459">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4F9F78D5">
      <w:pPr>
        <w:ind w:firstLine="735" w:firstLineChars="350"/>
        <w:rPr>
          <w:rFonts w:hint="eastAsia" w:ascii="Times New Roman" w:hAnsi="Times New Roman" w:eastAsia="仿宋_GB2312" w:cs="仿宋_GB2312"/>
          <w:color w:val="auto"/>
          <w:sz w:val="32"/>
          <w:szCs w:val="32"/>
          <w:highlight w:val="none"/>
          <w:lang w:eastAsia="zh-CN"/>
        </w:rPr>
      </w:pPr>
      <w:r>
        <w:rPr>
          <w:rFonts w:hint="eastAsia" w:ascii="楷体" w:hAnsi="楷体" w:eastAsia="楷体" w:cs="楷体"/>
          <w:color w:val="auto"/>
          <w:sz w:val="21"/>
          <w:szCs w:val="21"/>
          <w:highlight w:val="none"/>
          <w:lang w:eastAsia="zh-CN"/>
        </w:rPr>
        <w:t>（图3：支出决算结构图）</w:t>
      </w:r>
    </w:p>
    <w:p w14:paraId="5D12E4B7">
      <w:pPr>
        <w:spacing w:line="600" w:lineRule="exact"/>
        <w:ind w:firstLine="640" w:firstLineChars="200"/>
        <w:outlineLvl w:val="1"/>
        <w:rPr>
          <w:rStyle w:val="30"/>
          <w:rFonts w:ascii="Times New Roman" w:hAnsi="Times New Roman" w:eastAsia="黑体"/>
          <w:b w:val="0"/>
          <w:color w:val="auto"/>
          <w:highlight w:val="none"/>
        </w:rPr>
      </w:pPr>
      <w:bookmarkStart w:id="33" w:name="_Toc15396606"/>
      <w:bookmarkStart w:id="34" w:name="_Toc15377208"/>
      <w:bookmarkStart w:id="35" w:name="_Toc12747"/>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33"/>
      <w:bookmarkEnd w:id="34"/>
      <w:bookmarkEnd w:id="35"/>
    </w:p>
    <w:p w14:paraId="38E478C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2024年度财政拨款收入、支出总计均为</w:t>
      </w:r>
      <w:r>
        <w:rPr>
          <w:rFonts w:hint="eastAsia" w:ascii="仿宋" w:hAnsi="仿宋" w:eastAsia="仿宋" w:cs="仿宋"/>
          <w:sz w:val="32"/>
          <w:szCs w:val="32"/>
        </w:rPr>
        <w:t>112.88</w:t>
      </w:r>
      <w:r>
        <w:rPr>
          <w:rFonts w:hint="eastAsia" w:ascii="仿宋" w:hAnsi="仿宋" w:eastAsia="仿宋" w:cs="仿宋"/>
          <w:color w:val="auto"/>
          <w:kern w:val="2"/>
          <w:sz w:val="32"/>
          <w:szCs w:val="32"/>
          <w:highlight w:val="none"/>
          <w:lang w:val="en-US" w:eastAsia="zh-CN" w:bidi="ar-SA"/>
        </w:rPr>
        <w:t>万元。与2023年度相比，财政拨款收入总计、支出总计各增加17.4万元，增长18.23%。主要变动原因是本年收入增长主要因财政拨款收入增长，单位业务拓展导致收入整体上升</w:t>
      </w:r>
      <w:r>
        <w:rPr>
          <w:rFonts w:hint="eastAsia" w:ascii="Times New Roman" w:hAnsi="Times New Roman" w:eastAsia="仿宋_GB2312" w:cs="仿宋_GB2312"/>
          <w:color w:val="auto"/>
          <w:kern w:val="2"/>
          <w:sz w:val="32"/>
          <w:szCs w:val="32"/>
          <w:highlight w:val="none"/>
          <w:lang w:val="en-US" w:eastAsia="zh-CN" w:bidi="ar-SA"/>
        </w:rPr>
        <w:t>。</w:t>
      </w:r>
    </w:p>
    <w:p w14:paraId="2918798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238125</wp:posOffset>
            </wp:positionH>
            <wp:positionV relativeFrom="paragraph">
              <wp:posOffset>104775</wp:posOffset>
            </wp:positionV>
            <wp:extent cx="4227830" cy="2246630"/>
            <wp:effectExtent l="4445" t="5080" r="15875" b="1524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0B7A6C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2EF6AB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A03A09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2DA4C3C">
      <w:pPr>
        <w:spacing w:line="600" w:lineRule="exact"/>
        <w:rPr>
          <w:rFonts w:hint="eastAsia" w:ascii="Times New Roman" w:hAnsi="Times New Roman" w:eastAsia="仿宋_GB2312" w:cs="仿宋_GB2312"/>
          <w:color w:val="auto"/>
          <w:kern w:val="2"/>
          <w:sz w:val="32"/>
          <w:szCs w:val="32"/>
          <w:highlight w:val="none"/>
          <w:lang w:val="en-US" w:eastAsia="zh-CN" w:bidi="ar-SA"/>
        </w:rPr>
      </w:pPr>
    </w:p>
    <w:p w14:paraId="28406E05">
      <w:pPr>
        <w:pStyle w:val="2"/>
        <w:rPr>
          <w:rFonts w:hint="eastAsia"/>
          <w:lang w:val="en-US" w:eastAsia="zh-CN"/>
        </w:rPr>
      </w:pPr>
    </w:p>
    <w:p w14:paraId="1C4A0B20">
      <w:pPr>
        <w:spacing w:line="600" w:lineRule="exact"/>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（图4：财政拨款收、支决算总计变动情况）</w:t>
      </w:r>
    </w:p>
    <w:p w14:paraId="7378A215">
      <w:pPr>
        <w:spacing w:line="600" w:lineRule="exact"/>
        <w:ind w:firstLine="640" w:firstLineChars="200"/>
        <w:outlineLvl w:val="1"/>
        <w:rPr>
          <w:rStyle w:val="30"/>
          <w:rFonts w:ascii="Times New Roman" w:hAnsi="Times New Roman" w:eastAsia="黑体"/>
          <w:b w:val="0"/>
          <w:color w:val="auto"/>
          <w:highlight w:val="none"/>
        </w:rPr>
      </w:pPr>
      <w:bookmarkStart w:id="36" w:name="_Toc15377209"/>
      <w:bookmarkStart w:id="37" w:name="_Toc15396607"/>
      <w:bookmarkStart w:id="38" w:name="_Toc30924"/>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36"/>
      <w:bookmarkEnd w:id="37"/>
      <w:bookmarkEnd w:id="38"/>
    </w:p>
    <w:p w14:paraId="1B26565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9" w:name="_Toc12137"/>
      <w:bookmarkStart w:id="40"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9"/>
      <w:bookmarkEnd w:id="40"/>
    </w:p>
    <w:p w14:paraId="2A9C566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2024年度一般公共预算财政拨款支出</w:t>
      </w:r>
      <w:r>
        <w:rPr>
          <w:rFonts w:hint="eastAsia" w:ascii="仿宋" w:hAnsi="仿宋" w:eastAsia="仿宋" w:cs="仿宋"/>
          <w:sz w:val="32"/>
          <w:szCs w:val="32"/>
        </w:rPr>
        <w:t>112.88</w:t>
      </w:r>
      <w:r>
        <w:rPr>
          <w:rFonts w:hint="eastAsia" w:ascii="仿宋" w:hAnsi="仿宋" w:eastAsia="仿宋" w:cs="仿宋"/>
          <w:color w:val="auto"/>
          <w:kern w:val="2"/>
          <w:sz w:val="32"/>
          <w:szCs w:val="32"/>
          <w:highlight w:val="none"/>
          <w:lang w:val="en-US" w:eastAsia="zh-CN" w:bidi="ar-SA"/>
        </w:rPr>
        <w:t>万元，占本年支出合计的</w:t>
      </w:r>
      <w:r>
        <w:rPr>
          <w:rFonts w:hint="eastAsia" w:ascii="仿宋" w:hAnsi="仿宋" w:eastAsia="仿宋" w:cs="仿宋"/>
          <w:sz w:val="32"/>
          <w:szCs w:val="32"/>
        </w:rPr>
        <w:t>100</w:t>
      </w:r>
      <w:r>
        <w:rPr>
          <w:rFonts w:hint="eastAsia" w:ascii="仿宋" w:hAnsi="仿宋" w:eastAsia="仿宋" w:cs="仿宋"/>
          <w:color w:val="auto"/>
          <w:kern w:val="2"/>
          <w:sz w:val="32"/>
          <w:szCs w:val="32"/>
          <w:highlight w:val="none"/>
          <w:lang w:val="en-US" w:eastAsia="zh-CN" w:bidi="ar-SA"/>
        </w:rPr>
        <w:t>%。与2023年度相比，一般公共预算财政拨款支出加17.4万元，增长18.23%</w:t>
      </w:r>
      <w:r>
        <w:rPr>
          <w:rFonts w:hint="eastAsia" w:ascii="仿宋_GB2312" w:hAnsi="仿宋_GB2312" w:eastAsia="仿宋_GB2312" w:cs="仿宋_GB2312"/>
          <w:color w:val="auto"/>
          <w:kern w:val="2"/>
          <w:sz w:val="32"/>
          <w:szCs w:val="32"/>
          <w:highlight w:val="none"/>
          <w:lang w:val="en-US" w:eastAsia="zh-CN" w:bidi="ar-SA"/>
        </w:rPr>
        <w:t>。主要变动原因是……</w:t>
      </w:r>
    </w:p>
    <w:p w14:paraId="683AD94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600075</wp:posOffset>
            </wp:positionH>
            <wp:positionV relativeFrom="paragraph">
              <wp:posOffset>161925</wp:posOffset>
            </wp:positionV>
            <wp:extent cx="4438015" cy="2455545"/>
            <wp:effectExtent l="4445" t="5080" r="15240" b="1587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21C9A35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3486F2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7DF08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878B17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878C2E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FD36401">
      <w:pPr>
        <w:spacing w:line="600" w:lineRule="exact"/>
        <w:ind w:firstLine="640"/>
        <w:rPr>
          <w:rFonts w:hint="eastAsia" w:ascii="仿宋" w:hAnsi="仿宋" w:eastAsia="仿宋" w:cs="仿宋"/>
          <w:color w:val="auto"/>
          <w:kern w:val="2"/>
          <w:sz w:val="21"/>
          <w:szCs w:val="21"/>
          <w:highlight w:val="none"/>
          <w:lang w:val="en-US" w:eastAsia="zh-CN" w:bidi="ar-SA"/>
        </w:rPr>
      </w:pPr>
    </w:p>
    <w:p w14:paraId="1ED134D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t>（图5：一般公共预算财政拨款支出决算变动情况）</w:t>
      </w:r>
    </w:p>
    <w:p w14:paraId="02ABC7C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1" w:name="_Toc15377211"/>
      <w:bookmarkStart w:id="42" w:name="_Toc32160"/>
      <w:r>
        <w:rPr>
          <w:rFonts w:hint="eastAsia" w:ascii="Times New Roman" w:hAnsi="Times New Roman" w:eastAsia="楷体_GB2312" w:cs="楷体_GB2312"/>
          <w:b/>
          <w:color w:val="auto"/>
          <w:sz w:val="32"/>
          <w:szCs w:val="32"/>
          <w:highlight w:val="none"/>
        </w:rPr>
        <w:t>（二）一般公共预算财政拨款支出决算结构情况</w:t>
      </w:r>
      <w:bookmarkEnd w:id="41"/>
      <w:bookmarkEnd w:id="42"/>
    </w:p>
    <w:p w14:paraId="3055A1CE">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2024年度一般公共预算财政拨款支出</w:t>
      </w:r>
      <w:r>
        <w:rPr>
          <w:rFonts w:hint="eastAsia" w:ascii="仿宋" w:hAnsi="仿宋" w:eastAsia="仿宋" w:cs="仿宋"/>
          <w:sz w:val="32"/>
          <w:szCs w:val="32"/>
        </w:rPr>
        <w:t>112.88</w:t>
      </w:r>
      <w:r>
        <w:rPr>
          <w:rFonts w:hint="eastAsia" w:ascii="仿宋" w:hAnsi="仿宋" w:eastAsia="仿宋" w:cs="仿宋"/>
          <w:color w:val="auto"/>
          <w:kern w:val="2"/>
          <w:sz w:val="32"/>
          <w:szCs w:val="32"/>
          <w:highlight w:val="none"/>
          <w:lang w:val="en-US" w:eastAsia="zh-CN" w:bidi="ar-SA"/>
        </w:rPr>
        <w:t>万元，主要用于以下方面：社会保障和就业支出16.99万元，占15.05%；资源勘探工业信息支出79.72万元，占70.62%，卫生健康支出8.70万元，占7.71%；住房保障支出7.48万元，占6.62%；</w:t>
      </w:r>
    </w:p>
    <w:p w14:paraId="37E48809">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drawing>
          <wp:anchor distT="0" distB="0" distL="114300" distR="114300" simplePos="0" relativeHeight="251665408" behindDoc="0" locked="0" layoutInCell="1" allowOverlap="1">
            <wp:simplePos x="0" y="0"/>
            <wp:positionH relativeFrom="column">
              <wp:posOffset>581660</wp:posOffset>
            </wp:positionH>
            <wp:positionV relativeFrom="paragraph">
              <wp:posOffset>66675</wp:posOffset>
            </wp:positionV>
            <wp:extent cx="3399790" cy="2188845"/>
            <wp:effectExtent l="4445" t="4445" r="5715" b="16510"/>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1353C27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BE690D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33B6EE3">
      <w:pPr>
        <w:spacing w:line="600" w:lineRule="exact"/>
        <w:rPr>
          <w:rFonts w:hint="eastAsia" w:ascii="Times New Roman" w:hAnsi="Times New Roman" w:eastAsia="仿宋_GB2312" w:cs="仿宋_GB2312"/>
          <w:color w:val="auto"/>
          <w:kern w:val="2"/>
          <w:sz w:val="32"/>
          <w:szCs w:val="32"/>
          <w:highlight w:val="none"/>
          <w:lang w:val="en-US" w:eastAsia="zh-CN" w:bidi="ar-SA"/>
        </w:rPr>
      </w:pPr>
    </w:p>
    <w:p w14:paraId="09D01088">
      <w:pPr>
        <w:spacing w:line="600" w:lineRule="exact"/>
        <w:ind w:firstLine="848" w:firstLineChars="404"/>
        <w:rPr>
          <w:rFonts w:hint="eastAsia" w:ascii="楷体" w:hAnsi="楷体" w:eastAsia="楷体" w:cs="楷体"/>
          <w:color w:val="auto"/>
          <w:kern w:val="2"/>
          <w:sz w:val="21"/>
          <w:szCs w:val="21"/>
          <w:highlight w:val="none"/>
          <w:lang w:val="en-US" w:eastAsia="zh-CN" w:bidi="ar-SA"/>
        </w:rPr>
      </w:pPr>
      <w:bookmarkStart w:id="95" w:name="_GoBack"/>
      <w:bookmarkEnd w:id="95"/>
      <w:r>
        <w:rPr>
          <w:rFonts w:hint="eastAsia" w:ascii="楷体" w:hAnsi="楷体" w:eastAsia="楷体" w:cs="楷体"/>
          <w:color w:val="auto"/>
          <w:kern w:val="2"/>
          <w:sz w:val="21"/>
          <w:szCs w:val="21"/>
          <w:highlight w:val="none"/>
          <w:lang w:val="en-US" w:eastAsia="zh-CN" w:bidi="ar-SA"/>
        </w:rPr>
        <w:t>（图6：一般公共预算财政拨款支出决算结构）</w:t>
      </w:r>
    </w:p>
    <w:p w14:paraId="69955EC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3" w:name="_Toc15377212"/>
      <w:bookmarkStart w:id="44" w:name="_Toc15872"/>
      <w:r>
        <w:rPr>
          <w:rFonts w:hint="eastAsia" w:ascii="Times New Roman" w:hAnsi="Times New Roman" w:eastAsia="楷体_GB2312" w:cs="楷体_GB2312"/>
          <w:b/>
          <w:color w:val="auto"/>
          <w:sz w:val="32"/>
          <w:szCs w:val="32"/>
          <w:highlight w:val="none"/>
        </w:rPr>
        <w:t>（三）一般公共预算财政拨款支出决算具体情况</w:t>
      </w:r>
      <w:bookmarkEnd w:id="43"/>
      <w:bookmarkEnd w:id="44"/>
    </w:p>
    <w:p w14:paraId="1F598CD9">
      <w:pPr>
        <w:spacing w:line="600" w:lineRule="exact"/>
        <w:ind w:firstLine="640"/>
        <w:rPr>
          <w:rFonts w:hint="eastAsia" w:ascii="仿宋" w:hAnsi="仿宋" w:eastAsia="仿宋" w:cs="仿宋"/>
          <w:color w:val="auto"/>
          <w:kern w:val="2"/>
          <w:sz w:val="32"/>
          <w:szCs w:val="32"/>
          <w:highlight w:val="none"/>
          <w:lang w:val="en-US" w:eastAsia="zh-CN" w:bidi="ar-SA"/>
        </w:rPr>
      </w:pPr>
      <w:bookmarkStart w:id="45" w:name="_Toc15378460"/>
      <w:bookmarkStart w:id="46" w:name="_Toc15377213"/>
      <w:bookmarkStart w:id="47" w:name="_Toc15377444"/>
      <w:r>
        <w:rPr>
          <w:rFonts w:hint="eastAsia" w:ascii="仿宋" w:hAnsi="仿宋" w:eastAsia="仿宋" w:cs="仿宋"/>
          <w:color w:val="auto"/>
          <w:kern w:val="2"/>
          <w:sz w:val="32"/>
          <w:szCs w:val="32"/>
          <w:highlight w:val="none"/>
          <w:lang w:val="en-US" w:eastAsia="zh-CN" w:bidi="ar-SA"/>
        </w:rPr>
        <w:t>2024年度一般公共预算财政拨款支出决算数为</w:t>
      </w:r>
      <w:r>
        <w:rPr>
          <w:rFonts w:hint="eastAsia" w:ascii="仿宋" w:hAnsi="仿宋" w:eastAsia="仿宋" w:cs="仿宋"/>
          <w:sz w:val="32"/>
          <w:szCs w:val="32"/>
        </w:rPr>
        <w:t>112.88</w:t>
      </w:r>
      <w:r>
        <w:rPr>
          <w:rFonts w:hint="eastAsia" w:ascii="仿宋" w:hAnsi="仿宋" w:eastAsia="仿宋" w:cs="仿宋"/>
          <w:sz w:val="32"/>
          <w:szCs w:val="32"/>
          <w:lang w:val="en-US" w:eastAsia="zh-CN"/>
        </w:rPr>
        <w:t>万元</w:t>
      </w:r>
      <w:r>
        <w:rPr>
          <w:rFonts w:hint="eastAsia" w:ascii="仿宋" w:hAnsi="仿宋" w:eastAsia="仿宋" w:cs="仿宋"/>
          <w:color w:val="auto"/>
          <w:kern w:val="2"/>
          <w:sz w:val="32"/>
          <w:szCs w:val="32"/>
          <w:highlight w:val="none"/>
          <w:lang w:val="en-US" w:eastAsia="zh-CN" w:bidi="ar-SA"/>
        </w:rPr>
        <w:t>，完成预算100%。其中：</w:t>
      </w:r>
      <w:bookmarkEnd w:id="45"/>
      <w:bookmarkEnd w:id="46"/>
      <w:bookmarkEnd w:id="47"/>
    </w:p>
    <w:p w14:paraId="624776EA">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1.资源勘探工业信息等支出（类）支持中小企业发展和管理支出（款）其他支持中小企业发展和管理支出（项）：支出决算为79.72万元，完成预算100%。</w:t>
      </w:r>
    </w:p>
    <w:p w14:paraId="495567DC">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2.社会保障和就业支出（类）行政事业单位养老支出（款）机关事业单位基本养老保险缴费支出（项）: 支出决算为9.15万元，完成预算100%。</w:t>
      </w:r>
    </w:p>
    <w:p w14:paraId="417B8CDF">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3.社会保障和就业支出（类）行政事业单位养老支出（款）机关事业单位职业年金缴费支出（项）：支出决算为7.20万元，完成预算100%。</w:t>
      </w:r>
    </w:p>
    <w:p w14:paraId="7FB20939">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4.社会保障和就业支出（类）行政事业单位养老支出（款）其他行政事业单位养老支出（项）：支出决算为0.07万元，完成预算100%。</w:t>
      </w:r>
    </w:p>
    <w:p w14:paraId="09EF8BE9">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5.社会保障和就业支出（类）其他社会保障和就业支出（款）其他社会保障和就业支出（项）：支出决算为0.58万元，完成预算100%。</w:t>
      </w:r>
    </w:p>
    <w:p w14:paraId="10CD7DFC">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6.卫生健康支出（类）行政事业单位医疗（款）事业单位医疗（项）：支出决算为3.00万元，完成预算100%。</w:t>
      </w:r>
    </w:p>
    <w:p w14:paraId="71037F88">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7.卫生健康支出（类）行政事业单位医疗（款）公务员医疗补助（项）：支出决算为5.70万元，完成预算100%。</w:t>
      </w:r>
    </w:p>
    <w:p w14:paraId="356FE8E9">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8.资源勘探工业信息等支出（类）支持中小企业发展和管理支出（款）其他支持中小企业发展和管理支出（项）：支出决算为79.72万元，完成预算100%。</w:t>
      </w:r>
    </w:p>
    <w:p w14:paraId="009159C3">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9.住房保障支出（类）住房改革支出（款）住房公积金（项）：支出决算为7.48万元，完成预算100%。</w:t>
      </w:r>
    </w:p>
    <w:p w14:paraId="2A833C66">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（注：仅罗列本部门涉及的全部功能分类科目，至项级。上述“预算”口径为全年预算数。增减变动原因为决算数&lt;项级&gt;和全年预算数&lt;项级&gt;比较，与预算数持平可以不写原因）</w:t>
      </w:r>
    </w:p>
    <w:p w14:paraId="4A5DCE0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D7419D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98EFE3C">
      <w:pPr>
        <w:tabs>
          <w:tab w:val="right" w:pos="8306"/>
        </w:tabs>
        <w:spacing w:line="600" w:lineRule="exact"/>
        <w:ind w:firstLine="640"/>
        <w:outlineLvl w:val="1"/>
        <w:rPr>
          <w:rStyle w:val="30"/>
          <w:rFonts w:ascii="Times New Roman" w:hAnsi="Times New Roman"/>
          <w:color w:val="auto"/>
          <w:highlight w:val="none"/>
        </w:rPr>
      </w:pPr>
      <w:bookmarkStart w:id="48" w:name="_Toc14404"/>
      <w:bookmarkStart w:id="49" w:name="_Toc15377214"/>
      <w:bookmarkStart w:id="50"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48"/>
      <w:bookmarkEnd w:id="49"/>
      <w:bookmarkEnd w:id="50"/>
      <w:r>
        <w:rPr>
          <w:rStyle w:val="30"/>
          <w:rFonts w:ascii="Times New Roman" w:hAnsi="Times New Roman" w:eastAsia="黑体"/>
          <w:b w:val="0"/>
          <w:color w:val="auto"/>
          <w:highlight w:val="none"/>
        </w:rPr>
        <w:tab/>
      </w:r>
    </w:p>
    <w:p w14:paraId="7B806A23">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2024年度一般公共预算财政拨款基本支出</w:t>
      </w:r>
      <w:r>
        <w:rPr>
          <w:rFonts w:hint="eastAsia" w:ascii="仿宋" w:hAnsi="仿宋" w:eastAsia="仿宋" w:cs="仿宋"/>
          <w:sz w:val="32"/>
          <w:szCs w:val="32"/>
        </w:rPr>
        <w:t>112.88</w:t>
      </w:r>
      <w:r>
        <w:rPr>
          <w:rFonts w:hint="eastAsia" w:ascii="仿宋" w:hAnsi="仿宋" w:eastAsia="仿宋" w:cs="仿宋"/>
          <w:color w:val="auto"/>
          <w:kern w:val="2"/>
          <w:sz w:val="32"/>
          <w:szCs w:val="32"/>
          <w:highlight w:val="none"/>
          <w:lang w:val="en-US" w:eastAsia="zh-CN" w:bidi="ar-SA"/>
        </w:rPr>
        <w:t>万元，其中：</w:t>
      </w:r>
    </w:p>
    <w:p w14:paraId="759154B2">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人员经费</w:t>
      </w:r>
      <w:r>
        <w:rPr>
          <w:rFonts w:hint="eastAsia" w:ascii="仿宋" w:hAnsi="仿宋" w:eastAsia="仿宋" w:cs="仿宋"/>
          <w:sz w:val="32"/>
          <w:szCs w:val="32"/>
        </w:rPr>
        <w:t>104.95</w:t>
      </w:r>
      <w:r>
        <w:rPr>
          <w:rFonts w:hint="eastAsia" w:ascii="仿宋" w:hAnsi="仿宋" w:eastAsia="仿宋" w:cs="仿宋"/>
          <w:color w:val="auto"/>
          <w:kern w:val="2"/>
          <w:sz w:val="32"/>
          <w:szCs w:val="32"/>
          <w:highlight w:val="none"/>
          <w:lang w:val="en-US" w:eastAsia="zh-CN" w:bidi="ar-SA"/>
        </w:rPr>
        <w:t>万元，主要包括：基本工资、津贴补贴、奖金、机关事业单位基本养老保险缴费、职业年金缴费、其他社会保障缴费、生活补助、医疗费补助、住房公积金、其他对个人和家庭的补助支出等。</w:t>
      </w:r>
      <w:r>
        <w:rPr>
          <w:rFonts w:hint="eastAsia" w:ascii="仿宋" w:hAnsi="仿宋" w:eastAsia="仿宋" w:cs="仿宋"/>
          <w:color w:val="auto"/>
          <w:kern w:val="2"/>
          <w:sz w:val="32"/>
          <w:szCs w:val="32"/>
          <w:highlight w:val="none"/>
          <w:lang w:val="en-US" w:eastAsia="zh-CN" w:bidi="ar-SA"/>
        </w:rPr>
        <w:br w:type="textWrapping"/>
      </w:r>
      <w:r>
        <w:rPr>
          <w:rFonts w:hint="eastAsia" w:ascii="仿宋" w:hAnsi="仿宋" w:eastAsia="仿宋" w:cs="仿宋"/>
          <w:color w:val="auto"/>
          <w:kern w:val="2"/>
          <w:sz w:val="32"/>
          <w:szCs w:val="32"/>
          <w:highlight w:val="none"/>
          <w:lang w:val="en-US" w:eastAsia="zh-CN" w:bidi="ar-SA"/>
        </w:rPr>
        <w:t>　　公用经费</w:t>
      </w:r>
      <w:r>
        <w:rPr>
          <w:rFonts w:hint="eastAsia" w:ascii="仿宋" w:hAnsi="仿宋" w:eastAsia="仿宋" w:cs="仿宋"/>
          <w:sz w:val="32"/>
          <w:szCs w:val="32"/>
        </w:rPr>
        <w:t>7.93</w:t>
      </w:r>
      <w:r>
        <w:rPr>
          <w:rFonts w:hint="eastAsia" w:ascii="仿宋" w:hAnsi="仿宋" w:eastAsia="仿宋" w:cs="仿宋"/>
          <w:color w:val="auto"/>
          <w:kern w:val="2"/>
          <w:sz w:val="32"/>
          <w:szCs w:val="32"/>
          <w:highlight w:val="none"/>
          <w:lang w:val="en-US" w:eastAsia="zh-CN" w:bidi="ar-SA"/>
        </w:rPr>
        <w:t>万元，主要包括：办公费、差旅费、培训费、公务接待费、工会经费、福利费、其他商品和服务支出。</w:t>
      </w:r>
    </w:p>
    <w:p w14:paraId="12D0CF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（注：仅罗列本部门实际支出涉及的经济分类科目）</w:t>
      </w:r>
    </w:p>
    <w:p w14:paraId="406AC990">
      <w:pPr>
        <w:spacing w:line="600" w:lineRule="exact"/>
        <w:ind w:firstLine="640"/>
        <w:outlineLvl w:val="1"/>
        <w:rPr>
          <w:rStyle w:val="30"/>
          <w:rFonts w:ascii="Times New Roman" w:hAnsi="Times New Roman" w:eastAsia="黑体"/>
          <w:b w:val="0"/>
          <w:color w:val="auto"/>
          <w:highlight w:val="none"/>
        </w:rPr>
      </w:pPr>
      <w:bookmarkStart w:id="51" w:name="_Toc15396609"/>
      <w:bookmarkStart w:id="52" w:name="_Toc8704"/>
      <w:bookmarkStart w:id="53" w:name="_Toc15377215"/>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51"/>
      <w:bookmarkEnd w:id="52"/>
      <w:bookmarkEnd w:id="53"/>
    </w:p>
    <w:p w14:paraId="22D193A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4" w:name="_Toc15377216"/>
      <w:bookmarkStart w:id="55" w:name="_Toc31525"/>
      <w:r>
        <w:rPr>
          <w:rFonts w:hint="eastAsia" w:ascii="Times New Roman" w:hAnsi="Times New Roman" w:eastAsia="楷体_GB2312" w:cs="楷体_GB2312"/>
          <w:b/>
          <w:color w:val="auto"/>
          <w:sz w:val="32"/>
          <w:szCs w:val="32"/>
          <w:highlight w:val="none"/>
        </w:rPr>
        <w:t>（一）“三公”经费财政拨款支出决算总体情况说明</w:t>
      </w:r>
      <w:bookmarkEnd w:id="54"/>
      <w:bookmarkEnd w:id="55"/>
    </w:p>
    <w:p w14:paraId="36D7643C">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2024年度“三公”经费财政拨款支出决算为</w:t>
      </w:r>
      <w:r>
        <w:rPr>
          <w:rFonts w:hint="eastAsia" w:ascii="仿宋" w:hAnsi="仿宋" w:eastAsia="仿宋" w:cs="仿宋"/>
          <w:sz w:val="32"/>
          <w:szCs w:val="32"/>
        </w:rPr>
        <w:t>0</w:t>
      </w:r>
      <w:r>
        <w:rPr>
          <w:rFonts w:hint="eastAsia" w:ascii="仿宋" w:hAnsi="仿宋" w:eastAsia="仿宋" w:cs="仿宋"/>
          <w:color w:val="auto"/>
          <w:kern w:val="2"/>
          <w:sz w:val="32"/>
          <w:szCs w:val="32"/>
          <w:highlight w:val="none"/>
          <w:lang w:val="en-US" w:eastAsia="zh-CN" w:bidi="ar-SA"/>
        </w:rPr>
        <w:t>万元。</w:t>
      </w:r>
    </w:p>
    <w:p w14:paraId="098BC32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6" w:name="_Toc15377217"/>
      <w:bookmarkStart w:id="57" w:name="_Toc3287"/>
      <w:r>
        <w:rPr>
          <w:rFonts w:hint="eastAsia" w:ascii="Times New Roman" w:hAnsi="Times New Roman" w:eastAsia="楷体_GB2312" w:cs="楷体_GB2312"/>
          <w:b/>
          <w:color w:val="auto"/>
          <w:sz w:val="32"/>
          <w:szCs w:val="32"/>
          <w:highlight w:val="none"/>
        </w:rPr>
        <w:t>（二）“三公”经费财政拨款支出决算具体情况说明</w:t>
      </w:r>
      <w:bookmarkEnd w:id="56"/>
      <w:bookmarkEnd w:id="57"/>
    </w:p>
    <w:p w14:paraId="59528FCD">
      <w:pPr>
        <w:spacing w:line="600" w:lineRule="exact"/>
        <w:ind w:firstLine="64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2024年度“三公”经费财政拨款支出决算中，因公出国（境）费支出决算</w:t>
      </w:r>
      <w:r>
        <w:rPr>
          <w:rFonts w:hint="eastAsia" w:ascii="仿宋" w:hAnsi="仿宋" w:eastAsia="仿宋" w:cs="仿宋"/>
          <w:b w:val="0"/>
          <w:bCs w:val="0"/>
          <w:sz w:val="32"/>
          <w:szCs w:val="32"/>
        </w:rPr>
        <w:t>0</w:t>
      </w:r>
      <w:r>
        <w:rPr>
          <w:rFonts w:hint="eastAsia" w:ascii="仿宋" w:hAnsi="仿宋" w:eastAsia="仿宋" w:cs="仿宋"/>
          <w:b w:val="0"/>
          <w:bCs w:val="0"/>
          <w:color w:val="auto"/>
          <w:kern w:val="2"/>
          <w:sz w:val="32"/>
          <w:szCs w:val="32"/>
          <w:highlight w:val="none"/>
          <w:lang w:val="en-US" w:eastAsia="zh-CN" w:bidi="ar-SA"/>
        </w:rPr>
        <w:t>万元。</w:t>
      </w:r>
    </w:p>
    <w:p w14:paraId="68954B70">
      <w:pPr>
        <w:spacing w:line="600" w:lineRule="exact"/>
        <w:ind w:firstLine="64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1.因公出国（境）经费支出0万元。</w:t>
      </w:r>
    </w:p>
    <w:p w14:paraId="660128F2">
      <w:pPr>
        <w:spacing w:line="600" w:lineRule="exact"/>
        <w:ind w:firstLine="64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2.公务用车购置及运行维护费支出0万元。</w:t>
      </w:r>
    </w:p>
    <w:p w14:paraId="70FCDE25">
      <w:pPr>
        <w:spacing w:line="600" w:lineRule="exact"/>
        <w:ind w:firstLine="64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3.公务接待费支出0万元。</w:t>
      </w:r>
      <w:bookmarkStart w:id="58" w:name="_Toc15396610"/>
      <w:bookmarkStart w:id="59" w:name="_Toc15377218"/>
    </w:p>
    <w:p w14:paraId="7110D0EF">
      <w:pPr>
        <w:spacing w:line="600" w:lineRule="exact"/>
        <w:ind w:firstLine="640"/>
        <w:outlineLvl w:val="1"/>
        <w:rPr>
          <w:rStyle w:val="30"/>
          <w:rFonts w:ascii="Times New Roman" w:hAnsi="Times New Roman" w:eastAsia="黑体"/>
          <w:color w:val="auto"/>
          <w:highlight w:val="none"/>
        </w:rPr>
      </w:pPr>
      <w:bookmarkStart w:id="60" w:name="_Toc8143"/>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58"/>
      <w:bookmarkEnd w:id="59"/>
      <w:bookmarkEnd w:id="60"/>
    </w:p>
    <w:p w14:paraId="3E5E575D">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p>
    <w:p w14:paraId="1D88C3B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B468374">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61" w:name="_Toc28784"/>
      <w:bookmarkStart w:id="62" w:name="_Toc15396611"/>
      <w:bookmarkStart w:id="63" w:name="_Toc15377219"/>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61"/>
      <w:bookmarkEnd w:id="62"/>
      <w:bookmarkEnd w:id="63"/>
    </w:p>
    <w:p w14:paraId="48885B3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14:paraId="2115B66B">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64" w:name="_Toc15377221"/>
      <w:bookmarkStart w:id="65" w:name="_Toc15396612"/>
      <w:bookmarkStart w:id="66" w:name="_Toc31968"/>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64"/>
      <w:bookmarkEnd w:id="65"/>
      <w:bookmarkEnd w:id="66"/>
    </w:p>
    <w:p w14:paraId="0976BF7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7" w:name="_Toc15377222"/>
      <w:bookmarkStart w:id="68" w:name="_Toc19400"/>
      <w:r>
        <w:rPr>
          <w:rFonts w:hint="eastAsia" w:ascii="Times New Roman" w:hAnsi="Times New Roman" w:eastAsia="楷体_GB2312" w:cs="楷体_GB2312"/>
          <w:b/>
          <w:color w:val="auto"/>
          <w:sz w:val="32"/>
          <w:szCs w:val="32"/>
          <w:highlight w:val="none"/>
        </w:rPr>
        <w:t>（一）机关运行经费支出情况</w:t>
      </w:r>
      <w:bookmarkEnd w:id="67"/>
      <w:bookmarkEnd w:id="68"/>
    </w:p>
    <w:p w14:paraId="1FEFEFD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五通桥区中小企业服务中心</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p>
    <w:p w14:paraId="44C4186A">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9" w:name="_Toc15377223"/>
      <w:bookmarkStart w:id="70" w:name="_Toc29907"/>
      <w:r>
        <w:rPr>
          <w:rFonts w:hint="eastAsia" w:ascii="Times New Roman" w:hAnsi="Times New Roman" w:eastAsia="楷体_GB2312" w:cs="楷体_GB2312"/>
          <w:b/>
          <w:color w:val="auto"/>
          <w:sz w:val="32"/>
          <w:szCs w:val="32"/>
          <w:highlight w:val="none"/>
        </w:rPr>
        <w:t>（二）政府采购支出情况</w:t>
      </w:r>
      <w:bookmarkEnd w:id="69"/>
      <w:bookmarkEnd w:id="70"/>
    </w:p>
    <w:p w14:paraId="42BD288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五通桥区中小企业服务中心</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14:paraId="58B3E08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1" w:name="_Toc8475"/>
      <w:bookmarkStart w:id="72" w:name="_Toc15377224"/>
      <w:r>
        <w:rPr>
          <w:rFonts w:hint="eastAsia" w:ascii="Times New Roman" w:hAnsi="Times New Roman" w:eastAsia="楷体_GB2312" w:cs="楷体_GB2312"/>
          <w:b/>
          <w:color w:val="auto"/>
          <w:sz w:val="32"/>
          <w:szCs w:val="32"/>
          <w:highlight w:val="none"/>
        </w:rPr>
        <w:t>（三）国有资产占有使用情况</w:t>
      </w:r>
      <w:bookmarkEnd w:id="71"/>
      <w:bookmarkEnd w:id="72"/>
    </w:p>
    <w:p w14:paraId="5106273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五通桥区中小企业服务中心</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0896908C">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3" w:name="_Toc11257"/>
      <w:r>
        <w:rPr>
          <w:rFonts w:hint="eastAsia" w:ascii="Times New Roman" w:hAnsi="Times New Roman" w:eastAsia="楷体_GB2312" w:cs="楷体_GB2312"/>
          <w:b/>
          <w:color w:val="auto"/>
          <w:sz w:val="32"/>
          <w:szCs w:val="32"/>
          <w:highlight w:val="none"/>
        </w:rPr>
        <w:t>（四）预算绩效管理情况</w:t>
      </w:r>
      <w:bookmarkEnd w:id="73"/>
    </w:p>
    <w:p w14:paraId="794FB2CD">
      <w:pPr>
        <w:spacing w:line="600" w:lineRule="exact"/>
        <w:ind w:firstLine="640"/>
        <w:rPr>
          <w:rFonts w:hint="eastAsia" w:ascii="Times New Roman" w:hAnsi="Times New Roman" w:eastAsia="黑体"/>
          <w:color w:val="auto"/>
          <w:sz w:val="44"/>
          <w:szCs w:val="44"/>
          <w:highlight w:val="none"/>
        </w:rPr>
      </w:pPr>
      <w:r>
        <w:rPr>
          <w:rFonts w:hint="eastAsia" w:eastAsia="仿宋_GB2312" w:cs="仿宋_GB2312"/>
          <w:b w:val="0"/>
          <w:bCs w:val="0"/>
          <w:color w:val="auto"/>
          <w:kern w:val="2"/>
          <w:sz w:val="32"/>
          <w:szCs w:val="32"/>
          <w:highlight w:val="none"/>
          <w:lang w:val="en-US" w:eastAsia="zh-CN" w:bidi="ar-SA"/>
        </w:rPr>
        <w:t>无。</w:t>
      </w:r>
      <w:bookmarkStart w:id="74" w:name="_Toc15377225"/>
      <w:bookmarkStart w:id="75" w:name="_Toc15396613"/>
    </w:p>
    <w:p w14:paraId="0316BE21">
      <w:pPr>
        <w:numPr>
          <w:ilvl w:val="0"/>
          <w:numId w:val="0"/>
        </w:numPr>
        <w:spacing w:line="600" w:lineRule="exact"/>
        <w:jc w:val="center"/>
        <w:outlineLvl w:val="0"/>
        <w:rPr>
          <w:rFonts w:hint="eastAsia" w:ascii="Times New Roman" w:hAnsi="Times New Roman" w:eastAsia="黑体"/>
          <w:color w:val="auto"/>
          <w:sz w:val="44"/>
          <w:szCs w:val="44"/>
          <w:highlight w:val="none"/>
        </w:rPr>
      </w:pPr>
    </w:p>
    <w:p w14:paraId="589DEA29">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76" w:name="_Toc2670"/>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74"/>
      <w:bookmarkEnd w:id="75"/>
      <w:bookmarkEnd w:id="76"/>
    </w:p>
    <w:p w14:paraId="2724D93A">
      <w:pPr>
        <w:spacing w:line="600" w:lineRule="exact"/>
        <w:jc w:val="left"/>
        <w:rPr>
          <w:rFonts w:ascii="Times New Roman" w:hAnsi="Times New Roman"/>
          <w:b/>
          <w:color w:val="auto"/>
          <w:sz w:val="44"/>
          <w:szCs w:val="44"/>
          <w:highlight w:val="none"/>
        </w:rPr>
      </w:pPr>
    </w:p>
    <w:p w14:paraId="2A0B3482">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4DBD3A8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2.其他收入：指单位取得的除上述收入以外的各项收入。主要是单位资金（收入类型）等。</w:t>
      </w:r>
    </w:p>
    <w:p w14:paraId="3F9974F5">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行政事业单位养老支出；企业改革补助；其他社会保障和就业支出（款）机关事业单位基本养老保险缴费支出；机关事业单位职业年金缴费支出；其他行政事业单位养老支出；企业关闭破产补助；其他社会保障和就业支出（项）：指部门实施养老保险制度由单位缴纳的养老保险费的支出；指部门实施养老保险制度由单位缴纳的职业年金的支出；指除上述项目外，其他用于行政事业单位离退休方面的支出；指企业关闭破产补助支出；指其他用于企业补…助支出。</w:t>
      </w:r>
    </w:p>
    <w:p w14:paraId="1A4FD7B6">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4.卫生健康（类）公共卫生；行政事业单位医疗（款）其他公共卫生支出；行政单位医疗（项）：指行政单位及参公管理事业单位用于集中缴纳的医疗支出。</w:t>
      </w:r>
    </w:p>
    <w:p w14:paraId="1ABAAB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5.资源勘探工业信息等（类）资源勘探开发；制造业；</w:t>
      </w:r>
    </w:p>
    <w:p w14:paraId="38F63BE3">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工业和信息产业监管其他资源勘探工业信息等支出（款）行政运行；一般行政管理事务；其他制造业支出；其他工业和信息产业监管支出；其他资源勘探工业信息等支出（项）：指指用于资源勘探、制造业、建筑业、工业信息等方面支出，包括保障机构正常运转、完成日常和特定的工作任务或事业发展目标的支出。</w:t>
      </w:r>
    </w:p>
    <w:p w14:paraId="481E44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6.住房保障（类）住房改革支出（款）住房公积金（项）：指由单位及其在职职工按规定缴存的住房公积金支出。</w:t>
      </w:r>
    </w:p>
    <w:p w14:paraId="681E09A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7.基本支出：指为保障机构正常运转、完成日常工作任务而发生的人员支出和公用支出。</w:t>
      </w:r>
    </w:p>
    <w:p w14:paraId="0974807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8.项目支出：指在基本支出之外为完成特定行政任务和事业发展目标所发生的支出。</w:t>
      </w:r>
    </w:p>
    <w:p w14:paraId="419CB01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25A91CF">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eastAsia="仿宋_GB2312" w:cs="仿宋_GB2312"/>
          <w:color w:val="auto"/>
          <w:kern w:val="2"/>
          <w:sz w:val="32"/>
          <w:szCs w:val="32"/>
          <w:highlight w:val="none"/>
          <w:lang w:val="en-US" w:eastAsia="zh-CN" w:bidi="ar-SA"/>
        </w:rPr>
        <w:t>。</w:t>
      </w:r>
    </w:p>
    <w:p w14:paraId="2ADD27BE">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（注：名词解释部分请根据各部门实际列支情况罗列，并根据本部门职责职能增减名词解释内容）</w:t>
      </w:r>
    </w:p>
    <w:p w14:paraId="209C60AF">
      <w:pPr>
        <w:spacing w:line="600" w:lineRule="exact"/>
        <w:jc w:val="center"/>
        <w:outlineLvl w:val="0"/>
        <w:rPr>
          <w:rFonts w:hint="eastAsia" w:ascii="Times New Roman" w:hAnsi="Times New Roman" w:eastAsia="黑体" w:cs="黑体"/>
          <w:color w:val="auto"/>
          <w:kern w:val="0"/>
          <w:sz w:val="32"/>
          <w:szCs w:val="32"/>
          <w:highlight w:val="none"/>
          <w:shd w:val="clear" w:color="auto" w:fill="FFFFFF"/>
          <w:lang w:val="zh-CN"/>
        </w:rPr>
      </w:pPr>
      <w:bookmarkStart w:id="77"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78" w:name="_Toc15396614"/>
      <w:bookmarkStart w:id="79" w:name="_Toc10067"/>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78"/>
      <w:bookmarkEnd w:id="79"/>
    </w:p>
    <w:p w14:paraId="169D5273">
      <w:pPr>
        <w:keepNext w:val="0"/>
        <w:keepLines w:val="0"/>
        <w:pageBreakBefore w:val="0"/>
        <w:widowControl w:val="0"/>
        <w:kinsoku/>
        <w:wordWrap/>
        <w:overflowPunct/>
        <w:topLinePunct w:val="0"/>
        <w:autoSpaceDE/>
        <w:autoSpaceDN/>
        <w:bidi w:val="0"/>
        <w:spacing w:line="578" w:lineRule="exact"/>
        <w:textAlignment w:val="auto"/>
        <w:outlineLvl w:val="9"/>
        <w:rPr>
          <w:rFonts w:hint="default" w:ascii="Times New Roman" w:hAnsi="Times New Roman" w:eastAsia="仿宋_GB2312" w:cs="仿宋_GB2312"/>
          <w:b w:val="0"/>
          <w:bCs w:val="0"/>
          <w:kern w:val="0"/>
          <w:position w:val="0"/>
          <w:sz w:val="32"/>
          <w:szCs w:val="32"/>
          <w:highlight w:val="none"/>
          <w:lang w:val="en-US" w:eastAsia="zh-CN" w:bidi="ar-SA"/>
        </w:rPr>
      </w:pPr>
      <w:bookmarkStart w:id="80" w:name="_Toc15396618"/>
      <w:r>
        <w:rPr>
          <w:rFonts w:hint="eastAsia" w:eastAsia="仿宋_GB2312" w:cs="仿宋_GB2312"/>
          <w:b w:val="0"/>
          <w:bCs w:val="0"/>
          <w:kern w:val="0"/>
          <w:position w:val="0"/>
          <w:sz w:val="32"/>
          <w:szCs w:val="32"/>
          <w:highlight w:val="none"/>
          <w:lang w:val="en-US" w:eastAsia="zh-CN" w:bidi="ar-SA"/>
        </w:rPr>
        <w:t>无</w:t>
      </w:r>
    </w:p>
    <w:p w14:paraId="117200C8">
      <w:pPr>
        <w:widowControl/>
        <w:jc w:val="center"/>
        <w:outlineLvl w:val="0"/>
        <w:rPr>
          <w:rFonts w:hint="eastAsia" w:ascii="Times New Roman" w:hAnsi="Times New Roman" w:eastAsia="仿宋"/>
          <w:b w:val="0"/>
          <w:color w:val="auto"/>
          <w:highlight w:val="none"/>
        </w:rPr>
      </w:pPr>
      <w:bookmarkStart w:id="81" w:name="_Toc18311"/>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77"/>
      <w:bookmarkEnd w:id="80"/>
      <w:bookmarkEnd w:id="81"/>
      <w:bookmarkStart w:id="82" w:name="_Toc15396619"/>
    </w:p>
    <w:p w14:paraId="1F84B72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4CB1A9C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82"/>
    </w:p>
    <w:p w14:paraId="3E5A1301">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3" w:name="_Toc15396620"/>
      <w:r>
        <w:rPr>
          <w:rFonts w:hint="eastAsia" w:ascii="Times New Roman" w:hAnsi="Times New Roman" w:eastAsia="仿宋_GB2312" w:cs="仿宋_GB2312"/>
          <w:color w:val="auto"/>
          <w:sz w:val="32"/>
          <w:szCs w:val="32"/>
          <w:highlight w:val="none"/>
        </w:rPr>
        <w:t>二、收入决算表</w:t>
      </w:r>
      <w:bookmarkEnd w:id="83"/>
    </w:p>
    <w:p w14:paraId="7F77709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4" w:name="_Toc15396621"/>
      <w:r>
        <w:rPr>
          <w:rFonts w:hint="eastAsia" w:ascii="Times New Roman" w:hAnsi="Times New Roman" w:eastAsia="仿宋_GB2312" w:cs="仿宋_GB2312"/>
          <w:color w:val="auto"/>
          <w:sz w:val="32"/>
          <w:szCs w:val="32"/>
          <w:highlight w:val="none"/>
        </w:rPr>
        <w:t>三、支出决算表</w:t>
      </w:r>
      <w:bookmarkEnd w:id="84"/>
    </w:p>
    <w:p w14:paraId="19E96D3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5" w:name="_Toc15396622"/>
      <w:r>
        <w:rPr>
          <w:rFonts w:hint="eastAsia" w:ascii="Times New Roman" w:hAnsi="Times New Roman" w:eastAsia="仿宋_GB2312" w:cs="仿宋_GB2312"/>
          <w:color w:val="auto"/>
          <w:sz w:val="32"/>
          <w:szCs w:val="32"/>
          <w:highlight w:val="none"/>
        </w:rPr>
        <w:t>四、财政拨款收入支出决算总表</w:t>
      </w:r>
      <w:bookmarkEnd w:id="85"/>
    </w:p>
    <w:p w14:paraId="7053F03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6" w:name="_Toc15396623"/>
      <w:r>
        <w:rPr>
          <w:rFonts w:hint="eastAsia" w:ascii="Times New Roman" w:hAnsi="Times New Roman" w:eastAsia="仿宋_GB2312" w:cs="仿宋_GB2312"/>
          <w:color w:val="auto"/>
          <w:sz w:val="32"/>
          <w:szCs w:val="32"/>
          <w:highlight w:val="none"/>
        </w:rPr>
        <w:t>五、财政拨款支出决算明细表</w:t>
      </w:r>
      <w:bookmarkEnd w:id="86"/>
      <w:bookmarkStart w:id="87" w:name="_Toc15396624"/>
    </w:p>
    <w:p w14:paraId="7C354A8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87"/>
    </w:p>
    <w:p w14:paraId="14274568">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8" w:name="_Toc15396625"/>
      <w:r>
        <w:rPr>
          <w:rFonts w:hint="eastAsia" w:ascii="Times New Roman" w:hAnsi="Times New Roman" w:eastAsia="仿宋_GB2312" w:cs="仿宋_GB2312"/>
          <w:color w:val="auto"/>
          <w:sz w:val="32"/>
          <w:szCs w:val="32"/>
          <w:highlight w:val="none"/>
        </w:rPr>
        <w:t>七、一般公共预算财政拨款支出决算明细表</w:t>
      </w:r>
      <w:bookmarkEnd w:id="88"/>
    </w:p>
    <w:p w14:paraId="41A6100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9" w:name="_Toc15396626"/>
      <w:r>
        <w:rPr>
          <w:rFonts w:hint="eastAsia" w:ascii="Times New Roman" w:hAnsi="Times New Roman" w:eastAsia="仿宋_GB2312" w:cs="仿宋_GB2312"/>
          <w:color w:val="auto"/>
          <w:sz w:val="32"/>
          <w:szCs w:val="32"/>
          <w:highlight w:val="none"/>
        </w:rPr>
        <w:t>八、一般公共预算财政拨款基本支出决算表</w:t>
      </w:r>
      <w:bookmarkEnd w:id="89"/>
    </w:p>
    <w:p w14:paraId="091B3DF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0" w:name="_Toc15396627"/>
      <w:r>
        <w:rPr>
          <w:rFonts w:hint="eastAsia" w:ascii="Times New Roman" w:hAnsi="Times New Roman" w:eastAsia="仿宋_GB2312" w:cs="仿宋_GB2312"/>
          <w:color w:val="auto"/>
          <w:sz w:val="32"/>
          <w:szCs w:val="32"/>
          <w:highlight w:val="none"/>
        </w:rPr>
        <w:t>九、一般公共预算财政拨款项目支出决算表</w:t>
      </w:r>
      <w:bookmarkEnd w:id="90"/>
    </w:p>
    <w:p w14:paraId="21ABE63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1" w:name="_Toc15396628"/>
      <w:r>
        <w:rPr>
          <w:rFonts w:hint="eastAsia" w:ascii="Times New Roman" w:hAnsi="Times New Roman" w:eastAsia="仿宋_GB2312" w:cs="仿宋_GB2312"/>
          <w:color w:val="auto"/>
          <w:sz w:val="32"/>
          <w:szCs w:val="32"/>
          <w:highlight w:val="none"/>
        </w:rPr>
        <w:t>十、</w:t>
      </w:r>
      <w:bookmarkEnd w:id="91"/>
      <w:r>
        <w:rPr>
          <w:rFonts w:hint="eastAsia" w:ascii="Times New Roman" w:hAnsi="Times New Roman" w:eastAsia="仿宋_GB2312" w:cs="仿宋_GB2312"/>
          <w:color w:val="auto"/>
          <w:sz w:val="32"/>
          <w:szCs w:val="32"/>
          <w:highlight w:val="none"/>
        </w:rPr>
        <w:t>政府性基金预算财政拨款收入支出决算表</w:t>
      </w:r>
    </w:p>
    <w:p w14:paraId="4EC5357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2" w:name="_Toc15396629"/>
      <w:r>
        <w:rPr>
          <w:rFonts w:hint="eastAsia" w:ascii="Times New Roman" w:hAnsi="Times New Roman" w:eastAsia="仿宋_GB2312" w:cs="仿宋_GB2312"/>
          <w:color w:val="auto"/>
          <w:sz w:val="32"/>
          <w:szCs w:val="32"/>
          <w:highlight w:val="none"/>
        </w:rPr>
        <w:t>十一、</w:t>
      </w:r>
      <w:bookmarkEnd w:id="92"/>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2A7A0DA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3" w:name="_Toc15396630"/>
      <w:r>
        <w:rPr>
          <w:rFonts w:hint="eastAsia" w:ascii="Times New Roman" w:hAnsi="Times New Roman" w:eastAsia="仿宋_GB2312" w:cs="仿宋_GB2312"/>
          <w:color w:val="auto"/>
          <w:sz w:val="32"/>
          <w:szCs w:val="32"/>
          <w:highlight w:val="none"/>
        </w:rPr>
        <w:t>十二、</w:t>
      </w:r>
      <w:bookmarkEnd w:id="93"/>
      <w:r>
        <w:rPr>
          <w:rFonts w:hint="eastAsia" w:ascii="Times New Roman" w:hAnsi="Times New Roman" w:eastAsia="仿宋_GB2312" w:cs="仿宋_GB2312"/>
          <w:color w:val="auto"/>
          <w:sz w:val="32"/>
          <w:szCs w:val="32"/>
          <w:highlight w:val="none"/>
          <w:lang w:eastAsia="zh-CN"/>
        </w:rPr>
        <w:t>国有资本经营预算财政拨款支出决算表</w:t>
      </w:r>
    </w:p>
    <w:p w14:paraId="45738206">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94" w:name="_Toc15396631"/>
      <w:r>
        <w:rPr>
          <w:rFonts w:hint="eastAsia" w:ascii="Times New Roman" w:hAnsi="Times New Roman" w:eastAsia="仿宋_GB2312" w:cs="仿宋_GB2312"/>
          <w:color w:val="auto"/>
          <w:sz w:val="32"/>
          <w:szCs w:val="32"/>
          <w:highlight w:val="none"/>
        </w:rPr>
        <w:t>十三、</w:t>
      </w:r>
      <w:bookmarkEnd w:id="94"/>
      <w:r>
        <w:rPr>
          <w:rFonts w:hint="eastAsia" w:ascii="Times New Roman" w:hAnsi="Times New Roman" w:eastAsia="仿宋_GB2312" w:cs="仿宋_GB2312"/>
          <w:color w:val="auto"/>
          <w:sz w:val="32"/>
          <w:szCs w:val="32"/>
          <w:highlight w:val="none"/>
          <w:lang w:eastAsia="zh-CN"/>
        </w:rPr>
        <w:t>财政拨款“三公”经费支出决算表</w:t>
      </w:r>
    </w:p>
    <w:p w14:paraId="7E082651">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EE142">
    <w:pPr>
      <w:pStyle w:val="10"/>
      <w:jc w:val="center"/>
    </w:pPr>
  </w:p>
  <w:p w14:paraId="0F151337">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B0F4">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F9F40">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9120A7">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9120A7">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4839DB13">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AED2E">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6315CB">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06315CB">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2E804">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95717D"/>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1643CD"/>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64619"/>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Title"/>
    <w:basedOn w:val="1"/>
    <w:next w:val="1"/>
    <w:qFormat/>
    <w:uiPriority w:val="0"/>
    <w:pPr>
      <w:spacing w:before="240" w:beforeLines="0" w:after="60" w:afterLines="0"/>
      <w:jc w:val="center"/>
      <w:outlineLvl w:val="0"/>
    </w:pPr>
    <w:rPr>
      <w:rFonts w:ascii="Cambria" w:hAnsi="Cambria" w:eastAsia="仿宋" w:cs="Times New Roman"/>
      <w:b/>
      <w:bCs/>
      <w:szCs w:val="32"/>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95.48</c:v>
                </c:pt>
                <c:pt idx="1">
                  <c:v>95.48</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112.88</c:v>
                </c:pt>
                <c:pt idx="1">
                  <c:v>112.88</c:v>
                </c:pt>
              </c:numCache>
            </c:numRef>
          </c:val>
        </c:ser>
        <c:dLbls>
          <c:showLegendKey val="0"/>
          <c:showVal val="1"/>
          <c:showCatName val="0"/>
          <c:showSerName val="0"/>
          <c:showPercent val="0"/>
          <c:showBubbleSize val="0"/>
        </c:dLbls>
        <c:gapWidth val="246"/>
        <c:overlap val="-28"/>
        <c:axId val="305209670"/>
        <c:axId val="696657818"/>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30520967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6657818"/>
        <c:crosses val="autoZero"/>
        <c:auto val="1"/>
        <c:lblAlgn val="ctr"/>
        <c:lblOffset val="100"/>
        <c:noMultiLvlLbl val="0"/>
      </c:catAx>
      <c:valAx>
        <c:axId val="696657818"/>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520967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9f7dd60-e922-4e78-9e8e-d751d651ac99}"/>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delete val="1"/>
            </c:dLbl>
            <c:dLbl>
              <c:idx val="2"/>
              <c:delete val="1"/>
            </c:dLbl>
            <c:dLbl>
              <c:idx val="3"/>
              <c:delete val="1"/>
            </c:dLbl>
            <c:dLbl>
              <c:idx val="4"/>
              <c:delete val="1"/>
            </c:dLbl>
            <c:dLbl>
              <c:idx val="5"/>
              <c:delete val="1"/>
            </c:dLbl>
            <c:dLbl>
              <c:idx val="6"/>
              <c:delete val="1"/>
            </c:dLbl>
            <c:dLbl>
              <c:idx val="7"/>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0%</c:formatCode>
                <c:ptCount val="8"/>
                <c:pt idx="0">
                  <c:v>1</c:v>
                </c:pt>
                <c:pt idx="1" c:formatCode="General">
                  <c:v>0</c:v>
                </c:pt>
                <c:pt idx="2" c:formatCode="General">
                  <c:v>0</c:v>
                </c:pt>
                <c:pt idx="3" c:formatCode="General">
                  <c:v>0</c:v>
                </c:pt>
                <c:pt idx="4" c:formatCode="General">
                  <c:v>0</c:v>
                </c:pt>
                <c:pt idx="5" c:formatCode="General">
                  <c:v>0</c:v>
                </c:pt>
                <c:pt idx="6" c:formatCode="General">
                  <c:v>0</c:v>
                </c:pt>
                <c:pt idx="7" c:formatCode="General">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5e688be-41cc-44ae-9522-a108029bd40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1"/>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0.00%</c:formatCode>
                <c:ptCount val="5"/>
                <c:pt idx="0">
                  <c:v>1</c:v>
                </c:pt>
                <c:pt idx="1">
                  <c:v>0</c:v>
                </c:pt>
                <c:pt idx="2" c:formatCode="General">
                  <c:v>0</c:v>
                </c:pt>
                <c:pt idx="3" c:formatCode="General">
                  <c:v>0</c:v>
                </c:pt>
                <c:pt idx="4"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c299f00-9f19-4574-a2c0-660b646c148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95.48</c:v>
                </c:pt>
                <c:pt idx="1">
                  <c:v>95.48</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112.88</c:v>
                </c:pt>
                <c:pt idx="1">
                  <c:v>112.88</c:v>
                </c:pt>
              </c:numCache>
            </c:numRef>
          </c:val>
        </c:ser>
        <c:dLbls>
          <c:showLegendKey val="0"/>
          <c:showVal val="1"/>
          <c:showCatName val="0"/>
          <c:showSerName val="0"/>
          <c:showPercent val="0"/>
          <c:showBubbleSize val="0"/>
        </c:dLbls>
        <c:gapWidth val="246"/>
        <c:overlap val="-28"/>
        <c:axId val="717049106"/>
        <c:axId val="626744960"/>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7170491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744960"/>
        <c:crosses val="autoZero"/>
        <c:auto val="1"/>
        <c:lblAlgn val="ctr"/>
        <c:lblOffset val="100"/>
        <c:noMultiLvlLbl val="0"/>
      </c:catAx>
      <c:valAx>
        <c:axId val="626744960"/>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704910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de48916-b4b4-41df-9a4a-f46c2975fde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95.48</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#,##0.00</c:formatCode>
                <c:ptCount val="1"/>
                <c:pt idx="0">
                  <c:v>112.88</c:v>
                </c:pt>
              </c:numCache>
            </c:numRef>
          </c:val>
        </c:ser>
        <c:dLbls>
          <c:showLegendKey val="0"/>
          <c:showVal val="1"/>
          <c:showCatName val="0"/>
          <c:showSerName val="0"/>
          <c:showPercent val="0"/>
          <c:showBubbleSize val="0"/>
        </c:dLbls>
        <c:gapWidth val="246"/>
        <c:overlap val="-28"/>
        <c:axId val="60042973"/>
        <c:axId val="770823047"/>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c15:sqref>
                        </c15:formulaRef>
                      </c:ext>
                    </c:extLst>
                    <c:strCache>
                      <c:ptCount val="1"/>
                      <c:pt idx="0">
                        <c:v>一般公共预算财政拨款支出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600429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0823047"/>
        <c:crosses val="autoZero"/>
        <c:auto val="1"/>
        <c:lblAlgn val="ctr"/>
        <c:lblOffset val="100"/>
        <c:noMultiLvlLbl val="0"/>
      </c:catAx>
      <c:valAx>
        <c:axId val="770823047"/>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429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ee69a6d-2108-425f-a5f9-4ea0f1d11ec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资源勘探工业信息支出</c:v>
                </c:pt>
                <c:pt idx="1">
                  <c:v>社会保障和就业支出</c:v>
                </c:pt>
                <c:pt idx="2">
                  <c:v>卫生健康支出</c:v>
                </c:pt>
                <c:pt idx="3">
                  <c:v>住房保障支出</c:v>
                </c:pt>
              </c:strCache>
            </c:strRef>
          </c:cat>
          <c:val>
            <c:numRef>
              <c:f>Sheet1!$B$2:$B$5</c:f>
              <c:numCache>
                <c:formatCode>0.00%</c:formatCode>
                <c:ptCount val="4"/>
                <c:pt idx="0">
                  <c:v>0.7062</c:v>
                </c:pt>
                <c:pt idx="1">
                  <c:v>0.1505</c:v>
                </c:pt>
                <c:pt idx="2">
                  <c:v>0.0771</c:v>
                </c:pt>
                <c:pt idx="3">
                  <c:v>0.0662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0788c4-11f2-4ea6-b93e-eb3e5c6b101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13</Pages>
  <Words>4070</Words>
  <Characters>4370</Characters>
  <Lines>61</Lines>
  <Paragraphs>17</Paragraphs>
  <TotalTime>6</TotalTime>
  <ScaleCrop>false</ScaleCrop>
  <LinksUpToDate>false</LinksUpToDate>
  <CharactersWithSpaces>4470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壁花</cp:lastModifiedBy>
  <cp:lastPrinted>2025-08-06T17:34:00Z</cp:lastPrinted>
  <dcterms:modified xsi:type="dcterms:W3CDTF">2025-10-24T01:22:47Z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04787F2533EB45DC91BCDE4AB213247F</vt:lpwstr>
  </property>
  <property fmtid="{D5CDD505-2E9C-101B-9397-08002B2CF9AE}" pid="4" name="KSOTemplateDocerSaveRecord">
    <vt:lpwstr>eyJoZGlkIjoiOWRhMTZjMWZmNWJhYmRlZmZhOWYzOGZhZjAwYjAzMjgiLCJ1c2VySWQiOiIyMzQwOTg4MjAifQ==</vt:lpwstr>
  </property>
</Properties>
</file>