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FB4341">
      <w:pPr>
        <w:pStyle w:val="2"/>
        <w:jc w:val="both"/>
        <w:rPr>
          <w:rFonts w:hint="eastAsia" w:ascii="Times New Roman" w:hAnsi="Times New Roman" w:eastAsia="方正小标宋简体" w:cs="Times New Roman"/>
          <w:color w:val="auto"/>
          <w:kern w:val="2"/>
          <w:sz w:val="44"/>
          <w:szCs w:val="44"/>
          <w:highlight w:val="none"/>
          <w:lang w:val="en-US" w:eastAsia="zh-CN" w:bidi="ar-SA"/>
        </w:rPr>
      </w:pPr>
      <w:bookmarkStart w:id="0" w:name="_Toc15378441"/>
      <w:bookmarkStart w:id="1" w:name="_Toc15377425"/>
      <w:bookmarkStart w:id="2" w:name="_Toc15396475"/>
      <w:bookmarkStart w:id="3" w:name="_Toc15377193"/>
      <w:bookmarkStart w:id="4" w:name="_Toc15396597"/>
      <w:bookmarkStart w:id="5" w:name="_Toc15306267"/>
    </w:p>
    <w:bookmarkEnd w:id="0"/>
    <w:bookmarkEnd w:id="1"/>
    <w:bookmarkEnd w:id="2"/>
    <w:bookmarkEnd w:id="3"/>
    <w:bookmarkEnd w:id="4"/>
    <w:p w14:paraId="1430236B">
      <w:pPr>
        <w:pStyle w:val="2"/>
        <w:jc w:val="center"/>
        <w:rPr>
          <w:rFonts w:hint="eastAsia" w:ascii="Times New Roman" w:hAnsi="Times New Roman" w:eastAsia="方正小标宋简体" w:cs="Times New Roman"/>
          <w:color w:val="auto"/>
          <w:kern w:val="2"/>
          <w:sz w:val="44"/>
          <w:szCs w:val="44"/>
          <w:highlight w:val="none"/>
          <w:lang w:val="en-US" w:eastAsia="zh-CN" w:bidi="ar-SA"/>
        </w:rPr>
      </w:pPr>
      <w:bookmarkStart w:id="6" w:name="_Toc15396598"/>
      <w:bookmarkStart w:id="7" w:name="_Toc15396476"/>
      <w:bookmarkStart w:id="8" w:name="_Toc15377426"/>
      <w:bookmarkStart w:id="9" w:name="_Toc15378442"/>
      <w:bookmarkStart w:id="10" w:name="_Toc15377194"/>
      <w:r>
        <w:rPr>
          <w:rFonts w:hint="eastAsia" w:ascii="Times New Roman" w:hAnsi="Times New Roman" w:eastAsia="方正小标宋简体" w:cs="Times New Roman"/>
          <w:color w:val="auto"/>
          <w:kern w:val="2"/>
          <w:sz w:val="44"/>
          <w:szCs w:val="44"/>
          <w:highlight w:val="none"/>
          <w:lang w:val="en-US" w:eastAsia="zh-CN" w:bidi="ar-SA"/>
        </w:rPr>
        <w:t>2024年度</w:t>
      </w:r>
    </w:p>
    <w:p w14:paraId="17D3BF34">
      <w:pPr>
        <w:pStyle w:val="2"/>
        <w:jc w:val="center"/>
        <w:rPr>
          <w:rFonts w:hint="eastAsia" w:ascii="Times New Roman" w:eastAsia="方正小标宋简体" w:cs="Times New Roman"/>
          <w:color w:val="auto"/>
          <w:kern w:val="2"/>
          <w:sz w:val="44"/>
          <w:szCs w:val="44"/>
          <w:highlight w:val="none"/>
          <w:lang w:val="en-US" w:eastAsia="zh-CN" w:bidi="ar-SA"/>
        </w:rPr>
      </w:pPr>
      <w:r>
        <w:rPr>
          <w:rFonts w:hint="eastAsia" w:ascii="Times New Roman" w:hAnsi="Times New Roman" w:eastAsia="方正小标宋简体" w:cs="Times New Roman"/>
          <w:color w:val="auto"/>
          <w:kern w:val="2"/>
          <w:sz w:val="44"/>
          <w:szCs w:val="44"/>
          <w:highlight w:val="none"/>
          <w:lang w:val="en-US" w:eastAsia="zh-CN" w:bidi="ar-SA"/>
        </w:rPr>
        <w:t>四川省</w:t>
      </w:r>
      <w:bookmarkEnd w:id="5"/>
      <w:bookmarkStart w:id="11" w:name="_Toc15306268"/>
      <w:r>
        <w:rPr>
          <w:rFonts w:hint="eastAsia" w:ascii="Times New Roman" w:eastAsia="方正小标宋简体" w:cs="Times New Roman"/>
          <w:color w:val="auto"/>
          <w:kern w:val="2"/>
          <w:sz w:val="44"/>
          <w:szCs w:val="44"/>
          <w:highlight w:val="none"/>
          <w:lang w:val="en-US" w:eastAsia="zh-CN" w:bidi="ar-SA"/>
        </w:rPr>
        <w:t>五通桥区</w:t>
      </w:r>
    </w:p>
    <w:p w14:paraId="263F7434">
      <w:pPr>
        <w:pStyle w:val="2"/>
        <w:jc w:val="center"/>
        <w:rPr>
          <w:rFonts w:hint="eastAsia" w:ascii="Times New Roman" w:hAnsi="Times New Roman" w:eastAsia="方正小标宋简体" w:cs="Times New Roman"/>
          <w:color w:val="auto"/>
          <w:kern w:val="2"/>
          <w:sz w:val="44"/>
          <w:szCs w:val="44"/>
          <w:highlight w:val="none"/>
          <w:lang w:val="en-US" w:eastAsia="zh-CN" w:bidi="ar-SA"/>
        </w:rPr>
      </w:pPr>
      <w:r>
        <w:rPr>
          <w:rFonts w:hint="eastAsia" w:ascii="Times New Roman" w:eastAsia="方正小标宋简体" w:cs="Times New Roman"/>
          <w:color w:val="auto"/>
          <w:kern w:val="2"/>
          <w:sz w:val="44"/>
          <w:szCs w:val="44"/>
          <w:highlight w:val="none"/>
          <w:lang w:val="en-US" w:eastAsia="zh-CN" w:bidi="ar-SA"/>
        </w:rPr>
        <w:t>投资促进服务中心</w:t>
      </w:r>
      <w:r>
        <w:rPr>
          <w:rFonts w:hint="eastAsia" w:ascii="Times New Roman" w:hAnsi="Times New Roman" w:eastAsia="方正小标宋简体" w:cs="Times New Roman"/>
          <w:color w:val="auto"/>
          <w:kern w:val="2"/>
          <w:sz w:val="44"/>
          <w:szCs w:val="44"/>
          <w:highlight w:val="none"/>
          <w:lang w:val="en-US" w:eastAsia="zh-CN" w:bidi="ar-SA"/>
        </w:rPr>
        <w:t>部门决算</w:t>
      </w:r>
      <w:bookmarkEnd w:id="6"/>
      <w:bookmarkEnd w:id="7"/>
      <w:bookmarkEnd w:id="8"/>
      <w:bookmarkEnd w:id="9"/>
      <w:bookmarkEnd w:id="10"/>
      <w:bookmarkEnd w:id="11"/>
    </w:p>
    <w:p w14:paraId="194EAD8F">
      <w:pPr>
        <w:widowControl/>
        <w:jc w:val="center"/>
        <w:rPr>
          <w:rFonts w:hint="eastAsia" w:ascii="Times New Roman" w:hAnsi="Times New Roman" w:eastAsia="黑体"/>
          <w:color w:val="auto"/>
          <w:sz w:val="48"/>
          <w:szCs w:val="48"/>
          <w:highlight w:val="none"/>
        </w:rPr>
      </w:pPr>
    </w:p>
    <w:p w14:paraId="3DC8B8C9">
      <w:pPr>
        <w:widowControl/>
        <w:jc w:val="center"/>
        <w:rPr>
          <w:rFonts w:hint="eastAsia" w:ascii="Times New Roman" w:hAnsi="Times New Roman" w:eastAsia="黑体"/>
          <w:color w:val="auto"/>
          <w:sz w:val="48"/>
          <w:szCs w:val="48"/>
          <w:highlight w:val="none"/>
        </w:rPr>
      </w:pPr>
    </w:p>
    <w:p w14:paraId="0D8FDFBE">
      <w:pPr>
        <w:widowControl/>
        <w:jc w:val="center"/>
        <w:rPr>
          <w:rFonts w:hint="eastAsia" w:ascii="Times New Roman" w:hAnsi="Times New Roman" w:eastAsia="黑体"/>
          <w:color w:val="auto"/>
          <w:sz w:val="48"/>
          <w:szCs w:val="48"/>
          <w:highlight w:val="none"/>
        </w:rPr>
      </w:pPr>
    </w:p>
    <w:p w14:paraId="716501FF">
      <w:pPr>
        <w:widowControl/>
        <w:jc w:val="center"/>
        <w:rPr>
          <w:rFonts w:hint="eastAsia" w:ascii="Times New Roman" w:hAnsi="Times New Roman" w:eastAsia="黑体"/>
          <w:color w:val="auto"/>
          <w:sz w:val="48"/>
          <w:szCs w:val="48"/>
          <w:highlight w:val="none"/>
        </w:rPr>
      </w:pPr>
    </w:p>
    <w:p w14:paraId="329E6932">
      <w:pPr>
        <w:widowControl/>
        <w:jc w:val="center"/>
        <w:rPr>
          <w:rFonts w:hint="eastAsia" w:ascii="Times New Roman" w:hAnsi="Times New Roman" w:eastAsia="黑体"/>
          <w:color w:val="auto"/>
          <w:sz w:val="48"/>
          <w:szCs w:val="48"/>
          <w:highlight w:val="none"/>
        </w:rPr>
      </w:pPr>
    </w:p>
    <w:p w14:paraId="3F6F27CF">
      <w:pPr>
        <w:widowControl/>
        <w:jc w:val="center"/>
        <w:rPr>
          <w:rFonts w:hint="eastAsia" w:ascii="Times New Roman" w:hAnsi="Times New Roman" w:eastAsia="黑体"/>
          <w:color w:val="auto"/>
          <w:sz w:val="48"/>
          <w:szCs w:val="48"/>
          <w:highlight w:val="none"/>
        </w:rPr>
      </w:pPr>
    </w:p>
    <w:p w14:paraId="532DA137">
      <w:pPr>
        <w:widowControl/>
        <w:jc w:val="center"/>
        <w:rPr>
          <w:rFonts w:hint="eastAsia" w:ascii="Times New Roman" w:hAnsi="Times New Roman" w:eastAsia="黑体"/>
          <w:color w:val="auto"/>
          <w:sz w:val="48"/>
          <w:szCs w:val="48"/>
          <w:highlight w:val="none"/>
        </w:rPr>
      </w:pPr>
    </w:p>
    <w:p w14:paraId="660E09EF">
      <w:pPr>
        <w:widowControl/>
        <w:jc w:val="center"/>
        <w:rPr>
          <w:rFonts w:hint="eastAsia" w:ascii="Times New Roman" w:hAnsi="Times New Roman" w:eastAsia="黑体"/>
          <w:color w:val="auto"/>
          <w:sz w:val="48"/>
          <w:szCs w:val="48"/>
          <w:highlight w:val="none"/>
        </w:rPr>
      </w:pPr>
    </w:p>
    <w:p w14:paraId="54B7B4BA">
      <w:pPr>
        <w:widowControl/>
        <w:jc w:val="center"/>
        <w:rPr>
          <w:rFonts w:hint="eastAsia" w:ascii="Times New Roman" w:hAnsi="Times New Roman" w:eastAsia="黑体"/>
          <w:color w:val="auto"/>
          <w:sz w:val="48"/>
          <w:szCs w:val="48"/>
          <w:highlight w:val="none"/>
        </w:rPr>
      </w:pPr>
    </w:p>
    <w:p w14:paraId="188F1AC7">
      <w:pPr>
        <w:widowControl/>
        <w:jc w:val="center"/>
        <w:rPr>
          <w:rFonts w:hint="eastAsia" w:ascii="Times New Roman" w:hAnsi="Times New Roman" w:eastAsia="黑体"/>
          <w:color w:val="auto"/>
          <w:sz w:val="48"/>
          <w:szCs w:val="48"/>
          <w:highlight w:val="none"/>
        </w:rPr>
      </w:pPr>
    </w:p>
    <w:p w14:paraId="39B32FB2">
      <w:pPr>
        <w:widowControl/>
        <w:jc w:val="center"/>
        <w:rPr>
          <w:rFonts w:hint="eastAsia" w:ascii="Times New Roman" w:hAnsi="Times New Roman" w:eastAsia="黑体"/>
          <w:color w:val="auto"/>
          <w:sz w:val="48"/>
          <w:szCs w:val="48"/>
          <w:highlight w:val="none"/>
        </w:rPr>
      </w:pPr>
    </w:p>
    <w:p w14:paraId="6F4E1510">
      <w:pPr>
        <w:widowControl/>
        <w:jc w:val="center"/>
        <w:rPr>
          <w:rFonts w:hint="eastAsia" w:ascii="Times New Roman" w:hAnsi="Times New Roman" w:eastAsia="黑体"/>
          <w:color w:val="auto"/>
          <w:sz w:val="48"/>
          <w:szCs w:val="48"/>
          <w:highlight w:val="none"/>
        </w:rPr>
      </w:pPr>
    </w:p>
    <w:p w14:paraId="4A25A7AA">
      <w:pPr>
        <w:widowControl/>
        <w:jc w:val="center"/>
        <w:rPr>
          <w:rFonts w:hint="eastAsia" w:ascii="Times New Roman" w:hAnsi="Times New Roman" w:eastAsia="黑体"/>
          <w:color w:val="auto"/>
          <w:sz w:val="48"/>
          <w:szCs w:val="48"/>
          <w:highlight w:val="none"/>
        </w:rPr>
      </w:pPr>
    </w:p>
    <w:p w14:paraId="1E9B6FB7">
      <w:pPr>
        <w:widowControl/>
        <w:jc w:val="center"/>
        <w:rPr>
          <w:rFonts w:hint="eastAsia" w:ascii="Times New Roman" w:hAnsi="Times New Roman" w:eastAsia="黑体"/>
          <w:color w:val="auto"/>
          <w:sz w:val="48"/>
          <w:szCs w:val="48"/>
          <w:highlight w:val="none"/>
        </w:rPr>
      </w:pPr>
    </w:p>
    <w:p w14:paraId="5E2F47E0">
      <w:pPr>
        <w:widowControl/>
        <w:jc w:val="center"/>
        <w:rPr>
          <w:rFonts w:hint="eastAsia" w:ascii="Times New Roman" w:hAnsi="Times New Roman" w:eastAsia="黑体"/>
          <w:color w:val="auto"/>
          <w:sz w:val="48"/>
          <w:szCs w:val="48"/>
          <w:highlight w:val="none"/>
        </w:rPr>
      </w:pPr>
    </w:p>
    <w:p w14:paraId="68AF7A01">
      <w:pPr>
        <w:widowControl/>
        <w:jc w:val="center"/>
        <w:rPr>
          <w:rFonts w:hint="eastAsia" w:ascii="Times New Roman" w:hAnsi="Times New Roman" w:eastAsia="黑体"/>
          <w:color w:val="auto"/>
          <w:sz w:val="48"/>
          <w:szCs w:val="48"/>
          <w:highlight w:val="none"/>
        </w:rPr>
      </w:pPr>
    </w:p>
    <w:sdt>
      <w:sdtPr>
        <w:rPr>
          <w:rFonts w:ascii="宋体" w:hAnsi="宋体" w:eastAsia="宋体" w:cs="Times New Roman"/>
          <w:kern w:val="2"/>
          <w:sz w:val="21"/>
          <w:szCs w:val="24"/>
          <w:lang w:val="en-US" w:eastAsia="zh-CN" w:bidi="ar-SA"/>
        </w:rPr>
        <w:id w:val="147451981"/>
        <w15:color w:val="DBDBDB"/>
        <w:docPartObj>
          <w:docPartGallery w:val="Table of Contents"/>
          <w:docPartUnique/>
        </w:docPartObj>
      </w:sdtPr>
      <w:sdtEndPr>
        <w:rPr>
          <w:rFonts w:hint="eastAsia" w:ascii="Times New Roman" w:hAnsi="Times New Roman" w:eastAsia="黑体" w:cs="Times New Roman"/>
          <w:color w:val="auto"/>
          <w:kern w:val="2"/>
          <w:sz w:val="21"/>
          <w:szCs w:val="48"/>
          <w:highlight w:val="none"/>
          <w:lang w:val="en-US" w:eastAsia="zh-CN" w:bidi="ar-SA"/>
        </w:rPr>
      </w:sdtEndPr>
      <w:sdtContent>
        <w:p w14:paraId="3CAF6173">
          <w:pPr>
            <w:spacing w:before="0" w:beforeLines="0" w:after="0" w:afterLines="0" w:line="240" w:lineRule="auto"/>
            <w:ind w:left="0" w:leftChars="0" w:right="0" w:rightChars="0" w:firstLine="0" w:firstLineChars="0"/>
            <w:jc w:val="center"/>
          </w:pPr>
          <w:r>
            <w:rPr>
              <w:rFonts w:ascii="宋体" w:hAnsi="宋体" w:eastAsia="宋体"/>
              <w:sz w:val="21"/>
            </w:rPr>
            <w:t>目录</w:t>
          </w:r>
        </w:p>
        <w:p w14:paraId="38C2A63A">
          <w:pPr>
            <w:pStyle w:val="12"/>
            <w:tabs>
              <w:tab w:val="right" w:leader="dot" w:pos="8306"/>
              <w:tab w:val="clear" w:pos="8296"/>
            </w:tabs>
            <w:rPr>
              <w:rFonts w:hint="eastAsia" w:ascii="黑体" w:hAnsi="黑体" w:eastAsia="黑体" w:cs="黑体"/>
            </w:rPr>
          </w:pPr>
          <w:r>
            <w:rPr>
              <w:rFonts w:hint="eastAsia" w:ascii="Times New Roman" w:hAnsi="Times New Roman" w:eastAsia="黑体"/>
              <w:color w:val="auto"/>
              <w:sz w:val="48"/>
              <w:szCs w:val="48"/>
              <w:highlight w:val="none"/>
            </w:rPr>
            <w:fldChar w:fldCharType="begin"/>
          </w:r>
          <w:r>
            <w:rPr>
              <w:rFonts w:hint="eastAsia" w:ascii="Times New Roman" w:hAnsi="Times New Roman" w:eastAsia="黑体"/>
              <w:color w:val="auto"/>
              <w:sz w:val="48"/>
              <w:szCs w:val="48"/>
              <w:highlight w:val="none"/>
            </w:rPr>
            <w:instrText xml:space="preserve">TOC \o "1-3" \h \u </w:instrText>
          </w:r>
          <w:r>
            <w:rPr>
              <w:rFonts w:hint="eastAsia" w:ascii="Times New Roman" w:hAnsi="Times New Roman" w:eastAsia="黑体"/>
              <w:color w:val="auto"/>
              <w:sz w:val="48"/>
              <w:szCs w:val="48"/>
              <w:highlight w:val="none"/>
            </w:rPr>
            <w:fldChar w:fldCharType="separate"/>
          </w:r>
          <w:r>
            <w:rPr>
              <w:rFonts w:hint="eastAsia" w:ascii="黑体" w:hAnsi="黑体" w:eastAsia="黑体" w:cs="黑体"/>
              <w:color w:val="auto"/>
              <w:szCs w:val="48"/>
              <w:highlight w:val="none"/>
            </w:rPr>
            <w:fldChar w:fldCharType="begin"/>
          </w:r>
          <w:r>
            <w:rPr>
              <w:rFonts w:hint="eastAsia" w:ascii="黑体" w:hAnsi="黑体" w:eastAsia="黑体" w:cs="黑体"/>
              <w:szCs w:val="48"/>
              <w:highlight w:val="none"/>
            </w:rPr>
            <w:instrText xml:space="preserve"> HYPERLINK \l _Toc22945 </w:instrText>
          </w:r>
          <w:r>
            <w:rPr>
              <w:rFonts w:hint="eastAsia" w:ascii="黑体" w:hAnsi="黑体" w:eastAsia="黑体" w:cs="黑体"/>
              <w:szCs w:val="48"/>
              <w:highlight w:val="none"/>
            </w:rPr>
            <w:fldChar w:fldCharType="separate"/>
          </w:r>
          <w:r>
            <w:rPr>
              <w:rFonts w:hint="eastAsia" w:ascii="黑体" w:hAnsi="黑体" w:eastAsia="黑体" w:cs="黑体"/>
              <w:highlight w:val="none"/>
            </w:rPr>
            <w:t>第一部分</w:t>
          </w:r>
          <w:r>
            <w:rPr>
              <w:rFonts w:hint="eastAsia" w:ascii="黑体" w:hAnsi="黑体" w:eastAsia="黑体" w:cs="黑体"/>
              <w:highlight w:val="none"/>
              <w:lang w:val="en-US" w:eastAsia="zh-CN"/>
            </w:rPr>
            <w:t xml:space="preserve"> </w:t>
          </w:r>
          <w:r>
            <w:rPr>
              <w:rFonts w:hint="eastAsia" w:ascii="黑体" w:hAnsi="黑体" w:eastAsia="黑体" w:cs="黑体"/>
              <w:highlight w:val="none"/>
            </w:rPr>
            <w:t xml:space="preserve"> </w:t>
          </w:r>
          <w:r>
            <w:rPr>
              <w:rFonts w:hint="eastAsia" w:ascii="黑体" w:hAnsi="黑体" w:eastAsia="黑体" w:cs="黑体"/>
              <w:bCs w:val="0"/>
              <w:highlight w:val="none"/>
            </w:rPr>
            <w:t>部门概况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_Toc22945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color w:val="auto"/>
              <w:szCs w:val="48"/>
              <w:highlight w:val="none"/>
            </w:rPr>
            <w:fldChar w:fldCharType="end"/>
          </w:r>
        </w:p>
        <w:p w14:paraId="1FE68515">
          <w:pPr>
            <w:pStyle w:val="14"/>
            <w:tabs>
              <w:tab w:val="right" w:leader="dot" w:pos="8306"/>
              <w:tab w:val="clear" w:pos="8296"/>
            </w:tabs>
            <w:rPr>
              <w:rFonts w:hint="eastAsia" w:ascii="黑体" w:hAnsi="黑体" w:eastAsia="黑体" w:cs="黑体"/>
            </w:rPr>
          </w:pPr>
          <w:r>
            <w:rPr>
              <w:rFonts w:hint="eastAsia" w:ascii="黑体" w:hAnsi="黑体" w:eastAsia="黑体" w:cs="黑体"/>
              <w:color w:val="auto"/>
              <w:szCs w:val="48"/>
              <w:highlight w:val="none"/>
            </w:rPr>
            <w:fldChar w:fldCharType="begin"/>
          </w:r>
          <w:r>
            <w:rPr>
              <w:rFonts w:hint="eastAsia" w:ascii="黑体" w:hAnsi="黑体" w:eastAsia="黑体" w:cs="黑体"/>
              <w:szCs w:val="48"/>
              <w:highlight w:val="none"/>
            </w:rPr>
            <w:instrText xml:space="preserve"> HYPERLINK \l _Toc23729 </w:instrText>
          </w:r>
          <w:r>
            <w:rPr>
              <w:rFonts w:hint="eastAsia" w:ascii="黑体" w:hAnsi="黑体" w:eastAsia="黑体" w:cs="黑体"/>
              <w:szCs w:val="48"/>
              <w:highlight w:val="none"/>
            </w:rPr>
            <w:fldChar w:fldCharType="separate"/>
          </w:r>
          <w:r>
            <w:rPr>
              <w:rFonts w:hint="eastAsia" w:ascii="黑体" w:hAnsi="黑体" w:eastAsia="黑体" w:cs="黑体"/>
              <w:highlight w:val="none"/>
            </w:rPr>
            <w:t>一、</w:t>
          </w:r>
          <w:r>
            <w:rPr>
              <w:rFonts w:hint="eastAsia" w:ascii="黑体" w:hAnsi="黑体" w:eastAsia="黑体" w:cs="黑体"/>
              <w:highlight w:val="none"/>
              <w:lang w:eastAsia="zh-CN"/>
            </w:rPr>
            <w:t>部门职责</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_Toc23729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color w:val="auto"/>
              <w:szCs w:val="48"/>
              <w:highlight w:val="none"/>
            </w:rPr>
            <w:fldChar w:fldCharType="end"/>
          </w:r>
        </w:p>
        <w:p w14:paraId="56C8C4B6">
          <w:pPr>
            <w:pStyle w:val="14"/>
            <w:tabs>
              <w:tab w:val="right" w:leader="dot" w:pos="8306"/>
              <w:tab w:val="clear" w:pos="8296"/>
            </w:tabs>
            <w:rPr>
              <w:rFonts w:hint="eastAsia" w:ascii="黑体" w:hAnsi="黑体" w:eastAsia="黑体" w:cs="黑体"/>
            </w:rPr>
          </w:pPr>
          <w:r>
            <w:rPr>
              <w:rFonts w:hint="eastAsia" w:ascii="黑体" w:hAnsi="黑体" w:eastAsia="黑体" w:cs="黑体"/>
              <w:color w:val="auto"/>
              <w:szCs w:val="48"/>
              <w:highlight w:val="none"/>
            </w:rPr>
            <w:fldChar w:fldCharType="begin"/>
          </w:r>
          <w:r>
            <w:rPr>
              <w:rFonts w:hint="eastAsia" w:ascii="黑体" w:hAnsi="黑体" w:eastAsia="黑体" w:cs="黑体"/>
              <w:szCs w:val="48"/>
              <w:highlight w:val="none"/>
            </w:rPr>
            <w:instrText xml:space="preserve"> HYPERLINK \l _Toc22504 </w:instrText>
          </w:r>
          <w:r>
            <w:rPr>
              <w:rFonts w:hint="eastAsia" w:ascii="黑体" w:hAnsi="黑体" w:eastAsia="黑体" w:cs="黑体"/>
              <w:szCs w:val="48"/>
              <w:highlight w:val="none"/>
            </w:rPr>
            <w:fldChar w:fldCharType="separate"/>
          </w:r>
          <w:r>
            <w:rPr>
              <w:rFonts w:hint="eastAsia" w:ascii="黑体" w:hAnsi="黑体" w:eastAsia="黑体" w:cs="黑体"/>
              <w:highlight w:val="none"/>
            </w:rPr>
            <w:t>二、机</w:t>
          </w:r>
          <w:r>
            <w:rPr>
              <w:rFonts w:hint="eastAsia" w:ascii="黑体" w:hAnsi="黑体" w:eastAsia="黑体" w:cs="黑体"/>
              <w:bCs w:val="0"/>
              <w:highlight w:val="none"/>
            </w:rPr>
            <w:t>构设置</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_Toc22504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color w:val="auto"/>
              <w:szCs w:val="48"/>
              <w:highlight w:val="none"/>
            </w:rPr>
            <w:fldChar w:fldCharType="end"/>
          </w:r>
        </w:p>
        <w:p w14:paraId="5EB37C2A">
          <w:pPr>
            <w:pStyle w:val="12"/>
            <w:tabs>
              <w:tab w:val="right" w:leader="dot" w:pos="8306"/>
              <w:tab w:val="clear" w:pos="8296"/>
            </w:tabs>
            <w:rPr>
              <w:rFonts w:hint="eastAsia" w:ascii="黑体" w:hAnsi="黑体" w:eastAsia="黑体" w:cs="黑体"/>
            </w:rPr>
          </w:pPr>
          <w:r>
            <w:rPr>
              <w:rFonts w:hint="eastAsia" w:ascii="黑体" w:hAnsi="黑体" w:eastAsia="黑体" w:cs="黑体"/>
              <w:color w:val="auto"/>
              <w:szCs w:val="48"/>
              <w:highlight w:val="none"/>
            </w:rPr>
            <w:fldChar w:fldCharType="begin"/>
          </w:r>
          <w:r>
            <w:rPr>
              <w:rFonts w:hint="eastAsia" w:ascii="黑体" w:hAnsi="黑体" w:eastAsia="黑体" w:cs="黑体"/>
              <w:szCs w:val="48"/>
              <w:highlight w:val="none"/>
            </w:rPr>
            <w:instrText xml:space="preserve"> HYPERLINK \l _Toc21627 </w:instrText>
          </w:r>
          <w:r>
            <w:rPr>
              <w:rFonts w:hint="eastAsia" w:ascii="黑体" w:hAnsi="黑体" w:eastAsia="黑体" w:cs="黑体"/>
              <w:szCs w:val="48"/>
              <w:highlight w:val="none"/>
            </w:rPr>
            <w:fldChar w:fldCharType="separate"/>
          </w:r>
          <w:r>
            <w:rPr>
              <w:rFonts w:hint="eastAsia" w:ascii="黑体" w:hAnsi="黑体" w:eastAsia="黑体" w:cs="黑体"/>
              <w:highlight w:val="none"/>
            </w:rPr>
            <w:t>第二部分</w:t>
          </w:r>
          <w:r>
            <w:rPr>
              <w:rFonts w:hint="eastAsia" w:ascii="黑体" w:hAnsi="黑体" w:eastAsia="黑体" w:cs="黑体"/>
              <w:highlight w:val="none"/>
              <w:lang w:val="en-US" w:eastAsia="zh-CN"/>
            </w:rPr>
            <w:t xml:space="preserve"> </w:t>
          </w:r>
          <w:r>
            <w:rPr>
              <w:rFonts w:hint="eastAsia" w:ascii="黑体" w:hAnsi="黑体" w:eastAsia="黑体" w:cs="黑体"/>
              <w:highlight w:val="none"/>
            </w:rPr>
            <w:t xml:space="preserve"> </w:t>
          </w:r>
          <w:r>
            <w:rPr>
              <w:rFonts w:hint="eastAsia" w:ascii="黑体" w:hAnsi="黑体" w:eastAsia="黑体" w:cs="黑体"/>
              <w:highlight w:val="none"/>
              <w:lang w:val="en-US" w:eastAsia="zh-CN"/>
            </w:rPr>
            <w:t>2024年度</w:t>
          </w:r>
          <w:r>
            <w:rPr>
              <w:rFonts w:hint="eastAsia" w:ascii="黑体" w:hAnsi="黑体" w:eastAsia="黑体" w:cs="黑体"/>
              <w:highlight w:val="none"/>
            </w:rPr>
            <w:t>部门决算情况说明</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_Toc21627 \h </w:instrText>
          </w:r>
          <w:r>
            <w:rPr>
              <w:rFonts w:hint="eastAsia" w:ascii="黑体" w:hAnsi="黑体" w:eastAsia="黑体" w:cs="黑体"/>
            </w:rPr>
            <w:fldChar w:fldCharType="separate"/>
          </w:r>
          <w:r>
            <w:rPr>
              <w:rFonts w:hint="eastAsia" w:ascii="黑体" w:hAnsi="黑体" w:eastAsia="黑体" w:cs="黑体"/>
            </w:rPr>
            <w:t>2</w:t>
          </w:r>
          <w:r>
            <w:rPr>
              <w:rFonts w:hint="eastAsia" w:ascii="黑体" w:hAnsi="黑体" w:eastAsia="黑体" w:cs="黑体"/>
            </w:rPr>
            <w:fldChar w:fldCharType="end"/>
          </w:r>
          <w:r>
            <w:rPr>
              <w:rFonts w:hint="eastAsia" w:ascii="黑体" w:hAnsi="黑体" w:eastAsia="黑体" w:cs="黑体"/>
              <w:color w:val="auto"/>
              <w:szCs w:val="48"/>
              <w:highlight w:val="none"/>
            </w:rPr>
            <w:fldChar w:fldCharType="end"/>
          </w:r>
        </w:p>
        <w:p w14:paraId="648A35AC">
          <w:pPr>
            <w:pStyle w:val="14"/>
            <w:tabs>
              <w:tab w:val="right" w:leader="dot" w:pos="8306"/>
              <w:tab w:val="clear" w:pos="8296"/>
            </w:tabs>
            <w:rPr>
              <w:rFonts w:hint="eastAsia" w:ascii="黑体" w:hAnsi="黑体" w:eastAsia="黑体" w:cs="黑体"/>
            </w:rPr>
          </w:pPr>
          <w:r>
            <w:rPr>
              <w:rFonts w:hint="eastAsia" w:ascii="黑体" w:hAnsi="黑体" w:eastAsia="黑体" w:cs="黑体"/>
              <w:color w:val="auto"/>
              <w:szCs w:val="48"/>
              <w:highlight w:val="none"/>
            </w:rPr>
            <w:fldChar w:fldCharType="begin"/>
          </w:r>
          <w:r>
            <w:rPr>
              <w:rFonts w:hint="eastAsia" w:ascii="黑体" w:hAnsi="黑体" w:eastAsia="黑体" w:cs="黑体"/>
              <w:szCs w:val="48"/>
              <w:highlight w:val="none"/>
            </w:rPr>
            <w:instrText xml:space="preserve"> HYPERLINK \l _Toc25035 </w:instrText>
          </w:r>
          <w:r>
            <w:rPr>
              <w:rFonts w:hint="eastAsia" w:ascii="黑体" w:hAnsi="黑体" w:eastAsia="黑体" w:cs="黑体"/>
              <w:szCs w:val="48"/>
              <w:highlight w:val="none"/>
            </w:rPr>
            <w:fldChar w:fldCharType="separate"/>
          </w:r>
          <w:r>
            <w:rPr>
              <w:rFonts w:hint="eastAsia" w:ascii="黑体" w:hAnsi="黑体" w:eastAsia="黑体" w:cs="黑体"/>
              <w:szCs w:val="32"/>
              <w:highlight w:val="none"/>
              <w:lang w:eastAsia="zh-CN"/>
            </w:rPr>
            <w:t>一、</w:t>
          </w:r>
          <w:r>
            <w:rPr>
              <w:rFonts w:hint="eastAsia" w:ascii="黑体" w:hAnsi="黑体" w:eastAsia="黑体" w:cs="黑体"/>
              <w:szCs w:val="32"/>
              <w:highlight w:val="none"/>
            </w:rPr>
            <w:t>收</w:t>
          </w:r>
          <w:r>
            <w:rPr>
              <w:rFonts w:hint="eastAsia" w:ascii="黑体" w:hAnsi="黑体" w:eastAsia="黑体" w:cs="黑体"/>
              <w:highlight w:val="none"/>
            </w:rPr>
            <w:t>入支出决算总体情况说明</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_Toc25035 \h </w:instrText>
          </w:r>
          <w:r>
            <w:rPr>
              <w:rFonts w:hint="eastAsia" w:ascii="黑体" w:hAnsi="黑体" w:eastAsia="黑体" w:cs="黑体"/>
            </w:rPr>
            <w:fldChar w:fldCharType="separate"/>
          </w:r>
          <w:r>
            <w:rPr>
              <w:rFonts w:hint="eastAsia" w:ascii="黑体" w:hAnsi="黑体" w:eastAsia="黑体" w:cs="黑体"/>
            </w:rPr>
            <w:t>2</w:t>
          </w:r>
          <w:r>
            <w:rPr>
              <w:rFonts w:hint="eastAsia" w:ascii="黑体" w:hAnsi="黑体" w:eastAsia="黑体" w:cs="黑体"/>
            </w:rPr>
            <w:fldChar w:fldCharType="end"/>
          </w:r>
          <w:r>
            <w:rPr>
              <w:rFonts w:hint="eastAsia" w:ascii="黑体" w:hAnsi="黑体" w:eastAsia="黑体" w:cs="黑体"/>
              <w:color w:val="auto"/>
              <w:szCs w:val="48"/>
              <w:highlight w:val="none"/>
            </w:rPr>
            <w:fldChar w:fldCharType="end"/>
          </w:r>
        </w:p>
        <w:p w14:paraId="408BF29B">
          <w:pPr>
            <w:pStyle w:val="14"/>
            <w:tabs>
              <w:tab w:val="right" w:leader="dot" w:pos="8306"/>
              <w:tab w:val="clear" w:pos="8296"/>
            </w:tabs>
            <w:rPr>
              <w:rFonts w:hint="eastAsia" w:ascii="黑体" w:hAnsi="黑体" w:eastAsia="黑体" w:cs="黑体"/>
            </w:rPr>
          </w:pPr>
          <w:r>
            <w:rPr>
              <w:rFonts w:hint="eastAsia" w:ascii="黑体" w:hAnsi="黑体" w:eastAsia="黑体" w:cs="黑体"/>
              <w:color w:val="auto"/>
              <w:szCs w:val="48"/>
              <w:highlight w:val="none"/>
            </w:rPr>
            <w:fldChar w:fldCharType="begin"/>
          </w:r>
          <w:r>
            <w:rPr>
              <w:rFonts w:hint="eastAsia" w:ascii="黑体" w:hAnsi="黑体" w:eastAsia="黑体" w:cs="黑体"/>
              <w:szCs w:val="48"/>
              <w:highlight w:val="none"/>
            </w:rPr>
            <w:instrText xml:space="preserve"> HYPERLINK \l _Toc26549 </w:instrText>
          </w:r>
          <w:r>
            <w:rPr>
              <w:rFonts w:hint="eastAsia" w:ascii="黑体" w:hAnsi="黑体" w:eastAsia="黑体" w:cs="黑体"/>
              <w:szCs w:val="48"/>
              <w:highlight w:val="none"/>
            </w:rPr>
            <w:fldChar w:fldCharType="separate"/>
          </w:r>
          <w:r>
            <w:rPr>
              <w:rFonts w:hint="eastAsia" w:ascii="黑体" w:hAnsi="黑体" w:eastAsia="黑体" w:cs="黑体"/>
              <w:szCs w:val="32"/>
              <w:highlight w:val="none"/>
              <w:lang w:eastAsia="zh-CN"/>
            </w:rPr>
            <w:t>二、收入决算情况说明</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_Toc26549 \h </w:instrText>
          </w:r>
          <w:r>
            <w:rPr>
              <w:rFonts w:hint="eastAsia" w:ascii="黑体" w:hAnsi="黑体" w:eastAsia="黑体" w:cs="黑体"/>
            </w:rPr>
            <w:fldChar w:fldCharType="separate"/>
          </w:r>
          <w:r>
            <w:rPr>
              <w:rFonts w:hint="eastAsia" w:ascii="黑体" w:hAnsi="黑体" w:eastAsia="黑体" w:cs="黑体"/>
            </w:rPr>
            <w:t>2</w:t>
          </w:r>
          <w:r>
            <w:rPr>
              <w:rFonts w:hint="eastAsia" w:ascii="黑体" w:hAnsi="黑体" w:eastAsia="黑体" w:cs="黑体"/>
            </w:rPr>
            <w:fldChar w:fldCharType="end"/>
          </w:r>
          <w:r>
            <w:rPr>
              <w:rFonts w:hint="eastAsia" w:ascii="黑体" w:hAnsi="黑体" w:eastAsia="黑体" w:cs="黑体"/>
              <w:color w:val="auto"/>
              <w:szCs w:val="48"/>
              <w:highlight w:val="none"/>
            </w:rPr>
            <w:fldChar w:fldCharType="end"/>
          </w:r>
        </w:p>
        <w:p w14:paraId="7AFE6861">
          <w:pPr>
            <w:pStyle w:val="14"/>
            <w:tabs>
              <w:tab w:val="right" w:leader="dot" w:pos="8306"/>
              <w:tab w:val="clear" w:pos="8296"/>
            </w:tabs>
            <w:rPr>
              <w:rFonts w:hint="eastAsia" w:ascii="黑体" w:hAnsi="黑体" w:eastAsia="黑体" w:cs="黑体"/>
            </w:rPr>
          </w:pPr>
          <w:r>
            <w:rPr>
              <w:rFonts w:hint="eastAsia" w:ascii="黑体" w:hAnsi="黑体" w:eastAsia="黑体" w:cs="黑体"/>
              <w:color w:val="auto"/>
              <w:szCs w:val="48"/>
              <w:highlight w:val="none"/>
            </w:rPr>
            <w:fldChar w:fldCharType="begin"/>
          </w:r>
          <w:r>
            <w:rPr>
              <w:rFonts w:hint="eastAsia" w:ascii="黑体" w:hAnsi="黑体" w:eastAsia="黑体" w:cs="黑体"/>
              <w:szCs w:val="48"/>
              <w:highlight w:val="none"/>
            </w:rPr>
            <w:instrText xml:space="preserve"> HYPERLINK \l _Toc15798 </w:instrText>
          </w:r>
          <w:r>
            <w:rPr>
              <w:rFonts w:hint="eastAsia" w:ascii="黑体" w:hAnsi="黑体" w:eastAsia="黑体" w:cs="黑体"/>
              <w:szCs w:val="48"/>
              <w:highlight w:val="none"/>
            </w:rPr>
            <w:fldChar w:fldCharType="separate"/>
          </w:r>
          <w:r>
            <w:rPr>
              <w:rFonts w:hint="eastAsia" w:ascii="黑体" w:hAnsi="黑体" w:eastAsia="黑体" w:cs="黑体"/>
              <w:szCs w:val="32"/>
              <w:highlight w:val="none"/>
              <w:lang w:eastAsia="zh-CN"/>
            </w:rPr>
            <w:t>三、</w:t>
          </w:r>
          <w:r>
            <w:rPr>
              <w:rFonts w:hint="eastAsia" w:ascii="黑体" w:hAnsi="黑体" w:eastAsia="黑体" w:cs="黑体"/>
              <w:szCs w:val="32"/>
              <w:highlight w:val="none"/>
            </w:rPr>
            <w:t>支</w:t>
          </w:r>
          <w:r>
            <w:rPr>
              <w:rFonts w:hint="eastAsia" w:ascii="黑体" w:hAnsi="黑体" w:eastAsia="黑体" w:cs="黑体"/>
              <w:highlight w:val="none"/>
            </w:rPr>
            <w:t>出决算情况说明</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_Toc15798 \h </w:instrText>
          </w:r>
          <w:r>
            <w:rPr>
              <w:rFonts w:hint="eastAsia" w:ascii="黑体" w:hAnsi="黑体" w:eastAsia="黑体" w:cs="黑体"/>
            </w:rPr>
            <w:fldChar w:fldCharType="separate"/>
          </w:r>
          <w:r>
            <w:rPr>
              <w:rFonts w:hint="eastAsia" w:ascii="黑体" w:hAnsi="黑体" w:eastAsia="黑体" w:cs="黑体"/>
            </w:rPr>
            <w:t>3</w:t>
          </w:r>
          <w:r>
            <w:rPr>
              <w:rFonts w:hint="eastAsia" w:ascii="黑体" w:hAnsi="黑体" w:eastAsia="黑体" w:cs="黑体"/>
            </w:rPr>
            <w:fldChar w:fldCharType="end"/>
          </w:r>
          <w:r>
            <w:rPr>
              <w:rFonts w:hint="eastAsia" w:ascii="黑体" w:hAnsi="黑体" w:eastAsia="黑体" w:cs="黑体"/>
              <w:color w:val="auto"/>
              <w:szCs w:val="48"/>
              <w:highlight w:val="none"/>
            </w:rPr>
            <w:fldChar w:fldCharType="end"/>
          </w:r>
        </w:p>
        <w:p w14:paraId="7597B88F">
          <w:pPr>
            <w:pStyle w:val="14"/>
            <w:tabs>
              <w:tab w:val="right" w:leader="dot" w:pos="8306"/>
              <w:tab w:val="clear" w:pos="8296"/>
            </w:tabs>
            <w:rPr>
              <w:rFonts w:hint="eastAsia" w:ascii="黑体" w:hAnsi="黑体" w:eastAsia="黑体" w:cs="黑体"/>
            </w:rPr>
          </w:pPr>
          <w:r>
            <w:rPr>
              <w:rFonts w:hint="eastAsia" w:ascii="黑体" w:hAnsi="黑体" w:eastAsia="黑体" w:cs="黑体"/>
              <w:color w:val="auto"/>
              <w:szCs w:val="48"/>
              <w:highlight w:val="none"/>
            </w:rPr>
            <w:fldChar w:fldCharType="begin"/>
          </w:r>
          <w:r>
            <w:rPr>
              <w:rFonts w:hint="eastAsia" w:ascii="黑体" w:hAnsi="黑体" w:eastAsia="黑体" w:cs="黑体"/>
              <w:szCs w:val="48"/>
              <w:highlight w:val="none"/>
            </w:rPr>
            <w:instrText xml:space="preserve"> HYPERLINK \l _Toc23387 </w:instrText>
          </w:r>
          <w:r>
            <w:rPr>
              <w:rFonts w:hint="eastAsia" w:ascii="黑体" w:hAnsi="黑体" w:eastAsia="黑体" w:cs="黑体"/>
              <w:szCs w:val="48"/>
              <w:highlight w:val="none"/>
            </w:rPr>
            <w:fldChar w:fldCharType="separate"/>
          </w:r>
          <w:r>
            <w:rPr>
              <w:rFonts w:hint="eastAsia" w:ascii="黑体" w:hAnsi="黑体" w:eastAsia="黑体" w:cs="黑体"/>
              <w:szCs w:val="32"/>
              <w:highlight w:val="none"/>
            </w:rPr>
            <w:t>四、财</w:t>
          </w:r>
          <w:r>
            <w:rPr>
              <w:rFonts w:hint="eastAsia" w:ascii="黑体" w:hAnsi="黑体" w:eastAsia="黑体" w:cs="黑体"/>
              <w:highlight w:val="none"/>
            </w:rPr>
            <w:t>政拨款收入支出决算总体情况说明</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_Toc23387 \h </w:instrText>
          </w:r>
          <w:r>
            <w:rPr>
              <w:rFonts w:hint="eastAsia" w:ascii="黑体" w:hAnsi="黑体" w:eastAsia="黑体" w:cs="黑体"/>
            </w:rPr>
            <w:fldChar w:fldCharType="separate"/>
          </w:r>
          <w:r>
            <w:rPr>
              <w:rFonts w:hint="eastAsia" w:ascii="黑体" w:hAnsi="黑体" w:eastAsia="黑体" w:cs="黑体"/>
            </w:rPr>
            <w:t>4</w:t>
          </w:r>
          <w:r>
            <w:rPr>
              <w:rFonts w:hint="eastAsia" w:ascii="黑体" w:hAnsi="黑体" w:eastAsia="黑体" w:cs="黑体"/>
            </w:rPr>
            <w:fldChar w:fldCharType="end"/>
          </w:r>
          <w:r>
            <w:rPr>
              <w:rFonts w:hint="eastAsia" w:ascii="黑体" w:hAnsi="黑体" w:eastAsia="黑体" w:cs="黑体"/>
              <w:color w:val="auto"/>
              <w:szCs w:val="48"/>
              <w:highlight w:val="none"/>
            </w:rPr>
            <w:fldChar w:fldCharType="end"/>
          </w:r>
        </w:p>
        <w:p w14:paraId="5C230540">
          <w:pPr>
            <w:pStyle w:val="14"/>
            <w:tabs>
              <w:tab w:val="right" w:leader="dot" w:pos="8306"/>
              <w:tab w:val="clear" w:pos="8296"/>
            </w:tabs>
            <w:rPr>
              <w:rFonts w:hint="eastAsia" w:ascii="黑体" w:hAnsi="黑体" w:eastAsia="黑体" w:cs="黑体"/>
            </w:rPr>
          </w:pPr>
          <w:r>
            <w:rPr>
              <w:rFonts w:hint="eastAsia" w:ascii="黑体" w:hAnsi="黑体" w:eastAsia="黑体" w:cs="黑体"/>
              <w:color w:val="auto"/>
              <w:szCs w:val="48"/>
              <w:highlight w:val="none"/>
            </w:rPr>
            <w:fldChar w:fldCharType="begin"/>
          </w:r>
          <w:r>
            <w:rPr>
              <w:rFonts w:hint="eastAsia" w:ascii="黑体" w:hAnsi="黑体" w:eastAsia="黑体" w:cs="黑体"/>
              <w:szCs w:val="48"/>
              <w:highlight w:val="none"/>
            </w:rPr>
            <w:instrText xml:space="preserve"> HYPERLINK \l _Toc1236 </w:instrText>
          </w:r>
          <w:r>
            <w:rPr>
              <w:rFonts w:hint="eastAsia" w:ascii="黑体" w:hAnsi="黑体" w:eastAsia="黑体" w:cs="黑体"/>
              <w:szCs w:val="48"/>
              <w:highlight w:val="none"/>
            </w:rPr>
            <w:fldChar w:fldCharType="separate"/>
          </w:r>
          <w:r>
            <w:rPr>
              <w:rFonts w:hint="eastAsia" w:ascii="黑体" w:hAnsi="黑体" w:eastAsia="黑体" w:cs="黑体"/>
              <w:szCs w:val="32"/>
              <w:highlight w:val="none"/>
            </w:rPr>
            <w:t>五、一</w:t>
          </w:r>
          <w:r>
            <w:rPr>
              <w:rFonts w:hint="eastAsia" w:ascii="黑体" w:hAnsi="黑体" w:eastAsia="黑体" w:cs="黑体"/>
              <w:highlight w:val="none"/>
            </w:rPr>
            <w:t>般公共预算财政拨款支出决算情况说明</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_Toc1236 \h </w:instrText>
          </w:r>
          <w:r>
            <w:rPr>
              <w:rFonts w:hint="eastAsia" w:ascii="黑体" w:hAnsi="黑体" w:eastAsia="黑体" w:cs="黑体"/>
            </w:rPr>
            <w:fldChar w:fldCharType="separate"/>
          </w:r>
          <w:r>
            <w:rPr>
              <w:rFonts w:hint="eastAsia" w:ascii="黑体" w:hAnsi="黑体" w:eastAsia="黑体" w:cs="黑体"/>
            </w:rPr>
            <w:t>4</w:t>
          </w:r>
          <w:r>
            <w:rPr>
              <w:rFonts w:hint="eastAsia" w:ascii="黑体" w:hAnsi="黑体" w:eastAsia="黑体" w:cs="黑体"/>
            </w:rPr>
            <w:fldChar w:fldCharType="end"/>
          </w:r>
          <w:r>
            <w:rPr>
              <w:rFonts w:hint="eastAsia" w:ascii="黑体" w:hAnsi="黑体" w:eastAsia="黑体" w:cs="黑体"/>
              <w:color w:val="auto"/>
              <w:szCs w:val="48"/>
              <w:highlight w:val="none"/>
            </w:rPr>
            <w:fldChar w:fldCharType="end"/>
          </w:r>
        </w:p>
        <w:p w14:paraId="618D8D7A">
          <w:pPr>
            <w:pStyle w:val="8"/>
            <w:tabs>
              <w:tab w:val="right" w:leader="dot" w:pos="8306"/>
              <w:tab w:val="clear" w:pos="8296"/>
            </w:tabs>
            <w:rPr>
              <w:rFonts w:hint="eastAsia" w:ascii="黑体" w:hAnsi="黑体" w:eastAsia="黑体" w:cs="黑体"/>
            </w:rPr>
          </w:pPr>
          <w:r>
            <w:rPr>
              <w:rFonts w:hint="eastAsia" w:ascii="黑体" w:hAnsi="黑体" w:eastAsia="黑体" w:cs="黑体"/>
              <w:color w:val="auto"/>
              <w:szCs w:val="48"/>
              <w:highlight w:val="none"/>
            </w:rPr>
            <w:fldChar w:fldCharType="begin"/>
          </w:r>
          <w:r>
            <w:rPr>
              <w:rFonts w:hint="eastAsia" w:ascii="黑体" w:hAnsi="黑体" w:eastAsia="黑体" w:cs="黑体"/>
              <w:szCs w:val="48"/>
              <w:highlight w:val="none"/>
            </w:rPr>
            <w:instrText xml:space="preserve"> HYPERLINK \l _Toc12074 </w:instrText>
          </w:r>
          <w:r>
            <w:rPr>
              <w:rFonts w:hint="eastAsia" w:ascii="黑体" w:hAnsi="黑体" w:eastAsia="黑体" w:cs="黑体"/>
              <w:szCs w:val="48"/>
              <w:highlight w:val="none"/>
            </w:rPr>
            <w:fldChar w:fldCharType="separate"/>
          </w:r>
          <w:r>
            <w:rPr>
              <w:rFonts w:hint="eastAsia" w:ascii="黑体" w:hAnsi="黑体" w:eastAsia="黑体" w:cs="黑体"/>
              <w:szCs w:val="32"/>
              <w:highlight w:val="none"/>
            </w:rPr>
            <w:t>（一）一般公共预算财政拨款支出决算总体情况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_Toc12074 \h </w:instrText>
          </w:r>
          <w:r>
            <w:rPr>
              <w:rFonts w:hint="eastAsia" w:ascii="黑体" w:hAnsi="黑体" w:eastAsia="黑体" w:cs="黑体"/>
            </w:rPr>
            <w:fldChar w:fldCharType="separate"/>
          </w:r>
          <w:r>
            <w:rPr>
              <w:rFonts w:hint="eastAsia" w:ascii="黑体" w:hAnsi="黑体" w:eastAsia="黑体" w:cs="黑体"/>
            </w:rPr>
            <w:t>4</w:t>
          </w:r>
          <w:r>
            <w:rPr>
              <w:rFonts w:hint="eastAsia" w:ascii="黑体" w:hAnsi="黑体" w:eastAsia="黑体" w:cs="黑体"/>
            </w:rPr>
            <w:fldChar w:fldCharType="end"/>
          </w:r>
          <w:r>
            <w:rPr>
              <w:rFonts w:hint="eastAsia" w:ascii="黑体" w:hAnsi="黑体" w:eastAsia="黑体" w:cs="黑体"/>
              <w:color w:val="auto"/>
              <w:szCs w:val="48"/>
              <w:highlight w:val="none"/>
            </w:rPr>
            <w:fldChar w:fldCharType="end"/>
          </w:r>
        </w:p>
        <w:p w14:paraId="38ADCEED">
          <w:pPr>
            <w:pStyle w:val="8"/>
            <w:tabs>
              <w:tab w:val="right" w:leader="dot" w:pos="8306"/>
              <w:tab w:val="clear" w:pos="8296"/>
            </w:tabs>
            <w:rPr>
              <w:rFonts w:hint="eastAsia" w:ascii="黑体" w:hAnsi="黑体" w:eastAsia="黑体" w:cs="黑体"/>
            </w:rPr>
          </w:pPr>
          <w:r>
            <w:rPr>
              <w:rFonts w:hint="eastAsia" w:ascii="黑体" w:hAnsi="黑体" w:eastAsia="黑体" w:cs="黑体"/>
              <w:color w:val="auto"/>
              <w:szCs w:val="48"/>
              <w:highlight w:val="none"/>
            </w:rPr>
            <w:fldChar w:fldCharType="begin"/>
          </w:r>
          <w:r>
            <w:rPr>
              <w:rFonts w:hint="eastAsia" w:ascii="黑体" w:hAnsi="黑体" w:eastAsia="黑体" w:cs="黑体"/>
              <w:szCs w:val="48"/>
              <w:highlight w:val="none"/>
            </w:rPr>
            <w:instrText xml:space="preserve"> HYPERLINK \l _Toc22737 </w:instrText>
          </w:r>
          <w:r>
            <w:rPr>
              <w:rFonts w:hint="eastAsia" w:ascii="黑体" w:hAnsi="黑体" w:eastAsia="黑体" w:cs="黑体"/>
              <w:szCs w:val="48"/>
              <w:highlight w:val="none"/>
            </w:rPr>
            <w:fldChar w:fldCharType="separate"/>
          </w:r>
          <w:r>
            <w:rPr>
              <w:rFonts w:hint="eastAsia" w:ascii="黑体" w:hAnsi="黑体" w:eastAsia="黑体" w:cs="黑体"/>
              <w:szCs w:val="32"/>
              <w:highlight w:val="none"/>
            </w:rPr>
            <w:t>（二）一般公共预算财政</w:t>
          </w:r>
          <w:bookmarkStart w:id="95" w:name="_GoBack"/>
          <w:bookmarkEnd w:id="95"/>
          <w:r>
            <w:rPr>
              <w:rFonts w:hint="eastAsia" w:ascii="黑体" w:hAnsi="黑体" w:eastAsia="黑体" w:cs="黑体"/>
              <w:szCs w:val="32"/>
              <w:highlight w:val="none"/>
            </w:rPr>
            <w:t>拨款支出决算结构情况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_Toc22737 \h </w:instrText>
          </w:r>
          <w:r>
            <w:rPr>
              <w:rFonts w:hint="eastAsia" w:ascii="黑体" w:hAnsi="黑体" w:eastAsia="黑体" w:cs="黑体"/>
            </w:rPr>
            <w:fldChar w:fldCharType="separate"/>
          </w:r>
          <w:r>
            <w:rPr>
              <w:rFonts w:hint="eastAsia" w:ascii="黑体" w:hAnsi="黑体" w:eastAsia="黑体" w:cs="黑体"/>
            </w:rPr>
            <w:t>5</w:t>
          </w:r>
          <w:r>
            <w:rPr>
              <w:rFonts w:hint="eastAsia" w:ascii="黑体" w:hAnsi="黑体" w:eastAsia="黑体" w:cs="黑体"/>
            </w:rPr>
            <w:fldChar w:fldCharType="end"/>
          </w:r>
          <w:r>
            <w:rPr>
              <w:rFonts w:hint="eastAsia" w:ascii="黑体" w:hAnsi="黑体" w:eastAsia="黑体" w:cs="黑体"/>
              <w:color w:val="auto"/>
              <w:szCs w:val="48"/>
              <w:highlight w:val="none"/>
            </w:rPr>
            <w:fldChar w:fldCharType="end"/>
          </w:r>
        </w:p>
        <w:p w14:paraId="4136AB5A">
          <w:pPr>
            <w:pStyle w:val="8"/>
            <w:tabs>
              <w:tab w:val="right" w:leader="dot" w:pos="8306"/>
              <w:tab w:val="clear" w:pos="8296"/>
            </w:tabs>
            <w:rPr>
              <w:rFonts w:hint="eastAsia" w:ascii="黑体" w:hAnsi="黑体" w:eastAsia="黑体" w:cs="黑体"/>
            </w:rPr>
          </w:pPr>
          <w:r>
            <w:rPr>
              <w:rFonts w:hint="eastAsia" w:ascii="黑体" w:hAnsi="黑体" w:eastAsia="黑体" w:cs="黑体"/>
              <w:color w:val="auto"/>
              <w:szCs w:val="48"/>
              <w:highlight w:val="none"/>
            </w:rPr>
            <w:fldChar w:fldCharType="begin"/>
          </w:r>
          <w:r>
            <w:rPr>
              <w:rFonts w:hint="eastAsia" w:ascii="黑体" w:hAnsi="黑体" w:eastAsia="黑体" w:cs="黑体"/>
              <w:szCs w:val="48"/>
              <w:highlight w:val="none"/>
            </w:rPr>
            <w:instrText xml:space="preserve"> HYPERLINK \l _Toc19220 </w:instrText>
          </w:r>
          <w:r>
            <w:rPr>
              <w:rFonts w:hint="eastAsia" w:ascii="黑体" w:hAnsi="黑体" w:eastAsia="黑体" w:cs="黑体"/>
              <w:szCs w:val="48"/>
              <w:highlight w:val="none"/>
            </w:rPr>
            <w:fldChar w:fldCharType="separate"/>
          </w:r>
          <w:r>
            <w:rPr>
              <w:rFonts w:hint="eastAsia" w:ascii="黑体" w:hAnsi="黑体" w:eastAsia="黑体" w:cs="黑体"/>
              <w:szCs w:val="32"/>
              <w:highlight w:val="none"/>
            </w:rPr>
            <w:t>（三）一般公共预算财政拨款支出决算具体情况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_Toc19220 \h </w:instrText>
          </w:r>
          <w:r>
            <w:rPr>
              <w:rFonts w:hint="eastAsia" w:ascii="黑体" w:hAnsi="黑体" w:eastAsia="黑体" w:cs="黑体"/>
            </w:rPr>
            <w:fldChar w:fldCharType="separate"/>
          </w:r>
          <w:r>
            <w:rPr>
              <w:rFonts w:hint="eastAsia" w:ascii="黑体" w:hAnsi="黑体" w:eastAsia="黑体" w:cs="黑体"/>
            </w:rPr>
            <w:t>5</w:t>
          </w:r>
          <w:r>
            <w:rPr>
              <w:rFonts w:hint="eastAsia" w:ascii="黑体" w:hAnsi="黑体" w:eastAsia="黑体" w:cs="黑体"/>
            </w:rPr>
            <w:fldChar w:fldCharType="end"/>
          </w:r>
          <w:r>
            <w:rPr>
              <w:rFonts w:hint="eastAsia" w:ascii="黑体" w:hAnsi="黑体" w:eastAsia="黑体" w:cs="黑体"/>
              <w:color w:val="auto"/>
              <w:szCs w:val="48"/>
              <w:highlight w:val="none"/>
            </w:rPr>
            <w:fldChar w:fldCharType="end"/>
          </w:r>
        </w:p>
        <w:p w14:paraId="15AF9833">
          <w:pPr>
            <w:pStyle w:val="14"/>
            <w:tabs>
              <w:tab w:val="right" w:leader="dot" w:pos="8306"/>
              <w:tab w:val="clear" w:pos="8296"/>
            </w:tabs>
            <w:rPr>
              <w:rFonts w:hint="eastAsia" w:ascii="黑体" w:hAnsi="黑体" w:eastAsia="黑体" w:cs="黑体"/>
            </w:rPr>
          </w:pPr>
          <w:r>
            <w:rPr>
              <w:rFonts w:hint="eastAsia" w:ascii="黑体" w:hAnsi="黑体" w:eastAsia="黑体" w:cs="黑体"/>
              <w:color w:val="auto"/>
              <w:szCs w:val="48"/>
              <w:highlight w:val="none"/>
            </w:rPr>
            <w:fldChar w:fldCharType="begin"/>
          </w:r>
          <w:r>
            <w:rPr>
              <w:rFonts w:hint="eastAsia" w:ascii="黑体" w:hAnsi="黑体" w:eastAsia="黑体" w:cs="黑体"/>
              <w:szCs w:val="48"/>
              <w:highlight w:val="none"/>
            </w:rPr>
            <w:instrText xml:space="preserve"> HYPERLINK \l _Toc11030 </w:instrText>
          </w:r>
          <w:r>
            <w:rPr>
              <w:rFonts w:hint="eastAsia" w:ascii="黑体" w:hAnsi="黑体" w:eastAsia="黑体" w:cs="黑体"/>
              <w:szCs w:val="48"/>
              <w:highlight w:val="none"/>
            </w:rPr>
            <w:fldChar w:fldCharType="separate"/>
          </w:r>
          <w:r>
            <w:rPr>
              <w:rFonts w:hint="eastAsia" w:ascii="黑体" w:hAnsi="黑体" w:eastAsia="黑体" w:cs="黑体"/>
              <w:szCs w:val="32"/>
              <w:highlight w:val="none"/>
            </w:rPr>
            <w:t>六、一</w:t>
          </w:r>
          <w:r>
            <w:rPr>
              <w:rFonts w:hint="eastAsia" w:ascii="黑体" w:hAnsi="黑体" w:eastAsia="黑体" w:cs="黑体"/>
              <w:highlight w:val="none"/>
            </w:rPr>
            <w:t>般公共预算财政拨款基本支出决算情况说明</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_Toc11030 \h </w:instrText>
          </w:r>
          <w:r>
            <w:rPr>
              <w:rFonts w:hint="eastAsia" w:ascii="黑体" w:hAnsi="黑体" w:eastAsia="黑体" w:cs="黑体"/>
            </w:rPr>
            <w:fldChar w:fldCharType="separate"/>
          </w:r>
          <w:r>
            <w:rPr>
              <w:rFonts w:hint="eastAsia" w:ascii="黑体" w:hAnsi="黑体" w:eastAsia="黑体" w:cs="黑体"/>
            </w:rPr>
            <w:t>6</w:t>
          </w:r>
          <w:r>
            <w:rPr>
              <w:rFonts w:hint="eastAsia" w:ascii="黑体" w:hAnsi="黑体" w:eastAsia="黑体" w:cs="黑体"/>
            </w:rPr>
            <w:fldChar w:fldCharType="end"/>
          </w:r>
          <w:r>
            <w:rPr>
              <w:rFonts w:hint="eastAsia" w:ascii="黑体" w:hAnsi="黑体" w:eastAsia="黑体" w:cs="黑体"/>
              <w:color w:val="auto"/>
              <w:szCs w:val="48"/>
              <w:highlight w:val="none"/>
            </w:rPr>
            <w:fldChar w:fldCharType="end"/>
          </w:r>
        </w:p>
        <w:p w14:paraId="2E9BC2D7">
          <w:pPr>
            <w:pStyle w:val="14"/>
            <w:tabs>
              <w:tab w:val="right" w:leader="dot" w:pos="8306"/>
              <w:tab w:val="clear" w:pos="8296"/>
            </w:tabs>
            <w:rPr>
              <w:rFonts w:hint="eastAsia" w:ascii="黑体" w:hAnsi="黑体" w:eastAsia="黑体" w:cs="黑体"/>
            </w:rPr>
          </w:pPr>
          <w:r>
            <w:rPr>
              <w:rFonts w:hint="eastAsia" w:ascii="黑体" w:hAnsi="黑体" w:eastAsia="黑体" w:cs="黑体"/>
              <w:color w:val="auto"/>
              <w:szCs w:val="48"/>
              <w:highlight w:val="none"/>
            </w:rPr>
            <w:fldChar w:fldCharType="begin"/>
          </w:r>
          <w:r>
            <w:rPr>
              <w:rFonts w:hint="eastAsia" w:ascii="黑体" w:hAnsi="黑体" w:eastAsia="黑体" w:cs="黑体"/>
              <w:szCs w:val="48"/>
              <w:highlight w:val="none"/>
            </w:rPr>
            <w:instrText xml:space="preserve"> HYPERLINK \l _Toc6489 </w:instrText>
          </w:r>
          <w:r>
            <w:rPr>
              <w:rFonts w:hint="eastAsia" w:ascii="黑体" w:hAnsi="黑体" w:eastAsia="黑体" w:cs="黑体"/>
              <w:szCs w:val="48"/>
              <w:highlight w:val="none"/>
            </w:rPr>
            <w:fldChar w:fldCharType="separate"/>
          </w:r>
          <w:r>
            <w:rPr>
              <w:rFonts w:hint="eastAsia" w:ascii="黑体" w:hAnsi="黑体" w:eastAsia="黑体" w:cs="黑体"/>
              <w:szCs w:val="32"/>
              <w:highlight w:val="none"/>
            </w:rPr>
            <w:t>七、</w:t>
          </w:r>
          <w:r>
            <w:rPr>
              <w:rFonts w:hint="eastAsia" w:ascii="黑体" w:hAnsi="黑体" w:eastAsia="黑体" w:cs="黑体"/>
              <w:highlight w:val="none"/>
            </w:rPr>
            <w:t>财政拨款“三公”经费支出决算情况说明</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_Toc6489 \h </w:instrText>
          </w:r>
          <w:r>
            <w:rPr>
              <w:rFonts w:hint="eastAsia" w:ascii="黑体" w:hAnsi="黑体" w:eastAsia="黑体" w:cs="黑体"/>
            </w:rPr>
            <w:fldChar w:fldCharType="separate"/>
          </w:r>
          <w:r>
            <w:rPr>
              <w:rFonts w:hint="eastAsia" w:ascii="黑体" w:hAnsi="黑体" w:eastAsia="黑体" w:cs="黑体"/>
            </w:rPr>
            <w:t>7</w:t>
          </w:r>
          <w:r>
            <w:rPr>
              <w:rFonts w:hint="eastAsia" w:ascii="黑体" w:hAnsi="黑体" w:eastAsia="黑体" w:cs="黑体"/>
            </w:rPr>
            <w:fldChar w:fldCharType="end"/>
          </w:r>
          <w:r>
            <w:rPr>
              <w:rFonts w:hint="eastAsia" w:ascii="黑体" w:hAnsi="黑体" w:eastAsia="黑体" w:cs="黑体"/>
              <w:color w:val="auto"/>
              <w:szCs w:val="48"/>
              <w:highlight w:val="none"/>
            </w:rPr>
            <w:fldChar w:fldCharType="end"/>
          </w:r>
        </w:p>
        <w:p w14:paraId="44D24D4C">
          <w:pPr>
            <w:pStyle w:val="8"/>
            <w:tabs>
              <w:tab w:val="right" w:leader="dot" w:pos="8306"/>
              <w:tab w:val="clear" w:pos="8296"/>
            </w:tabs>
            <w:rPr>
              <w:rFonts w:hint="eastAsia" w:ascii="黑体" w:hAnsi="黑体" w:eastAsia="黑体" w:cs="黑体"/>
            </w:rPr>
          </w:pPr>
          <w:r>
            <w:rPr>
              <w:rFonts w:hint="eastAsia" w:ascii="黑体" w:hAnsi="黑体" w:eastAsia="黑体" w:cs="黑体"/>
              <w:color w:val="auto"/>
              <w:szCs w:val="48"/>
              <w:highlight w:val="none"/>
            </w:rPr>
            <w:fldChar w:fldCharType="begin"/>
          </w:r>
          <w:r>
            <w:rPr>
              <w:rFonts w:hint="eastAsia" w:ascii="黑体" w:hAnsi="黑体" w:eastAsia="黑体" w:cs="黑体"/>
              <w:szCs w:val="48"/>
              <w:highlight w:val="none"/>
            </w:rPr>
            <w:instrText xml:space="preserve"> HYPERLINK \l _Toc19365 </w:instrText>
          </w:r>
          <w:r>
            <w:rPr>
              <w:rFonts w:hint="eastAsia" w:ascii="黑体" w:hAnsi="黑体" w:eastAsia="黑体" w:cs="黑体"/>
              <w:szCs w:val="48"/>
              <w:highlight w:val="none"/>
            </w:rPr>
            <w:fldChar w:fldCharType="separate"/>
          </w:r>
          <w:r>
            <w:rPr>
              <w:rFonts w:hint="eastAsia" w:ascii="黑体" w:hAnsi="黑体" w:eastAsia="黑体" w:cs="黑体"/>
              <w:szCs w:val="32"/>
              <w:highlight w:val="none"/>
            </w:rPr>
            <w:t>（一）“三公”经费财政拨款支出决算总体情况说明</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_Toc19365 \h </w:instrText>
          </w:r>
          <w:r>
            <w:rPr>
              <w:rFonts w:hint="eastAsia" w:ascii="黑体" w:hAnsi="黑体" w:eastAsia="黑体" w:cs="黑体"/>
            </w:rPr>
            <w:fldChar w:fldCharType="separate"/>
          </w:r>
          <w:r>
            <w:rPr>
              <w:rFonts w:hint="eastAsia" w:ascii="黑体" w:hAnsi="黑体" w:eastAsia="黑体" w:cs="黑体"/>
            </w:rPr>
            <w:t>7</w:t>
          </w:r>
          <w:r>
            <w:rPr>
              <w:rFonts w:hint="eastAsia" w:ascii="黑体" w:hAnsi="黑体" w:eastAsia="黑体" w:cs="黑体"/>
            </w:rPr>
            <w:fldChar w:fldCharType="end"/>
          </w:r>
          <w:r>
            <w:rPr>
              <w:rFonts w:hint="eastAsia" w:ascii="黑体" w:hAnsi="黑体" w:eastAsia="黑体" w:cs="黑体"/>
              <w:color w:val="auto"/>
              <w:szCs w:val="48"/>
              <w:highlight w:val="none"/>
            </w:rPr>
            <w:fldChar w:fldCharType="end"/>
          </w:r>
        </w:p>
        <w:p w14:paraId="3DB677AF">
          <w:pPr>
            <w:pStyle w:val="8"/>
            <w:tabs>
              <w:tab w:val="right" w:leader="dot" w:pos="8306"/>
              <w:tab w:val="clear" w:pos="8296"/>
            </w:tabs>
            <w:rPr>
              <w:rFonts w:hint="eastAsia" w:ascii="黑体" w:hAnsi="黑体" w:eastAsia="黑体" w:cs="黑体"/>
            </w:rPr>
          </w:pPr>
          <w:r>
            <w:rPr>
              <w:rFonts w:hint="eastAsia" w:ascii="黑体" w:hAnsi="黑体" w:eastAsia="黑体" w:cs="黑体"/>
              <w:color w:val="auto"/>
              <w:szCs w:val="48"/>
              <w:highlight w:val="none"/>
            </w:rPr>
            <w:fldChar w:fldCharType="begin"/>
          </w:r>
          <w:r>
            <w:rPr>
              <w:rFonts w:hint="eastAsia" w:ascii="黑体" w:hAnsi="黑体" w:eastAsia="黑体" w:cs="黑体"/>
              <w:szCs w:val="48"/>
              <w:highlight w:val="none"/>
            </w:rPr>
            <w:instrText xml:space="preserve"> HYPERLINK \l _Toc1460 </w:instrText>
          </w:r>
          <w:r>
            <w:rPr>
              <w:rFonts w:hint="eastAsia" w:ascii="黑体" w:hAnsi="黑体" w:eastAsia="黑体" w:cs="黑体"/>
              <w:szCs w:val="48"/>
              <w:highlight w:val="none"/>
            </w:rPr>
            <w:fldChar w:fldCharType="separate"/>
          </w:r>
          <w:r>
            <w:rPr>
              <w:rFonts w:hint="eastAsia" w:ascii="黑体" w:hAnsi="黑体" w:eastAsia="黑体" w:cs="黑体"/>
              <w:szCs w:val="32"/>
              <w:highlight w:val="none"/>
            </w:rPr>
            <w:t>（二）“三公”经费财政拨款支出决算具体情况说明</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_Toc1460 \h </w:instrText>
          </w:r>
          <w:r>
            <w:rPr>
              <w:rFonts w:hint="eastAsia" w:ascii="黑体" w:hAnsi="黑体" w:eastAsia="黑体" w:cs="黑体"/>
            </w:rPr>
            <w:fldChar w:fldCharType="separate"/>
          </w:r>
          <w:r>
            <w:rPr>
              <w:rFonts w:hint="eastAsia" w:ascii="黑体" w:hAnsi="黑体" w:eastAsia="黑体" w:cs="黑体"/>
            </w:rPr>
            <w:t>7</w:t>
          </w:r>
          <w:r>
            <w:rPr>
              <w:rFonts w:hint="eastAsia" w:ascii="黑体" w:hAnsi="黑体" w:eastAsia="黑体" w:cs="黑体"/>
            </w:rPr>
            <w:fldChar w:fldCharType="end"/>
          </w:r>
          <w:r>
            <w:rPr>
              <w:rFonts w:hint="eastAsia" w:ascii="黑体" w:hAnsi="黑体" w:eastAsia="黑体" w:cs="黑体"/>
              <w:color w:val="auto"/>
              <w:szCs w:val="48"/>
              <w:highlight w:val="none"/>
            </w:rPr>
            <w:fldChar w:fldCharType="end"/>
          </w:r>
        </w:p>
        <w:p w14:paraId="46BC9576">
          <w:pPr>
            <w:pStyle w:val="14"/>
            <w:tabs>
              <w:tab w:val="right" w:leader="dot" w:pos="8306"/>
              <w:tab w:val="clear" w:pos="8296"/>
            </w:tabs>
            <w:rPr>
              <w:rFonts w:hint="eastAsia" w:ascii="黑体" w:hAnsi="黑体" w:eastAsia="黑体" w:cs="黑体"/>
            </w:rPr>
          </w:pPr>
          <w:r>
            <w:rPr>
              <w:rFonts w:hint="eastAsia" w:ascii="黑体" w:hAnsi="黑体" w:eastAsia="黑体" w:cs="黑体"/>
              <w:color w:val="auto"/>
              <w:szCs w:val="48"/>
              <w:highlight w:val="none"/>
            </w:rPr>
            <w:fldChar w:fldCharType="begin"/>
          </w:r>
          <w:r>
            <w:rPr>
              <w:rFonts w:hint="eastAsia" w:ascii="黑体" w:hAnsi="黑体" w:eastAsia="黑体" w:cs="黑体"/>
              <w:szCs w:val="48"/>
              <w:highlight w:val="none"/>
            </w:rPr>
            <w:instrText xml:space="preserve"> HYPERLINK \l _Toc19486 </w:instrText>
          </w:r>
          <w:r>
            <w:rPr>
              <w:rFonts w:hint="eastAsia" w:ascii="黑体" w:hAnsi="黑体" w:eastAsia="黑体" w:cs="黑体"/>
              <w:szCs w:val="48"/>
              <w:highlight w:val="none"/>
            </w:rPr>
            <w:fldChar w:fldCharType="separate"/>
          </w:r>
          <w:r>
            <w:rPr>
              <w:rFonts w:hint="eastAsia" w:ascii="黑体" w:hAnsi="黑体" w:eastAsia="黑体" w:cs="黑体"/>
              <w:szCs w:val="32"/>
              <w:highlight w:val="none"/>
            </w:rPr>
            <w:t>八、</w:t>
          </w:r>
          <w:r>
            <w:rPr>
              <w:rFonts w:hint="eastAsia" w:ascii="黑体" w:hAnsi="黑体" w:eastAsia="黑体" w:cs="黑体"/>
              <w:highlight w:val="none"/>
            </w:rPr>
            <w:t>政府性基金预算支出决算情况说明</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_Toc19486 \h </w:instrText>
          </w:r>
          <w:r>
            <w:rPr>
              <w:rFonts w:hint="eastAsia" w:ascii="黑体" w:hAnsi="黑体" w:eastAsia="黑体" w:cs="黑体"/>
            </w:rPr>
            <w:fldChar w:fldCharType="separate"/>
          </w:r>
          <w:r>
            <w:rPr>
              <w:rFonts w:hint="eastAsia" w:ascii="黑体" w:hAnsi="黑体" w:eastAsia="黑体" w:cs="黑体"/>
            </w:rPr>
            <w:t>7</w:t>
          </w:r>
          <w:r>
            <w:rPr>
              <w:rFonts w:hint="eastAsia" w:ascii="黑体" w:hAnsi="黑体" w:eastAsia="黑体" w:cs="黑体"/>
            </w:rPr>
            <w:fldChar w:fldCharType="end"/>
          </w:r>
          <w:r>
            <w:rPr>
              <w:rFonts w:hint="eastAsia" w:ascii="黑体" w:hAnsi="黑体" w:eastAsia="黑体" w:cs="黑体"/>
              <w:color w:val="auto"/>
              <w:szCs w:val="48"/>
              <w:highlight w:val="none"/>
            </w:rPr>
            <w:fldChar w:fldCharType="end"/>
          </w:r>
        </w:p>
        <w:p w14:paraId="052FC6CB">
          <w:pPr>
            <w:pStyle w:val="14"/>
            <w:tabs>
              <w:tab w:val="right" w:leader="dot" w:pos="8306"/>
              <w:tab w:val="clear" w:pos="8296"/>
            </w:tabs>
            <w:rPr>
              <w:rFonts w:hint="eastAsia" w:ascii="黑体" w:hAnsi="黑体" w:eastAsia="黑体" w:cs="黑体"/>
            </w:rPr>
          </w:pPr>
          <w:r>
            <w:rPr>
              <w:rFonts w:hint="eastAsia" w:ascii="黑体" w:hAnsi="黑体" w:eastAsia="黑体" w:cs="黑体"/>
              <w:color w:val="auto"/>
              <w:szCs w:val="48"/>
              <w:highlight w:val="none"/>
            </w:rPr>
            <w:fldChar w:fldCharType="begin"/>
          </w:r>
          <w:r>
            <w:rPr>
              <w:rFonts w:hint="eastAsia" w:ascii="黑体" w:hAnsi="黑体" w:eastAsia="黑体" w:cs="黑体"/>
              <w:szCs w:val="48"/>
              <w:highlight w:val="none"/>
            </w:rPr>
            <w:instrText xml:space="preserve"> HYPERLINK \l _Toc9421 </w:instrText>
          </w:r>
          <w:r>
            <w:rPr>
              <w:rFonts w:hint="eastAsia" w:ascii="黑体" w:hAnsi="黑体" w:eastAsia="黑体" w:cs="黑体"/>
              <w:szCs w:val="48"/>
              <w:highlight w:val="none"/>
            </w:rPr>
            <w:fldChar w:fldCharType="separate"/>
          </w:r>
          <w:r>
            <w:rPr>
              <w:rFonts w:hint="eastAsia" w:ascii="黑体" w:hAnsi="黑体" w:eastAsia="黑体" w:cs="黑体"/>
              <w:highlight w:val="none"/>
              <w:lang w:eastAsia="zh-CN"/>
            </w:rPr>
            <w:t>九、</w:t>
          </w:r>
          <w:r>
            <w:rPr>
              <w:rFonts w:hint="eastAsia" w:ascii="黑体" w:hAnsi="黑体" w:eastAsia="黑体" w:cs="黑体"/>
              <w:highlight w:val="none"/>
            </w:rPr>
            <w:t>国有资本经营预算支出决算情况说明</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_Toc9421 \h </w:instrText>
          </w:r>
          <w:r>
            <w:rPr>
              <w:rFonts w:hint="eastAsia" w:ascii="黑体" w:hAnsi="黑体" w:eastAsia="黑体" w:cs="黑体"/>
            </w:rPr>
            <w:fldChar w:fldCharType="separate"/>
          </w:r>
          <w:r>
            <w:rPr>
              <w:rFonts w:hint="eastAsia" w:ascii="黑体" w:hAnsi="黑体" w:eastAsia="黑体" w:cs="黑体"/>
            </w:rPr>
            <w:t>7</w:t>
          </w:r>
          <w:r>
            <w:rPr>
              <w:rFonts w:hint="eastAsia" w:ascii="黑体" w:hAnsi="黑体" w:eastAsia="黑体" w:cs="黑体"/>
            </w:rPr>
            <w:fldChar w:fldCharType="end"/>
          </w:r>
          <w:r>
            <w:rPr>
              <w:rFonts w:hint="eastAsia" w:ascii="黑体" w:hAnsi="黑体" w:eastAsia="黑体" w:cs="黑体"/>
              <w:color w:val="auto"/>
              <w:szCs w:val="48"/>
              <w:highlight w:val="none"/>
            </w:rPr>
            <w:fldChar w:fldCharType="end"/>
          </w:r>
        </w:p>
        <w:p w14:paraId="49BB4779">
          <w:pPr>
            <w:pStyle w:val="14"/>
            <w:tabs>
              <w:tab w:val="right" w:leader="dot" w:pos="8306"/>
              <w:tab w:val="clear" w:pos="8296"/>
            </w:tabs>
            <w:rPr>
              <w:rFonts w:hint="eastAsia" w:ascii="黑体" w:hAnsi="黑体" w:eastAsia="黑体" w:cs="黑体"/>
            </w:rPr>
          </w:pPr>
          <w:r>
            <w:rPr>
              <w:rFonts w:hint="eastAsia" w:ascii="黑体" w:hAnsi="黑体" w:eastAsia="黑体" w:cs="黑体"/>
              <w:color w:val="auto"/>
              <w:szCs w:val="48"/>
              <w:highlight w:val="none"/>
            </w:rPr>
            <w:fldChar w:fldCharType="begin"/>
          </w:r>
          <w:r>
            <w:rPr>
              <w:rFonts w:hint="eastAsia" w:ascii="黑体" w:hAnsi="黑体" w:eastAsia="黑体" w:cs="黑体"/>
              <w:szCs w:val="48"/>
              <w:highlight w:val="none"/>
            </w:rPr>
            <w:instrText xml:space="preserve"> HYPERLINK \l _Toc14828 </w:instrText>
          </w:r>
          <w:r>
            <w:rPr>
              <w:rFonts w:hint="eastAsia" w:ascii="黑体" w:hAnsi="黑体" w:eastAsia="黑体" w:cs="黑体"/>
              <w:szCs w:val="48"/>
              <w:highlight w:val="none"/>
            </w:rPr>
            <w:fldChar w:fldCharType="separate"/>
          </w:r>
          <w:r>
            <w:rPr>
              <w:rFonts w:hint="eastAsia" w:ascii="黑体" w:hAnsi="黑体" w:eastAsia="黑体" w:cs="黑体"/>
              <w:highlight w:val="none"/>
              <w:lang w:eastAsia="zh-CN"/>
            </w:rPr>
            <w:t>十、</w:t>
          </w:r>
          <w:r>
            <w:rPr>
              <w:rFonts w:hint="eastAsia" w:ascii="黑体" w:hAnsi="黑体" w:eastAsia="黑体" w:cs="黑体"/>
              <w:highlight w:val="none"/>
            </w:rPr>
            <w:t>其他重要事项的情况说明</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_Toc14828 \h </w:instrText>
          </w:r>
          <w:r>
            <w:rPr>
              <w:rFonts w:hint="eastAsia" w:ascii="黑体" w:hAnsi="黑体" w:eastAsia="黑体" w:cs="黑体"/>
            </w:rPr>
            <w:fldChar w:fldCharType="separate"/>
          </w:r>
          <w:r>
            <w:rPr>
              <w:rFonts w:hint="eastAsia" w:ascii="黑体" w:hAnsi="黑体" w:eastAsia="黑体" w:cs="黑体"/>
            </w:rPr>
            <w:t>7</w:t>
          </w:r>
          <w:r>
            <w:rPr>
              <w:rFonts w:hint="eastAsia" w:ascii="黑体" w:hAnsi="黑体" w:eastAsia="黑体" w:cs="黑体"/>
            </w:rPr>
            <w:fldChar w:fldCharType="end"/>
          </w:r>
          <w:r>
            <w:rPr>
              <w:rFonts w:hint="eastAsia" w:ascii="黑体" w:hAnsi="黑体" w:eastAsia="黑体" w:cs="黑体"/>
              <w:color w:val="auto"/>
              <w:szCs w:val="48"/>
              <w:highlight w:val="none"/>
            </w:rPr>
            <w:fldChar w:fldCharType="end"/>
          </w:r>
        </w:p>
        <w:p w14:paraId="7233F393">
          <w:pPr>
            <w:pStyle w:val="8"/>
            <w:tabs>
              <w:tab w:val="right" w:leader="dot" w:pos="8306"/>
              <w:tab w:val="clear" w:pos="8296"/>
            </w:tabs>
            <w:rPr>
              <w:rFonts w:hint="eastAsia" w:ascii="黑体" w:hAnsi="黑体" w:eastAsia="黑体" w:cs="黑体"/>
            </w:rPr>
          </w:pPr>
          <w:r>
            <w:rPr>
              <w:rFonts w:hint="eastAsia" w:ascii="黑体" w:hAnsi="黑体" w:eastAsia="黑体" w:cs="黑体"/>
              <w:color w:val="auto"/>
              <w:szCs w:val="48"/>
              <w:highlight w:val="none"/>
            </w:rPr>
            <w:fldChar w:fldCharType="begin"/>
          </w:r>
          <w:r>
            <w:rPr>
              <w:rFonts w:hint="eastAsia" w:ascii="黑体" w:hAnsi="黑体" w:eastAsia="黑体" w:cs="黑体"/>
              <w:szCs w:val="48"/>
              <w:highlight w:val="none"/>
            </w:rPr>
            <w:instrText xml:space="preserve"> HYPERLINK \l _Toc29754 </w:instrText>
          </w:r>
          <w:r>
            <w:rPr>
              <w:rFonts w:hint="eastAsia" w:ascii="黑体" w:hAnsi="黑体" w:eastAsia="黑体" w:cs="黑体"/>
              <w:szCs w:val="48"/>
              <w:highlight w:val="none"/>
            </w:rPr>
            <w:fldChar w:fldCharType="separate"/>
          </w:r>
          <w:r>
            <w:rPr>
              <w:rFonts w:hint="eastAsia" w:ascii="黑体" w:hAnsi="黑体" w:eastAsia="黑体" w:cs="黑体"/>
              <w:szCs w:val="32"/>
              <w:highlight w:val="none"/>
            </w:rPr>
            <w:t>（一）机关运行经费支出情况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_Toc29754 \h </w:instrText>
          </w:r>
          <w:r>
            <w:rPr>
              <w:rFonts w:hint="eastAsia" w:ascii="黑体" w:hAnsi="黑体" w:eastAsia="黑体" w:cs="黑体"/>
            </w:rPr>
            <w:fldChar w:fldCharType="separate"/>
          </w:r>
          <w:r>
            <w:rPr>
              <w:rFonts w:hint="eastAsia" w:ascii="黑体" w:hAnsi="黑体" w:eastAsia="黑体" w:cs="黑体"/>
            </w:rPr>
            <w:t>7</w:t>
          </w:r>
          <w:r>
            <w:rPr>
              <w:rFonts w:hint="eastAsia" w:ascii="黑体" w:hAnsi="黑体" w:eastAsia="黑体" w:cs="黑体"/>
            </w:rPr>
            <w:fldChar w:fldCharType="end"/>
          </w:r>
          <w:r>
            <w:rPr>
              <w:rFonts w:hint="eastAsia" w:ascii="黑体" w:hAnsi="黑体" w:eastAsia="黑体" w:cs="黑体"/>
              <w:color w:val="auto"/>
              <w:szCs w:val="48"/>
              <w:highlight w:val="none"/>
            </w:rPr>
            <w:fldChar w:fldCharType="end"/>
          </w:r>
        </w:p>
        <w:p w14:paraId="78CC7A1D">
          <w:pPr>
            <w:pStyle w:val="8"/>
            <w:tabs>
              <w:tab w:val="right" w:leader="dot" w:pos="8306"/>
              <w:tab w:val="clear" w:pos="8296"/>
            </w:tabs>
            <w:rPr>
              <w:rFonts w:hint="eastAsia" w:ascii="黑体" w:hAnsi="黑体" w:eastAsia="黑体" w:cs="黑体"/>
            </w:rPr>
          </w:pPr>
          <w:r>
            <w:rPr>
              <w:rFonts w:hint="eastAsia" w:ascii="黑体" w:hAnsi="黑体" w:eastAsia="黑体" w:cs="黑体"/>
              <w:color w:val="auto"/>
              <w:szCs w:val="48"/>
              <w:highlight w:val="none"/>
            </w:rPr>
            <w:fldChar w:fldCharType="begin"/>
          </w:r>
          <w:r>
            <w:rPr>
              <w:rFonts w:hint="eastAsia" w:ascii="黑体" w:hAnsi="黑体" w:eastAsia="黑体" w:cs="黑体"/>
              <w:szCs w:val="48"/>
              <w:highlight w:val="none"/>
            </w:rPr>
            <w:instrText xml:space="preserve"> HYPERLINK \l _Toc4797 </w:instrText>
          </w:r>
          <w:r>
            <w:rPr>
              <w:rFonts w:hint="eastAsia" w:ascii="黑体" w:hAnsi="黑体" w:eastAsia="黑体" w:cs="黑体"/>
              <w:szCs w:val="48"/>
              <w:highlight w:val="none"/>
            </w:rPr>
            <w:fldChar w:fldCharType="separate"/>
          </w:r>
          <w:r>
            <w:rPr>
              <w:rFonts w:hint="eastAsia" w:ascii="黑体" w:hAnsi="黑体" w:eastAsia="黑体" w:cs="黑体"/>
              <w:szCs w:val="32"/>
              <w:highlight w:val="none"/>
            </w:rPr>
            <w:t>（二）政府采购支出情况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_Toc4797 \h </w:instrText>
          </w:r>
          <w:r>
            <w:rPr>
              <w:rFonts w:hint="eastAsia" w:ascii="黑体" w:hAnsi="黑体" w:eastAsia="黑体" w:cs="黑体"/>
            </w:rPr>
            <w:fldChar w:fldCharType="separate"/>
          </w:r>
          <w:r>
            <w:rPr>
              <w:rFonts w:hint="eastAsia" w:ascii="黑体" w:hAnsi="黑体" w:eastAsia="黑体" w:cs="黑体"/>
            </w:rPr>
            <w:t>8</w:t>
          </w:r>
          <w:r>
            <w:rPr>
              <w:rFonts w:hint="eastAsia" w:ascii="黑体" w:hAnsi="黑体" w:eastAsia="黑体" w:cs="黑体"/>
            </w:rPr>
            <w:fldChar w:fldCharType="end"/>
          </w:r>
          <w:r>
            <w:rPr>
              <w:rFonts w:hint="eastAsia" w:ascii="黑体" w:hAnsi="黑体" w:eastAsia="黑体" w:cs="黑体"/>
              <w:color w:val="auto"/>
              <w:szCs w:val="48"/>
              <w:highlight w:val="none"/>
            </w:rPr>
            <w:fldChar w:fldCharType="end"/>
          </w:r>
        </w:p>
        <w:p w14:paraId="0CD5BCFD">
          <w:pPr>
            <w:pStyle w:val="8"/>
            <w:tabs>
              <w:tab w:val="right" w:leader="dot" w:pos="8306"/>
              <w:tab w:val="clear" w:pos="8296"/>
            </w:tabs>
            <w:rPr>
              <w:rFonts w:hint="eastAsia" w:ascii="黑体" w:hAnsi="黑体" w:eastAsia="黑体" w:cs="黑体"/>
            </w:rPr>
          </w:pPr>
          <w:r>
            <w:rPr>
              <w:rFonts w:hint="eastAsia" w:ascii="黑体" w:hAnsi="黑体" w:eastAsia="黑体" w:cs="黑体"/>
              <w:color w:val="auto"/>
              <w:szCs w:val="48"/>
              <w:highlight w:val="none"/>
            </w:rPr>
            <w:fldChar w:fldCharType="begin"/>
          </w:r>
          <w:r>
            <w:rPr>
              <w:rFonts w:hint="eastAsia" w:ascii="黑体" w:hAnsi="黑体" w:eastAsia="黑体" w:cs="黑体"/>
              <w:szCs w:val="48"/>
              <w:highlight w:val="none"/>
            </w:rPr>
            <w:instrText xml:space="preserve"> HYPERLINK \l _Toc24478 </w:instrText>
          </w:r>
          <w:r>
            <w:rPr>
              <w:rFonts w:hint="eastAsia" w:ascii="黑体" w:hAnsi="黑体" w:eastAsia="黑体" w:cs="黑体"/>
              <w:szCs w:val="48"/>
              <w:highlight w:val="none"/>
            </w:rPr>
            <w:fldChar w:fldCharType="separate"/>
          </w:r>
          <w:r>
            <w:rPr>
              <w:rFonts w:hint="eastAsia" w:ascii="黑体" w:hAnsi="黑体" w:eastAsia="黑体" w:cs="黑体"/>
              <w:szCs w:val="32"/>
              <w:highlight w:val="none"/>
            </w:rPr>
            <w:t>（三）国有资产占有使用情况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_Toc24478 \h </w:instrText>
          </w:r>
          <w:r>
            <w:rPr>
              <w:rFonts w:hint="eastAsia" w:ascii="黑体" w:hAnsi="黑体" w:eastAsia="黑体" w:cs="黑体"/>
            </w:rPr>
            <w:fldChar w:fldCharType="separate"/>
          </w:r>
          <w:r>
            <w:rPr>
              <w:rFonts w:hint="eastAsia" w:ascii="黑体" w:hAnsi="黑体" w:eastAsia="黑体" w:cs="黑体"/>
            </w:rPr>
            <w:t>8</w:t>
          </w:r>
          <w:r>
            <w:rPr>
              <w:rFonts w:hint="eastAsia" w:ascii="黑体" w:hAnsi="黑体" w:eastAsia="黑体" w:cs="黑体"/>
            </w:rPr>
            <w:fldChar w:fldCharType="end"/>
          </w:r>
          <w:r>
            <w:rPr>
              <w:rFonts w:hint="eastAsia" w:ascii="黑体" w:hAnsi="黑体" w:eastAsia="黑体" w:cs="黑体"/>
              <w:color w:val="auto"/>
              <w:szCs w:val="48"/>
              <w:highlight w:val="none"/>
            </w:rPr>
            <w:fldChar w:fldCharType="end"/>
          </w:r>
        </w:p>
        <w:p w14:paraId="6779DF6E">
          <w:pPr>
            <w:pStyle w:val="8"/>
            <w:tabs>
              <w:tab w:val="right" w:leader="dot" w:pos="8306"/>
              <w:tab w:val="clear" w:pos="8296"/>
            </w:tabs>
            <w:rPr>
              <w:rFonts w:hint="eastAsia" w:ascii="黑体" w:hAnsi="黑体" w:eastAsia="黑体" w:cs="黑体"/>
            </w:rPr>
          </w:pPr>
          <w:r>
            <w:rPr>
              <w:rFonts w:hint="eastAsia" w:ascii="黑体" w:hAnsi="黑体" w:eastAsia="黑体" w:cs="黑体"/>
              <w:color w:val="auto"/>
              <w:szCs w:val="48"/>
              <w:highlight w:val="none"/>
            </w:rPr>
            <w:fldChar w:fldCharType="begin"/>
          </w:r>
          <w:r>
            <w:rPr>
              <w:rFonts w:hint="eastAsia" w:ascii="黑体" w:hAnsi="黑体" w:eastAsia="黑体" w:cs="黑体"/>
              <w:szCs w:val="48"/>
              <w:highlight w:val="none"/>
            </w:rPr>
            <w:instrText xml:space="preserve"> HYPERLINK \l _Toc3499 </w:instrText>
          </w:r>
          <w:r>
            <w:rPr>
              <w:rFonts w:hint="eastAsia" w:ascii="黑体" w:hAnsi="黑体" w:eastAsia="黑体" w:cs="黑体"/>
              <w:szCs w:val="48"/>
              <w:highlight w:val="none"/>
            </w:rPr>
            <w:fldChar w:fldCharType="separate"/>
          </w:r>
          <w:r>
            <w:rPr>
              <w:rFonts w:hint="eastAsia" w:ascii="黑体" w:hAnsi="黑体" w:eastAsia="黑体" w:cs="黑体"/>
              <w:szCs w:val="32"/>
              <w:highlight w:val="none"/>
            </w:rPr>
            <w:t>（四）预算绩效管理情况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_Toc3499 \h </w:instrText>
          </w:r>
          <w:r>
            <w:rPr>
              <w:rFonts w:hint="eastAsia" w:ascii="黑体" w:hAnsi="黑体" w:eastAsia="黑体" w:cs="黑体"/>
            </w:rPr>
            <w:fldChar w:fldCharType="separate"/>
          </w:r>
          <w:r>
            <w:rPr>
              <w:rFonts w:hint="eastAsia" w:ascii="黑体" w:hAnsi="黑体" w:eastAsia="黑体" w:cs="黑体"/>
            </w:rPr>
            <w:t>8</w:t>
          </w:r>
          <w:r>
            <w:rPr>
              <w:rFonts w:hint="eastAsia" w:ascii="黑体" w:hAnsi="黑体" w:eastAsia="黑体" w:cs="黑体"/>
            </w:rPr>
            <w:fldChar w:fldCharType="end"/>
          </w:r>
          <w:r>
            <w:rPr>
              <w:rFonts w:hint="eastAsia" w:ascii="黑体" w:hAnsi="黑体" w:eastAsia="黑体" w:cs="黑体"/>
              <w:color w:val="auto"/>
              <w:szCs w:val="48"/>
              <w:highlight w:val="none"/>
            </w:rPr>
            <w:fldChar w:fldCharType="end"/>
          </w:r>
        </w:p>
        <w:p w14:paraId="5BE3F720">
          <w:pPr>
            <w:pStyle w:val="12"/>
            <w:tabs>
              <w:tab w:val="right" w:leader="dot" w:pos="8306"/>
              <w:tab w:val="clear" w:pos="8296"/>
            </w:tabs>
            <w:rPr>
              <w:rFonts w:hint="eastAsia" w:ascii="黑体" w:hAnsi="黑体" w:eastAsia="黑体" w:cs="黑体"/>
            </w:rPr>
          </w:pPr>
          <w:r>
            <w:rPr>
              <w:rFonts w:hint="eastAsia" w:ascii="黑体" w:hAnsi="黑体" w:eastAsia="黑体" w:cs="黑体"/>
              <w:color w:val="auto"/>
              <w:szCs w:val="48"/>
              <w:highlight w:val="none"/>
            </w:rPr>
            <w:fldChar w:fldCharType="begin"/>
          </w:r>
          <w:r>
            <w:rPr>
              <w:rFonts w:hint="eastAsia" w:ascii="黑体" w:hAnsi="黑体" w:eastAsia="黑体" w:cs="黑体"/>
              <w:szCs w:val="48"/>
              <w:highlight w:val="none"/>
            </w:rPr>
            <w:instrText xml:space="preserve"> HYPERLINK \l _Toc23461 </w:instrText>
          </w:r>
          <w:r>
            <w:rPr>
              <w:rFonts w:hint="eastAsia" w:ascii="黑体" w:hAnsi="黑体" w:eastAsia="黑体" w:cs="黑体"/>
              <w:szCs w:val="48"/>
              <w:highlight w:val="none"/>
            </w:rPr>
            <w:fldChar w:fldCharType="separate"/>
          </w:r>
          <w:r>
            <w:rPr>
              <w:rFonts w:hint="eastAsia" w:ascii="黑体" w:hAnsi="黑体" w:eastAsia="黑体" w:cs="黑体"/>
              <w:szCs w:val="44"/>
              <w:highlight w:val="none"/>
            </w:rPr>
            <w:t>第</w:t>
          </w:r>
          <w:r>
            <w:rPr>
              <w:rFonts w:hint="eastAsia" w:ascii="黑体" w:hAnsi="黑体" w:eastAsia="黑体" w:cs="黑体"/>
              <w:szCs w:val="44"/>
              <w:highlight w:val="none"/>
              <w:lang w:eastAsia="zh-CN"/>
            </w:rPr>
            <w:t>三</w:t>
          </w:r>
          <w:r>
            <w:rPr>
              <w:rFonts w:hint="eastAsia" w:ascii="黑体" w:hAnsi="黑体" w:eastAsia="黑体" w:cs="黑体"/>
              <w:szCs w:val="44"/>
              <w:highlight w:val="none"/>
            </w:rPr>
            <w:t>部分</w:t>
          </w:r>
          <w:r>
            <w:rPr>
              <w:rFonts w:hint="eastAsia" w:ascii="黑体" w:hAnsi="黑体" w:eastAsia="黑体" w:cs="黑体"/>
              <w:szCs w:val="44"/>
              <w:highlight w:val="none"/>
              <w:lang w:val="en-US" w:eastAsia="zh-CN"/>
            </w:rPr>
            <w:t xml:space="preserve">  </w:t>
          </w:r>
          <w:r>
            <w:rPr>
              <w:rFonts w:hint="eastAsia" w:ascii="黑体" w:hAnsi="黑体" w:eastAsia="黑体" w:cs="黑体"/>
              <w:szCs w:val="44"/>
              <w:highlight w:val="none"/>
            </w:rPr>
            <w:t>名词解释</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_Toc23461 \h </w:instrText>
          </w:r>
          <w:r>
            <w:rPr>
              <w:rFonts w:hint="eastAsia" w:ascii="黑体" w:hAnsi="黑体" w:eastAsia="黑体" w:cs="黑体"/>
            </w:rPr>
            <w:fldChar w:fldCharType="separate"/>
          </w:r>
          <w:r>
            <w:rPr>
              <w:rFonts w:hint="eastAsia" w:ascii="黑体" w:hAnsi="黑体" w:eastAsia="黑体" w:cs="黑体"/>
            </w:rPr>
            <w:t>8</w:t>
          </w:r>
          <w:r>
            <w:rPr>
              <w:rFonts w:hint="eastAsia" w:ascii="黑体" w:hAnsi="黑体" w:eastAsia="黑体" w:cs="黑体"/>
            </w:rPr>
            <w:fldChar w:fldCharType="end"/>
          </w:r>
          <w:r>
            <w:rPr>
              <w:rFonts w:hint="eastAsia" w:ascii="黑体" w:hAnsi="黑体" w:eastAsia="黑体" w:cs="黑体"/>
              <w:color w:val="auto"/>
              <w:szCs w:val="48"/>
              <w:highlight w:val="none"/>
            </w:rPr>
            <w:fldChar w:fldCharType="end"/>
          </w:r>
        </w:p>
        <w:p w14:paraId="2A2815C2">
          <w:pPr>
            <w:pStyle w:val="12"/>
            <w:tabs>
              <w:tab w:val="right" w:leader="dot" w:pos="8306"/>
              <w:tab w:val="clear" w:pos="8296"/>
            </w:tabs>
            <w:rPr>
              <w:rFonts w:hint="eastAsia" w:ascii="黑体" w:hAnsi="黑体" w:eastAsia="黑体" w:cs="黑体"/>
            </w:rPr>
          </w:pPr>
          <w:r>
            <w:rPr>
              <w:rFonts w:hint="eastAsia" w:ascii="黑体" w:hAnsi="黑体" w:eastAsia="黑体" w:cs="黑体"/>
              <w:color w:val="auto"/>
              <w:szCs w:val="48"/>
              <w:highlight w:val="none"/>
            </w:rPr>
            <w:fldChar w:fldCharType="begin"/>
          </w:r>
          <w:r>
            <w:rPr>
              <w:rFonts w:hint="eastAsia" w:ascii="黑体" w:hAnsi="黑体" w:eastAsia="黑体" w:cs="黑体"/>
              <w:szCs w:val="48"/>
              <w:highlight w:val="none"/>
            </w:rPr>
            <w:instrText xml:space="preserve"> HYPERLINK \l _Toc26310 </w:instrText>
          </w:r>
          <w:r>
            <w:rPr>
              <w:rFonts w:hint="eastAsia" w:ascii="黑体" w:hAnsi="黑体" w:eastAsia="黑体" w:cs="黑体"/>
              <w:szCs w:val="48"/>
              <w:highlight w:val="none"/>
            </w:rPr>
            <w:fldChar w:fldCharType="separate"/>
          </w:r>
          <w:r>
            <w:rPr>
              <w:rFonts w:hint="eastAsia" w:ascii="黑体" w:hAnsi="黑体" w:eastAsia="黑体" w:cs="黑体"/>
              <w:szCs w:val="44"/>
              <w:highlight w:val="none"/>
            </w:rPr>
            <w:t>第四部分</w:t>
          </w:r>
          <w:r>
            <w:rPr>
              <w:rFonts w:hint="eastAsia" w:ascii="黑体" w:hAnsi="黑体" w:eastAsia="黑体" w:cs="黑体"/>
              <w:szCs w:val="44"/>
              <w:highlight w:val="none"/>
              <w:lang w:val="en-US" w:eastAsia="zh-CN"/>
            </w:rPr>
            <w:t xml:space="preserve"> </w:t>
          </w:r>
          <w:r>
            <w:rPr>
              <w:rFonts w:hint="eastAsia" w:ascii="黑体" w:hAnsi="黑体" w:eastAsia="黑体" w:cs="黑体"/>
              <w:szCs w:val="44"/>
              <w:highlight w:val="none"/>
            </w:rPr>
            <w:t xml:space="preserve"> 附件</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_Toc26310 \h </w:instrText>
          </w:r>
          <w:r>
            <w:rPr>
              <w:rFonts w:hint="eastAsia" w:ascii="黑体" w:hAnsi="黑体" w:eastAsia="黑体" w:cs="黑体"/>
            </w:rPr>
            <w:fldChar w:fldCharType="separate"/>
          </w:r>
          <w:r>
            <w:rPr>
              <w:rFonts w:hint="eastAsia" w:ascii="黑体" w:hAnsi="黑体" w:eastAsia="黑体" w:cs="黑体"/>
            </w:rPr>
            <w:t>11</w:t>
          </w:r>
          <w:r>
            <w:rPr>
              <w:rFonts w:hint="eastAsia" w:ascii="黑体" w:hAnsi="黑体" w:eastAsia="黑体" w:cs="黑体"/>
            </w:rPr>
            <w:fldChar w:fldCharType="end"/>
          </w:r>
          <w:r>
            <w:rPr>
              <w:rFonts w:hint="eastAsia" w:ascii="黑体" w:hAnsi="黑体" w:eastAsia="黑体" w:cs="黑体"/>
              <w:color w:val="auto"/>
              <w:szCs w:val="48"/>
              <w:highlight w:val="none"/>
            </w:rPr>
            <w:fldChar w:fldCharType="end"/>
          </w:r>
        </w:p>
        <w:p w14:paraId="3CA44A3F">
          <w:pPr>
            <w:pStyle w:val="12"/>
            <w:tabs>
              <w:tab w:val="right" w:leader="dot" w:pos="8306"/>
              <w:tab w:val="clear" w:pos="8296"/>
            </w:tabs>
          </w:pPr>
          <w:r>
            <w:rPr>
              <w:rFonts w:hint="eastAsia" w:ascii="黑体" w:hAnsi="黑体" w:eastAsia="黑体" w:cs="黑体"/>
              <w:color w:val="auto"/>
              <w:szCs w:val="48"/>
              <w:highlight w:val="none"/>
            </w:rPr>
            <w:fldChar w:fldCharType="begin"/>
          </w:r>
          <w:r>
            <w:rPr>
              <w:rFonts w:hint="eastAsia" w:ascii="黑体" w:hAnsi="黑体" w:eastAsia="黑体" w:cs="黑体"/>
              <w:szCs w:val="48"/>
              <w:highlight w:val="none"/>
            </w:rPr>
            <w:instrText xml:space="preserve"> HYPERLINK \l _Toc11752 </w:instrText>
          </w:r>
          <w:r>
            <w:rPr>
              <w:rFonts w:hint="eastAsia" w:ascii="黑体" w:hAnsi="黑体" w:eastAsia="黑体" w:cs="黑体"/>
              <w:szCs w:val="48"/>
              <w:highlight w:val="none"/>
            </w:rPr>
            <w:fldChar w:fldCharType="separate"/>
          </w:r>
          <w:r>
            <w:rPr>
              <w:rFonts w:hint="eastAsia" w:ascii="黑体" w:hAnsi="黑体" w:eastAsia="黑体" w:cs="黑体"/>
              <w:szCs w:val="44"/>
              <w:highlight w:val="none"/>
            </w:rPr>
            <w:t>第</w:t>
          </w:r>
          <w:r>
            <w:rPr>
              <w:rFonts w:hint="eastAsia" w:ascii="黑体" w:hAnsi="黑体" w:eastAsia="黑体" w:cs="黑体"/>
              <w:highlight w:val="none"/>
            </w:rPr>
            <w:t>五部分 附表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_Toc11752 \h </w:instrText>
          </w:r>
          <w:r>
            <w:rPr>
              <w:rFonts w:hint="eastAsia" w:ascii="黑体" w:hAnsi="黑体" w:eastAsia="黑体" w:cs="黑体"/>
            </w:rPr>
            <w:fldChar w:fldCharType="separate"/>
          </w:r>
          <w:r>
            <w:rPr>
              <w:rFonts w:hint="eastAsia" w:ascii="黑体" w:hAnsi="黑体" w:eastAsia="黑体" w:cs="黑体"/>
            </w:rPr>
            <w:t>11</w:t>
          </w:r>
          <w:r>
            <w:rPr>
              <w:rFonts w:hint="eastAsia" w:ascii="黑体" w:hAnsi="黑体" w:eastAsia="黑体" w:cs="黑体"/>
            </w:rPr>
            <w:fldChar w:fldCharType="end"/>
          </w:r>
          <w:r>
            <w:rPr>
              <w:rFonts w:hint="eastAsia" w:ascii="黑体" w:hAnsi="黑体" w:eastAsia="黑体" w:cs="黑体"/>
              <w:color w:val="auto"/>
              <w:szCs w:val="48"/>
              <w:highlight w:val="none"/>
            </w:rPr>
            <w:fldChar w:fldCharType="end"/>
          </w:r>
        </w:p>
        <w:p w14:paraId="2238BBBD">
          <w:pPr>
            <w:widowControl/>
            <w:jc w:val="center"/>
            <w:rPr>
              <w:rFonts w:hint="eastAsia" w:ascii="Times New Roman" w:hAnsi="Times New Roman" w:eastAsia="黑体" w:cs="Times New Roman"/>
              <w:color w:val="auto"/>
              <w:kern w:val="2"/>
              <w:sz w:val="21"/>
              <w:szCs w:val="48"/>
              <w:highlight w:val="none"/>
              <w:lang w:val="en-US" w:eastAsia="zh-CN" w:bidi="ar-SA"/>
            </w:rPr>
          </w:pPr>
          <w:r>
            <w:rPr>
              <w:rFonts w:hint="eastAsia" w:ascii="Times New Roman" w:hAnsi="Times New Roman" w:eastAsia="黑体"/>
              <w:color w:val="auto"/>
              <w:szCs w:val="48"/>
              <w:highlight w:val="none"/>
            </w:rPr>
            <w:fldChar w:fldCharType="end"/>
          </w:r>
        </w:p>
      </w:sdtContent>
    </w:sdt>
    <w:p w14:paraId="2CBEC794">
      <w:pPr>
        <w:pStyle w:val="2"/>
        <w:rPr>
          <w:rFonts w:hint="eastAsia"/>
        </w:rPr>
      </w:pPr>
    </w:p>
    <w:p w14:paraId="38AF6399">
      <w:pPr>
        <w:widowControl/>
        <w:jc w:val="center"/>
        <w:rPr>
          <w:rFonts w:hint="eastAsia" w:ascii="Times New Roman" w:hAnsi="Times New Roman" w:eastAsia="黑体"/>
          <w:color w:val="auto"/>
          <w:sz w:val="48"/>
          <w:szCs w:val="48"/>
          <w:highlight w:val="none"/>
        </w:rPr>
      </w:pPr>
    </w:p>
    <w:p w14:paraId="29706E97">
      <w:pPr>
        <w:pStyle w:val="3"/>
        <w:jc w:val="center"/>
        <w:rPr>
          <w:rFonts w:hint="eastAsia" w:ascii="Times New Roman" w:hAnsi="Times New Roman" w:eastAsia="方正小标宋简体" w:cs="方正小标宋简体"/>
          <w:b w:val="0"/>
          <w:color w:val="auto"/>
          <w:highlight w:val="none"/>
        </w:rPr>
        <w:sectPr>
          <w:footerReference r:id="rId5" w:type="first"/>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pPr>
      <w:bookmarkStart w:id="12" w:name="_Toc22945"/>
      <w:bookmarkStart w:id="13" w:name="_Toc15377196"/>
      <w:bookmarkStart w:id="14" w:name="_Toc15396599"/>
    </w:p>
    <w:p w14:paraId="0275470F">
      <w:pPr>
        <w:pStyle w:val="3"/>
        <w:jc w:val="center"/>
        <w:rPr>
          <w:rStyle w:val="28"/>
          <w:rFonts w:hint="eastAsia" w:ascii="Times New Roman" w:hAnsi="Times New Roman" w:eastAsia="方正小标宋简体" w:cs="方正小标宋简体"/>
          <w:b/>
          <w:bCs w:val="0"/>
          <w:color w:val="auto"/>
          <w:highlight w:val="none"/>
        </w:rPr>
      </w:pPr>
      <w:r>
        <w:rPr>
          <w:rFonts w:hint="eastAsia" w:ascii="Times New Roman" w:hAnsi="Times New Roman" w:eastAsia="方正小标宋简体" w:cs="方正小标宋简体"/>
          <w:b w:val="0"/>
          <w:color w:val="auto"/>
          <w:highlight w:val="none"/>
        </w:rPr>
        <w:t>第一部分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Style w:val="28"/>
          <w:rFonts w:hint="eastAsia" w:ascii="Times New Roman" w:hAnsi="Times New Roman" w:eastAsia="方正小标宋简体" w:cs="方正小标宋简体"/>
          <w:b w:val="0"/>
          <w:bCs w:val="0"/>
          <w:color w:val="auto"/>
          <w:highlight w:val="none"/>
        </w:rPr>
        <w:t>部门概况</w:t>
      </w:r>
      <w:bookmarkEnd w:id="12"/>
      <w:bookmarkEnd w:id="13"/>
      <w:bookmarkEnd w:id="14"/>
    </w:p>
    <w:p w14:paraId="469FD8AE">
      <w:pPr>
        <w:widowControl/>
        <w:jc w:val="left"/>
        <w:rPr>
          <w:rFonts w:ascii="Times New Roman" w:hAnsi="Times New Roman" w:eastAsia="黑体"/>
          <w:color w:val="auto"/>
          <w:sz w:val="32"/>
          <w:szCs w:val="32"/>
          <w:highlight w:val="none"/>
        </w:rPr>
      </w:pPr>
    </w:p>
    <w:p w14:paraId="3B71BBF1">
      <w:pPr>
        <w:pStyle w:val="4"/>
        <w:rPr>
          <w:rFonts w:hint="eastAsia" w:ascii="Times New Roman" w:hAnsi="Times New Roman" w:eastAsia="黑体"/>
          <w:b w:val="0"/>
          <w:color w:val="auto"/>
          <w:highlight w:val="none"/>
          <w:lang w:eastAsia="zh-CN"/>
        </w:rPr>
      </w:pPr>
      <w:bookmarkStart w:id="15" w:name="_Toc15396600"/>
      <w:bookmarkStart w:id="16" w:name="_Toc15377197"/>
      <w:bookmarkStart w:id="17" w:name="_Toc23729"/>
      <w:r>
        <w:rPr>
          <w:rFonts w:hint="eastAsia" w:ascii="Times New Roman" w:hAnsi="Times New Roman" w:eastAsia="黑体"/>
          <w:b w:val="0"/>
          <w:color w:val="auto"/>
          <w:highlight w:val="none"/>
        </w:rPr>
        <w:t>一、</w:t>
      </w:r>
      <w:bookmarkEnd w:id="15"/>
      <w:bookmarkEnd w:id="16"/>
      <w:r>
        <w:rPr>
          <w:rFonts w:hint="eastAsia" w:ascii="Times New Roman" w:hAnsi="Times New Roman" w:eastAsia="黑体"/>
          <w:b w:val="0"/>
          <w:color w:val="auto"/>
          <w:highlight w:val="none"/>
          <w:lang w:eastAsia="zh-CN"/>
        </w:rPr>
        <w:t>部门职责</w:t>
      </w:r>
      <w:bookmarkEnd w:id="17"/>
    </w:p>
    <w:p w14:paraId="3DD4BE2B">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主要职能。</w:t>
      </w:r>
      <w:r>
        <w:rPr>
          <w:rFonts w:hint="eastAsia" w:ascii="仿宋_GB2312" w:hAnsi="瀹嬩綋" w:eastAsia="仿宋_GB2312" w:cs="仿宋_GB2312"/>
          <w:sz w:val="32"/>
          <w:szCs w:val="32"/>
        </w:rPr>
        <w:t>贯彻落实国家、省、市有关内外贸易、外商投资、投资促进方针政策和法律法规；拟订全区国内外贸易、外商投资、对外经济合作、投资促进相关政策文件</w:t>
      </w:r>
      <w:r>
        <w:rPr>
          <w:rFonts w:hint="eastAsia" w:ascii="仿宋_GB2312" w:hAnsi="仿宋" w:eastAsia="仿宋_GB2312"/>
          <w:sz w:val="32"/>
          <w:szCs w:val="32"/>
        </w:rPr>
        <w:t>，</w:t>
      </w:r>
      <w:r>
        <w:rPr>
          <w:rFonts w:hint="eastAsia" w:ascii="仿宋_GB2312" w:hAnsi="瀹嬩綋" w:eastAsia="仿宋_GB2312" w:cs="仿宋_GB2312"/>
          <w:sz w:val="32"/>
          <w:szCs w:val="32"/>
        </w:rPr>
        <w:t>依法管理和监督我区对外投资合作、指导协调对外贸易信用体系建设和标准化建设等。负责对全区投资促进工作和项目情况进行统计、分析。负责全区投资环境推介，推介区重点区域、重点产业、重大招商引资项目，负责跟踪促进全区重大外资项目,建立健全多层次外商投资促进工作体系;按规定承担全区外商投资企业设立的管理和协调服务工作</w:t>
      </w:r>
      <w:r>
        <w:rPr>
          <w:rFonts w:hint="eastAsia" w:ascii="仿宋_GB2312" w:hAnsi="瀹嬩綋" w:eastAsia="仿宋_GB2312" w:cs="仿宋_GB2312"/>
          <w:sz w:val="32"/>
          <w:szCs w:val="32"/>
          <w:lang w:eastAsia="zh-CN"/>
        </w:rPr>
        <w:t>，</w:t>
      </w:r>
      <w:r>
        <w:rPr>
          <w:rFonts w:hint="eastAsia" w:ascii="仿宋_GB2312" w:hAnsi="瀹嬩綋" w:eastAsia="仿宋_GB2312" w:cs="仿宋_GB2312"/>
          <w:sz w:val="32"/>
          <w:szCs w:val="32"/>
        </w:rPr>
        <w:t>协调全区重大产业项目布局和流转,协调解决引进重大项目推进和落地过程中的重大问题。负责对全区投资促进工作和项目情况进行统计、分析、研究,参与省、市重大投资促进活动。负责全区投资环境推介;会同有关部门包装和推介全区重点区域、重点产业、重大招商引资项目</w:t>
      </w:r>
      <w:r>
        <w:rPr>
          <w:rFonts w:hint="eastAsia" w:ascii="仿宋_GB2312" w:hAnsi="瀹嬩綋" w:eastAsia="仿宋_GB2312" w:cs="仿宋_GB2312"/>
          <w:sz w:val="32"/>
          <w:szCs w:val="32"/>
          <w:lang w:eastAsia="zh-CN"/>
        </w:rPr>
        <w:t>，</w:t>
      </w:r>
      <w:r>
        <w:rPr>
          <w:rFonts w:hint="eastAsia" w:ascii="仿宋_GB2312" w:hAnsi="仿宋" w:eastAsia="仿宋_GB2312"/>
          <w:sz w:val="32"/>
          <w:szCs w:val="32"/>
        </w:rPr>
        <w:t>完成局领导交办的其他工作。</w:t>
      </w:r>
    </w:p>
    <w:p w14:paraId="0A1347D5">
      <w:pPr>
        <w:pStyle w:val="4"/>
        <w:rPr>
          <w:rStyle w:val="29"/>
          <w:rFonts w:ascii="Times New Roman" w:hAnsi="Times New Roman"/>
          <w:b w:val="0"/>
          <w:bCs w:val="0"/>
          <w:color w:val="auto"/>
          <w:highlight w:val="none"/>
        </w:rPr>
      </w:pPr>
      <w:bookmarkStart w:id="18" w:name="_Toc22504"/>
      <w:bookmarkStart w:id="19" w:name="_Toc15396601"/>
      <w:bookmarkStart w:id="20" w:name="_Toc15377200"/>
      <w:r>
        <w:rPr>
          <w:rFonts w:hint="eastAsia" w:ascii="Times New Roman" w:hAnsi="Times New Roman" w:eastAsia="黑体"/>
          <w:b w:val="0"/>
          <w:color w:val="auto"/>
          <w:highlight w:val="none"/>
        </w:rPr>
        <w:t>二、机</w:t>
      </w:r>
      <w:r>
        <w:rPr>
          <w:rStyle w:val="29"/>
          <w:rFonts w:hint="eastAsia" w:ascii="Times New Roman" w:hAnsi="Times New Roman" w:eastAsia="黑体"/>
          <w:b w:val="0"/>
          <w:bCs w:val="0"/>
          <w:color w:val="auto"/>
          <w:highlight w:val="none"/>
        </w:rPr>
        <w:t>构设置</w:t>
      </w:r>
      <w:bookmarkEnd w:id="18"/>
      <w:bookmarkEnd w:id="19"/>
      <w:bookmarkEnd w:id="20"/>
    </w:p>
    <w:p w14:paraId="44BCC26B">
      <w:pPr>
        <w:snapToGrid w:val="0"/>
        <w:spacing w:line="520" w:lineRule="exact"/>
        <w:ind w:firstLine="640" w:firstLineChars="200"/>
        <w:rPr>
          <w:rFonts w:ascii="Times New Roman" w:hAnsi="Times New Roman" w:eastAsia="仿宋"/>
          <w:color w:val="auto"/>
          <w:kern w:val="0"/>
          <w:sz w:val="32"/>
          <w:szCs w:val="32"/>
          <w:highlight w:val="none"/>
        </w:rPr>
      </w:pPr>
      <w:r>
        <w:rPr>
          <w:rFonts w:hint="eastAsia" w:ascii="仿宋_GB2312" w:hAnsi="仿宋" w:eastAsia="仿宋_GB2312"/>
          <w:sz w:val="32"/>
          <w:szCs w:val="32"/>
        </w:rPr>
        <w:t>本单位是</w:t>
      </w:r>
      <w:r>
        <w:rPr>
          <w:rFonts w:hint="eastAsia" w:ascii="仿宋_GB2312" w:hAnsi="仿宋" w:eastAsia="仿宋_GB2312"/>
          <w:sz w:val="32"/>
          <w:szCs w:val="32"/>
          <w:lang w:val="zh-CN"/>
        </w:rPr>
        <w:t>独立编制的二级预算单位。单位类型为公益一类事业单位。执行政府会计准则制度。</w:t>
      </w:r>
    </w:p>
    <w:p w14:paraId="7D517323">
      <w:pPr>
        <w:pStyle w:val="3"/>
        <w:jc w:val="center"/>
        <w:rPr>
          <w:rFonts w:ascii="Times New Roman" w:hAnsi="Times New Roman"/>
          <w:color w:val="auto"/>
          <w:highlight w:val="none"/>
        </w:rPr>
      </w:pPr>
      <w:bookmarkStart w:id="21" w:name="_Toc21627"/>
      <w:bookmarkStart w:id="22" w:name="_Toc15396602"/>
      <w:bookmarkStart w:id="23" w:name="_Toc15377204"/>
      <w:r>
        <w:rPr>
          <w:rFonts w:hint="eastAsia" w:ascii="Times New Roman" w:hAnsi="Times New Roman" w:eastAsia="方正小标宋简体" w:cs="方正小标宋简体"/>
          <w:b w:val="0"/>
          <w:color w:val="auto"/>
          <w:highlight w:val="none"/>
        </w:rPr>
        <w:t>第二部分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Fonts w:hint="eastAsia" w:ascii="Times New Roman" w:hAnsi="Times New Roman" w:eastAsia="方正小标宋简体" w:cs="方正小标宋简体"/>
          <w:b w:val="0"/>
          <w:color w:val="auto"/>
          <w:highlight w:val="none"/>
          <w:lang w:val="en-US" w:eastAsia="zh-CN"/>
        </w:rPr>
        <w:t>2024年度</w:t>
      </w:r>
      <w:r>
        <w:rPr>
          <w:rFonts w:hint="eastAsia" w:ascii="Times New Roman" w:hAnsi="Times New Roman" w:eastAsia="方正小标宋简体" w:cs="方正小标宋简体"/>
          <w:b w:val="0"/>
          <w:color w:val="auto"/>
          <w:highlight w:val="none"/>
        </w:rPr>
        <w:t>部门决算情况说明</w:t>
      </w:r>
      <w:bookmarkEnd w:id="21"/>
      <w:bookmarkEnd w:id="22"/>
      <w:bookmarkEnd w:id="23"/>
    </w:p>
    <w:p w14:paraId="4C46C614">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29"/>
          <w:rFonts w:hint="eastAsia" w:ascii="Times New Roman" w:hAnsi="Times New Roman" w:eastAsia="黑体"/>
          <w:b w:val="0"/>
          <w:color w:val="auto"/>
          <w:highlight w:val="none"/>
        </w:rPr>
      </w:pPr>
      <w:bookmarkStart w:id="24" w:name="_Toc15377205"/>
      <w:bookmarkStart w:id="25" w:name="_Toc15396603"/>
      <w:bookmarkStart w:id="26" w:name="_Toc25035"/>
      <w:r>
        <w:rPr>
          <w:rFonts w:hint="eastAsia" w:ascii="Times New Roman" w:hAnsi="Times New Roman" w:eastAsia="黑体"/>
          <w:color w:val="auto"/>
          <w:sz w:val="32"/>
          <w:szCs w:val="32"/>
          <w:highlight w:val="none"/>
          <w:lang w:eastAsia="zh-CN"/>
        </w:rPr>
        <w:t>一、</w:t>
      </w:r>
      <w:r>
        <w:rPr>
          <w:rFonts w:hint="eastAsia" w:ascii="Times New Roman" w:hAnsi="Times New Roman" w:eastAsia="黑体"/>
          <w:color w:val="auto"/>
          <w:sz w:val="32"/>
          <w:szCs w:val="32"/>
          <w:highlight w:val="none"/>
        </w:rPr>
        <w:t>收</w:t>
      </w:r>
      <w:r>
        <w:rPr>
          <w:rStyle w:val="29"/>
          <w:rFonts w:hint="eastAsia" w:ascii="Times New Roman" w:hAnsi="Times New Roman" w:eastAsia="黑体"/>
          <w:b w:val="0"/>
          <w:color w:val="auto"/>
          <w:highlight w:val="none"/>
        </w:rPr>
        <w:t>入支出决算总体情况说明</w:t>
      </w:r>
      <w:bookmarkEnd w:id="24"/>
      <w:bookmarkEnd w:id="25"/>
      <w:bookmarkEnd w:id="26"/>
    </w:p>
    <w:p w14:paraId="13D15100">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Times New Roman" w:hAnsi="Times New Roman" w:eastAsia="仿宋_GB2312" w:cs="仿宋_GB2312"/>
          <w:color w:val="auto"/>
          <w:sz w:val="32"/>
          <w:szCs w:val="32"/>
          <w:highlight w:val="none"/>
        </w:rPr>
      </w:pPr>
      <w:r>
        <w:rPr>
          <w:rFonts w:hint="eastAsia" w:ascii="仿宋" w:hAnsi="仿宋" w:eastAsia="仿宋" w:cs="仿宋"/>
          <w:color w:val="auto"/>
          <w:sz w:val="32"/>
          <w:szCs w:val="32"/>
          <w:highlight w:val="none"/>
          <w:lang w:eastAsia="zh-CN"/>
        </w:rPr>
        <w:t>2024年度收入</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支出</w:t>
      </w:r>
      <w:r>
        <w:rPr>
          <w:rFonts w:hint="eastAsia" w:ascii="仿宋" w:hAnsi="仿宋" w:eastAsia="仿宋" w:cs="仿宋"/>
          <w:color w:val="auto"/>
          <w:sz w:val="32"/>
          <w:szCs w:val="32"/>
          <w:highlight w:val="none"/>
        </w:rPr>
        <w:t>总计</w:t>
      </w:r>
      <w:r>
        <w:rPr>
          <w:rFonts w:hint="eastAsia" w:ascii="仿宋" w:hAnsi="仿宋" w:eastAsia="仿宋" w:cs="仿宋"/>
          <w:color w:val="auto"/>
          <w:sz w:val="32"/>
          <w:szCs w:val="32"/>
          <w:highlight w:val="none"/>
          <w:lang w:eastAsia="zh-CN"/>
        </w:rPr>
        <w:t>均为</w:t>
      </w:r>
      <w:r>
        <w:rPr>
          <w:rFonts w:hint="eastAsia" w:ascii="仿宋" w:hAnsi="仿宋" w:eastAsia="仿宋" w:cs="仿宋"/>
          <w:sz w:val="32"/>
          <w:szCs w:val="32"/>
        </w:rPr>
        <w:t>91.51</w:t>
      </w:r>
      <w:r>
        <w:rPr>
          <w:rFonts w:hint="eastAsia" w:ascii="仿宋" w:hAnsi="仿宋" w:eastAsia="仿宋" w:cs="仿宋"/>
          <w:color w:val="auto"/>
          <w:sz w:val="32"/>
          <w:szCs w:val="32"/>
          <w:highlight w:val="none"/>
        </w:rPr>
        <w:t>万元。与</w:t>
      </w:r>
      <w:r>
        <w:rPr>
          <w:rFonts w:hint="eastAsia" w:ascii="仿宋" w:hAnsi="仿宋" w:eastAsia="仿宋" w:cs="仿宋"/>
          <w:color w:val="auto"/>
          <w:sz w:val="32"/>
          <w:szCs w:val="32"/>
          <w:highlight w:val="none"/>
          <w:lang w:eastAsia="zh-CN"/>
        </w:rPr>
        <w:t>202</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eastAsia="zh-CN"/>
        </w:rPr>
        <w:t>度</w:t>
      </w:r>
      <w:r>
        <w:rPr>
          <w:rFonts w:hint="eastAsia" w:ascii="仿宋" w:hAnsi="仿宋" w:eastAsia="仿宋" w:cs="仿宋"/>
          <w:color w:val="auto"/>
          <w:sz w:val="32"/>
          <w:szCs w:val="32"/>
          <w:highlight w:val="none"/>
        </w:rPr>
        <w:t>相比，</w:t>
      </w:r>
      <w:r>
        <w:rPr>
          <w:rFonts w:hint="eastAsia" w:ascii="仿宋" w:hAnsi="仿宋" w:eastAsia="仿宋" w:cs="仿宋"/>
          <w:color w:val="auto"/>
          <w:sz w:val="32"/>
          <w:szCs w:val="32"/>
          <w:highlight w:val="none"/>
          <w:lang w:eastAsia="zh-CN"/>
        </w:rPr>
        <w:t>收入</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支出</w:t>
      </w:r>
      <w:r>
        <w:rPr>
          <w:rFonts w:hint="eastAsia" w:ascii="仿宋" w:hAnsi="仿宋" w:eastAsia="仿宋" w:cs="仿宋"/>
          <w:color w:val="auto"/>
          <w:sz w:val="32"/>
          <w:szCs w:val="32"/>
          <w:highlight w:val="none"/>
        </w:rPr>
        <w:t>总计各增加21.66万元，增长31%。主要变动原因是本年度人员增加一人，人员经费和公用经费相应增加，本年收入相应增加</w:t>
      </w:r>
      <w:r>
        <w:rPr>
          <w:rFonts w:hint="eastAsia" w:ascii="Times New Roman" w:hAnsi="Times New Roman" w:eastAsia="仿宋_GB2312" w:cs="仿宋_GB2312"/>
          <w:color w:val="auto"/>
          <w:sz w:val="32"/>
          <w:szCs w:val="32"/>
          <w:highlight w:val="none"/>
        </w:rPr>
        <w:t>。</w:t>
      </w:r>
    </w:p>
    <w:p w14:paraId="32D6C0F0">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rPr>
      </w:pPr>
      <w:r>
        <w:rPr>
          <w:rFonts w:hint="eastAsia" w:eastAsia="仿宋_GB2312" w:cs="仿宋_GB2312"/>
          <w:color w:val="auto"/>
          <w:sz w:val="32"/>
          <w:szCs w:val="32"/>
          <w:highlight w:val="none"/>
          <w:lang w:eastAsia="zh-CN"/>
        </w:rPr>
        <w:drawing>
          <wp:anchor distT="0" distB="0" distL="114300" distR="114300" simplePos="0" relativeHeight="251660288" behindDoc="0" locked="0" layoutInCell="1" allowOverlap="1">
            <wp:simplePos x="0" y="0"/>
            <wp:positionH relativeFrom="column">
              <wp:posOffset>209550</wp:posOffset>
            </wp:positionH>
            <wp:positionV relativeFrom="paragraph">
              <wp:posOffset>320040</wp:posOffset>
            </wp:positionV>
            <wp:extent cx="4839335" cy="2837180"/>
            <wp:effectExtent l="0" t="0" r="18415" b="1270"/>
            <wp:wrapNone/>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14:paraId="0A783925">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rPr>
      </w:pPr>
    </w:p>
    <w:p w14:paraId="0313DD7B">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rPr>
      </w:pPr>
    </w:p>
    <w:p w14:paraId="70C36664">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rPr>
      </w:pPr>
    </w:p>
    <w:p w14:paraId="79D786E1">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rPr>
      </w:pPr>
    </w:p>
    <w:p w14:paraId="70A8A86D">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rPr>
      </w:pPr>
    </w:p>
    <w:p w14:paraId="719C9BB2">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rPr>
      </w:pPr>
    </w:p>
    <w:p w14:paraId="6BDAFA0B">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outlineLvl w:val="1"/>
        <w:rPr>
          <w:rFonts w:hint="eastAsia" w:ascii="Times New Roman" w:hAnsi="Times New Roman" w:eastAsia="仿宋_GB2312" w:cs="仿宋_GB2312"/>
          <w:color w:val="auto"/>
          <w:sz w:val="32"/>
          <w:szCs w:val="32"/>
          <w:highlight w:val="none"/>
          <w:lang w:eastAsia="zh-CN"/>
        </w:rPr>
      </w:pPr>
    </w:p>
    <w:p w14:paraId="4183ABBB">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outlineLvl w:val="1"/>
        <w:rPr>
          <w:rFonts w:hint="eastAsia" w:ascii="Times New Roman" w:hAnsi="Times New Roman" w:eastAsia="仿宋_GB2312" w:cs="仿宋_GB2312"/>
          <w:color w:val="auto"/>
          <w:sz w:val="32"/>
          <w:szCs w:val="32"/>
          <w:highlight w:val="none"/>
          <w:lang w:eastAsia="zh-CN"/>
        </w:rPr>
      </w:pPr>
    </w:p>
    <w:p w14:paraId="049D593B">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（图1：</w:t>
      </w:r>
      <w:r>
        <w:rPr>
          <w:rFonts w:hint="eastAsia" w:ascii="楷体" w:hAnsi="楷体" w:eastAsia="楷体" w:cs="楷体"/>
          <w:color w:val="auto"/>
          <w:sz w:val="21"/>
          <w:szCs w:val="21"/>
          <w:highlight w:val="none"/>
          <w:lang w:eastAsia="zh-CN"/>
        </w:rPr>
        <w:t>收入</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eastAsia="zh-CN"/>
        </w:rPr>
        <w:t>支出</w:t>
      </w:r>
      <w:r>
        <w:rPr>
          <w:rFonts w:hint="eastAsia" w:ascii="楷体" w:hAnsi="楷体" w:eastAsia="楷体" w:cs="楷体"/>
          <w:color w:val="auto"/>
          <w:sz w:val="21"/>
          <w:szCs w:val="21"/>
          <w:highlight w:val="none"/>
        </w:rPr>
        <w:t>决算总计变动情况图）</w:t>
      </w:r>
    </w:p>
    <w:p w14:paraId="5401BD09">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olor w:val="auto"/>
          <w:sz w:val="32"/>
          <w:szCs w:val="32"/>
          <w:highlight w:val="none"/>
          <w:lang w:eastAsia="zh-CN"/>
        </w:rPr>
      </w:pPr>
      <w:bookmarkStart w:id="27" w:name="_Toc15396604"/>
      <w:bookmarkStart w:id="28" w:name="_Toc26549"/>
      <w:bookmarkStart w:id="29" w:name="_Toc15377206"/>
      <w:r>
        <w:rPr>
          <w:rFonts w:hint="eastAsia" w:ascii="Times New Roman" w:hAnsi="Times New Roman" w:eastAsia="黑体"/>
          <w:color w:val="auto"/>
          <w:sz w:val="32"/>
          <w:szCs w:val="32"/>
          <w:highlight w:val="none"/>
          <w:lang w:eastAsia="zh-CN"/>
        </w:rPr>
        <w:t>二、收入决算情况说明</w:t>
      </w:r>
      <w:bookmarkEnd w:id="27"/>
      <w:bookmarkEnd w:id="28"/>
      <w:bookmarkEnd w:id="29"/>
    </w:p>
    <w:p w14:paraId="6250B677">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9"/>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2024年度本年收入合计</w:t>
      </w:r>
      <w:r>
        <w:rPr>
          <w:rFonts w:hint="eastAsia" w:ascii="仿宋_GB2312" w:hAnsi="仿宋_GB2312" w:eastAsia="仿宋_GB2312" w:cs="仿宋_GB2312"/>
          <w:sz w:val="32"/>
          <w:szCs w:val="32"/>
        </w:rPr>
        <w:t>91.51万元，其中：一般公共预算财政拨款收入91.51</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sz w:val="32"/>
          <w:szCs w:val="32"/>
          <w:highlight w:val="none"/>
          <w:lang w:eastAsia="zh-CN"/>
        </w:rPr>
        <w:t>%；政府性基金预算财政拨款收入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；国有资本经营预算财政拨款收入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%；上级补助收入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%；事业收入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%；经营收入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%；附属单位上缴收入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%；其他收入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w:t>
      </w:r>
    </w:p>
    <w:p w14:paraId="655AAC24">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1"/>
        <w:rPr>
          <w:rFonts w:hint="eastAsia" w:ascii="仿宋_GB2312" w:hAnsi="仿宋_GB2312" w:eastAsia="仿宋_GB2312" w:cs="仿宋_GB2312"/>
          <w:color w:val="auto"/>
          <w:sz w:val="32"/>
          <w:szCs w:val="32"/>
          <w:highlight w:val="none"/>
          <w:lang w:eastAsia="zh-CN"/>
        </w:rPr>
      </w:pPr>
      <w:r>
        <w:rPr>
          <w:rFonts w:hint="eastAsia" w:ascii="Times New Roman" w:hAnsi="Times New Roman" w:eastAsia="仿宋_GB2312" w:cs="仿宋_GB2312"/>
          <w:b/>
          <w:bCs/>
          <w:color w:val="auto"/>
          <w:sz w:val="32"/>
          <w:szCs w:val="32"/>
          <w:highlight w:val="none"/>
          <w:lang w:eastAsia="zh-CN"/>
        </w:rPr>
        <w:drawing>
          <wp:anchor distT="0" distB="0" distL="114300" distR="114300" simplePos="0" relativeHeight="251661312" behindDoc="0" locked="0" layoutInCell="1" allowOverlap="1">
            <wp:simplePos x="0" y="0"/>
            <wp:positionH relativeFrom="column">
              <wp:posOffset>85725</wp:posOffset>
            </wp:positionH>
            <wp:positionV relativeFrom="paragraph">
              <wp:posOffset>314325</wp:posOffset>
            </wp:positionV>
            <wp:extent cx="5256530" cy="2988310"/>
            <wp:effectExtent l="5080" t="4445" r="15240" b="17145"/>
            <wp:wrapNone/>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14:paraId="5A24D84A">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sz w:val="32"/>
          <w:szCs w:val="32"/>
          <w:highlight w:val="none"/>
          <w:lang w:eastAsia="zh-CN"/>
        </w:rPr>
      </w:pPr>
    </w:p>
    <w:p w14:paraId="03F6DCB8">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sz w:val="32"/>
          <w:szCs w:val="32"/>
          <w:highlight w:val="none"/>
          <w:lang w:eastAsia="zh-CN"/>
        </w:rPr>
      </w:pPr>
    </w:p>
    <w:p w14:paraId="15E8DAAA">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sz w:val="32"/>
          <w:szCs w:val="32"/>
          <w:highlight w:val="none"/>
          <w:lang w:eastAsia="zh-CN"/>
        </w:rPr>
      </w:pPr>
    </w:p>
    <w:p w14:paraId="1EEF6774">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sz w:val="32"/>
          <w:szCs w:val="32"/>
          <w:highlight w:val="none"/>
          <w:lang w:eastAsia="zh-CN"/>
        </w:rPr>
      </w:pPr>
    </w:p>
    <w:p w14:paraId="4A8B286D">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sz w:val="32"/>
          <w:szCs w:val="32"/>
          <w:highlight w:val="none"/>
          <w:lang w:eastAsia="zh-CN"/>
        </w:rPr>
      </w:pPr>
    </w:p>
    <w:p w14:paraId="0CB63F54">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sz w:val="32"/>
          <w:szCs w:val="32"/>
          <w:highlight w:val="none"/>
          <w:lang w:eastAsia="zh-CN"/>
        </w:rPr>
      </w:pPr>
    </w:p>
    <w:p w14:paraId="1EEC0B9A">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sz w:val="32"/>
          <w:szCs w:val="32"/>
          <w:highlight w:val="none"/>
          <w:lang w:eastAsia="zh-CN"/>
        </w:rPr>
      </w:pPr>
    </w:p>
    <w:p w14:paraId="680D7827">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jc w:val="left"/>
        <w:textAlignment w:val="auto"/>
        <w:outlineLvl w:val="1"/>
        <w:rPr>
          <w:rFonts w:hint="eastAsia" w:ascii="仿宋_GB2312" w:hAnsi="仿宋_GB2312" w:eastAsia="仿宋_GB2312" w:cs="仿宋_GB2312"/>
          <w:color w:val="auto"/>
          <w:sz w:val="32"/>
          <w:szCs w:val="32"/>
          <w:highlight w:val="none"/>
          <w:lang w:eastAsia="zh-CN"/>
        </w:rPr>
      </w:pPr>
    </w:p>
    <w:p w14:paraId="0C8F027B">
      <w:pPr>
        <w:ind w:firstLine="525" w:firstLineChars="250"/>
        <w:rPr>
          <w:rFonts w:hint="eastAsia" w:ascii="楷体" w:hAnsi="楷体" w:eastAsia="楷体" w:cs="楷体"/>
          <w:color w:val="auto"/>
          <w:sz w:val="21"/>
          <w:szCs w:val="21"/>
          <w:highlight w:val="none"/>
          <w:lang w:eastAsia="zh-CN"/>
        </w:rPr>
      </w:pPr>
      <w:r>
        <w:rPr>
          <w:rFonts w:hint="eastAsia" w:ascii="楷体" w:hAnsi="楷体" w:eastAsia="楷体" w:cs="楷体"/>
          <w:color w:val="auto"/>
          <w:sz w:val="21"/>
          <w:szCs w:val="21"/>
          <w:highlight w:val="none"/>
          <w:lang w:eastAsia="zh-CN"/>
        </w:rPr>
        <w:t>（图2：收入决算结构图）</w:t>
      </w:r>
    </w:p>
    <w:p w14:paraId="7E518182">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29"/>
          <w:rFonts w:hint="eastAsia" w:ascii="Times New Roman" w:hAnsi="Times New Roman" w:eastAsia="黑体"/>
          <w:b w:val="0"/>
          <w:color w:val="auto"/>
          <w:highlight w:val="none"/>
        </w:rPr>
      </w:pPr>
      <w:bookmarkStart w:id="30" w:name="_Toc15396605"/>
      <w:bookmarkStart w:id="31" w:name="_Toc15377207"/>
      <w:bookmarkStart w:id="32" w:name="_Toc15798"/>
      <w:r>
        <w:rPr>
          <w:rFonts w:hint="eastAsia" w:ascii="Times New Roman" w:hAnsi="Times New Roman" w:eastAsia="黑体"/>
          <w:color w:val="auto"/>
          <w:sz w:val="32"/>
          <w:szCs w:val="32"/>
          <w:highlight w:val="none"/>
          <w:lang w:eastAsia="zh-CN"/>
        </w:rPr>
        <w:t>三、</w:t>
      </w:r>
      <w:r>
        <w:rPr>
          <w:rFonts w:hint="eastAsia" w:ascii="Times New Roman" w:hAnsi="Times New Roman" w:eastAsia="黑体"/>
          <w:color w:val="auto"/>
          <w:sz w:val="32"/>
          <w:szCs w:val="32"/>
          <w:highlight w:val="none"/>
        </w:rPr>
        <w:t>支</w:t>
      </w:r>
      <w:r>
        <w:rPr>
          <w:rStyle w:val="29"/>
          <w:rFonts w:hint="eastAsia" w:ascii="Times New Roman" w:hAnsi="Times New Roman" w:eastAsia="黑体"/>
          <w:b w:val="0"/>
          <w:color w:val="auto"/>
          <w:highlight w:val="none"/>
        </w:rPr>
        <w:t>出决算情况说明</w:t>
      </w:r>
      <w:bookmarkEnd w:id="30"/>
      <w:bookmarkEnd w:id="31"/>
      <w:bookmarkEnd w:id="32"/>
    </w:p>
    <w:p w14:paraId="0396B1DF">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9"/>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2024年度本年支出合计</w:t>
      </w:r>
      <w:r>
        <w:rPr>
          <w:rFonts w:hint="eastAsia" w:ascii="仿宋_GB2312" w:hAnsi="仿宋_GB2312" w:eastAsia="仿宋_GB2312" w:cs="仿宋_GB2312"/>
          <w:sz w:val="32"/>
          <w:szCs w:val="32"/>
        </w:rPr>
        <w:t>91.51</w:t>
      </w:r>
      <w:r>
        <w:rPr>
          <w:rFonts w:hint="eastAsia" w:ascii="仿宋_GB2312" w:hAnsi="仿宋_GB2312" w:eastAsia="仿宋_GB2312" w:cs="仿宋_GB2312"/>
          <w:color w:val="auto"/>
          <w:sz w:val="32"/>
          <w:szCs w:val="32"/>
          <w:highlight w:val="none"/>
          <w:lang w:eastAsia="zh-CN"/>
        </w:rPr>
        <w:t>万元，其中：基本支出</w:t>
      </w:r>
      <w:r>
        <w:rPr>
          <w:rFonts w:hint="eastAsia" w:ascii="仿宋_GB2312" w:hAnsi="仿宋_GB2312" w:eastAsia="仿宋_GB2312" w:cs="仿宋_GB2312"/>
          <w:sz w:val="32"/>
          <w:szCs w:val="32"/>
        </w:rPr>
        <w:t>91.51</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sz w:val="32"/>
          <w:szCs w:val="32"/>
          <w:highlight w:val="none"/>
          <w:lang w:eastAsia="zh-CN"/>
        </w:rPr>
        <w:t>%；项目支出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%；上缴上级支出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%；经营支出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%；对附属单位补助支出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w:t>
      </w:r>
    </w:p>
    <w:p w14:paraId="2CC9BFDF">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1"/>
        <w:rPr>
          <w:rFonts w:hint="eastAsia" w:ascii="仿宋_GB2312" w:hAnsi="仿宋_GB2312" w:eastAsia="仿宋_GB2312" w:cs="仿宋_GB2312"/>
          <w:color w:val="auto"/>
          <w:sz w:val="32"/>
          <w:szCs w:val="32"/>
          <w:highlight w:val="none"/>
          <w:lang w:eastAsia="zh-CN"/>
        </w:rPr>
      </w:pPr>
      <w:r>
        <w:rPr>
          <w:rFonts w:hint="eastAsia" w:ascii="Times New Roman" w:hAnsi="Times New Roman" w:eastAsia="仿宋_GB2312" w:cs="仿宋_GB2312"/>
          <w:b/>
          <w:bCs/>
          <w:color w:val="auto"/>
          <w:sz w:val="32"/>
          <w:szCs w:val="32"/>
          <w:highlight w:val="none"/>
          <w:lang w:eastAsia="zh-CN"/>
        </w:rPr>
        <w:drawing>
          <wp:anchor distT="0" distB="0" distL="114300" distR="114300" simplePos="0" relativeHeight="251662336" behindDoc="0" locked="0" layoutInCell="1" allowOverlap="1">
            <wp:simplePos x="0" y="0"/>
            <wp:positionH relativeFrom="column">
              <wp:posOffset>523875</wp:posOffset>
            </wp:positionH>
            <wp:positionV relativeFrom="paragraph">
              <wp:posOffset>300990</wp:posOffset>
            </wp:positionV>
            <wp:extent cx="4152265" cy="1997710"/>
            <wp:effectExtent l="4445" t="4445" r="15240" b="17145"/>
            <wp:wrapNone/>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14:paraId="1F4086FE">
      <w:pPr>
        <w:ind w:firstLine="800" w:firstLineChars="250"/>
        <w:rPr>
          <w:rFonts w:hint="eastAsia" w:ascii="Times New Roman" w:hAnsi="Times New Roman" w:eastAsia="仿宋_GB2312" w:cs="仿宋_GB2312"/>
          <w:color w:val="auto"/>
          <w:sz w:val="32"/>
          <w:szCs w:val="32"/>
          <w:highlight w:val="none"/>
          <w:lang w:eastAsia="zh-CN"/>
        </w:rPr>
      </w:pPr>
    </w:p>
    <w:p w14:paraId="23D6CEC5">
      <w:pPr>
        <w:ind w:firstLine="800" w:firstLineChars="250"/>
        <w:rPr>
          <w:rFonts w:hint="eastAsia" w:ascii="Times New Roman" w:hAnsi="Times New Roman" w:eastAsia="仿宋_GB2312" w:cs="仿宋_GB2312"/>
          <w:color w:val="auto"/>
          <w:sz w:val="32"/>
          <w:szCs w:val="32"/>
          <w:highlight w:val="none"/>
          <w:lang w:eastAsia="zh-CN"/>
        </w:rPr>
      </w:pPr>
    </w:p>
    <w:p w14:paraId="77C35660">
      <w:pPr>
        <w:ind w:firstLine="800" w:firstLineChars="250"/>
        <w:rPr>
          <w:rFonts w:hint="eastAsia" w:ascii="Times New Roman" w:hAnsi="Times New Roman" w:eastAsia="仿宋_GB2312" w:cs="仿宋_GB2312"/>
          <w:color w:val="auto"/>
          <w:sz w:val="32"/>
          <w:szCs w:val="32"/>
          <w:highlight w:val="none"/>
          <w:lang w:eastAsia="zh-CN"/>
        </w:rPr>
      </w:pPr>
    </w:p>
    <w:p w14:paraId="576866CB">
      <w:pPr>
        <w:ind w:firstLine="800" w:firstLineChars="250"/>
        <w:rPr>
          <w:rFonts w:hint="eastAsia" w:ascii="Times New Roman" w:hAnsi="Times New Roman" w:eastAsia="仿宋_GB2312" w:cs="仿宋_GB2312"/>
          <w:color w:val="auto"/>
          <w:sz w:val="32"/>
          <w:szCs w:val="32"/>
          <w:highlight w:val="none"/>
          <w:lang w:eastAsia="zh-CN"/>
        </w:rPr>
      </w:pPr>
    </w:p>
    <w:p w14:paraId="41DB798D">
      <w:pPr>
        <w:ind w:firstLine="800" w:firstLineChars="250"/>
        <w:rPr>
          <w:rFonts w:hint="eastAsia" w:ascii="Times New Roman" w:hAnsi="Times New Roman" w:eastAsia="仿宋_GB2312" w:cs="仿宋_GB2312"/>
          <w:color w:val="auto"/>
          <w:sz w:val="32"/>
          <w:szCs w:val="32"/>
          <w:highlight w:val="none"/>
          <w:lang w:eastAsia="zh-CN"/>
        </w:rPr>
      </w:pPr>
    </w:p>
    <w:p w14:paraId="12BD066B">
      <w:pPr>
        <w:ind w:firstLine="945" w:firstLineChars="450"/>
        <w:rPr>
          <w:rFonts w:hint="eastAsia" w:ascii="Times New Roman" w:hAnsi="Times New Roman" w:eastAsia="仿宋_GB2312" w:cs="仿宋_GB2312"/>
          <w:color w:val="auto"/>
          <w:sz w:val="32"/>
          <w:szCs w:val="32"/>
          <w:highlight w:val="none"/>
          <w:lang w:eastAsia="zh-CN"/>
        </w:rPr>
      </w:pPr>
      <w:r>
        <w:rPr>
          <w:rFonts w:hint="eastAsia" w:ascii="楷体" w:hAnsi="楷体" w:eastAsia="楷体" w:cs="楷体"/>
          <w:color w:val="auto"/>
          <w:sz w:val="21"/>
          <w:szCs w:val="21"/>
          <w:highlight w:val="none"/>
          <w:lang w:eastAsia="zh-CN"/>
        </w:rPr>
        <w:t>（图3：支出决算结构图）</w:t>
      </w:r>
    </w:p>
    <w:p w14:paraId="6C1AC9F1">
      <w:pPr>
        <w:ind w:firstLine="800" w:firstLineChars="250"/>
        <w:rPr>
          <w:rFonts w:hint="eastAsia" w:ascii="Times New Roman" w:hAnsi="Times New Roman" w:eastAsia="仿宋_GB2312" w:cs="仿宋_GB2312"/>
          <w:color w:val="auto"/>
          <w:sz w:val="32"/>
          <w:szCs w:val="32"/>
          <w:highlight w:val="none"/>
          <w:lang w:eastAsia="zh-CN"/>
        </w:rPr>
      </w:pPr>
    </w:p>
    <w:p w14:paraId="3D29B42D">
      <w:pPr>
        <w:spacing w:line="600" w:lineRule="exact"/>
        <w:ind w:firstLine="640" w:firstLineChars="200"/>
        <w:outlineLvl w:val="1"/>
        <w:rPr>
          <w:rStyle w:val="29"/>
          <w:rFonts w:ascii="Times New Roman" w:hAnsi="Times New Roman" w:eastAsia="黑体"/>
          <w:b w:val="0"/>
          <w:color w:val="auto"/>
          <w:highlight w:val="none"/>
        </w:rPr>
      </w:pPr>
      <w:bookmarkStart w:id="33" w:name="_Toc15396606"/>
      <w:bookmarkStart w:id="34" w:name="_Toc15377208"/>
      <w:bookmarkStart w:id="35" w:name="_Toc23387"/>
      <w:r>
        <w:rPr>
          <w:rFonts w:hint="eastAsia" w:ascii="Times New Roman" w:hAnsi="Times New Roman" w:eastAsia="黑体"/>
          <w:color w:val="auto"/>
          <w:sz w:val="32"/>
          <w:szCs w:val="32"/>
          <w:highlight w:val="none"/>
        </w:rPr>
        <w:t>四、财</w:t>
      </w:r>
      <w:r>
        <w:rPr>
          <w:rStyle w:val="29"/>
          <w:rFonts w:hint="eastAsia" w:ascii="Times New Roman" w:hAnsi="Times New Roman" w:eastAsia="黑体"/>
          <w:b w:val="0"/>
          <w:color w:val="auto"/>
          <w:highlight w:val="none"/>
        </w:rPr>
        <w:t>政拨款收入支出决算总体情况说明</w:t>
      </w:r>
      <w:bookmarkEnd w:id="33"/>
      <w:bookmarkEnd w:id="34"/>
      <w:bookmarkEnd w:id="35"/>
    </w:p>
    <w:p w14:paraId="2A2CC90C">
      <w:pPr>
        <w:spacing w:line="600" w:lineRule="exact"/>
        <w:ind w:firstLine="640"/>
        <w:rPr>
          <w:rFonts w:hint="eastAsia"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2024年度财政拨款收入、支出总计均为</w:t>
      </w:r>
      <w:r>
        <w:rPr>
          <w:rFonts w:hint="eastAsia" w:ascii="仿宋_GB2312" w:hAnsi="仿宋_GB2312" w:eastAsia="仿宋_GB2312" w:cs="仿宋_GB2312"/>
          <w:sz w:val="32"/>
          <w:szCs w:val="32"/>
        </w:rPr>
        <w:t>91.51</w:t>
      </w:r>
      <w:r>
        <w:rPr>
          <w:rFonts w:hint="eastAsia" w:ascii="Times New Roman" w:hAnsi="Times New Roman" w:eastAsia="仿宋_GB2312" w:cs="仿宋_GB2312"/>
          <w:color w:val="auto"/>
          <w:kern w:val="2"/>
          <w:sz w:val="32"/>
          <w:szCs w:val="32"/>
          <w:highlight w:val="none"/>
          <w:lang w:val="en-US" w:eastAsia="zh-CN" w:bidi="ar-SA"/>
        </w:rPr>
        <w:t>万元。与2023年度相比，财政拨款收入总计、支出总计</w:t>
      </w:r>
      <w:r>
        <w:rPr>
          <w:rFonts w:hint="eastAsia" w:ascii="仿宋" w:hAnsi="仿宋" w:eastAsia="仿宋" w:cs="仿宋"/>
          <w:color w:val="auto"/>
          <w:sz w:val="32"/>
          <w:szCs w:val="32"/>
          <w:highlight w:val="none"/>
        </w:rPr>
        <w:t>各增加21.66万元，增长31%</w:t>
      </w:r>
      <w:r>
        <w:rPr>
          <w:rFonts w:hint="eastAsia" w:ascii="Times New Roman" w:hAnsi="Times New Roman" w:eastAsia="仿宋_GB2312" w:cs="仿宋_GB2312"/>
          <w:color w:val="auto"/>
          <w:kern w:val="2"/>
          <w:sz w:val="32"/>
          <w:szCs w:val="32"/>
          <w:highlight w:val="none"/>
          <w:lang w:val="en-US" w:eastAsia="zh-CN" w:bidi="ar-SA"/>
        </w:rPr>
        <w:t>。主要变动原因是本年度人员增加一人，人员经费和公用经费相应增加，本年收入相应增加</w:t>
      </w:r>
      <w:r>
        <w:rPr>
          <w:rFonts w:hint="eastAsia" w:eastAsia="仿宋_GB2312" w:cs="仿宋_GB2312"/>
          <w:color w:val="auto"/>
          <w:kern w:val="2"/>
          <w:sz w:val="32"/>
          <w:szCs w:val="32"/>
          <w:highlight w:val="none"/>
          <w:lang w:val="en-US" w:eastAsia="zh-CN" w:bidi="ar-SA"/>
        </w:rPr>
        <w:t>。</w:t>
      </w:r>
    </w:p>
    <w:p w14:paraId="0748C0A8">
      <w:pPr>
        <w:spacing w:line="600" w:lineRule="exact"/>
        <w:ind w:firstLine="640"/>
        <w:rPr>
          <w:rFonts w:hint="eastAsia"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drawing>
          <wp:anchor distT="0" distB="0" distL="114300" distR="114300" simplePos="0" relativeHeight="251663360" behindDoc="0" locked="0" layoutInCell="1" allowOverlap="1">
            <wp:simplePos x="0" y="0"/>
            <wp:positionH relativeFrom="column">
              <wp:posOffset>342900</wp:posOffset>
            </wp:positionH>
            <wp:positionV relativeFrom="paragraph">
              <wp:posOffset>333375</wp:posOffset>
            </wp:positionV>
            <wp:extent cx="4856480" cy="2979420"/>
            <wp:effectExtent l="4445" t="4445" r="15875" b="6985"/>
            <wp:wrapNone/>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14:paraId="482AB870">
      <w:pPr>
        <w:spacing w:line="600" w:lineRule="exact"/>
        <w:ind w:firstLine="640"/>
        <w:rPr>
          <w:rFonts w:hint="eastAsia" w:eastAsia="仿宋_GB2312" w:cs="仿宋_GB2312"/>
          <w:color w:val="auto"/>
          <w:kern w:val="2"/>
          <w:sz w:val="32"/>
          <w:szCs w:val="32"/>
          <w:highlight w:val="none"/>
          <w:lang w:val="en-US" w:eastAsia="zh-CN" w:bidi="ar-SA"/>
        </w:rPr>
      </w:pPr>
    </w:p>
    <w:p w14:paraId="6A1A6716">
      <w:pPr>
        <w:spacing w:line="600" w:lineRule="exact"/>
        <w:ind w:firstLine="640"/>
        <w:rPr>
          <w:rFonts w:hint="eastAsia" w:eastAsia="仿宋_GB2312" w:cs="仿宋_GB2312"/>
          <w:color w:val="auto"/>
          <w:kern w:val="2"/>
          <w:sz w:val="32"/>
          <w:szCs w:val="32"/>
          <w:highlight w:val="none"/>
          <w:lang w:val="en-US" w:eastAsia="zh-CN" w:bidi="ar-SA"/>
        </w:rPr>
      </w:pPr>
    </w:p>
    <w:p w14:paraId="65207D8B">
      <w:pPr>
        <w:spacing w:line="600" w:lineRule="exact"/>
        <w:ind w:firstLine="640"/>
        <w:rPr>
          <w:rFonts w:hint="eastAsia" w:eastAsia="仿宋_GB2312" w:cs="仿宋_GB2312"/>
          <w:color w:val="auto"/>
          <w:kern w:val="2"/>
          <w:sz w:val="32"/>
          <w:szCs w:val="32"/>
          <w:highlight w:val="none"/>
          <w:lang w:val="en-US" w:eastAsia="zh-CN" w:bidi="ar-SA"/>
        </w:rPr>
      </w:pPr>
    </w:p>
    <w:p w14:paraId="57374260">
      <w:pPr>
        <w:spacing w:line="600" w:lineRule="exact"/>
        <w:ind w:firstLine="640"/>
        <w:rPr>
          <w:rFonts w:hint="eastAsia" w:eastAsia="仿宋_GB2312" w:cs="仿宋_GB2312"/>
          <w:color w:val="auto"/>
          <w:kern w:val="2"/>
          <w:sz w:val="32"/>
          <w:szCs w:val="32"/>
          <w:highlight w:val="none"/>
          <w:lang w:val="en-US" w:eastAsia="zh-CN" w:bidi="ar-SA"/>
        </w:rPr>
      </w:pPr>
    </w:p>
    <w:p w14:paraId="21109772">
      <w:pPr>
        <w:spacing w:line="600" w:lineRule="exact"/>
        <w:ind w:firstLine="640"/>
        <w:rPr>
          <w:rFonts w:hint="eastAsia" w:eastAsia="仿宋_GB2312" w:cs="仿宋_GB2312"/>
          <w:color w:val="auto"/>
          <w:kern w:val="2"/>
          <w:sz w:val="32"/>
          <w:szCs w:val="32"/>
          <w:highlight w:val="none"/>
          <w:lang w:val="en-US" w:eastAsia="zh-CN" w:bidi="ar-SA"/>
        </w:rPr>
      </w:pPr>
    </w:p>
    <w:p w14:paraId="566A62E6">
      <w:pPr>
        <w:spacing w:line="600" w:lineRule="exact"/>
        <w:ind w:firstLine="640"/>
        <w:rPr>
          <w:rFonts w:hint="eastAsia" w:eastAsia="仿宋_GB2312" w:cs="仿宋_GB2312"/>
          <w:color w:val="auto"/>
          <w:kern w:val="2"/>
          <w:sz w:val="32"/>
          <w:szCs w:val="32"/>
          <w:highlight w:val="none"/>
          <w:lang w:val="en-US" w:eastAsia="zh-CN" w:bidi="ar-SA"/>
        </w:rPr>
      </w:pPr>
    </w:p>
    <w:p w14:paraId="7399141F">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p>
    <w:p w14:paraId="45D927C4">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p>
    <w:p w14:paraId="52BFFFDC">
      <w:pPr>
        <w:spacing w:line="600" w:lineRule="exact"/>
        <w:ind w:firstLine="630" w:firstLineChars="300"/>
        <w:rPr>
          <w:rFonts w:hint="eastAsia" w:ascii="楷体" w:hAnsi="楷体" w:eastAsia="楷体" w:cs="楷体"/>
          <w:color w:val="auto"/>
          <w:kern w:val="2"/>
          <w:sz w:val="21"/>
          <w:szCs w:val="21"/>
          <w:highlight w:val="none"/>
          <w:lang w:val="en-US" w:eastAsia="zh-CN" w:bidi="ar-SA"/>
        </w:rPr>
      </w:pPr>
      <w:r>
        <w:rPr>
          <w:rFonts w:hint="eastAsia" w:ascii="楷体" w:hAnsi="楷体" w:eastAsia="楷体" w:cs="楷体"/>
          <w:color w:val="auto"/>
          <w:kern w:val="2"/>
          <w:sz w:val="21"/>
          <w:szCs w:val="21"/>
          <w:highlight w:val="none"/>
          <w:lang w:val="en-US" w:eastAsia="zh-CN" w:bidi="ar-SA"/>
        </w:rPr>
        <w:t>（图4：财政拨款收、支决算总计变动情况）</w:t>
      </w:r>
    </w:p>
    <w:p w14:paraId="00F6342D">
      <w:pPr>
        <w:spacing w:line="600" w:lineRule="exact"/>
        <w:ind w:firstLine="640" w:firstLineChars="200"/>
        <w:outlineLvl w:val="1"/>
        <w:rPr>
          <w:rStyle w:val="29"/>
          <w:rFonts w:ascii="Times New Roman" w:hAnsi="Times New Roman" w:eastAsia="黑体"/>
          <w:b w:val="0"/>
          <w:color w:val="auto"/>
          <w:highlight w:val="none"/>
        </w:rPr>
      </w:pPr>
      <w:bookmarkStart w:id="36" w:name="_Toc15396607"/>
      <w:bookmarkStart w:id="37" w:name="_Toc15377209"/>
      <w:bookmarkStart w:id="38" w:name="_Toc1236"/>
      <w:r>
        <w:rPr>
          <w:rFonts w:hint="eastAsia" w:ascii="Times New Roman" w:hAnsi="Times New Roman" w:eastAsia="黑体"/>
          <w:color w:val="auto"/>
          <w:sz w:val="32"/>
          <w:szCs w:val="32"/>
          <w:highlight w:val="none"/>
        </w:rPr>
        <w:t>五、</w:t>
      </w:r>
      <w:r>
        <w:rPr>
          <w:rFonts w:hint="eastAsia" w:ascii="Times New Roman" w:hAnsi="Times New Roman" w:eastAsia="黑体"/>
          <w:b/>
          <w:color w:val="auto"/>
          <w:sz w:val="32"/>
          <w:szCs w:val="32"/>
          <w:highlight w:val="none"/>
        </w:rPr>
        <w:t>一</w:t>
      </w:r>
      <w:r>
        <w:rPr>
          <w:rStyle w:val="29"/>
          <w:rFonts w:hint="eastAsia" w:ascii="Times New Roman" w:hAnsi="Times New Roman" w:eastAsia="黑体"/>
          <w:b w:val="0"/>
          <w:color w:val="auto"/>
          <w:highlight w:val="none"/>
        </w:rPr>
        <w:t>般公共预算财政拨款支出决算情况说明</w:t>
      </w:r>
      <w:bookmarkEnd w:id="36"/>
      <w:bookmarkEnd w:id="37"/>
      <w:bookmarkEnd w:id="38"/>
    </w:p>
    <w:p w14:paraId="2B2EB730">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39" w:name="_Toc15377210"/>
      <w:bookmarkStart w:id="40" w:name="_Toc12074"/>
      <w:r>
        <w:rPr>
          <w:rFonts w:hint="eastAsia" w:ascii="Times New Roman" w:hAnsi="Times New Roman" w:eastAsia="楷体_GB2312" w:cs="楷体_GB2312"/>
          <w:b/>
          <w:color w:val="auto"/>
          <w:sz w:val="32"/>
          <w:szCs w:val="32"/>
          <w:highlight w:val="none"/>
        </w:rPr>
        <w:t>（一）一般公共预算财政拨款支出决算总体情况</w:t>
      </w:r>
      <w:bookmarkEnd w:id="39"/>
      <w:bookmarkEnd w:id="40"/>
    </w:p>
    <w:p w14:paraId="51130527">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2024年度一般公共预算财政拨款支出</w:t>
      </w:r>
      <w:r>
        <w:rPr>
          <w:rFonts w:hint="eastAsia" w:ascii="仿宋_GB2312" w:hAnsi="仿宋_GB2312" w:eastAsia="仿宋_GB2312" w:cs="仿宋_GB2312"/>
          <w:sz w:val="32"/>
          <w:szCs w:val="32"/>
        </w:rPr>
        <w:t>91.51</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kern w:val="2"/>
          <w:sz w:val="32"/>
          <w:szCs w:val="32"/>
          <w:highlight w:val="none"/>
          <w:lang w:val="en-US" w:eastAsia="zh-CN" w:bidi="ar-SA"/>
        </w:rPr>
        <w:t>%。与2023年度相比，一般公共预算财政拨款支出</w:t>
      </w:r>
      <w:r>
        <w:rPr>
          <w:rFonts w:hint="eastAsia" w:ascii="仿宋" w:hAnsi="仿宋" w:eastAsia="仿宋" w:cs="仿宋"/>
          <w:color w:val="auto"/>
          <w:sz w:val="32"/>
          <w:szCs w:val="32"/>
          <w:highlight w:val="none"/>
        </w:rPr>
        <w:t>增加21.66万元，增长31%</w:t>
      </w:r>
      <w:r>
        <w:rPr>
          <w:rFonts w:hint="eastAsia" w:ascii="仿宋_GB2312" w:hAnsi="仿宋_GB2312" w:eastAsia="仿宋_GB2312" w:cs="仿宋_GB2312"/>
          <w:color w:val="auto"/>
          <w:kern w:val="2"/>
          <w:sz w:val="32"/>
          <w:szCs w:val="32"/>
          <w:highlight w:val="none"/>
          <w:lang w:val="en-US" w:eastAsia="zh-CN" w:bidi="ar-SA"/>
        </w:rPr>
        <w:t>。主要变动原因是本年度人员增加一人，人员经费和公用经费相应增加，本年支出相应增加。</w:t>
      </w:r>
    </w:p>
    <w:p w14:paraId="6EDDADAF">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p>
    <w:p w14:paraId="24AC842B">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drawing>
          <wp:anchor distT="0" distB="0" distL="114300" distR="114300" simplePos="0" relativeHeight="251664384" behindDoc="0" locked="0" layoutInCell="1" allowOverlap="1">
            <wp:simplePos x="0" y="0"/>
            <wp:positionH relativeFrom="column">
              <wp:posOffset>133350</wp:posOffset>
            </wp:positionH>
            <wp:positionV relativeFrom="paragraph">
              <wp:posOffset>200025</wp:posOffset>
            </wp:positionV>
            <wp:extent cx="5256530" cy="2988310"/>
            <wp:effectExtent l="5080" t="4445" r="15240" b="17145"/>
            <wp:wrapNone/>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14:paraId="2D68BF75">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p>
    <w:p w14:paraId="4FB5F141">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p>
    <w:p w14:paraId="44A95285">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p>
    <w:p w14:paraId="3C7C279D">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p>
    <w:p w14:paraId="0DDA2879">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p>
    <w:p w14:paraId="222AE7D3">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p>
    <w:p w14:paraId="465C3689">
      <w:pPr>
        <w:spacing w:line="600" w:lineRule="exact"/>
        <w:rPr>
          <w:rFonts w:hint="eastAsia" w:ascii="仿宋_GB2312" w:hAnsi="仿宋_GB2312" w:eastAsia="仿宋_GB2312" w:cs="仿宋_GB2312"/>
          <w:color w:val="auto"/>
          <w:kern w:val="2"/>
          <w:sz w:val="32"/>
          <w:szCs w:val="32"/>
          <w:highlight w:val="none"/>
          <w:lang w:val="en-US" w:eastAsia="zh-CN" w:bidi="ar-SA"/>
        </w:rPr>
      </w:pPr>
    </w:p>
    <w:p w14:paraId="6CDDA20F">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楷体" w:hAnsi="楷体" w:eastAsia="楷体" w:cs="楷体"/>
          <w:color w:val="auto"/>
          <w:kern w:val="2"/>
          <w:sz w:val="21"/>
          <w:szCs w:val="21"/>
          <w:highlight w:val="none"/>
          <w:lang w:val="en-US" w:eastAsia="zh-CN" w:bidi="ar-SA"/>
        </w:rPr>
        <w:t>（图5：一般公共预算财政拨款支出决算变动情况）（柱状图）</w:t>
      </w:r>
    </w:p>
    <w:p w14:paraId="5835AE39">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41" w:name="_Toc22737"/>
      <w:bookmarkStart w:id="42" w:name="_Toc15377211"/>
      <w:r>
        <w:rPr>
          <w:rFonts w:hint="eastAsia" w:ascii="Times New Roman" w:hAnsi="Times New Roman" w:eastAsia="楷体_GB2312" w:cs="楷体_GB2312"/>
          <w:b/>
          <w:color w:val="auto"/>
          <w:sz w:val="32"/>
          <w:szCs w:val="32"/>
          <w:highlight w:val="none"/>
        </w:rPr>
        <w:t>（二）一般公共预算财政拨款支出决算结构情况</w:t>
      </w:r>
      <w:bookmarkEnd w:id="41"/>
      <w:bookmarkEnd w:id="42"/>
    </w:p>
    <w:p w14:paraId="0C95994A">
      <w:pPr>
        <w:spacing w:line="600" w:lineRule="exact"/>
        <w:ind w:firstLine="640"/>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2024年度一般公共预算财政拨款支出</w:t>
      </w:r>
      <w:r>
        <w:rPr>
          <w:rFonts w:hint="eastAsia" w:ascii="仿宋" w:hAnsi="仿宋" w:eastAsia="仿宋" w:cs="仿宋"/>
          <w:sz w:val="32"/>
          <w:szCs w:val="32"/>
        </w:rPr>
        <w:t>91.51</w:t>
      </w:r>
      <w:r>
        <w:rPr>
          <w:rFonts w:hint="eastAsia" w:ascii="仿宋" w:hAnsi="仿宋" w:eastAsia="仿宋" w:cs="仿宋"/>
          <w:color w:val="auto"/>
          <w:kern w:val="2"/>
          <w:sz w:val="32"/>
          <w:szCs w:val="32"/>
          <w:highlight w:val="none"/>
          <w:lang w:val="en-US" w:eastAsia="zh-CN" w:bidi="ar-SA"/>
        </w:rPr>
        <w:t>万元，主要用于以下方面：一般公共服务支出72.71万元，占79.46%；社会保障和就业支出7.97万元，占8.71%；卫生健康支出3.95万元，占4.32%；住房保障支出6.88万元，占7.51%；</w:t>
      </w:r>
    </w:p>
    <w:p w14:paraId="67033158">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楷体" w:hAnsi="楷体" w:eastAsia="楷体" w:cs="楷体"/>
          <w:color w:val="auto"/>
          <w:kern w:val="2"/>
          <w:sz w:val="21"/>
          <w:szCs w:val="21"/>
          <w:highlight w:val="none"/>
          <w:lang w:val="en-US" w:eastAsia="zh-CN" w:bidi="ar-SA"/>
        </w:rPr>
        <w:drawing>
          <wp:anchor distT="0" distB="0" distL="114300" distR="114300" simplePos="0" relativeHeight="251665408" behindDoc="0" locked="0" layoutInCell="1" allowOverlap="1">
            <wp:simplePos x="0" y="0"/>
            <wp:positionH relativeFrom="column">
              <wp:posOffset>400050</wp:posOffset>
            </wp:positionH>
            <wp:positionV relativeFrom="paragraph">
              <wp:posOffset>171450</wp:posOffset>
            </wp:positionV>
            <wp:extent cx="3847465" cy="2446020"/>
            <wp:effectExtent l="4445" t="4445" r="15240" b="6985"/>
            <wp:wrapNone/>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14:paraId="1AD4500F">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4ECBB3CA">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780E4C33">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257A7A6D">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54747E40">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4BB462C9">
      <w:pPr>
        <w:spacing w:line="600" w:lineRule="exact"/>
        <w:rPr>
          <w:rFonts w:hint="eastAsia" w:ascii="Times New Roman" w:hAnsi="Times New Roman" w:eastAsia="仿宋_GB2312" w:cs="仿宋_GB2312"/>
          <w:color w:val="auto"/>
          <w:kern w:val="2"/>
          <w:sz w:val="32"/>
          <w:szCs w:val="32"/>
          <w:highlight w:val="none"/>
          <w:lang w:val="en-US" w:eastAsia="zh-CN" w:bidi="ar-SA"/>
        </w:rPr>
      </w:pPr>
    </w:p>
    <w:p w14:paraId="3BEDF2B1">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楷体" w:hAnsi="楷体" w:eastAsia="楷体" w:cs="楷体"/>
          <w:color w:val="auto"/>
          <w:kern w:val="2"/>
          <w:sz w:val="21"/>
          <w:szCs w:val="21"/>
          <w:highlight w:val="none"/>
          <w:lang w:val="en-US" w:eastAsia="zh-CN" w:bidi="ar-SA"/>
        </w:rPr>
        <w:t>（图6：一般公共预算财政拨款支出决算结构）</w:t>
      </w:r>
    </w:p>
    <w:p w14:paraId="4BBA88E1">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43" w:name="_Toc15377212"/>
      <w:bookmarkStart w:id="44" w:name="_Toc19220"/>
      <w:r>
        <w:rPr>
          <w:rFonts w:hint="eastAsia" w:ascii="Times New Roman" w:hAnsi="Times New Roman" w:eastAsia="楷体_GB2312" w:cs="楷体_GB2312"/>
          <w:b/>
          <w:color w:val="auto"/>
          <w:sz w:val="32"/>
          <w:szCs w:val="32"/>
          <w:highlight w:val="none"/>
        </w:rPr>
        <w:t>（三）一般公共预算财政拨款支出决算具体情况</w:t>
      </w:r>
      <w:bookmarkEnd w:id="43"/>
      <w:bookmarkEnd w:id="44"/>
    </w:p>
    <w:p w14:paraId="53BA7DA3">
      <w:pPr>
        <w:spacing w:line="600" w:lineRule="exact"/>
        <w:ind w:firstLine="640"/>
        <w:rPr>
          <w:rFonts w:hint="eastAsia" w:ascii="仿宋" w:hAnsi="仿宋" w:eastAsia="仿宋" w:cs="仿宋"/>
          <w:color w:val="auto"/>
          <w:kern w:val="2"/>
          <w:sz w:val="32"/>
          <w:szCs w:val="32"/>
          <w:highlight w:val="none"/>
          <w:lang w:val="en-US" w:eastAsia="zh-CN" w:bidi="ar-SA"/>
        </w:rPr>
      </w:pPr>
      <w:bookmarkStart w:id="45" w:name="_Toc15377444"/>
      <w:bookmarkStart w:id="46" w:name="_Toc15378460"/>
      <w:bookmarkStart w:id="47" w:name="_Toc15377213"/>
      <w:r>
        <w:rPr>
          <w:rFonts w:hint="eastAsia" w:ascii="仿宋" w:hAnsi="仿宋" w:eastAsia="仿宋" w:cs="仿宋"/>
          <w:color w:val="auto"/>
          <w:kern w:val="2"/>
          <w:sz w:val="32"/>
          <w:szCs w:val="32"/>
          <w:highlight w:val="none"/>
          <w:lang w:val="en-US" w:eastAsia="zh-CN" w:bidi="ar-SA"/>
        </w:rPr>
        <w:t>2024年度一般公共预算财政拨款支出决算数为</w:t>
      </w:r>
      <w:r>
        <w:rPr>
          <w:rFonts w:hint="eastAsia" w:ascii="仿宋" w:hAnsi="仿宋" w:eastAsia="仿宋" w:cs="仿宋"/>
          <w:sz w:val="32"/>
          <w:szCs w:val="32"/>
        </w:rPr>
        <w:t>91.51</w:t>
      </w:r>
      <w:r>
        <w:rPr>
          <w:rFonts w:hint="eastAsia" w:ascii="仿宋" w:hAnsi="仿宋" w:eastAsia="仿宋" w:cs="仿宋"/>
          <w:color w:val="auto"/>
          <w:kern w:val="2"/>
          <w:sz w:val="32"/>
          <w:szCs w:val="32"/>
          <w:highlight w:val="none"/>
          <w:lang w:val="en-US" w:eastAsia="zh-CN" w:bidi="ar-SA"/>
        </w:rPr>
        <w:t>，完成预算100%。其中：</w:t>
      </w:r>
      <w:bookmarkEnd w:id="45"/>
      <w:bookmarkEnd w:id="46"/>
      <w:bookmarkEnd w:id="47"/>
    </w:p>
    <w:p w14:paraId="3F8655B4">
      <w:pPr>
        <w:spacing w:line="600" w:lineRule="exact"/>
        <w:ind w:firstLine="640"/>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1.一般公共服务（类）商贸事务（款）事业运行（项）：支出决算为72.71万元，完成预算100%。</w:t>
      </w:r>
    </w:p>
    <w:p w14:paraId="5D19E135">
      <w:pPr>
        <w:spacing w:line="600" w:lineRule="exact"/>
        <w:ind w:firstLine="640"/>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2.社会保障和就业支出（类）行政事业单位养老支出（款）机关事业单位基本养老保险缴费支出（项）: 支出决算为4.32万元，完成预算100%。</w:t>
      </w:r>
    </w:p>
    <w:p w14:paraId="56A9286C">
      <w:pPr>
        <w:spacing w:line="600" w:lineRule="exact"/>
        <w:ind w:firstLine="640"/>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3.社会保障和就业支出（类）行政事业单位养老支出（款）机关事业单位职业年金缴费支出（项）：支出决算为3.10万元，完成预算100%。</w:t>
      </w:r>
    </w:p>
    <w:p w14:paraId="205CF879">
      <w:pPr>
        <w:spacing w:line="600" w:lineRule="exact"/>
        <w:ind w:firstLine="640"/>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4.社会保障和就业支出（类）其他社会保障和就业支出（款）其他社会保障和就业支出（项）：支出决算为0.55万元，完成预算100%。</w:t>
      </w:r>
    </w:p>
    <w:p w14:paraId="06502EE3">
      <w:pPr>
        <w:spacing w:line="600" w:lineRule="exact"/>
        <w:ind w:firstLine="640"/>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5.卫生健康支出（类）行政事业单位医疗（款）事业单位医疗（项）：支出决算为3.35万元，完成预算100%。</w:t>
      </w:r>
    </w:p>
    <w:p w14:paraId="656C5678">
      <w:pPr>
        <w:spacing w:line="600" w:lineRule="exact"/>
        <w:ind w:firstLine="640"/>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6.卫生健康支出（类）行政事业单位医疗（款）公务员医疗补助（项）：支出决算为0.60万元，完成预算100%。</w:t>
      </w:r>
    </w:p>
    <w:p w14:paraId="392567EF">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7.住房保障支出（类）住房改革支出（款）住房公积金（项）：支出决算为6.88万元，完成预算100%。</w:t>
      </w:r>
    </w:p>
    <w:p w14:paraId="70AEEC47">
      <w:pPr>
        <w:tabs>
          <w:tab w:val="right" w:pos="8306"/>
        </w:tabs>
        <w:spacing w:line="600" w:lineRule="exact"/>
        <w:ind w:firstLine="640"/>
        <w:outlineLvl w:val="1"/>
        <w:rPr>
          <w:rStyle w:val="29"/>
          <w:rFonts w:ascii="Times New Roman" w:hAnsi="Times New Roman"/>
          <w:color w:val="auto"/>
          <w:highlight w:val="none"/>
        </w:rPr>
      </w:pPr>
      <w:bookmarkStart w:id="48" w:name="_Toc11030"/>
      <w:bookmarkStart w:id="49" w:name="_Toc15396608"/>
      <w:bookmarkStart w:id="50" w:name="_Toc15377214"/>
      <w:r>
        <w:rPr>
          <w:rFonts w:hint="eastAsia" w:ascii="Times New Roman" w:hAnsi="Times New Roman" w:eastAsia="黑体"/>
          <w:color w:val="auto"/>
          <w:sz w:val="32"/>
          <w:szCs w:val="32"/>
          <w:highlight w:val="none"/>
        </w:rPr>
        <w:t>六</w:t>
      </w:r>
      <w:r>
        <w:rPr>
          <w:rFonts w:hint="eastAsia" w:ascii="Times New Roman" w:hAnsi="Times New Roman" w:eastAsia="黑体"/>
          <w:b/>
          <w:color w:val="auto"/>
          <w:sz w:val="32"/>
          <w:szCs w:val="32"/>
          <w:highlight w:val="none"/>
        </w:rPr>
        <w:t>、一</w:t>
      </w:r>
      <w:r>
        <w:rPr>
          <w:rStyle w:val="29"/>
          <w:rFonts w:hint="eastAsia" w:ascii="Times New Roman" w:hAnsi="Times New Roman" w:eastAsia="黑体"/>
          <w:b w:val="0"/>
          <w:color w:val="auto"/>
          <w:highlight w:val="none"/>
        </w:rPr>
        <w:t>般公共预算财政拨款基本支出决算情况说明</w:t>
      </w:r>
      <w:bookmarkEnd w:id="48"/>
      <w:bookmarkEnd w:id="49"/>
      <w:bookmarkEnd w:id="50"/>
      <w:r>
        <w:rPr>
          <w:rStyle w:val="29"/>
          <w:rFonts w:ascii="Times New Roman" w:hAnsi="Times New Roman" w:eastAsia="黑体"/>
          <w:b w:val="0"/>
          <w:color w:val="auto"/>
          <w:highlight w:val="none"/>
        </w:rPr>
        <w:tab/>
      </w:r>
    </w:p>
    <w:p w14:paraId="17981D65">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2024年度一般公共预算财政拨款基本支出</w:t>
      </w:r>
      <w:r>
        <w:rPr>
          <w:rFonts w:hint="eastAsia" w:ascii="仿宋_GB2312" w:hAnsi="仿宋_GB2312" w:eastAsia="仿宋_GB2312" w:cs="仿宋_GB2312"/>
          <w:sz w:val="32"/>
          <w:szCs w:val="32"/>
        </w:rPr>
        <w:t>91.51</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元，其中：</w:t>
      </w:r>
    </w:p>
    <w:p w14:paraId="7DB7E0EB">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人员经费</w:t>
      </w:r>
      <w:r>
        <w:rPr>
          <w:rFonts w:hint="eastAsia" w:ascii="仿宋_GB2312" w:hAnsi="仿宋_GB2312" w:eastAsia="仿宋_GB2312" w:cs="仿宋_GB2312"/>
          <w:sz w:val="32"/>
          <w:szCs w:val="32"/>
        </w:rPr>
        <w:t>81.61</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元，主要包括：基本工资、津贴补贴、绩效工资、机关事业单位基本养老保险缴费、职业年金缴费、其他社会保障缴费、其他工资福利支出、生活补助、住房公积金、其他对个人和家庭的补助支出等。</w:t>
      </w:r>
      <w:r>
        <w:rPr>
          <w:rFonts w:hint="eastAsia" w:ascii="Times New Roman" w:hAnsi="Times New Roman" w:eastAsia="仿宋_GB2312" w:cs="仿宋_GB2312"/>
          <w:color w:val="auto"/>
          <w:kern w:val="2"/>
          <w:sz w:val="32"/>
          <w:szCs w:val="32"/>
          <w:highlight w:val="none"/>
          <w:lang w:val="en-US" w:eastAsia="zh-CN" w:bidi="ar-SA"/>
        </w:rPr>
        <w:br w:type="textWrapping"/>
      </w:r>
      <w:r>
        <w:rPr>
          <w:rFonts w:hint="eastAsia" w:ascii="Times New Roman" w:hAnsi="Times New Roman" w:eastAsia="仿宋_GB2312" w:cs="仿宋_GB2312"/>
          <w:color w:val="auto"/>
          <w:kern w:val="2"/>
          <w:sz w:val="32"/>
          <w:szCs w:val="32"/>
          <w:highlight w:val="none"/>
          <w:lang w:val="en-US" w:eastAsia="zh-CN" w:bidi="ar-SA"/>
        </w:rPr>
        <w:t>　　公用经费</w:t>
      </w:r>
      <w:r>
        <w:rPr>
          <w:rFonts w:hint="eastAsia" w:ascii="仿宋_GB2312" w:hAnsi="仿宋_GB2312" w:eastAsia="仿宋_GB2312" w:cs="仿宋_GB2312"/>
          <w:sz w:val="32"/>
          <w:szCs w:val="32"/>
        </w:rPr>
        <w:t>9.9</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元，主要包括：办公费、差旅费、公务接待费、委托业务费、工会经费、福利费、其他交通费。</w:t>
      </w:r>
    </w:p>
    <w:p w14:paraId="69A8987A">
      <w:pPr>
        <w:spacing w:line="600" w:lineRule="exact"/>
        <w:ind w:firstLine="640"/>
        <w:outlineLvl w:val="1"/>
        <w:rPr>
          <w:rStyle w:val="29"/>
          <w:rFonts w:ascii="Times New Roman" w:hAnsi="Times New Roman" w:eastAsia="黑体"/>
          <w:b w:val="0"/>
          <w:color w:val="auto"/>
          <w:highlight w:val="none"/>
        </w:rPr>
      </w:pPr>
      <w:bookmarkStart w:id="51" w:name="_Toc15377215"/>
      <w:bookmarkStart w:id="52" w:name="_Toc15396609"/>
      <w:bookmarkStart w:id="53" w:name="_Toc6489"/>
      <w:r>
        <w:rPr>
          <w:rFonts w:hint="eastAsia" w:ascii="Times New Roman" w:hAnsi="Times New Roman" w:eastAsia="黑体"/>
          <w:color w:val="auto"/>
          <w:sz w:val="32"/>
          <w:szCs w:val="32"/>
          <w:highlight w:val="none"/>
        </w:rPr>
        <w:t>七、</w:t>
      </w:r>
      <w:r>
        <w:rPr>
          <w:rStyle w:val="29"/>
          <w:rFonts w:hint="eastAsia" w:ascii="Times New Roman" w:hAnsi="Times New Roman" w:eastAsia="黑体"/>
          <w:b w:val="0"/>
          <w:color w:val="auto"/>
          <w:highlight w:val="none"/>
        </w:rPr>
        <w:t>财政拨款</w:t>
      </w:r>
      <w:r>
        <w:rPr>
          <w:rStyle w:val="29"/>
          <w:rFonts w:hint="eastAsia" w:ascii="Times New Roman" w:hAnsi="Times New Roman" w:eastAsia="黑体"/>
          <w:color w:val="auto"/>
          <w:highlight w:val="none"/>
        </w:rPr>
        <w:t>“</w:t>
      </w:r>
      <w:r>
        <w:rPr>
          <w:rStyle w:val="29"/>
          <w:rFonts w:hint="eastAsia" w:ascii="Times New Roman" w:hAnsi="Times New Roman" w:eastAsia="黑体"/>
          <w:b w:val="0"/>
          <w:color w:val="auto"/>
          <w:highlight w:val="none"/>
        </w:rPr>
        <w:t>三公”经费支出决算情况说明</w:t>
      </w:r>
      <w:bookmarkEnd w:id="51"/>
      <w:bookmarkEnd w:id="52"/>
      <w:bookmarkEnd w:id="53"/>
    </w:p>
    <w:p w14:paraId="080395E2">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54" w:name="_Toc15377216"/>
      <w:bookmarkStart w:id="55" w:name="_Toc19365"/>
      <w:r>
        <w:rPr>
          <w:rFonts w:hint="eastAsia" w:ascii="Times New Roman" w:hAnsi="Times New Roman" w:eastAsia="楷体_GB2312" w:cs="楷体_GB2312"/>
          <w:b/>
          <w:color w:val="auto"/>
          <w:sz w:val="32"/>
          <w:szCs w:val="32"/>
          <w:highlight w:val="none"/>
        </w:rPr>
        <w:t>（一）“三公”经费财政拨款支出决算总体情况说明</w:t>
      </w:r>
      <w:bookmarkEnd w:id="54"/>
      <w:bookmarkEnd w:id="55"/>
    </w:p>
    <w:p w14:paraId="27C61BC1">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2024年度“三公”经费财政拨款支出决算为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w:t>
      </w:r>
      <w:r>
        <w:rPr>
          <w:rFonts w:hint="eastAsia" w:ascii="Times New Roman" w:hAnsi="Times New Roman" w:eastAsia="仿宋_GB2312" w:cs="仿宋_GB2312"/>
          <w:color w:val="auto"/>
          <w:kern w:val="2"/>
          <w:sz w:val="32"/>
          <w:szCs w:val="32"/>
          <w:highlight w:val="none"/>
          <w:lang w:val="en-US" w:eastAsia="zh-CN" w:bidi="ar-SA"/>
        </w:rPr>
        <w:t>。</w:t>
      </w:r>
    </w:p>
    <w:p w14:paraId="04CCFC5C">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56" w:name="_Toc1460"/>
      <w:bookmarkStart w:id="57" w:name="_Toc15377217"/>
      <w:r>
        <w:rPr>
          <w:rFonts w:hint="eastAsia" w:ascii="Times New Roman" w:hAnsi="Times New Roman" w:eastAsia="楷体_GB2312" w:cs="楷体_GB2312"/>
          <w:b/>
          <w:color w:val="auto"/>
          <w:sz w:val="32"/>
          <w:szCs w:val="32"/>
          <w:highlight w:val="none"/>
        </w:rPr>
        <w:t>（二）“三公”经费财政拨款支出决算具体情况说明</w:t>
      </w:r>
      <w:bookmarkEnd w:id="56"/>
      <w:bookmarkEnd w:id="57"/>
    </w:p>
    <w:p w14:paraId="0B4DECFE">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2024年度“三公”经费财政拨款支出决算中，因公出国（境）费支出决算</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万元；公务用车购置及运行维护费支出决算</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万元；公务接待费支出决算</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w:t>
      </w:r>
    </w:p>
    <w:p w14:paraId="43153B9F">
      <w:pPr>
        <w:spacing w:line="600" w:lineRule="exact"/>
        <w:ind w:firstLine="640"/>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1.因公出国（境）经费支出0万元。全年安排因公出国（境）团组</w:t>
      </w:r>
      <w:r>
        <w:rPr>
          <w:rFonts w:hint="eastAsia" w:ascii="仿宋" w:hAnsi="仿宋" w:eastAsia="仿宋" w:cs="仿宋"/>
          <w:b w:val="0"/>
          <w:bCs w:val="0"/>
          <w:sz w:val="32"/>
          <w:szCs w:val="32"/>
        </w:rPr>
        <w:t>0</w:t>
      </w:r>
      <w:r>
        <w:rPr>
          <w:rFonts w:hint="eastAsia" w:ascii="仿宋" w:hAnsi="仿宋" w:eastAsia="仿宋" w:cs="仿宋"/>
          <w:b w:val="0"/>
          <w:bCs w:val="0"/>
          <w:color w:val="auto"/>
          <w:kern w:val="2"/>
          <w:sz w:val="32"/>
          <w:szCs w:val="32"/>
          <w:highlight w:val="none"/>
          <w:lang w:val="en-US" w:eastAsia="zh-CN" w:bidi="ar-SA"/>
        </w:rPr>
        <w:t>次，出国（境）</w:t>
      </w:r>
      <w:r>
        <w:rPr>
          <w:rFonts w:hint="eastAsia" w:ascii="仿宋" w:hAnsi="仿宋" w:eastAsia="仿宋" w:cs="仿宋"/>
          <w:b w:val="0"/>
          <w:bCs w:val="0"/>
          <w:sz w:val="32"/>
          <w:szCs w:val="32"/>
        </w:rPr>
        <w:t>0</w:t>
      </w:r>
      <w:r>
        <w:rPr>
          <w:rFonts w:hint="eastAsia" w:ascii="仿宋" w:hAnsi="仿宋" w:eastAsia="仿宋" w:cs="仿宋"/>
          <w:b w:val="0"/>
          <w:bCs w:val="0"/>
          <w:color w:val="auto"/>
          <w:kern w:val="2"/>
          <w:sz w:val="32"/>
          <w:szCs w:val="32"/>
          <w:highlight w:val="none"/>
          <w:lang w:val="en-US" w:eastAsia="zh-CN" w:bidi="ar-SA"/>
        </w:rPr>
        <w:t>人。</w:t>
      </w:r>
    </w:p>
    <w:p w14:paraId="08BC11B5">
      <w:pPr>
        <w:spacing w:line="600" w:lineRule="exact"/>
        <w:ind w:firstLine="640"/>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2.公务用车购置及运行维护费支出0万元。</w:t>
      </w:r>
    </w:p>
    <w:p w14:paraId="4CF87D98">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3.公务接待费支出0万元</w:t>
      </w:r>
      <w:r>
        <w:rPr>
          <w:rFonts w:hint="eastAsia" w:ascii="Times New Roman" w:hAnsi="Times New Roman" w:eastAsia="仿宋_GB2312" w:cs="仿宋_GB2312"/>
          <w:color w:val="auto"/>
          <w:kern w:val="2"/>
          <w:sz w:val="32"/>
          <w:szCs w:val="32"/>
          <w:highlight w:val="none"/>
          <w:lang w:val="en-US" w:eastAsia="zh-CN" w:bidi="ar-SA"/>
        </w:rPr>
        <w:t>。</w:t>
      </w:r>
      <w:bookmarkStart w:id="58" w:name="_Toc15377218"/>
      <w:bookmarkStart w:id="59" w:name="_Toc15396610"/>
    </w:p>
    <w:p w14:paraId="517E2607">
      <w:pPr>
        <w:spacing w:line="600" w:lineRule="exact"/>
        <w:ind w:firstLine="640"/>
        <w:outlineLvl w:val="1"/>
        <w:rPr>
          <w:rStyle w:val="29"/>
          <w:rFonts w:ascii="Times New Roman" w:hAnsi="Times New Roman" w:eastAsia="黑体"/>
          <w:color w:val="auto"/>
          <w:highlight w:val="none"/>
        </w:rPr>
      </w:pPr>
      <w:bookmarkStart w:id="60" w:name="_Toc19486"/>
      <w:r>
        <w:rPr>
          <w:rFonts w:hint="eastAsia" w:ascii="Times New Roman" w:hAnsi="Times New Roman" w:eastAsia="黑体"/>
          <w:color w:val="auto"/>
          <w:sz w:val="32"/>
          <w:szCs w:val="32"/>
          <w:highlight w:val="none"/>
        </w:rPr>
        <w:t>八、</w:t>
      </w:r>
      <w:r>
        <w:rPr>
          <w:rStyle w:val="29"/>
          <w:rFonts w:hint="eastAsia" w:ascii="Times New Roman" w:hAnsi="Times New Roman" w:eastAsia="黑体"/>
          <w:b w:val="0"/>
          <w:color w:val="auto"/>
          <w:highlight w:val="none"/>
        </w:rPr>
        <w:t>政府性基金预算支出决算情况说明</w:t>
      </w:r>
      <w:bookmarkEnd w:id="58"/>
      <w:bookmarkEnd w:id="59"/>
      <w:bookmarkEnd w:id="60"/>
    </w:p>
    <w:p w14:paraId="784011E5">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2024年度政府性基金预算财政拨款支出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w:t>
      </w:r>
      <w:r>
        <w:rPr>
          <w:rFonts w:hint="eastAsia" w:ascii="Times New Roman" w:hAnsi="Times New Roman" w:eastAsia="仿宋_GB2312" w:cs="仿宋_GB2312"/>
          <w:color w:val="auto"/>
          <w:kern w:val="2"/>
          <w:sz w:val="32"/>
          <w:szCs w:val="32"/>
          <w:highlight w:val="none"/>
          <w:lang w:val="en-US" w:eastAsia="zh-CN" w:bidi="ar-SA"/>
        </w:rPr>
        <w:t>。</w:t>
      </w:r>
    </w:p>
    <w:p w14:paraId="15135183">
      <w:pPr>
        <w:numPr>
          <w:ilvl w:val="0"/>
          <w:numId w:val="0"/>
        </w:numPr>
        <w:spacing w:line="600" w:lineRule="exact"/>
        <w:ind w:left="630" w:leftChars="0"/>
        <w:outlineLvl w:val="1"/>
        <w:rPr>
          <w:rStyle w:val="29"/>
          <w:rFonts w:ascii="Times New Roman" w:hAnsi="Times New Roman" w:eastAsia="黑体"/>
          <w:b w:val="0"/>
          <w:color w:val="auto"/>
          <w:highlight w:val="none"/>
        </w:rPr>
      </w:pPr>
      <w:bookmarkStart w:id="61" w:name="_Toc15377219"/>
      <w:bookmarkStart w:id="62" w:name="_Toc15396611"/>
      <w:bookmarkStart w:id="63" w:name="_Toc9421"/>
      <w:r>
        <w:rPr>
          <w:rStyle w:val="29"/>
          <w:rFonts w:hint="eastAsia" w:ascii="Times New Roman" w:hAnsi="Times New Roman" w:eastAsia="黑体"/>
          <w:b w:val="0"/>
          <w:color w:val="auto"/>
          <w:highlight w:val="none"/>
          <w:lang w:eastAsia="zh-CN"/>
        </w:rPr>
        <w:t>九、</w:t>
      </w:r>
      <w:r>
        <w:rPr>
          <w:rStyle w:val="29"/>
          <w:rFonts w:hint="eastAsia" w:ascii="Times New Roman" w:hAnsi="Times New Roman" w:eastAsia="黑体"/>
          <w:b w:val="0"/>
          <w:color w:val="auto"/>
          <w:highlight w:val="none"/>
        </w:rPr>
        <w:t>国有资本经营预算支出决算情况说明</w:t>
      </w:r>
      <w:bookmarkEnd w:id="61"/>
      <w:bookmarkEnd w:id="62"/>
      <w:bookmarkEnd w:id="63"/>
    </w:p>
    <w:p w14:paraId="607466AC">
      <w:pPr>
        <w:spacing w:line="600" w:lineRule="exact"/>
        <w:ind w:firstLine="640"/>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2024年度国有资本经营预算财政拨款支出</w:t>
      </w:r>
      <w:r>
        <w:rPr>
          <w:rFonts w:hint="eastAsia" w:ascii="仿宋" w:hAnsi="仿宋" w:eastAsia="仿宋" w:cs="仿宋"/>
          <w:sz w:val="32"/>
          <w:szCs w:val="32"/>
        </w:rPr>
        <w:t>0</w:t>
      </w:r>
      <w:r>
        <w:rPr>
          <w:rFonts w:hint="eastAsia" w:ascii="仿宋" w:hAnsi="仿宋" w:eastAsia="仿宋" w:cs="仿宋"/>
          <w:color w:val="auto"/>
          <w:kern w:val="2"/>
          <w:sz w:val="32"/>
          <w:szCs w:val="32"/>
          <w:highlight w:val="none"/>
          <w:lang w:val="en-US" w:eastAsia="zh-CN" w:bidi="ar-SA"/>
        </w:rPr>
        <w:t>万元，占本年支出合计的</w:t>
      </w:r>
      <w:r>
        <w:rPr>
          <w:rFonts w:hint="eastAsia" w:ascii="仿宋" w:hAnsi="仿宋" w:eastAsia="仿宋" w:cs="仿宋"/>
          <w:sz w:val="32"/>
          <w:szCs w:val="32"/>
        </w:rPr>
        <w:t>0</w:t>
      </w:r>
      <w:r>
        <w:rPr>
          <w:rFonts w:hint="eastAsia" w:ascii="仿宋" w:hAnsi="仿宋" w:eastAsia="仿宋" w:cs="仿宋"/>
          <w:color w:val="auto"/>
          <w:kern w:val="2"/>
          <w:sz w:val="32"/>
          <w:szCs w:val="32"/>
          <w:highlight w:val="none"/>
          <w:lang w:val="en-US" w:eastAsia="zh-CN" w:bidi="ar-SA"/>
        </w:rPr>
        <w:t>%。</w:t>
      </w:r>
    </w:p>
    <w:p w14:paraId="758FC202">
      <w:pPr>
        <w:numPr>
          <w:ilvl w:val="0"/>
          <w:numId w:val="0"/>
        </w:numPr>
        <w:spacing w:line="600" w:lineRule="exact"/>
        <w:ind w:left="630" w:leftChars="0"/>
        <w:outlineLvl w:val="1"/>
        <w:rPr>
          <w:rStyle w:val="29"/>
          <w:rFonts w:hint="eastAsia" w:ascii="Times New Roman" w:hAnsi="Times New Roman" w:eastAsia="黑体"/>
          <w:b w:val="0"/>
          <w:color w:val="auto"/>
          <w:highlight w:val="none"/>
        </w:rPr>
      </w:pPr>
      <w:bookmarkStart w:id="64" w:name="_Toc15377221"/>
      <w:bookmarkStart w:id="65" w:name="_Toc14828"/>
      <w:bookmarkStart w:id="66" w:name="_Toc15396612"/>
      <w:r>
        <w:rPr>
          <w:rStyle w:val="29"/>
          <w:rFonts w:hint="eastAsia" w:ascii="Times New Roman" w:hAnsi="Times New Roman" w:eastAsia="黑体"/>
          <w:b w:val="0"/>
          <w:color w:val="auto"/>
          <w:highlight w:val="none"/>
          <w:lang w:eastAsia="zh-CN"/>
        </w:rPr>
        <w:t>十、</w:t>
      </w:r>
      <w:r>
        <w:rPr>
          <w:rStyle w:val="29"/>
          <w:rFonts w:hint="eastAsia" w:ascii="Times New Roman" w:hAnsi="Times New Roman" w:eastAsia="黑体"/>
          <w:b w:val="0"/>
          <w:color w:val="auto"/>
          <w:highlight w:val="none"/>
        </w:rPr>
        <w:t>其他重要事项的情况说明</w:t>
      </w:r>
      <w:bookmarkEnd w:id="64"/>
      <w:bookmarkEnd w:id="65"/>
      <w:bookmarkEnd w:id="66"/>
    </w:p>
    <w:p w14:paraId="56F0559B">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67" w:name="_Toc15377222"/>
      <w:bookmarkStart w:id="68" w:name="_Toc29754"/>
      <w:r>
        <w:rPr>
          <w:rFonts w:hint="eastAsia" w:ascii="Times New Roman" w:hAnsi="Times New Roman" w:eastAsia="楷体_GB2312" w:cs="楷体_GB2312"/>
          <w:b/>
          <w:color w:val="auto"/>
          <w:sz w:val="32"/>
          <w:szCs w:val="32"/>
          <w:highlight w:val="none"/>
        </w:rPr>
        <w:t>（一）机关运行经费支出情况</w:t>
      </w:r>
      <w:bookmarkEnd w:id="67"/>
      <w:bookmarkEnd w:id="68"/>
    </w:p>
    <w:p w14:paraId="0D1B2DEF">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eastAsia="仿宋_GB2312" w:cs="仿宋_GB2312"/>
          <w:sz w:val="32"/>
          <w:szCs w:val="32"/>
        </w:rPr>
        <w:t>五通桥区投资促进服务中心</w:t>
      </w:r>
      <w:r>
        <w:rPr>
          <w:rFonts w:hint="eastAsia" w:ascii="仿宋_GB2312" w:hAnsi="仿宋_GB2312" w:eastAsia="仿宋_GB2312" w:cs="仿宋_GB2312"/>
          <w:color w:val="auto"/>
          <w:kern w:val="2"/>
          <w:sz w:val="32"/>
          <w:szCs w:val="32"/>
          <w:highlight w:val="none"/>
          <w:lang w:val="en-US" w:eastAsia="zh-CN" w:bidi="ar-SA"/>
        </w:rPr>
        <w:t>机关运行经费支出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w:t>
      </w:r>
    </w:p>
    <w:p w14:paraId="5719C536">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69" w:name="_Toc15377223"/>
      <w:bookmarkStart w:id="70" w:name="_Toc4797"/>
      <w:r>
        <w:rPr>
          <w:rFonts w:hint="eastAsia" w:ascii="Times New Roman" w:hAnsi="Times New Roman" w:eastAsia="楷体_GB2312" w:cs="楷体_GB2312"/>
          <w:b/>
          <w:color w:val="auto"/>
          <w:sz w:val="32"/>
          <w:szCs w:val="32"/>
          <w:highlight w:val="none"/>
        </w:rPr>
        <w:t>（二）政府采购支出情况</w:t>
      </w:r>
      <w:bookmarkEnd w:id="69"/>
      <w:bookmarkEnd w:id="70"/>
    </w:p>
    <w:p w14:paraId="44F78182">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w:t>
      </w:r>
      <w:r>
        <w:rPr>
          <w:rFonts w:hint="eastAsia" w:ascii="仿宋_GB2312" w:hAnsi="仿宋_GB2312" w:eastAsia="仿宋_GB2312" w:cs="仿宋_GB2312"/>
          <w:sz w:val="32"/>
          <w:szCs w:val="32"/>
        </w:rPr>
        <w:t>五通桥区投资促进服务中心</w:t>
      </w:r>
      <w:r>
        <w:rPr>
          <w:rFonts w:hint="eastAsia" w:ascii="仿宋_GB2312" w:hAnsi="仿宋_GB2312" w:eastAsia="仿宋_GB2312" w:cs="仿宋_GB2312"/>
          <w:color w:val="auto"/>
          <w:kern w:val="2"/>
          <w:sz w:val="32"/>
          <w:szCs w:val="32"/>
          <w:highlight w:val="none"/>
          <w:lang w:val="en-US" w:eastAsia="zh-CN" w:bidi="ar-SA"/>
        </w:rPr>
        <w:t>政府采购支出总额</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w:t>
      </w:r>
    </w:p>
    <w:p w14:paraId="58DA1BA6">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71" w:name="_Toc15377224"/>
      <w:bookmarkStart w:id="72" w:name="_Toc24478"/>
      <w:r>
        <w:rPr>
          <w:rFonts w:hint="eastAsia" w:ascii="Times New Roman" w:hAnsi="Times New Roman" w:eastAsia="楷体_GB2312" w:cs="楷体_GB2312"/>
          <w:b/>
          <w:color w:val="auto"/>
          <w:sz w:val="32"/>
          <w:szCs w:val="32"/>
          <w:highlight w:val="none"/>
        </w:rPr>
        <w:t>（三）国有资产占有使用情况</w:t>
      </w:r>
      <w:bookmarkEnd w:id="71"/>
      <w:bookmarkEnd w:id="72"/>
    </w:p>
    <w:p w14:paraId="0113D2F7">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截至2024年12月31日，</w:t>
      </w:r>
      <w:r>
        <w:rPr>
          <w:rFonts w:hint="eastAsia" w:ascii="仿宋_GB2312" w:hAnsi="仿宋_GB2312" w:eastAsia="仿宋_GB2312" w:cs="仿宋_GB2312"/>
          <w:sz w:val="32"/>
          <w:szCs w:val="32"/>
        </w:rPr>
        <w:t>五通桥区投资促进服务中心</w:t>
      </w:r>
      <w:r>
        <w:rPr>
          <w:rFonts w:hint="eastAsia" w:ascii="仿宋_GB2312" w:hAnsi="仿宋_GB2312" w:eastAsia="仿宋_GB2312" w:cs="仿宋_GB2312"/>
          <w:color w:val="auto"/>
          <w:kern w:val="2"/>
          <w:sz w:val="32"/>
          <w:szCs w:val="32"/>
          <w:highlight w:val="none"/>
          <w:lang w:val="en-US" w:eastAsia="zh-CN" w:bidi="ar-SA"/>
        </w:rPr>
        <w:t>共有车辆</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辆，其中：主要负责人用车</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辆、机要通信用车</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辆、应急保障用车</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辆、其他用车</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辆。单价100万元（含）以上设备（不含车辆）</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台（套）</w:t>
      </w:r>
      <w:r>
        <w:rPr>
          <w:rFonts w:hint="eastAsia" w:ascii="Times New Roman" w:hAnsi="Times New Roman" w:eastAsia="仿宋_GB2312" w:cs="仿宋_GB2312"/>
          <w:color w:val="auto"/>
          <w:kern w:val="2"/>
          <w:sz w:val="32"/>
          <w:szCs w:val="32"/>
          <w:highlight w:val="none"/>
          <w:lang w:val="en-US" w:eastAsia="zh-CN" w:bidi="ar-SA"/>
        </w:rPr>
        <w:t>。</w:t>
      </w:r>
    </w:p>
    <w:p w14:paraId="2120E5DE">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73" w:name="_Toc3499"/>
      <w:r>
        <w:rPr>
          <w:rFonts w:hint="eastAsia" w:ascii="Times New Roman" w:hAnsi="Times New Roman" w:eastAsia="楷体_GB2312" w:cs="楷体_GB2312"/>
          <w:b/>
          <w:color w:val="auto"/>
          <w:sz w:val="32"/>
          <w:szCs w:val="32"/>
          <w:highlight w:val="none"/>
        </w:rPr>
        <w:t>（四）预算绩效管理情况</w:t>
      </w:r>
      <w:bookmarkEnd w:id="73"/>
    </w:p>
    <w:p w14:paraId="0EA8BB5F">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无</w:t>
      </w:r>
      <w:r>
        <w:rPr>
          <w:rFonts w:hint="eastAsia" w:ascii="Times New Roman" w:hAnsi="Times New Roman" w:eastAsia="仿宋_GB2312" w:cs="仿宋_GB2312"/>
          <w:color w:val="auto"/>
          <w:kern w:val="2"/>
          <w:sz w:val="32"/>
          <w:szCs w:val="32"/>
          <w:highlight w:val="none"/>
          <w:lang w:val="en-US" w:eastAsia="zh-CN" w:bidi="ar-SA"/>
        </w:rPr>
        <w:t>。</w:t>
      </w:r>
    </w:p>
    <w:p w14:paraId="26E8E002">
      <w:pPr>
        <w:numPr>
          <w:ilvl w:val="0"/>
          <w:numId w:val="0"/>
        </w:numPr>
        <w:spacing w:line="600" w:lineRule="exact"/>
        <w:jc w:val="center"/>
        <w:outlineLvl w:val="0"/>
        <w:rPr>
          <w:rFonts w:hint="eastAsia" w:ascii="Times New Roman" w:hAnsi="Times New Roman" w:eastAsia="黑体"/>
          <w:color w:val="auto"/>
          <w:sz w:val="44"/>
          <w:szCs w:val="44"/>
          <w:highlight w:val="none"/>
        </w:rPr>
      </w:pPr>
      <w:bookmarkStart w:id="74" w:name="_Toc23461"/>
      <w:bookmarkStart w:id="75" w:name="_Toc15396613"/>
      <w:bookmarkStart w:id="76" w:name="_Toc15377225"/>
      <w:r>
        <w:rPr>
          <w:rFonts w:hint="eastAsia" w:ascii="Times New Roman" w:hAnsi="Times New Roman" w:eastAsia="黑体"/>
          <w:color w:val="auto"/>
          <w:sz w:val="44"/>
          <w:szCs w:val="44"/>
          <w:highlight w:val="none"/>
        </w:rPr>
        <w:t>第</w:t>
      </w:r>
      <w:r>
        <w:rPr>
          <w:rFonts w:hint="eastAsia" w:eastAsia="黑体"/>
          <w:color w:val="auto"/>
          <w:sz w:val="44"/>
          <w:szCs w:val="44"/>
          <w:highlight w:val="none"/>
          <w:lang w:eastAsia="zh-CN"/>
        </w:rPr>
        <w:t>三</w:t>
      </w:r>
      <w:r>
        <w:rPr>
          <w:rFonts w:hint="eastAsia" w:ascii="Times New Roman" w:hAnsi="Times New Roman" w:eastAsia="黑体"/>
          <w:color w:val="auto"/>
          <w:sz w:val="44"/>
          <w:szCs w:val="44"/>
          <w:highlight w:val="none"/>
        </w:rPr>
        <w:t>部分</w:t>
      </w:r>
      <w:r>
        <w:rPr>
          <w:rFonts w:hint="eastAsia" w:ascii="Times New Roman" w:hAnsi="Times New Roman" w:eastAsia="黑体"/>
          <w:color w:val="auto"/>
          <w:sz w:val="44"/>
          <w:szCs w:val="44"/>
          <w:highlight w:val="none"/>
          <w:lang w:val="en-US" w:eastAsia="zh-CN"/>
        </w:rPr>
        <w:t xml:space="preserve"> </w:t>
      </w:r>
      <w:r>
        <w:rPr>
          <w:rFonts w:hint="eastAsia"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名词解释</w:t>
      </w:r>
      <w:bookmarkEnd w:id="74"/>
      <w:bookmarkEnd w:id="75"/>
      <w:bookmarkEnd w:id="76"/>
    </w:p>
    <w:p w14:paraId="6E5643B9">
      <w:pPr>
        <w:spacing w:line="600" w:lineRule="exact"/>
        <w:jc w:val="left"/>
        <w:rPr>
          <w:rFonts w:ascii="Times New Roman" w:hAnsi="Times New Roman"/>
          <w:b/>
          <w:color w:val="auto"/>
          <w:sz w:val="44"/>
          <w:szCs w:val="44"/>
          <w:highlight w:val="none"/>
        </w:rPr>
      </w:pPr>
    </w:p>
    <w:p w14:paraId="2A0B3482">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1.财政拨款收入：指单位从同级财政部门取得的财政预算资金。</w:t>
      </w:r>
    </w:p>
    <w:p w14:paraId="4DBD3A84">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2.其他收入：指单位取得的除上述收入以外的各项收入。主要是单位资金（收入类型）等。</w:t>
      </w:r>
    </w:p>
    <w:p w14:paraId="3F9974F5">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3.社会保障和就业（类）行政事业单位养老支出；企业改革补助；其他社会保障和就业支出（款）机关事业单位基本养老保险缴费支出；机关事业单位职业年金缴费支出；其他行政事业单位养老支出；企业关闭破产补助；其他社会保障和就业支出（项）：指部门实施养老保险制度由单位缴纳的养老保险费的支出；指部门实施养老保险制度由单位缴纳的职业年金的支出；指除上述项目外，其他用于行政事业单位离退休方面的支出；指企业关闭破产补助支出；指其他用于企业补…助支出。</w:t>
      </w:r>
    </w:p>
    <w:p w14:paraId="1A4FD7B6">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4.卫生健康（类）公共卫生；行政事业单位医疗（款）其他公共卫生支出；行政单位医疗（项）：指行政单位及参公管理事业单位用于集中缴纳的医疗支出。</w:t>
      </w:r>
    </w:p>
    <w:p w14:paraId="1ABAAB2E">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5.资源勘探工业信息等（类）资源勘探开发；制造业；</w:t>
      </w:r>
    </w:p>
    <w:p w14:paraId="38F63BE3">
      <w:pPr>
        <w:spacing w:line="600" w:lineRule="exact"/>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工业和信息产业监管其他资源勘探工业信息等支出（款）行政运行；一般行政管理事务；其他制造业支出；其他工业和信息产业监管支出；其他资源勘探工业信息等支出（项）：指指用于资源勘探、制造业、建筑业、工业信息等方面支出，包括保障机构正常运转、完成日常和特定的工作任务或事业发展目标的支出。</w:t>
      </w:r>
    </w:p>
    <w:p w14:paraId="481E449D">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6.住房保障（类）住房改革支出（款）住房公积金（项）：指由单位及其在职职工按规定缴存的住房公积金支出。</w:t>
      </w:r>
    </w:p>
    <w:p w14:paraId="681E09AB">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7.基本支出：指为保障机构正常运转、完成日常工作任务而发生的人员支出和公用支出。</w:t>
      </w:r>
    </w:p>
    <w:p w14:paraId="0974807B">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8.项目支出：指在基本支出之外为完成特定行政任务和事业发展目标所发生的支出。</w:t>
      </w:r>
    </w:p>
    <w:p w14:paraId="419CB01A">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9.“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1B5133CA">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10.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r>
        <w:rPr>
          <w:rFonts w:hint="eastAsia" w:eastAsia="仿宋_GB2312" w:cs="仿宋_GB2312"/>
          <w:color w:val="auto"/>
          <w:kern w:val="2"/>
          <w:sz w:val="32"/>
          <w:szCs w:val="32"/>
          <w:highlight w:val="none"/>
          <w:lang w:val="en-US" w:eastAsia="zh-CN" w:bidi="ar-SA"/>
        </w:rPr>
        <w:t>。</w:t>
      </w:r>
    </w:p>
    <w:p w14:paraId="2CDFCB4B">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（注：名词解释部分请根据各部门实际列支情况罗列，并根据本部门职责职能增减名词解释内容）</w:t>
      </w:r>
    </w:p>
    <w:p w14:paraId="574ACCAB">
      <w:pPr>
        <w:spacing w:line="600" w:lineRule="exact"/>
        <w:jc w:val="center"/>
        <w:outlineLvl w:val="0"/>
        <w:rPr>
          <w:rFonts w:hint="eastAsia" w:ascii="Times New Roman" w:hAnsi="Times New Roman" w:eastAsia="黑体" w:cs="黑体"/>
          <w:color w:val="FF0000"/>
          <w:sz w:val="32"/>
          <w:szCs w:val="32"/>
          <w:highlight w:val="none"/>
        </w:rPr>
      </w:pPr>
      <w:bookmarkStart w:id="77" w:name="_Toc15377226"/>
      <w:r>
        <w:rPr>
          <w:rFonts w:hint="eastAsia" w:ascii="Times New Roman" w:hAnsi="Times New Roman" w:eastAsia="仿宋_GB2312" w:cs="仿宋_GB2312"/>
          <w:color w:val="auto"/>
          <w:kern w:val="2"/>
          <w:sz w:val="32"/>
          <w:szCs w:val="32"/>
          <w:highlight w:val="none"/>
          <w:lang w:val="en-US" w:eastAsia="zh-CN" w:bidi="ar-SA"/>
        </w:rPr>
        <w:br w:type="page"/>
      </w:r>
      <w:bookmarkStart w:id="78" w:name="_Toc26310"/>
      <w:bookmarkStart w:id="79" w:name="_Toc15396614"/>
      <w:r>
        <w:rPr>
          <w:rFonts w:hint="eastAsia" w:ascii="Times New Roman" w:hAnsi="Times New Roman" w:eastAsia="黑体"/>
          <w:color w:val="auto"/>
          <w:sz w:val="44"/>
          <w:szCs w:val="44"/>
          <w:highlight w:val="none"/>
        </w:rPr>
        <w:t>第四部分</w:t>
      </w:r>
      <w:r>
        <w:rPr>
          <w:rFonts w:hint="eastAsia" w:ascii="Times New Roman" w:hAnsi="Times New Roman"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 xml:space="preserve"> 附件</w:t>
      </w:r>
      <w:bookmarkEnd w:id="78"/>
      <w:bookmarkEnd w:id="79"/>
    </w:p>
    <w:p w14:paraId="4CECCAC6">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default" w:ascii="Times New Roman" w:hAnsi="Times New Roman" w:eastAsia="仿宋_GB2312" w:cs="仿宋_GB2312"/>
          <w:b w:val="0"/>
          <w:bCs w:val="0"/>
          <w:kern w:val="0"/>
          <w:position w:val="0"/>
          <w:sz w:val="32"/>
          <w:szCs w:val="32"/>
          <w:highlight w:val="none"/>
          <w:lang w:val="en-US" w:eastAsia="zh-CN" w:bidi="ar-SA"/>
        </w:rPr>
      </w:pPr>
      <w:r>
        <w:rPr>
          <w:rFonts w:hint="eastAsia" w:eastAsia="仿宋_GB2312" w:cs="仿宋_GB2312"/>
          <w:b w:val="0"/>
          <w:bCs w:val="0"/>
          <w:kern w:val="0"/>
          <w:position w:val="0"/>
          <w:sz w:val="32"/>
          <w:szCs w:val="32"/>
          <w:highlight w:val="none"/>
          <w:lang w:val="en-US" w:eastAsia="zh-CN" w:bidi="ar-SA"/>
        </w:rPr>
        <w:t>无</w:t>
      </w:r>
    </w:p>
    <w:p w14:paraId="66E1B39D">
      <w:pPr>
        <w:keepNext w:val="0"/>
        <w:keepLines w:val="0"/>
        <w:pageBreakBefore w:val="0"/>
        <w:widowControl w:val="0"/>
        <w:kinsoku/>
        <w:wordWrap/>
        <w:overflowPunct/>
        <w:topLinePunct w:val="0"/>
        <w:autoSpaceDE/>
        <w:autoSpaceDN/>
        <w:bidi w:val="0"/>
        <w:spacing w:line="578" w:lineRule="exact"/>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bookmarkStart w:id="80" w:name="_Toc15396618"/>
    </w:p>
    <w:p w14:paraId="11602455">
      <w:pPr>
        <w:widowControl/>
        <w:jc w:val="center"/>
        <w:outlineLvl w:val="0"/>
        <w:rPr>
          <w:rFonts w:hint="eastAsia" w:ascii="Times New Roman" w:hAnsi="Times New Roman" w:eastAsia="仿宋"/>
          <w:b w:val="0"/>
          <w:color w:val="auto"/>
          <w:highlight w:val="none"/>
        </w:rPr>
      </w:pPr>
      <w:bookmarkStart w:id="81" w:name="_Toc11752"/>
      <w:r>
        <w:rPr>
          <w:rFonts w:hint="eastAsia" w:ascii="Times New Roman" w:hAnsi="Times New Roman" w:eastAsia="黑体"/>
          <w:color w:val="auto"/>
          <w:sz w:val="44"/>
          <w:szCs w:val="44"/>
          <w:highlight w:val="none"/>
        </w:rPr>
        <w:t>第</w:t>
      </w:r>
      <w:r>
        <w:rPr>
          <w:rStyle w:val="28"/>
          <w:rFonts w:hint="eastAsia" w:ascii="Times New Roman" w:hAnsi="Times New Roman" w:eastAsia="黑体"/>
          <w:b w:val="0"/>
          <w:color w:val="auto"/>
          <w:highlight w:val="none"/>
        </w:rPr>
        <w:t>五部分 附表</w:t>
      </w:r>
      <w:bookmarkEnd w:id="77"/>
      <w:bookmarkEnd w:id="80"/>
      <w:bookmarkEnd w:id="81"/>
      <w:bookmarkStart w:id="82" w:name="_Toc15396619"/>
    </w:p>
    <w:p w14:paraId="1FEF77E4">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p>
    <w:p w14:paraId="53D99575">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一、收入支出决算总表</w:t>
      </w:r>
      <w:bookmarkEnd w:id="82"/>
    </w:p>
    <w:p w14:paraId="66116514">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83" w:name="_Toc15396620"/>
      <w:r>
        <w:rPr>
          <w:rFonts w:hint="eastAsia" w:ascii="Times New Roman" w:hAnsi="Times New Roman" w:eastAsia="仿宋_GB2312" w:cs="仿宋_GB2312"/>
          <w:color w:val="auto"/>
          <w:sz w:val="32"/>
          <w:szCs w:val="32"/>
          <w:highlight w:val="none"/>
        </w:rPr>
        <w:t>二、收入决算表</w:t>
      </w:r>
      <w:bookmarkEnd w:id="83"/>
    </w:p>
    <w:p w14:paraId="69C9A3AB">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84" w:name="_Toc15396621"/>
      <w:r>
        <w:rPr>
          <w:rFonts w:hint="eastAsia" w:ascii="Times New Roman" w:hAnsi="Times New Roman" w:eastAsia="仿宋_GB2312" w:cs="仿宋_GB2312"/>
          <w:color w:val="auto"/>
          <w:sz w:val="32"/>
          <w:szCs w:val="32"/>
          <w:highlight w:val="none"/>
        </w:rPr>
        <w:t>三、支出决算表</w:t>
      </w:r>
      <w:bookmarkEnd w:id="84"/>
    </w:p>
    <w:p w14:paraId="2A5BC284">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85" w:name="_Toc15396622"/>
      <w:r>
        <w:rPr>
          <w:rFonts w:hint="eastAsia" w:ascii="Times New Roman" w:hAnsi="Times New Roman" w:eastAsia="仿宋_GB2312" w:cs="仿宋_GB2312"/>
          <w:color w:val="auto"/>
          <w:sz w:val="32"/>
          <w:szCs w:val="32"/>
          <w:highlight w:val="none"/>
        </w:rPr>
        <w:t>四、财政拨款收入支出决算总表</w:t>
      </w:r>
      <w:bookmarkEnd w:id="85"/>
    </w:p>
    <w:p w14:paraId="36E9FFA1">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86" w:name="_Toc15396623"/>
      <w:r>
        <w:rPr>
          <w:rFonts w:hint="eastAsia" w:ascii="Times New Roman" w:hAnsi="Times New Roman" w:eastAsia="仿宋_GB2312" w:cs="仿宋_GB2312"/>
          <w:color w:val="auto"/>
          <w:sz w:val="32"/>
          <w:szCs w:val="32"/>
          <w:highlight w:val="none"/>
        </w:rPr>
        <w:t>五、财政拨款支出决算明细表</w:t>
      </w:r>
      <w:bookmarkEnd w:id="86"/>
      <w:bookmarkStart w:id="87" w:name="_Toc15396624"/>
    </w:p>
    <w:p w14:paraId="4A366377">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六、一般公共预算财政拨款支出决算表</w:t>
      </w:r>
      <w:bookmarkEnd w:id="87"/>
    </w:p>
    <w:p w14:paraId="381E811D">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88" w:name="_Toc15396625"/>
      <w:r>
        <w:rPr>
          <w:rFonts w:hint="eastAsia" w:ascii="Times New Roman" w:hAnsi="Times New Roman" w:eastAsia="仿宋_GB2312" w:cs="仿宋_GB2312"/>
          <w:color w:val="auto"/>
          <w:sz w:val="32"/>
          <w:szCs w:val="32"/>
          <w:highlight w:val="none"/>
        </w:rPr>
        <w:t>七、一般公共预算财政拨款支出决算明细表</w:t>
      </w:r>
      <w:bookmarkEnd w:id="88"/>
    </w:p>
    <w:p w14:paraId="4A28CF25">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89" w:name="_Toc15396626"/>
      <w:r>
        <w:rPr>
          <w:rFonts w:hint="eastAsia" w:ascii="Times New Roman" w:hAnsi="Times New Roman" w:eastAsia="仿宋_GB2312" w:cs="仿宋_GB2312"/>
          <w:color w:val="auto"/>
          <w:sz w:val="32"/>
          <w:szCs w:val="32"/>
          <w:highlight w:val="none"/>
        </w:rPr>
        <w:t>八、一般公共预算财政拨款基本支出决算表</w:t>
      </w:r>
      <w:bookmarkEnd w:id="89"/>
    </w:p>
    <w:p w14:paraId="760551A7">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90" w:name="_Toc15396627"/>
      <w:r>
        <w:rPr>
          <w:rFonts w:hint="eastAsia" w:ascii="Times New Roman" w:hAnsi="Times New Roman" w:eastAsia="仿宋_GB2312" w:cs="仿宋_GB2312"/>
          <w:color w:val="auto"/>
          <w:sz w:val="32"/>
          <w:szCs w:val="32"/>
          <w:highlight w:val="none"/>
        </w:rPr>
        <w:t>九、一般公共预算财政拨款项目支出决算表</w:t>
      </w:r>
      <w:bookmarkEnd w:id="90"/>
    </w:p>
    <w:p w14:paraId="3CD9589A">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91" w:name="_Toc15396628"/>
      <w:r>
        <w:rPr>
          <w:rFonts w:hint="eastAsia" w:ascii="Times New Roman" w:hAnsi="Times New Roman" w:eastAsia="仿宋_GB2312" w:cs="仿宋_GB2312"/>
          <w:color w:val="auto"/>
          <w:sz w:val="32"/>
          <w:szCs w:val="32"/>
          <w:highlight w:val="none"/>
        </w:rPr>
        <w:t>十、</w:t>
      </w:r>
      <w:bookmarkEnd w:id="91"/>
      <w:r>
        <w:rPr>
          <w:rFonts w:hint="eastAsia" w:ascii="Times New Roman" w:hAnsi="Times New Roman" w:eastAsia="仿宋_GB2312" w:cs="仿宋_GB2312"/>
          <w:color w:val="auto"/>
          <w:sz w:val="32"/>
          <w:szCs w:val="32"/>
          <w:highlight w:val="none"/>
        </w:rPr>
        <w:t>政府性基金预算财政拨款收入支出决算表</w:t>
      </w:r>
    </w:p>
    <w:p w14:paraId="2BCC59B5">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92" w:name="_Toc15396629"/>
      <w:r>
        <w:rPr>
          <w:rFonts w:hint="eastAsia" w:ascii="Times New Roman" w:hAnsi="Times New Roman" w:eastAsia="仿宋_GB2312" w:cs="仿宋_GB2312"/>
          <w:color w:val="auto"/>
          <w:sz w:val="32"/>
          <w:szCs w:val="32"/>
          <w:highlight w:val="none"/>
        </w:rPr>
        <w:t>十一、</w:t>
      </w:r>
      <w:bookmarkEnd w:id="92"/>
      <w:r>
        <w:rPr>
          <w:rFonts w:hint="eastAsia" w:ascii="Times New Roman" w:hAnsi="Times New Roman" w:eastAsia="仿宋_GB2312" w:cs="仿宋_GB2312"/>
          <w:color w:val="auto"/>
          <w:sz w:val="32"/>
          <w:szCs w:val="32"/>
          <w:highlight w:val="none"/>
        </w:rPr>
        <w:t>国有资本经营预算</w:t>
      </w:r>
      <w:r>
        <w:rPr>
          <w:rFonts w:hint="eastAsia" w:ascii="Times New Roman" w:hAnsi="Times New Roman" w:eastAsia="仿宋_GB2312" w:cs="仿宋_GB2312"/>
          <w:color w:val="auto"/>
          <w:sz w:val="32"/>
          <w:szCs w:val="32"/>
          <w:highlight w:val="none"/>
          <w:lang w:eastAsia="zh-CN"/>
        </w:rPr>
        <w:t>财政拨款收入</w:t>
      </w:r>
      <w:r>
        <w:rPr>
          <w:rFonts w:hint="eastAsia" w:ascii="Times New Roman" w:hAnsi="Times New Roman" w:eastAsia="仿宋_GB2312" w:cs="仿宋_GB2312"/>
          <w:color w:val="auto"/>
          <w:sz w:val="32"/>
          <w:szCs w:val="32"/>
          <w:highlight w:val="none"/>
        </w:rPr>
        <w:t>支出决算表</w:t>
      </w:r>
    </w:p>
    <w:p w14:paraId="16AFE16E">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93" w:name="_Toc15396630"/>
      <w:r>
        <w:rPr>
          <w:rFonts w:hint="eastAsia" w:ascii="Times New Roman" w:hAnsi="Times New Roman" w:eastAsia="仿宋_GB2312" w:cs="仿宋_GB2312"/>
          <w:color w:val="auto"/>
          <w:sz w:val="32"/>
          <w:szCs w:val="32"/>
          <w:highlight w:val="none"/>
        </w:rPr>
        <w:t>十二、</w:t>
      </w:r>
      <w:bookmarkEnd w:id="93"/>
      <w:r>
        <w:rPr>
          <w:rFonts w:hint="eastAsia" w:ascii="Times New Roman" w:hAnsi="Times New Roman" w:eastAsia="仿宋_GB2312" w:cs="仿宋_GB2312"/>
          <w:color w:val="auto"/>
          <w:sz w:val="32"/>
          <w:szCs w:val="32"/>
          <w:highlight w:val="none"/>
          <w:lang w:eastAsia="zh-CN"/>
        </w:rPr>
        <w:t>国有资本经营预算财政拨款支出决算表</w:t>
      </w:r>
    </w:p>
    <w:p w14:paraId="0D8F5442">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lang w:eastAsia="zh-CN"/>
        </w:rPr>
      </w:pPr>
      <w:bookmarkStart w:id="94" w:name="_Toc15396631"/>
      <w:r>
        <w:rPr>
          <w:rFonts w:hint="eastAsia" w:ascii="Times New Roman" w:hAnsi="Times New Roman" w:eastAsia="仿宋_GB2312" w:cs="仿宋_GB2312"/>
          <w:color w:val="auto"/>
          <w:sz w:val="32"/>
          <w:szCs w:val="32"/>
          <w:highlight w:val="none"/>
        </w:rPr>
        <w:t>十三、</w:t>
      </w:r>
      <w:bookmarkEnd w:id="94"/>
      <w:r>
        <w:rPr>
          <w:rFonts w:hint="eastAsia" w:ascii="Times New Roman" w:hAnsi="Times New Roman" w:eastAsia="仿宋_GB2312" w:cs="仿宋_GB2312"/>
          <w:color w:val="auto"/>
          <w:sz w:val="32"/>
          <w:szCs w:val="32"/>
          <w:highlight w:val="none"/>
          <w:lang w:eastAsia="zh-CN"/>
        </w:rPr>
        <w:t>财政拨款“三公”经费支出决算表</w:t>
      </w:r>
    </w:p>
    <w:p w14:paraId="3AE1436E">
      <w:pPr>
        <w:rPr>
          <w:rFonts w:hint="eastAsia" w:ascii="Times New Roman" w:hAnsi="Times New Roman"/>
          <w:lang w:eastAsia="zh-CN"/>
        </w:rPr>
      </w:pPr>
    </w:p>
    <w:sectPr>
      <w:footerReference r:id="rId6"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2000000000000000000"/>
    <w:charset w:val="86"/>
    <w:family w:val="script"/>
    <w:pitch w:val="default"/>
    <w:sig w:usb0="00000001" w:usb1="08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瀹嬩綋">
    <w:altName w:val="Segoe Print"/>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129FE1">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C6E2C3">
                          <w:pPr>
                            <w:pStyle w:val="10"/>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BC6E2C3">
                    <w:pPr>
                      <w:pStyle w:val="10"/>
                    </w:pPr>
                    <w:r>
                      <w:fldChar w:fldCharType="begin"/>
                    </w:r>
                    <w:r>
                      <w:instrText xml:space="preserve"> PAGE  \* MERGEFORMAT </w:instrText>
                    </w:r>
                    <w:r>
                      <w:fldChar w:fldCharType="separate"/>
                    </w:r>
                    <w:r>
                      <w:t>- 2 -</w:t>
                    </w:r>
                    <w:r>
                      <w:fldChar w:fldCharType="end"/>
                    </w:r>
                  </w:p>
                </w:txbxContent>
              </v:textbox>
            </v:shape>
          </w:pict>
        </mc:Fallback>
      </mc:AlternateContent>
    </w:r>
  </w:p>
  <w:p w14:paraId="7F23C8D1">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E14FB">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7BFB08">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E7BFB08">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EBBF8">
    <w:pPr>
      <w:pStyle w:val="10"/>
      <w:jc w:val="cente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74279B">
                          <w:pPr>
                            <w:pStyle w:val="10"/>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7274279B">
                    <w:pPr>
                      <w:pStyle w:val="10"/>
                    </w:pPr>
                    <w:r>
                      <w:fldChar w:fldCharType="begin"/>
                    </w:r>
                    <w:r>
                      <w:instrText xml:space="preserve"> PAGE  \* MERGEFORMAT </w:instrText>
                    </w:r>
                    <w:r>
                      <w:fldChar w:fldCharType="separate"/>
                    </w:r>
                    <w:r>
                      <w:t>- 2 -</w:t>
                    </w:r>
                    <w:r>
                      <w:fldChar w:fldCharType="end"/>
                    </w:r>
                  </w:p>
                </w:txbxContent>
              </v:textbox>
            </v:shape>
          </w:pict>
        </mc:Fallback>
      </mc:AlternateContent>
    </w:r>
  </w:p>
  <w:p w14:paraId="40228A95">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D4154">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FEBE30"/>
    <w:rsid w:val="04916F1E"/>
    <w:rsid w:val="061E35DE"/>
    <w:rsid w:val="066E0107"/>
    <w:rsid w:val="07996F6E"/>
    <w:rsid w:val="07DFD8BA"/>
    <w:rsid w:val="09867E8F"/>
    <w:rsid w:val="0A2032A3"/>
    <w:rsid w:val="0CA8290A"/>
    <w:rsid w:val="0D35B1ED"/>
    <w:rsid w:val="0E254B6B"/>
    <w:rsid w:val="0F8B79BD"/>
    <w:rsid w:val="0F98263C"/>
    <w:rsid w:val="101860EC"/>
    <w:rsid w:val="101F47CC"/>
    <w:rsid w:val="10C055FF"/>
    <w:rsid w:val="11694EBD"/>
    <w:rsid w:val="11772AA4"/>
    <w:rsid w:val="118107EC"/>
    <w:rsid w:val="12E24EE2"/>
    <w:rsid w:val="13D50BC4"/>
    <w:rsid w:val="14B17F78"/>
    <w:rsid w:val="165E0673"/>
    <w:rsid w:val="16B831D5"/>
    <w:rsid w:val="16BB723D"/>
    <w:rsid w:val="17E50567"/>
    <w:rsid w:val="186504BB"/>
    <w:rsid w:val="19A445FC"/>
    <w:rsid w:val="1BE8440E"/>
    <w:rsid w:val="1D155CEE"/>
    <w:rsid w:val="1D1638FE"/>
    <w:rsid w:val="1E312DEB"/>
    <w:rsid w:val="1E740ACF"/>
    <w:rsid w:val="1FF35744"/>
    <w:rsid w:val="1FF6BC77"/>
    <w:rsid w:val="2186353C"/>
    <w:rsid w:val="23860B96"/>
    <w:rsid w:val="240371BF"/>
    <w:rsid w:val="244F3473"/>
    <w:rsid w:val="24C97D99"/>
    <w:rsid w:val="25A718F0"/>
    <w:rsid w:val="25BB59F6"/>
    <w:rsid w:val="260F557C"/>
    <w:rsid w:val="26970054"/>
    <w:rsid w:val="281408E2"/>
    <w:rsid w:val="29FD04D3"/>
    <w:rsid w:val="2BFF7BC6"/>
    <w:rsid w:val="2C8A61B5"/>
    <w:rsid w:val="2DF04E50"/>
    <w:rsid w:val="2E586DFA"/>
    <w:rsid w:val="2F040D46"/>
    <w:rsid w:val="2F6B035B"/>
    <w:rsid w:val="2FAE5751"/>
    <w:rsid w:val="2FB1A395"/>
    <w:rsid w:val="2FD9A7D8"/>
    <w:rsid w:val="2FDBF714"/>
    <w:rsid w:val="30AB6865"/>
    <w:rsid w:val="319F7F4E"/>
    <w:rsid w:val="32BD1EF1"/>
    <w:rsid w:val="3304709D"/>
    <w:rsid w:val="33A773CB"/>
    <w:rsid w:val="349D6851"/>
    <w:rsid w:val="36AA5135"/>
    <w:rsid w:val="36BE0DA7"/>
    <w:rsid w:val="376B6AA6"/>
    <w:rsid w:val="376D39B2"/>
    <w:rsid w:val="37E16F03"/>
    <w:rsid w:val="37F53A3B"/>
    <w:rsid w:val="389B6C89"/>
    <w:rsid w:val="38D469F0"/>
    <w:rsid w:val="39627CCD"/>
    <w:rsid w:val="397BAF1F"/>
    <w:rsid w:val="3AB79AF3"/>
    <w:rsid w:val="3AE834C0"/>
    <w:rsid w:val="3B7EF35A"/>
    <w:rsid w:val="3B9FDB6C"/>
    <w:rsid w:val="3BF5BC2F"/>
    <w:rsid w:val="3CEBA265"/>
    <w:rsid w:val="3D98207C"/>
    <w:rsid w:val="3DEE7CF3"/>
    <w:rsid w:val="3E740A63"/>
    <w:rsid w:val="3E78745D"/>
    <w:rsid w:val="3EE17838"/>
    <w:rsid w:val="3F55381A"/>
    <w:rsid w:val="3F7F7599"/>
    <w:rsid w:val="3FF4CAE0"/>
    <w:rsid w:val="3FF7B227"/>
    <w:rsid w:val="44E268DA"/>
    <w:rsid w:val="450D13D7"/>
    <w:rsid w:val="45506656"/>
    <w:rsid w:val="486A6C7A"/>
    <w:rsid w:val="4A627F82"/>
    <w:rsid w:val="4B0E749A"/>
    <w:rsid w:val="4B2477C4"/>
    <w:rsid w:val="4B4F25DA"/>
    <w:rsid w:val="4BE068DB"/>
    <w:rsid w:val="4D577224"/>
    <w:rsid w:val="4DBF1CEB"/>
    <w:rsid w:val="4DF0007C"/>
    <w:rsid w:val="4EAB630A"/>
    <w:rsid w:val="4ECE2238"/>
    <w:rsid w:val="4F833267"/>
    <w:rsid w:val="4FE9BD67"/>
    <w:rsid w:val="4FFB052F"/>
    <w:rsid w:val="537E6D0A"/>
    <w:rsid w:val="53F74C96"/>
    <w:rsid w:val="55170BA8"/>
    <w:rsid w:val="553218C9"/>
    <w:rsid w:val="559556B7"/>
    <w:rsid w:val="567E1AA5"/>
    <w:rsid w:val="56E47B74"/>
    <w:rsid w:val="57175D52"/>
    <w:rsid w:val="57BD3DD4"/>
    <w:rsid w:val="5AF92295"/>
    <w:rsid w:val="5B250254"/>
    <w:rsid w:val="5BDD79E6"/>
    <w:rsid w:val="5BF561CA"/>
    <w:rsid w:val="5BFF5DFC"/>
    <w:rsid w:val="5CD71FC4"/>
    <w:rsid w:val="5D1F11B5"/>
    <w:rsid w:val="5D695134"/>
    <w:rsid w:val="5DAE1B18"/>
    <w:rsid w:val="5DE7D9E5"/>
    <w:rsid w:val="5ECEC941"/>
    <w:rsid w:val="5FBF9FF3"/>
    <w:rsid w:val="5FCD4E2C"/>
    <w:rsid w:val="5FEF394A"/>
    <w:rsid w:val="5FF67715"/>
    <w:rsid w:val="62331B7F"/>
    <w:rsid w:val="62BF3928"/>
    <w:rsid w:val="63B3701E"/>
    <w:rsid w:val="647F5392"/>
    <w:rsid w:val="65E66580"/>
    <w:rsid w:val="664B1D71"/>
    <w:rsid w:val="664B4E8E"/>
    <w:rsid w:val="67277B67"/>
    <w:rsid w:val="67AA3209"/>
    <w:rsid w:val="698D0931"/>
    <w:rsid w:val="6A7FE5F3"/>
    <w:rsid w:val="6B053271"/>
    <w:rsid w:val="6BDD78B3"/>
    <w:rsid w:val="6C4A05C8"/>
    <w:rsid w:val="6C8742B8"/>
    <w:rsid w:val="6DBF5E93"/>
    <w:rsid w:val="6DFF077E"/>
    <w:rsid w:val="6E714EF0"/>
    <w:rsid w:val="6E7E3605"/>
    <w:rsid w:val="6E7FDCC7"/>
    <w:rsid w:val="6ED6A62E"/>
    <w:rsid w:val="6EE00B15"/>
    <w:rsid w:val="6F6FB3EB"/>
    <w:rsid w:val="6F8731EA"/>
    <w:rsid w:val="6FCE6052"/>
    <w:rsid w:val="6FD57C00"/>
    <w:rsid w:val="6FEFFFD8"/>
    <w:rsid w:val="6FF5CC65"/>
    <w:rsid w:val="6FFB47EC"/>
    <w:rsid w:val="6FFF034A"/>
    <w:rsid w:val="70484440"/>
    <w:rsid w:val="712A28F1"/>
    <w:rsid w:val="715C0E4B"/>
    <w:rsid w:val="71992E7C"/>
    <w:rsid w:val="72233669"/>
    <w:rsid w:val="72734D90"/>
    <w:rsid w:val="73160E6D"/>
    <w:rsid w:val="7332FE48"/>
    <w:rsid w:val="73AB61DA"/>
    <w:rsid w:val="73AD73D5"/>
    <w:rsid w:val="73B6EB34"/>
    <w:rsid w:val="73FA497D"/>
    <w:rsid w:val="744731E5"/>
    <w:rsid w:val="74BBD01D"/>
    <w:rsid w:val="74ED5379"/>
    <w:rsid w:val="75DEEEC2"/>
    <w:rsid w:val="75E32345"/>
    <w:rsid w:val="76E3355F"/>
    <w:rsid w:val="76FF5125"/>
    <w:rsid w:val="776F6FFA"/>
    <w:rsid w:val="778769C8"/>
    <w:rsid w:val="77A75DCA"/>
    <w:rsid w:val="77DC22F5"/>
    <w:rsid w:val="7832242D"/>
    <w:rsid w:val="783E271A"/>
    <w:rsid w:val="78616DE9"/>
    <w:rsid w:val="78E875D7"/>
    <w:rsid w:val="79086DAD"/>
    <w:rsid w:val="79D7FD79"/>
    <w:rsid w:val="79EE5BA4"/>
    <w:rsid w:val="7A894339"/>
    <w:rsid w:val="7AD284E8"/>
    <w:rsid w:val="7AFF7572"/>
    <w:rsid w:val="7B6C7DFB"/>
    <w:rsid w:val="7BBFBED0"/>
    <w:rsid w:val="7BC3E394"/>
    <w:rsid w:val="7C1F3737"/>
    <w:rsid w:val="7CBFC87B"/>
    <w:rsid w:val="7CFE0F48"/>
    <w:rsid w:val="7D272ABC"/>
    <w:rsid w:val="7D7EC23E"/>
    <w:rsid w:val="7E8ADEBF"/>
    <w:rsid w:val="7EEF11D3"/>
    <w:rsid w:val="7EFE4840"/>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6">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5"/>
    <w:qFormat/>
    <w:uiPriority w:val="99"/>
    <w:pPr>
      <w:spacing w:beforeLines="30"/>
    </w:pPr>
    <w:rPr>
      <w:rFonts w:ascii="仿宋_GB2312" w:eastAsia="仿宋_GB2312"/>
      <w:kern w:val="0"/>
      <w:sz w:val="30"/>
    </w:rPr>
  </w:style>
  <w:style w:type="paragraph" w:styleId="6">
    <w:name w:val="Body Text Indent"/>
    <w:basedOn w:val="1"/>
    <w:next w:val="7"/>
    <w:qFormat/>
    <w:uiPriority w:val="0"/>
    <w:pPr>
      <w:spacing w:after="120"/>
      <w:ind w:leftChars="200"/>
    </w:pPr>
    <w:rPr>
      <w:rFonts w:ascii="仿宋_GB2312"/>
      <w:szCs w:val="32"/>
    </w:rPr>
  </w:style>
  <w:style w:type="paragraph" w:styleId="7">
    <w:name w:val="Body Text First Indent 2"/>
    <w:basedOn w:val="6"/>
    <w:unhideWhenUsed/>
    <w:qFormat/>
    <w:uiPriority w:val="99"/>
    <w:pPr>
      <w:ind w:firstLine="420" w:firstLineChars="200"/>
    </w:p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1"/>
    <w:semiHidden/>
    <w:unhideWhenUsed/>
    <w:qFormat/>
    <w:uiPriority w:val="99"/>
    <w:rPr>
      <w:sz w:val="18"/>
      <w:szCs w:val="18"/>
    </w:rPr>
  </w:style>
  <w:style w:type="paragraph" w:styleId="10">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footnote text"/>
    <w:basedOn w:val="1"/>
    <w:next w:val="7"/>
    <w:semiHidden/>
    <w:qFormat/>
    <w:uiPriority w:val="0"/>
    <w:pPr>
      <w:snapToGrid w:val="0"/>
      <w:jc w:val="left"/>
    </w:pPr>
    <w:rPr>
      <w:sz w:val="18"/>
      <w:szCs w:val="18"/>
    </w:rPr>
  </w:style>
  <w:style w:type="paragraph" w:styleId="14">
    <w:name w:val="toc 2"/>
    <w:basedOn w:val="1"/>
    <w:next w:val="1"/>
    <w:unhideWhenUsed/>
    <w:qFormat/>
    <w:uiPriority w:val="39"/>
    <w:pPr>
      <w:tabs>
        <w:tab w:val="right" w:leader="dot" w:pos="8296"/>
      </w:tabs>
      <w:ind w:left="420" w:left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paragraph" w:customStyle="1" w:styleId="19">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0">
    <w:name w:val="Header Char"/>
    <w:basedOn w:val="16"/>
    <w:semiHidden/>
    <w:qFormat/>
    <w:uiPriority w:val="99"/>
    <w:rPr>
      <w:rFonts w:ascii="Times New Roman" w:hAnsi="Times New Roman"/>
      <w:sz w:val="18"/>
      <w:szCs w:val="18"/>
    </w:rPr>
  </w:style>
  <w:style w:type="character" w:customStyle="1" w:styleId="21">
    <w:name w:val="页眉 Char"/>
    <w:link w:val="11"/>
    <w:semiHidden/>
    <w:qFormat/>
    <w:locked/>
    <w:uiPriority w:val="99"/>
    <w:rPr>
      <w:sz w:val="18"/>
    </w:rPr>
  </w:style>
  <w:style w:type="character" w:customStyle="1" w:styleId="22">
    <w:name w:val="Footer Char"/>
    <w:basedOn w:val="16"/>
    <w:semiHidden/>
    <w:qFormat/>
    <w:uiPriority w:val="99"/>
    <w:rPr>
      <w:rFonts w:ascii="Times New Roman" w:hAnsi="Times New Roman"/>
      <w:sz w:val="18"/>
      <w:szCs w:val="18"/>
    </w:rPr>
  </w:style>
  <w:style w:type="character" w:customStyle="1" w:styleId="23">
    <w:name w:val="页脚 Char"/>
    <w:link w:val="10"/>
    <w:qFormat/>
    <w:locked/>
    <w:uiPriority w:val="99"/>
    <w:rPr>
      <w:sz w:val="18"/>
    </w:rPr>
  </w:style>
  <w:style w:type="character" w:customStyle="1" w:styleId="24">
    <w:name w:val="Body Text Char"/>
    <w:basedOn w:val="16"/>
    <w:semiHidden/>
    <w:qFormat/>
    <w:uiPriority w:val="99"/>
    <w:rPr>
      <w:rFonts w:ascii="Times New Roman" w:hAnsi="Times New Roman"/>
      <w:szCs w:val="24"/>
    </w:rPr>
  </w:style>
  <w:style w:type="character" w:customStyle="1" w:styleId="25">
    <w:name w:val="正文文本 Char"/>
    <w:link w:val="2"/>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Char"/>
    <w:basedOn w:val="16"/>
    <w:link w:val="3"/>
    <w:qFormat/>
    <w:uiPriority w:val="9"/>
    <w:rPr>
      <w:rFonts w:ascii="Times New Roman" w:hAnsi="Times New Roman"/>
      <w:b/>
      <w:bCs/>
      <w:kern w:val="44"/>
      <w:sz w:val="44"/>
      <w:szCs w:val="44"/>
    </w:rPr>
  </w:style>
  <w:style w:type="character" w:customStyle="1" w:styleId="29">
    <w:name w:val="标题 2 Char"/>
    <w:basedOn w:val="16"/>
    <w:link w:val="4"/>
    <w:qFormat/>
    <w:uiPriority w:val="9"/>
    <w:rPr>
      <w:rFonts w:asciiTheme="majorHAnsi" w:hAnsiTheme="majorHAnsi" w:eastAsiaTheme="majorEastAsia" w:cstheme="majorBidi"/>
      <w:b/>
      <w:bCs/>
      <w:kern w:val="2"/>
      <w:sz w:val="32"/>
      <w:szCs w:val="32"/>
    </w:rPr>
  </w:style>
  <w:style w:type="paragraph" w:customStyle="1" w:styleId="30">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Char"/>
    <w:basedOn w:val="16"/>
    <w:link w:val="9"/>
    <w:semiHidden/>
    <w:qFormat/>
    <w:uiPriority w:val="99"/>
    <w:rPr>
      <w:rFonts w:ascii="Times New Roman" w:hAnsi="Times New Roman"/>
      <w:kern w:val="2"/>
      <w:sz w:val="18"/>
      <w:szCs w:val="18"/>
    </w:rPr>
  </w:style>
  <w:style w:type="character" w:customStyle="1" w:styleId="32">
    <w:name w:val="标题 3 Char"/>
    <w:basedOn w:val="16"/>
    <w:link w:val="5"/>
    <w:qFormat/>
    <w:uiPriority w:val="9"/>
    <w:rPr>
      <w:rFonts w:ascii="Times New Roman" w:hAnsi="Times New Roman"/>
      <w:b/>
      <w:bCs/>
      <w:kern w:val="2"/>
      <w:sz w:val="32"/>
      <w:szCs w:val="32"/>
    </w:rPr>
  </w:style>
  <w:style w:type="paragraph" w:customStyle="1" w:styleId="33">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4.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5.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6.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收入支出决算变动情况图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Sheet1!$B$2:$B$3</c:f>
              <c:numCache>
                <c:formatCode>#,##0.00</c:formatCode>
                <c:ptCount val="2"/>
                <c:pt idx="0">
                  <c:v>69.85</c:v>
                </c:pt>
                <c:pt idx="1">
                  <c:v>69.85</c:v>
                </c:pt>
              </c:numCache>
            </c:numRef>
          </c:val>
        </c:ser>
        <c:ser>
          <c:idx val="1"/>
          <c:order val="1"/>
          <c:tx>
            <c:strRef>
              <c:f>Sheet1!$C$1</c:f>
              <c:strCache>
                <c:ptCount val="1"/>
                <c:pt idx="0">
                  <c:v>2024年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Sheet1!$C$2:$C$3</c:f>
              <c:numCache>
                <c:formatCode>#,##0.00</c:formatCode>
                <c:ptCount val="2"/>
                <c:pt idx="0">
                  <c:v>91.51</c:v>
                </c:pt>
                <c:pt idx="1">
                  <c:v>91.51</c:v>
                </c:pt>
              </c:numCache>
            </c:numRef>
          </c:val>
        </c:ser>
        <c:dLbls>
          <c:showLegendKey val="0"/>
          <c:showVal val="1"/>
          <c:showCatName val="0"/>
          <c:showSerName val="0"/>
          <c:showPercent val="0"/>
          <c:showBubbleSize val="0"/>
        </c:dLbls>
        <c:gapWidth val="246"/>
        <c:overlap val="-28"/>
        <c:axId val="305209670"/>
        <c:axId val="696657818"/>
        <c:extLst>
          <c:ext xmlns:c15="http://schemas.microsoft.com/office/drawing/2012/chart" uri="{02D57815-91ED-43cb-92C2-25804820EDAC}">
            <c15:filteredBarSeries>
              <c15:ser>
                <c:idx val="2"/>
                <c:order val="2"/>
                <c:tx>
                  <c:strRef>
                    <c:extLst>
                      <c:ext uri="{02D57815-91ED-43cb-92C2-25804820EDAC}">
                        <c15:formulaRef>
                          <c15:sqref>Sheet1!#REF!</c15:sqref>
                        </c15:formulaRef>
                      </c:ext>
                    </c:extLst>
                    <c:strCache>
                      <c:ptCount val="1"/>
                      <c:pt idx="0">
                        <c:v/>
                      </c:pt>
                    </c:strCache>
                  </c:strRef>
                </c:tx>
                <c:spPr>
                  <a:solidFill>
                    <a:schemeClr val="accent3"/>
                  </a:solidFill>
                  <a:ln>
                    <a:noFill/>
                  </a:ln>
                  <a:effectLst/>
                </c:spPr>
                <c:invertIfNegative val="0"/>
                <c:dLbls>
                  <c:delete val="1"/>
                </c:dLbls>
                <c:cat>
                  <c:strRef>
                    <c:extLst>
                      <c:ext uri="{02D57815-91ED-43cb-92C2-25804820EDAC}">
                        <c15:fullRef>
                          <c15:sqref/>
                        </c15:fullRef>
                        <c15:formulaRef>
                          <c15:sqref>Sheet1!$A$2:$A$3</c15:sqref>
                        </c15:formulaRef>
                      </c:ext>
                    </c:extLst>
                    <c:strCache>
                      <c:ptCount val="2"/>
                      <c:pt idx="0">
                        <c:v>收入</c:v>
                      </c:pt>
                      <c:pt idx="1">
                        <c:v>支出</c:v>
                      </c:pt>
                    </c:strCache>
                  </c:strRef>
                </c:cat>
                <c:val>
                  <c:numRef>
                    <c:extLst>
                      <c:ext uri="{02D57815-91ED-43cb-92C2-25804820EDAC}">
                        <c15:formulaRef>
                          <c15:sqref>Sheet1!#REF!</c15:sqref>
                        </c15:formulaRef>
                      </c:ext>
                    </c:extLst>
                    <c:numCache>
                      <c:formatCode>General</c:formatCode>
                      <c:ptCount val="1"/>
                      <c:pt idx="0">
                        <c:v>1</c:v>
                      </c:pt>
                    </c:numCache>
                  </c:numRef>
                </c:val>
              </c15:ser>
            </c15:filteredBarSeries>
          </c:ext>
        </c:extLst>
      </c:barChart>
      <c:catAx>
        <c:axId val="30520967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96657818"/>
        <c:crosses val="autoZero"/>
        <c:auto val="1"/>
        <c:lblAlgn val="ctr"/>
        <c:lblOffset val="100"/>
        <c:noMultiLvlLbl val="0"/>
      </c:catAx>
      <c:valAx>
        <c:axId val="696657818"/>
        <c:scaling>
          <c:orientation val="minMax"/>
        </c:scaling>
        <c:delete val="0"/>
        <c:axPos val="l"/>
        <c:majorGridlines>
          <c:spPr>
            <a:ln w="9525" cap="flat" cmpd="sng" algn="ctr">
              <a:solidFill>
                <a:schemeClr val="lt1">
                  <a:lumMod val="902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05209670"/>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69f7dd60-e922-4e78-9e8e-d751d651ac99}"/>
      </c:ext>
    </c:extLst>
  </c:chart>
  <c:spPr>
    <a:solidFill>
      <a:schemeClr val="bg1"/>
    </a:solidFill>
    <a:ln w="9525" cap="flat" cmpd="sng" algn="ctr">
      <a:no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收入情况分布图</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Pt>
            <c:idx val="5"/>
            <c:bubble3D val="0"/>
            <c:spPr>
              <a:solidFill>
                <a:schemeClr val="accent6"/>
              </a:solidFill>
              <a:ln>
                <a:solidFill>
                  <a:schemeClr val="bg1"/>
                </a:solidFill>
              </a:ln>
              <a:effectLst/>
            </c:spPr>
          </c:dPt>
          <c:dPt>
            <c:idx val="6"/>
            <c:bubble3D val="0"/>
            <c:spPr>
              <a:solidFill>
                <a:schemeClr val="accent1">
                  <a:lumMod val="60000"/>
                </a:schemeClr>
              </a:solidFill>
              <a:ln>
                <a:solidFill>
                  <a:schemeClr val="bg1"/>
                </a:solidFill>
              </a:ln>
              <a:effectLst/>
            </c:spPr>
          </c:dPt>
          <c:dPt>
            <c:idx val="7"/>
            <c:bubble3D val="0"/>
            <c:spPr>
              <a:solidFill>
                <a:schemeClr val="accent2">
                  <a:lumMod val="60000"/>
                </a:schemeClr>
              </a:solidFill>
              <a:ln>
                <a:solidFill>
                  <a:schemeClr val="bg1"/>
                </a:solidFill>
              </a:ln>
              <a:effectLst/>
            </c:spPr>
          </c:dPt>
          <c:dLbls>
            <c:dLbl>
              <c:idx val="0"/>
              <c:layout/>
              <c:dLblPos val="bestFit"/>
              <c:showLegendKey val="0"/>
              <c:showVal val="1"/>
              <c:showCatName val="0"/>
              <c:showSerName val="0"/>
              <c:showPercent val="0"/>
              <c:showBubbleSize val="0"/>
              <c:extLst>
                <c:ext xmlns:c15="http://schemas.microsoft.com/office/drawing/2012/chart" uri="{CE6537A1-D6FC-4f65-9D91-7224C49458BB}"/>
              </c:extLst>
            </c:dLbl>
            <c:dLbl>
              <c:idx val="1"/>
              <c:delete val="1"/>
            </c:dLbl>
            <c:dLbl>
              <c:idx val="2"/>
              <c:delete val="1"/>
            </c:dLbl>
            <c:dLbl>
              <c:idx val="3"/>
              <c:delete val="1"/>
            </c:dLbl>
            <c:dLbl>
              <c:idx val="4"/>
              <c:delete val="1"/>
            </c:dLbl>
            <c:dLbl>
              <c:idx val="5"/>
              <c:delete val="1"/>
            </c:dLbl>
            <c:dLbl>
              <c:idx val="6"/>
              <c:delete val="1"/>
            </c:dLbl>
            <c:dLbl>
              <c:idx val="7"/>
              <c:delete val="1"/>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Sheet1!$A$2:$A$9</c:f>
              <c:strCache>
                <c:ptCount val="8"/>
                <c:pt idx="0">
                  <c:v>一般公共预算财政拨款收入</c:v>
                </c:pt>
                <c:pt idx="1">
                  <c:v>政府性基金预算财政拨款收入</c:v>
                </c:pt>
                <c:pt idx="2">
                  <c:v>国有资本经营预算财政拨款收入</c:v>
                </c:pt>
                <c:pt idx="3">
                  <c:v>上级补助收入</c:v>
                </c:pt>
                <c:pt idx="4">
                  <c:v>事业收入</c:v>
                </c:pt>
                <c:pt idx="5">
                  <c:v>经营收入</c:v>
                </c:pt>
                <c:pt idx="6">
                  <c:v>附属单位上缴收入</c:v>
                </c:pt>
                <c:pt idx="7">
                  <c:v>其他收入</c:v>
                </c:pt>
              </c:strCache>
            </c:strRef>
          </c:cat>
          <c:val>
            <c:numRef>
              <c:f>Sheet1!$B$2:$B$9</c:f>
              <c:numCache>
                <c:formatCode>0%</c:formatCode>
                <c:ptCount val="8"/>
                <c:pt idx="0">
                  <c:v>1</c:v>
                </c:pt>
                <c:pt idx="1" c:formatCode="General">
                  <c:v>0</c:v>
                </c:pt>
                <c:pt idx="2" c:formatCode="General">
                  <c:v>0</c:v>
                </c:pt>
                <c:pt idx="3" c:formatCode="General">
                  <c:v>0</c:v>
                </c:pt>
                <c:pt idx="4" c:formatCode="General">
                  <c:v>0</c:v>
                </c:pt>
                <c:pt idx="5" c:formatCode="General">
                  <c:v>0</c:v>
                </c:pt>
                <c:pt idx="6" c:formatCode="General">
                  <c:v>0</c:v>
                </c:pt>
                <c:pt idx="7" c:formatCode="General">
                  <c:v>0</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85e688be-41cc-44ae-9522-a108029bd408}"/>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支出情况分布图</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Lbls>
            <c:dLbl>
              <c:idx val="1"/>
              <c:delete val="1"/>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基本支出</c:v>
                </c:pt>
                <c:pt idx="1">
                  <c:v>项目支出</c:v>
                </c:pt>
                <c:pt idx="2">
                  <c:v>上缴上级支出</c:v>
                </c:pt>
                <c:pt idx="3">
                  <c:v>经营支出</c:v>
                </c:pt>
                <c:pt idx="4">
                  <c:v>对附属单位补助支出</c:v>
                </c:pt>
              </c:strCache>
            </c:strRef>
          </c:cat>
          <c:val>
            <c:numRef>
              <c:f>Sheet1!$B$2:$B$6</c:f>
              <c:numCache>
                <c:formatCode>0.00%</c:formatCode>
                <c:ptCount val="5"/>
                <c:pt idx="0">
                  <c:v>1</c:v>
                </c:pt>
                <c:pt idx="1">
                  <c:v>0</c:v>
                </c:pt>
                <c:pt idx="2" c:formatCode="General">
                  <c:v>0</c:v>
                </c:pt>
                <c:pt idx="3" c:formatCode="General">
                  <c:v>0</c:v>
                </c:pt>
                <c:pt idx="4" c:formatCode="General">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dc299f00-9f19-4574-a2c0-660b646c1486}"/>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财政拨款收入支出决算变动情况图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Sheet1!$B$2:$B$3</c:f>
              <c:numCache>
                <c:formatCode>#,##0.00</c:formatCode>
                <c:ptCount val="2"/>
                <c:pt idx="0">
                  <c:v>69.85</c:v>
                </c:pt>
                <c:pt idx="1">
                  <c:v>69.85</c:v>
                </c:pt>
              </c:numCache>
            </c:numRef>
          </c:val>
        </c:ser>
        <c:ser>
          <c:idx val="1"/>
          <c:order val="1"/>
          <c:tx>
            <c:strRef>
              <c:f>Sheet1!$C$1</c:f>
              <c:strCache>
                <c:ptCount val="1"/>
                <c:pt idx="0">
                  <c:v>2024年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Sheet1!$C$2:$C$3</c:f>
              <c:numCache>
                <c:formatCode>#,##0.00</c:formatCode>
                <c:ptCount val="2"/>
                <c:pt idx="0">
                  <c:v>91.51</c:v>
                </c:pt>
                <c:pt idx="1">
                  <c:v>91.51</c:v>
                </c:pt>
              </c:numCache>
            </c:numRef>
          </c:val>
        </c:ser>
        <c:dLbls>
          <c:showLegendKey val="0"/>
          <c:showVal val="1"/>
          <c:showCatName val="0"/>
          <c:showSerName val="0"/>
          <c:showPercent val="0"/>
          <c:showBubbleSize val="0"/>
        </c:dLbls>
        <c:gapWidth val="246"/>
        <c:overlap val="-28"/>
        <c:axId val="717049106"/>
        <c:axId val="626744960"/>
        <c:extLst>
          <c:ext xmlns:c15="http://schemas.microsoft.com/office/drawing/2012/chart" uri="{02D57815-91ED-43cb-92C2-25804820EDAC}">
            <c15:filteredBarSeries>
              <c15:ser>
                <c:idx val="2"/>
                <c:order val="2"/>
                <c:tx>
                  <c:strRef>
                    <c:extLst>
                      <c:ext uri="{02D57815-91ED-43cb-92C2-25804820EDAC}">
                        <c15:formulaRef>
                          <c15:sqref>Sheet1!#REF!</c15:sqref>
                        </c15:formulaRef>
                      </c:ext>
                    </c:extLst>
                    <c:strCache>
                      <c:ptCount val="1"/>
                      <c:pt idx="0">
                        <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ullRef>
                          <c15:sqref/>
                        </c15:fullRef>
                        <c15:formulaRef>
                          <c15:sqref>Sheet1!$A$2:$A$3</c15:sqref>
                        </c15:formulaRef>
                      </c:ext>
                    </c:extLst>
                    <c:strCache>
                      <c:ptCount val="2"/>
                      <c:pt idx="0">
                        <c:v>收入</c:v>
                      </c:pt>
                      <c:pt idx="1">
                        <c:v>支出</c:v>
                      </c:pt>
                    </c:strCache>
                  </c:strRef>
                </c:cat>
                <c:val>
                  <c:numRef>
                    <c:extLst>
                      <c:ext uri="{02D57815-91ED-43cb-92C2-25804820EDAC}">
                        <c15:formulaRef>
                          <c15:sqref>Sheet1!#REF!</c15:sqref>
                        </c15:formulaRef>
                      </c:ext>
                    </c:extLst>
                    <c:numCache>
                      <c:formatCode>General</c:formatCode>
                      <c:ptCount val="1"/>
                      <c:pt idx="0">
                        <c:v>1</c:v>
                      </c:pt>
                    </c:numCache>
                  </c:numRef>
                </c:val>
              </c15:ser>
            </c15:filteredBarSeries>
          </c:ext>
        </c:extLst>
      </c:barChart>
      <c:catAx>
        <c:axId val="717049106"/>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26744960"/>
        <c:crosses val="autoZero"/>
        <c:auto val="1"/>
        <c:lblAlgn val="ctr"/>
        <c:lblOffset val="100"/>
        <c:noMultiLvlLbl val="0"/>
      </c:catAx>
      <c:valAx>
        <c:axId val="626744960"/>
        <c:scaling>
          <c:orientation val="minMax"/>
        </c:scaling>
        <c:delete val="0"/>
        <c:axPos val="l"/>
        <c:majorGridlines>
          <c:spPr>
            <a:ln w="9525" cap="flat" cmpd="sng" algn="ctr">
              <a:solidFill>
                <a:schemeClr val="lt1">
                  <a:lumMod val="902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17049106"/>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bde48916-b4b4-41df-9a4a-f46c2975fde6}"/>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Sheet1!$B$2</c:f>
              <c:numCache>
                <c:formatCode>#,##0.00</c:formatCode>
                <c:ptCount val="1"/>
                <c:pt idx="0">
                  <c:v>69.85</c:v>
                </c:pt>
              </c:numCache>
            </c:numRef>
          </c:val>
        </c:ser>
        <c:ser>
          <c:idx val="1"/>
          <c:order val="1"/>
          <c:tx>
            <c:strRef>
              <c:f>Sheet1!$C$1</c:f>
              <c:strCache>
                <c:ptCount val="1"/>
                <c:pt idx="0">
                  <c:v>2024年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Sheet1!$C$2</c:f>
              <c:numCache>
                <c:formatCode>#,##0.00</c:formatCode>
                <c:ptCount val="1"/>
                <c:pt idx="0">
                  <c:v>91.51</c:v>
                </c:pt>
              </c:numCache>
            </c:numRef>
          </c:val>
        </c:ser>
        <c:dLbls>
          <c:showLegendKey val="0"/>
          <c:showVal val="1"/>
          <c:showCatName val="0"/>
          <c:showSerName val="0"/>
          <c:showPercent val="0"/>
          <c:showBubbleSize val="0"/>
        </c:dLbls>
        <c:gapWidth val="246"/>
        <c:overlap val="-28"/>
        <c:axId val="60042973"/>
        <c:axId val="770823047"/>
        <c:extLst>
          <c:ext xmlns:c15="http://schemas.microsoft.com/office/drawing/2012/chart" uri="{02D57815-91ED-43cb-92C2-25804820EDAC}">
            <c15:filteredBarSeries>
              <c15:ser>
                <c:idx val="2"/>
                <c:order val="2"/>
                <c:tx>
                  <c:strRef>
                    <c:extLst>
                      <c:ext uri="{02D57815-91ED-43cb-92C2-25804820EDAC}">
                        <c15:formulaRef>
                          <c15:sqref>Sheet1!#REF!</c15:sqref>
                        </c15:formulaRef>
                      </c:ext>
                    </c:extLst>
                    <c:strCache>
                      <c:ptCount val="1"/>
                      <c:pt idx="0">
                        <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ullRef>
                          <c15:sqref/>
                        </c15:fullRef>
                        <c15:formulaRef>
                          <c15:sqref>Sheet1!$A$2</c15:sqref>
                        </c15:formulaRef>
                      </c:ext>
                    </c:extLst>
                    <c:strCache>
                      <c:ptCount val="1"/>
                      <c:pt idx="0">
                        <c:v>一般公共预算财政拨款支出</c:v>
                      </c:pt>
                    </c:strCache>
                  </c:strRef>
                </c:cat>
                <c:val>
                  <c:numRef>
                    <c:extLst>
                      <c:ext uri="{02D57815-91ED-43cb-92C2-25804820EDAC}">
                        <c15:formulaRef>
                          <c15:sqref>Sheet1!#REF!</c15:sqref>
                        </c15:formulaRef>
                      </c:ext>
                    </c:extLst>
                    <c:numCache>
                      <c:formatCode>General</c:formatCode>
                      <c:ptCount val="1"/>
                      <c:pt idx="0">
                        <c:v>1</c:v>
                      </c:pt>
                    </c:numCache>
                  </c:numRef>
                </c:val>
              </c15:ser>
            </c15:filteredBarSeries>
          </c:ext>
        </c:extLst>
      </c:barChart>
      <c:catAx>
        <c:axId val="60042973"/>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70823047"/>
        <c:crosses val="autoZero"/>
        <c:auto val="1"/>
        <c:lblAlgn val="ctr"/>
        <c:lblOffset val="100"/>
        <c:noMultiLvlLbl val="0"/>
      </c:catAx>
      <c:valAx>
        <c:axId val="770823047"/>
        <c:scaling>
          <c:orientation val="minMax"/>
        </c:scaling>
        <c:delete val="0"/>
        <c:axPos val="l"/>
        <c:majorGridlines>
          <c:spPr>
            <a:ln w="9525" cap="flat" cmpd="sng" algn="ctr">
              <a:solidFill>
                <a:schemeClr val="lt1">
                  <a:lumMod val="902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0042973"/>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aee69a6d-2108-425f-a5f9-4ea0f1d11ec7}"/>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一般公共预算财政拨款支出分布图</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一般公共服务支出</c:v>
                </c:pt>
                <c:pt idx="1">
                  <c:v>社会保障和就业支出</c:v>
                </c:pt>
                <c:pt idx="2">
                  <c:v>卫生健康支出</c:v>
                </c:pt>
                <c:pt idx="3">
                  <c:v>住房保障支出</c:v>
                </c:pt>
              </c:strCache>
            </c:strRef>
          </c:cat>
          <c:val>
            <c:numRef>
              <c:f>Sheet1!$B$2:$B$5</c:f>
              <c:numCache>
                <c:formatCode>0.00%</c:formatCode>
                <c:ptCount val="4"/>
                <c:pt idx="0">
                  <c:v>0.7946</c:v>
                </c:pt>
                <c:pt idx="1">
                  <c:v>0.0871</c:v>
                </c:pt>
                <c:pt idx="2">
                  <c:v>0.0432</c:v>
                </c:pt>
                <c:pt idx="3">
                  <c:v>0.0751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e40788c4-11f2-4ea6-b93e-eb3e5c6b101e}"/>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13</Pages>
  <Words>4009</Words>
  <Characters>4261</Characters>
  <Lines>61</Lines>
  <Paragraphs>17</Paragraphs>
  <TotalTime>3</TotalTime>
  <ScaleCrop>false</ScaleCrop>
  <LinksUpToDate>false</LinksUpToDate>
  <CharactersWithSpaces>4361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2020-08-09T09:49:00Z</dcterms:created>
  <dc:creator>曹颖</dc:creator>
  <cp:lastModifiedBy>壁花</cp:lastModifiedBy>
  <cp:lastPrinted>2025-08-06T17:34:00Z</cp:lastPrinted>
  <dcterms:modified xsi:type="dcterms:W3CDTF">2025-10-24T01:20:15Z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04787F2533EB45DC91BCDE4AB213247F</vt:lpwstr>
  </property>
  <property fmtid="{D5CDD505-2E9C-101B-9397-08002B2CF9AE}" pid="4" name="KSOTemplateDocerSaveRecord">
    <vt:lpwstr>eyJoZGlkIjoiOWRhMTZjMWZmNWJhYmRlZmZhOWYzOGZhZjAwYjAzMjgiLCJ1c2VySWQiOiIyMzQwOTg4MjAifQ==</vt:lpwstr>
  </property>
</Properties>
</file>