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28D1F">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7193"/>
      <w:bookmarkStart w:id="1" w:name="_Toc15396597"/>
      <w:bookmarkStart w:id="2" w:name="_Toc15396475"/>
      <w:bookmarkStart w:id="3" w:name="_Toc15377425"/>
      <w:bookmarkStart w:id="4" w:name="_Toc15306267"/>
      <w:bookmarkStart w:id="5" w:name="_Toc15378441"/>
    </w:p>
    <w:p w14:paraId="7CE6BB0B">
      <w:pPr>
        <w:pStyle w:val="2"/>
        <w:rPr>
          <w:rFonts w:hint="eastAsia" w:ascii="Times New Roman" w:hAnsi="Times New Roman" w:eastAsia="方正小标宋简体" w:cs="Times New Roman"/>
          <w:color w:val="auto"/>
          <w:kern w:val="2"/>
          <w:sz w:val="72"/>
          <w:szCs w:val="72"/>
          <w:highlight w:val="none"/>
          <w:lang w:val="en-US" w:eastAsia="zh-CN" w:bidi="ar-SA"/>
        </w:rPr>
      </w:pPr>
    </w:p>
    <w:p w14:paraId="61E18350">
      <w:pPr>
        <w:pStyle w:val="2"/>
        <w:rPr>
          <w:rFonts w:hint="eastAsia" w:ascii="Times New Roman" w:hAnsi="Times New Roman" w:eastAsia="方正小标宋简体" w:cs="Times New Roman"/>
          <w:color w:val="auto"/>
          <w:kern w:val="2"/>
          <w:sz w:val="52"/>
          <w:szCs w:val="52"/>
          <w:highlight w:val="none"/>
          <w:lang w:val="en-US" w:eastAsia="zh-CN" w:bidi="ar-SA"/>
        </w:rPr>
      </w:pPr>
    </w:p>
    <w:p w14:paraId="5D3AB6B4">
      <w:pPr>
        <w:pStyle w:val="2"/>
        <w:jc w:val="center"/>
        <w:rPr>
          <w:rFonts w:hint="eastAsia" w:ascii="Times New Roman" w:hAnsi="Times New Roman" w:eastAsia="方正小标宋简体" w:cs="Times New Roman"/>
          <w:color w:val="auto"/>
          <w:kern w:val="2"/>
          <w:sz w:val="66"/>
          <w:szCs w:val="66"/>
          <w:highlight w:val="none"/>
          <w:lang w:val="en-US" w:eastAsia="zh-CN" w:bidi="ar-SA"/>
        </w:rPr>
      </w:pPr>
      <w:r>
        <w:rPr>
          <w:rFonts w:hint="eastAsia" w:ascii="Times New Roman" w:hAnsi="Times New Roman" w:eastAsia="方正小标宋简体" w:cs="Times New Roman"/>
          <w:color w:val="auto"/>
          <w:kern w:val="2"/>
          <w:sz w:val="66"/>
          <w:szCs w:val="66"/>
          <w:highlight w:val="none"/>
          <w:lang w:val="en-US" w:eastAsia="zh-CN" w:bidi="ar-SA"/>
        </w:rPr>
        <w:t>2024年度</w:t>
      </w:r>
    </w:p>
    <w:p w14:paraId="2CAE7AB7">
      <w:pPr>
        <w:pStyle w:val="2"/>
        <w:jc w:val="center"/>
        <w:rPr>
          <w:rFonts w:hint="eastAsia" w:ascii="Times New Roman" w:eastAsia="方正小标宋简体" w:cs="Times New Roman"/>
          <w:color w:val="auto"/>
          <w:kern w:val="2"/>
          <w:sz w:val="66"/>
          <w:szCs w:val="66"/>
          <w:highlight w:val="none"/>
          <w:lang w:val="en-US" w:eastAsia="zh-CN" w:bidi="ar-SA"/>
        </w:rPr>
      </w:pPr>
      <w:r>
        <w:rPr>
          <w:rFonts w:hint="eastAsia" w:ascii="Times New Roman" w:eastAsia="方正小标宋简体" w:cs="Times New Roman"/>
          <w:color w:val="auto"/>
          <w:kern w:val="2"/>
          <w:sz w:val="66"/>
          <w:szCs w:val="66"/>
          <w:highlight w:val="none"/>
          <w:lang w:val="en-US" w:eastAsia="zh-CN" w:bidi="ar-SA"/>
        </w:rPr>
        <w:t>乐山市五通桥区人民政府办公室</w:t>
      </w:r>
    </w:p>
    <w:p w14:paraId="4DDED4F7">
      <w:pPr>
        <w:pStyle w:val="2"/>
        <w:jc w:val="center"/>
        <w:rPr>
          <w:rFonts w:hint="eastAsia" w:ascii="Times New Roman" w:hAnsi="Times New Roman" w:eastAsia="方正小标宋简体" w:cs="Times New Roman"/>
          <w:color w:val="auto"/>
          <w:kern w:val="2"/>
          <w:sz w:val="66"/>
          <w:szCs w:val="66"/>
          <w:highlight w:val="none"/>
          <w:lang w:val="en-US" w:eastAsia="zh-CN" w:bidi="ar-SA"/>
        </w:rPr>
      </w:pPr>
      <w:r>
        <w:rPr>
          <w:rFonts w:hint="eastAsia" w:ascii="Times New Roman" w:hAnsi="Times New Roman" w:eastAsia="方正小标宋简体" w:cs="Times New Roman"/>
          <w:color w:val="auto"/>
          <w:kern w:val="2"/>
          <w:sz w:val="66"/>
          <w:szCs w:val="66"/>
          <w:highlight w:val="none"/>
          <w:lang w:val="en-US" w:eastAsia="zh-CN" w:bidi="ar-SA"/>
        </w:rPr>
        <w:t>部门决算</w:t>
      </w:r>
    </w:p>
    <w:bookmarkEnd w:id="0"/>
    <w:bookmarkEnd w:id="1"/>
    <w:bookmarkEnd w:id="2"/>
    <w:bookmarkEnd w:id="3"/>
    <w:bookmarkEnd w:id="4"/>
    <w:bookmarkEnd w:id="5"/>
    <w:p w14:paraId="415C8D7D">
      <w:pPr>
        <w:widowControl/>
        <w:jc w:val="center"/>
        <w:rPr>
          <w:rFonts w:hint="eastAsia" w:ascii="Times New Roman" w:hAnsi="Times New Roman" w:eastAsia="黑体"/>
          <w:color w:val="auto"/>
          <w:sz w:val="66"/>
          <w:szCs w:val="66"/>
          <w:highlight w:val="none"/>
        </w:rPr>
        <w:sectPr>
          <w:footerReference r:id="rId4" w:type="first"/>
          <w:footerReference r:id="rId3" w:type="default"/>
          <w:pgSz w:w="11906" w:h="16838"/>
          <w:pgMar w:top="1327" w:right="1179" w:bottom="1270" w:left="1179" w:header="851" w:footer="992" w:gutter="0"/>
          <w:pgNumType w:fmt="numberInDash" w:start="1"/>
          <w:cols w:space="0" w:num="1"/>
          <w:titlePg/>
          <w:rtlGutter w:val="0"/>
          <w:docGrid w:type="lines" w:linePitch="312" w:charSpace="0"/>
        </w:sectPr>
      </w:pPr>
    </w:p>
    <w:p w14:paraId="74D4F78B">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14:paraId="011A1B3E">
      <w:pPr>
        <w:widowControl/>
        <w:jc w:val="center"/>
        <w:rPr>
          <w:rFonts w:ascii="Times New Roman" w:hAnsi="Times New Roman" w:eastAsia="黑体" w:cstheme="minorBidi"/>
          <w:color w:val="auto"/>
          <w:sz w:val="28"/>
          <w:szCs w:val="28"/>
          <w:highlight w:val="none"/>
        </w:rPr>
      </w:pPr>
    </w:p>
    <w:p w14:paraId="34603777">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28</w:t>
      </w:r>
      <w:r>
        <w:rPr>
          <w:rFonts w:hint="eastAsia" w:ascii="Times New Roman" w:hAnsi="Times New Roman" w:eastAsia="仿宋_GB2312" w:cs="仿宋_GB2312"/>
          <w:color w:val="auto"/>
          <w:sz w:val="32"/>
          <w:szCs w:val="32"/>
          <w:highlight w:val="none"/>
        </w:rPr>
        <w:t>日</w:t>
      </w:r>
    </w:p>
    <w:p w14:paraId="058F1562">
      <w:pPr>
        <w:rPr>
          <w:rFonts w:ascii="Times New Roman" w:hAnsi="Times New Roman"/>
          <w:color w:val="auto"/>
          <w:highlight w:val="none"/>
        </w:rPr>
      </w:pPr>
    </w:p>
    <w:p w14:paraId="2036FB05">
      <w:pPr>
        <w:pStyle w:val="13"/>
        <w:keepNext w:val="0"/>
        <w:keepLines w:val="0"/>
        <w:pageBreakBefore w:val="0"/>
        <w:widowControl w:val="0"/>
        <w:kinsoku/>
        <w:wordWrap/>
        <w:overflowPunct/>
        <w:topLinePunct w:val="0"/>
        <w:autoSpaceDE/>
        <w:autoSpaceDN/>
        <w:bidi w:val="0"/>
        <w:adjustRightInd w:val="0"/>
        <w:snapToGrid w:val="0"/>
        <w:spacing w:before="0" w:line="400" w:lineRule="exact"/>
        <w:jc w:val="left"/>
        <w:textAlignment w:val="auto"/>
        <w:rPr>
          <w:rFonts w:hint="eastAsia" w:asciiTheme="minorEastAsia" w:hAnsiTheme="minorEastAsia" w:eastAsiaTheme="minorEastAsia" w:cstheme="minorEastAsia"/>
          <w:kern w:val="2"/>
          <w:sz w:val="28"/>
          <w:szCs w:val="28"/>
          <w:lang w:val="en-US" w:eastAsia="zh-CN" w:bidi="ar-SA"/>
        </w:rPr>
      </w:pPr>
      <w:bookmarkStart w:id="6" w:name="_Toc15396599"/>
      <w:bookmarkStart w:id="7" w:name="_Toc15377196"/>
      <w:r>
        <w:rPr>
          <w:rFonts w:hint="eastAsia" w:ascii="黑体" w:hAnsi="黑体" w:eastAsia="黑体" w:cs="黑体"/>
          <w:b w:val="0"/>
          <w:bCs w:val="0"/>
          <w:kern w:val="2"/>
          <w:sz w:val="28"/>
          <w:szCs w:val="28"/>
          <w:lang w:val="en-US" w:eastAsia="zh-CN" w:bidi="ar-SA"/>
        </w:rPr>
        <w:t>第一部分 部门概况</w:t>
      </w:r>
      <w:r>
        <w:rPr>
          <w:rFonts w:hint="eastAsia" w:asciiTheme="minorEastAsia" w:hAnsiTheme="minorEastAsia" w:eastAsiaTheme="minorEastAsia" w:cstheme="minorEastAsia"/>
          <w:kern w:val="2"/>
          <w:sz w:val="28"/>
          <w:szCs w:val="28"/>
          <w:lang w:val="en-US" w:eastAsia="zh-CN" w:bidi="ar-SA"/>
        </w:rPr>
        <w:tab/>
      </w:r>
      <w:r>
        <w:rPr>
          <w:rFonts w:hint="eastAsia" w:asciiTheme="minorEastAsia" w:hAnsiTheme="minorEastAsia" w:eastAsiaTheme="minorEastAsia" w:cstheme="minorEastAsia"/>
          <w:kern w:val="2"/>
          <w:sz w:val="28"/>
          <w:szCs w:val="28"/>
          <w:lang w:val="en-US" w:eastAsia="zh-CN" w:bidi="ar-SA"/>
        </w:rPr>
        <w:t>1</w:t>
      </w:r>
    </w:p>
    <w:p w14:paraId="0F88C917">
      <w:pPr>
        <w:pStyle w:val="13"/>
        <w:keepNext w:val="0"/>
        <w:keepLines w:val="0"/>
        <w:pageBreakBefore w:val="0"/>
        <w:widowControl w:val="0"/>
        <w:kinsoku/>
        <w:wordWrap/>
        <w:overflowPunct/>
        <w:topLinePunct w:val="0"/>
        <w:autoSpaceDE/>
        <w:autoSpaceDN/>
        <w:bidi w:val="0"/>
        <w:adjustRightInd w:val="0"/>
        <w:snapToGrid w:val="0"/>
        <w:spacing w:before="0" w:line="400" w:lineRule="exact"/>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kern w:val="2"/>
          <w:sz w:val="28"/>
          <w:szCs w:val="28"/>
          <w:lang w:val="en-US" w:eastAsia="zh-CN" w:bidi="ar-SA"/>
        </w:rPr>
        <w:t xml:space="preserve">一、主要职责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 xml:space="preserve">1                                                                                                </w:t>
      </w:r>
    </w:p>
    <w:p w14:paraId="2FA13029">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二、机构设置</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 xml:space="preserve">2                                                       </w:t>
      </w:r>
    </w:p>
    <w:p w14:paraId="57BE2BFD">
      <w:pPr>
        <w:pStyle w:val="13"/>
        <w:keepNext w:val="0"/>
        <w:keepLines w:val="0"/>
        <w:pageBreakBefore w:val="0"/>
        <w:widowControl w:val="0"/>
        <w:kinsoku/>
        <w:wordWrap/>
        <w:overflowPunct/>
        <w:topLinePunct w:val="0"/>
        <w:autoSpaceDE/>
        <w:autoSpaceDN/>
        <w:bidi w:val="0"/>
        <w:adjustRightInd w:val="0"/>
        <w:snapToGrid w:val="0"/>
        <w:spacing w:before="0" w:line="400" w:lineRule="exact"/>
        <w:jc w:val="left"/>
        <w:textAlignment w:val="auto"/>
        <w:rPr>
          <w:rFonts w:hint="eastAsia" w:asciiTheme="minorEastAsia" w:hAnsiTheme="minorEastAsia" w:eastAsiaTheme="minorEastAsia" w:cstheme="minorEastAsia"/>
          <w:sz w:val="28"/>
          <w:szCs w:val="28"/>
        </w:rPr>
      </w:pPr>
      <w:r>
        <w:rPr>
          <w:rFonts w:hint="eastAsia" w:ascii="黑体" w:hAnsi="黑体" w:eastAsia="黑体" w:cs="黑体"/>
          <w:b w:val="0"/>
          <w:bCs w:val="0"/>
          <w:kern w:val="2"/>
          <w:sz w:val="28"/>
          <w:szCs w:val="28"/>
          <w:lang w:val="en-US" w:eastAsia="zh-CN" w:bidi="ar-SA"/>
        </w:rPr>
        <w:t>第二部分 2024年度部门决算情况说明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w:t>
      </w:r>
    </w:p>
    <w:p w14:paraId="6D9DD99B">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一、收入支出决算总体情况说明</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 xml:space="preserve">3                                          </w:t>
      </w:r>
    </w:p>
    <w:p w14:paraId="2846C661">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二、收入决算情况说明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 xml:space="preserve">3 </w:t>
      </w:r>
    </w:p>
    <w:p w14:paraId="41C7197D">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三、支出决算情况说明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4</w:t>
      </w:r>
    </w:p>
    <w:p w14:paraId="387DC4A5">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四、财政拨款收入支出决算总体情况说明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 xml:space="preserve">4  </w:t>
      </w:r>
    </w:p>
    <w:p w14:paraId="37337F73">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五、一般公共预算财政拨款支出决算情况说明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5</w:t>
      </w:r>
    </w:p>
    <w:p w14:paraId="4A7DB97A">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六、一般公共预算财政拨款基本支出决算情况说明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8</w:t>
      </w:r>
    </w:p>
    <w:p w14:paraId="5AD8CA06">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七、财政拨款“三公”经费支出决算情况说明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8</w:t>
      </w:r>
    </w:p>
    <w:p w14:paraId="3EAF99E2">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八、政府性基金预算支出决算情况说明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10</w:t>
      </w:r>
    </w:p>
    <w:p w14:paraId="06057404">
      <w:pPr>
        <w:pStyle w:val="15"/>
        <w:keepNext w:val="0"/>
        <w:keepLines w:val="0"/>
        <w:pageBreakBefore w:val="0"/>
        <w:widowControl w:val="0"/>
        <w:kinsoku/>
        <w:wordWrap/>
        <w:overflowPunct/>
        <w:topLinePunct w:val="0"/>
        <w:autoSpaceDE/>
        <w:autoSpaceDN/>
        <w:bidi w:val="0"/>
        <w:adjustRightInd w:val="0"/>
        <w:snapToGrid w:val="0"/>
        <w:spacing w:line="400" w:lineRule="exact"/>
        <w:ind w:leftChars="0"/>
        <w:jc w:val="left"/>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九、国有资本经营预算支出决算情况说明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10</w:t>
      </w:r>
    </w:p>
    <w:p w14:paraId="71082DC6">
      <w:pPr>
        <w:pStyle w:val="15"/>
        <w:keepNext w:val="0"/>
        <w:keepLines w:val="0"/>
        <w:pageBreakBefore w:val="0"/>
        <w:widowControl w:val="0"/>
        <w:kinsoku/>
        <w:wordWrap/>
        <w:overflowPunct/>
        <w:topLinePunct w:val="0"/>
        <w:autoSpaceDE/>
        <w:autoSpaceDN/>
        <w:bidi w:val="0"/>
        <w:adjustRightInd w:val="0"/>
        <w:snapToGrid w:val="0"/>
        <w:spacing w:line="400" w:lineRule="exact"/>
        <w:ind w:leftChars="0"/>
        <w:jc w:val="left"/>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十、其他重要事项的情况说明</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10</w:t>
      </w:r>
    </w:p>
    <w:p w14:paraId="118FCC0A">
      <w:pPr>
        <w:pStyle w:val="15"/>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8"/>
          <w:szCs w:val="28"/>
          <w:lang w:val="en-US"/>
        </w:rPr>
      </w:pPr>
      <w:r>
        <w:rPr>
          <w:rFonts w:hint="eastAsia" w:ascii="黑体" w:hAnsi="黑体" w:eastAsia="黑体" w:cs="黑体"/>
          <w:sz w:val="28"/>
          <w:szCs w:val="28"/>
        </w:rPr>
        <w:t>第三部分 名词解释</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13</w:t>
      </w:r>
    </w:p>
    <w:p w14:paraId="17C030E9">
      <w:pPr>
        <w:pStyle w:val="15"/>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8"/>
          <w:szCs w:val="28"/>
          <w:lang w:val="en-US"/>
        </w:rPr>
      </w:pPr>
      <w:r>
        <w:rPr>
          <w:rFonts w:hint="eastAsia" w:ascii="黑体" w:hAnsi="黑体" w:eastAsia="黑体" w:cs="黑体"/>
          <w:sz w:val="28"/>
          <w:szCs w:val="28"/>
        </w:rPr>
        <w:t>第四部分 附件</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16</w:t>
      </w:r>
    </w:p>
    <w:p w14:paraId="518DEA7C">
      <w:pPr>
        <w:pStyle w:val="15"/>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8"/>
          <w:szCs w:val="28"/>
          <w:lang w:val="en-US"/>
        </w:rPr>
      </w:pPr>
      <w:r>
        <w:rPr>
          <w:rFonts w:hint="eastAsia" w:ascii="黑体" w:hAnsi="黑体" w:eastAsia="黑体" w:cs="黑体"/>
          <w:sz w:val="28"/>
          <w:szCs w:val="28"/>
        </w:rPr>
        <w:t>第五部分 附表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1E833C8D">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一、收入支出决算总表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3060C1DE">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二、收入决算表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0F697E8A">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三、支出决算表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407A68E5">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四、财政拨款收入支出决算总表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1D829C33">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五、财政拨款支出决算明细表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605BD63D">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六、一般公共预算财政拨款支出决算表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79D8E223">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七、一般公共预算财政拨款支出决算明细表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641E4430">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八、一般公共预算财政拨款基本支出决算明细表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31B56EA3">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九、一般公共预算财政拨款项目支出决算表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3E162A7B">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十、政府性基金预算财政拨款收入支出决算表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36CF9787">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十一、国有资本经营预算财政拨款收入支出决算表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787524B8">
      <w:pPr>
        <w:pStyle w:val="15"/>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十二、国有资本经营预算财政拨款支出决算表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val="en-US" w:eastAsia="zh-CN"/>
        </w:rPr>
        <w:t>36</w:t>
      </w:r>
    </w:p>
    <w:p w14:paraId="790D13AC">
      <w:pPr>
        <w:pStyle w:val="3"/>
        <w:jc w:val="center"/>
        <w:rPr>
          <w:rFonts w:hint="eastAsia" w:ascii="Times New Roman" w:hAnsi="Times New Roman" w:eastAsia="方正小标宋简体" w:cs="方正小标宋简体"/>
          <w:b w:val="0"/>
          <w:color w:val="auto"/>
          <w:sz w:val="28"/>
          <w:szCs w:val="28"/>
          <w:highlight w:val="none"/>
        </w:rPr>
        <w:sectPr>
          <w:footerReference r:id="rId6" w:type="first"/>
          <w:footerReference r:id="rId5" w:type="default"/>
          <w:pgSz w:w="11906" w:h="16838"/>
          <w:pgMar w:top="1327" w:right="1179" w:bottom="1270" w:left="1179" w:header="851" w:footer="992" w:gutter="0"/>
          <w:pgNumType w:fmt="numberInDash" w:start="1"/>
          <w:cols w:space="0" w:num="1"/>
          <w:titlePg/>
          <w:rtlGutter w:val="0"/>
          <w:docGrid w:type="lines" w:linePitch="312" w:charSpace="0"/>
        </w:sectPr>
      </w:pPr>
    </w:p>
    <w:p w14:paraId="5F752529">
      <w:pPr>
        <w:pStyle w:val="3"/>
        <w:jc w:val="center"/>
        <w:rPr>
          <w:rFonts w:ascii="Times New Roman" w:hAnsi="Times New Roman" w:eastAsia="黑体"/>
          <w:color w:val="auto"/>
          <w:sz w:val="32"/>
          <w:szCs w:val="32"/>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9"/>
          <w:rFonts w:hint="eastAsia" w:ascii="Times New Roman" w:hAnsi="Times New Roman" w:eastAsia="方正小标宋简体" w:cs="方正小标宋简体"/>
          <w:b w:val="0"/>
          <w:bCs w:val="0"/>
          <w:color w:val="auto"/>
          <w:highlight w:val="none"/>
        </w:rPr>
        <w:t>部门概况</w:t>
      </w:r>
      <w:bookmarkEnd w:id="6"/>
      <w:bookmarkEnd w:id="7"/>
    </w:p>
    <w:p w14:paraId="58FB8FAA">
      <w:pPr>
        <w:pStyle w:val="37"/>
        <w:keepNext w:val="0"/>
        <w:keepLines w:val="0"/>
        <w:pageBreakBefore w:val="0"/>
        <w:widowControl w:val="0"/>
        <w:numPr>
          <w:ilvl w:val="0"/>
          <w:numId w:val="3"/>
        </w:numPr>
        <w:kinsoku/>
        <w:wordWrap/>
        <w:overflowPunct/>
        <w:autoSpaceDE/>
        <w:autoSpaceDN/>
        <w:bidi w:val="0"/>
        <w:adjustRightInd/>
        <w:snapToGrid/>
        <w:spacing w:line="560" w:lineRule="exact"/>
        <w:ind w:left="0" w:leftChars="0" w:firstLine="640" w:firstLineChars="200"/>
        <w:textAlignment w:val="auto"/>
        <w:rPr>
          <w:rFonts w:hint="eastAsia"/>
        </w:rPr>
      </w:pPr>
      <w:r>
        <w:rPr>
          <w:rFonts w:hint="eastAsia" w:ascii="黑体" w:hAnsi="黑体" w:eastAsia="黑体"/>
          <w:b w:val="0"/>
        </w:rPr>
        <w:t>部门职责</w:t>
      </w:r>
    </w:p>
    <w:p w14:paraId="11BD2E6B">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乐山市五通桥区人民政府办公室（简称区政府办公室）是乐山市五通桥区人民政府工作部门。</w:t>
      </w:r>
    </w:p>
    <w:p w14:paraId="30B0A306">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区政府办公室是协助区政府领导同志处理区政府日常工作的机构。主要职责是：</w:t>
      </w:r>
    </w:p>
    <w:p w14:paraId="0B53646C">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（一）协助区政府领导组织起草或审核以区政府、区政府办公室名义发布的公文。办理市政府、市政府办公室及市政府各部门发送区政府的文电。指导全区行政机关公文处理工作。</w:t>
      </w:r>
    </w:p>
    <w:p w14:paraId="27F704BE">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（二）协助区政府领导研究区政府部门和镇人民政府请示、报告区政府的事项。</w:t>
      </w:r>
    </w:p>
    <w:p w14:paraId="5EE2BA24">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（三）组织和协助做好区政府有关会议的会务工作，协助区政府领导组织实施会议决定事项。</w:t>
      </w:r>
    </w:p>
    <w:p w14:paraId="17E0190A">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（四）督促区政府部门和镇人民政府正确履行工作职责，贯彻执行上级各项决定和部署，协调区政府部门和镇人民政府开展工作。</w:t>
      </w:r>
    </w:p>
    <w:p w14:paraId="5CD15D65">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（五）组织开展调查研究，负责起草区政府重要综合文稿、会议讲话和汇报材料，为区政府决策提供服务。</w:t>
      </w:r>
    </w:p>
    <w:p w14:paraId="4C585EC3">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（六）负责联系区人大常委会、区政协的有关日常工作和提案、议案、建议、意见的办理工作。</w:t>
      </w:r>
    </w:p>
    <w:p w14:paraId="21401642">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（七）负责区政府值班工作，做好心连心服务热线工作。</w:t>
      </w:r>
    </w:p>
    <w:p w14:paraId="3FDFBCD4">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（八）负责统筹协调全区机关事务管理工作。</w:t>
      </w:r>
    </w:p>
    <w:p w14:paraId="07DD964F">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（九）指导、监督全区政府信息公开工作。</w:t>
      </w:r>
    </w:p>
    <w:p w14:paraId="027F188B">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（十）负责职责范围内的安全生产和职业健康、生态环境保护等工作。</w:t>
      </w:r>
    </w:p>
    <w:p w14:paraId="1419458D">
      <w:pPr>
        <w:keepNext w:val="0"/>
        <w:keepLines w:val="0"/>
        <w:pageBreakBefore w:val="0"/>
        <w:widowControl/>
        <w:kinsoku/>
        <w:wordWrap/>
        <w:overflowPunct/>
        <w:autoSpaceDE/>
        <w:autoSpaceDN/>
        <w:bidi w:val="0"/>
        <w:snapToGrid w:val="0"/>
        <w:spacing w:line="560" w:lineRule="exact"/>
        <w:ind w:firstLine="640"/>
        <w:jc w:val="left"/>
        <w:textAlignment w:val="auto"/>
        <w:rPr>
          <w:rFonts w:hint="eastAsia" w:ascii="仿宋_GB2312" w:hAnsi="仿宋_GB2312" w:eastAsia="仿宋_GB2312"/>
          <w:sz w:val="32"/>
        </w:rPr>
      </w:pPr>
      <w:r>
        <w:rPr>
          <w:rFonts w:hint="eastAsia" w:ascii="仿宋_GB2312" w:hAnsi="仿宋_GB2312" w:eastAsia="仿宋_GB2312"/>
          <w:sz w:val="32"/>
        </w:rPr>
        <w:t>（十一）完成区委、区政府交办的其他工作。</w:t>
      </w:r>
      <w:bookmarkStart w:id="8" w:name="_Toc15377200"/>
      <w:bookmarkStart w:id="9" w:name="_Toc15396601"/>
    </w:p>
    <w:p w14:paraId="20CB0B48">
      <w:pPr>
        <w:keepNext w:val="0"/>
        <w:keepLines w:val="0"/>
        <w:pageBreakBefore w:val="0"/>
        <w:widowControl/>
        <w:kinsoku/>
        <w:wordWrap/>
        <w:overflowPunct/>
        <w:autoSpaceDE/>
        <w:autoSpaceDN/>
        <w:bidi w:val="0"/>
        <w:snapToGrid w:val="0"/>
        <w:spacing w:line="560" w:lineRule="exact"/>
        <w:ind w:firstLine="640"/>
        <w:jc w:val="left"/>
        <w:textAlignment w:val="auto"/>
        <w:rPr>
          <w:rStyle w:val="36"/>
          <w:b w:val="0"/>
          <w:bCs w:val="0"/>
          <w:sz w:val="32"/>
          <w:szCs w:val="32"/>
        </w:rPr>
      </w:pPr>
      <w:r>
        <w:rPr>
          <w:rFonts w:hint="eastAsia" w:ascii="黑体" w:eastAsia="黑体"/>
          <w:b w:val="0"/>
          <w:sz w:val="32"/>
          <w:szCs w:val="32"/>
        </w:rPr>
        <w:t>二、</w:t>
      </w:r>
      <w:r>
        <w:rPr>
          <w:rFonts w:hint="eastAsia" w:ascii="黑体" w:hAnsi="黑体" w:eastAsia="黑体"/>
          <w:b w:val="0"/>
          <w:sz w:val="32"/>
          <w:szCs w:val="32"/>
        </w:rPr>
        <w:t>机</w:t>
      </w:r>
      <w:r>
        <w:rPr>
          <w:rStyle w:val="36"/>
          <w:rFonts w:hint="eastAsia" w:ascii="黑体" w:hAnsi="黑体" w:eastAsia="黑体"/>
          <w:b w:val="0"/>
          <w:bCs w:val="0"/>
          <w:sz w:val="32"/>
          <w:szCs w:val="32"/>
        </w:rPr>
        <w:t>构设置</w:t>
      </w:r>
      <w:bookmarkEnd w:id="8"/>
      <w:bookmarkEnd w:id="9"/>
    </w:p>
    <w:p w14:paraId="0CE03A96">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乐山市五通桥区人民政府办公室下属二级预算单位3个，其中行政单位</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个，参照公务员法管理的事业单位</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个，其他事业单位</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个。</w:t>
      </w:r>
    </w:p>
    <w:p w14:paraId="6740FFE0">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纳入乐山市五通桥区人民政府办公室202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年度部门决算编制范围的二级预算单位包括：</w:t>
      </w:r>
    </w:p>
    <w:p w14:paraId="3A85F975">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乐山市五通桥区人民政府办公</w:t>
      </w:r>
      <w:r>
        <w:rPr>
          <w:rFonts w:hint="eastAsia" w:ascii="Times New Roman" w:hAnsi="Times New Roman" w:eastAsia="仿宋_GB2312" w:cs="Times New Roman"/>
          <w:sz w:val="32"/>
          <w:szCs w:val="32"/>
          <w:lang w:eastAsia="zh-CN"/>
        </w:rPr>
        <w:t>室（本级）</w:t>
      </w:r>
    </w:p>
    <w:p w14:paraId="33EF3D64">
      <w:pPr>
        <w:spacing w:line="600" w:lineRule="exact"/>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五通桥区信息中心</w:t>
      </w:r>
    </w:p>
    <w:p w14:paraId="558F16A5">
      <w:pPr>
        <w:spacing w:line="600" w:lineRule="exact"/>
        <w:ind w:firstLine="640" w:firstLineChars="200"/>
        <w:outlineLvl w:val="1"/>
        <w:rPr>
          <w:rFonts w:ascii="Times New Roman" w:hAnsi="Times New Roman" w:eastAsia="仿宋"/>
          <w:color w:val="auto"/>
          <w:kern w:val="0"/>
          <w:sz w:val="32"/>
          <w:szCs w:val="32"/>
          <w:highlight w:val="none"/>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五通桥区机关事务服务中心</w:t>
      </w:r>
      <w:r>
        <w:rPr>
          <w:rFonts w:hint="eastAsia" w:ascii="Times New Roman" w:hAnsi="Times New Roman" w:eastAsia="仿宋_GB2312" w:cs="Times New Roman"/>
          <w:sz w:val="32"/>
          <w:szCs w:val="32"/>
        </w:rPr>
        <w:br w:type="page"/>
      </w:r>
    </w:p>
    <w:p w14:paraId="0B356C12">
      <w:pPr>
        <w:pStyle w:val="3"/>
        <w:jc w:val="center"/>
        <w:rPr>
          <w:rFonts w:hint="eastAsia" w:ascii="Times New Roman" w:hAnsi="Times New Roman" w:eastAsia="方正小标宋简体" w:cs="方正小标宋简体"/>
          <w:b w:val="0"/>
          <w:color w:val="auto"/>
          <w:highlight w:val="none"/>
        </w:rPr>
      </w:pPr>
      <w:bookmarkStart w:id="10" w:name="_Toc15377204"/>
      <w:bookmarkStart w:id="11"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0"/>
      <w:bookmarkEnd w:id="11"/>
    </w:p>
    <w:p w14:paraId="3CA5F48E">
      <w:pPr>
        <w:rPr>
          <w:rFonts w:ascii="Times New Roman" w:hAnsi="Times New Roman"/>
          <w:color w:val="auto"/>
          <w:highlight w:val="none"/>
        </w:rPr>
      </w:pPr>
    </w:p>
    <w:p w14:paraId="794E5078">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2" w:name="_Toc15396603"/>
      <w:bookmarkStart w:id="13"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12"/>
      <w:bookmarkEnd w:id="13"/>
    </w:p>
    <w:p w14:paraId="66F6E7D7">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2024年度收入、支出总计均为1661.04万元。与202</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年度相比，收入、支出总计各减少</w:t>
      </w:r>
      <w:r>
        <w:rPr>
          <w:rFonts w:hint="eastAsia" w:ascii="Times New Roman" w:hAnsi="Times New Roman" w:eastAsia="仿宋_GB2312" w:cs="Times New Roman"/>
          <w:sz w:val="32"/>
          <w:szCs w:val="32"/>
          <w:lang w:val="en-US" w:eastAsia="zh-CN"/>
        </w:rPr>
        <w:t>240.6</w:t>
      </w:r>
      <w:r>
        <w:rPr>
          <w:rFonts w:hint="eastAsia" w:ascii="Times New Roman" w:hAnsi="Times New Roman" w:eastAsia="仿宋_GB2312" w:cs="Times New Roman"/>
          <w:sz w:val="32"/>
          <w:szCs w:val="32"/>
          <w:lang w:eastAsia="zh-CN"/>
        </w:rPr>
        <w:t>万元，下降</w:t>
      </w:r>
      <w:r>
        <w:rPr>
          <w:rFonts w:hint="eastAsia" w:ascii="Times New Roman" w:hAnsi="Times New Roman" w:eastAsia="仿宋_GB2312" w:cs="Times New Roman"/>
          <w:sz w:val="32"/>
          <w:szCs w:val="32"/>
          <w:lang w:val="en-US" w:eastAsia="zh-CN"/>
        </w:rPr>
        <w:t>14.48</w:t>
      </w:r>
      <w:r>
        <w:rPr>
          <w:rFonts w:hint="eastAsia" w:ascii="Times New Roman" w:hAnsi="Times New Roman" w:eastAsia="仿宋_GB2312" w:cs="Times New Roman"/>
          <w:sz w:val="32"/>
          <w:szCs w:val="32"/>
          <w:lang w:eastAsia="zh-CN"/>
        </w:rPr>
        <w:t>%。主要原因是阶段性项目较上年减少6个，未新购置公务用车。</w:t>
      </w:r>
    </w:p>
    <w:p w14:paraId="1A9463B1">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Times New Roman"/>
          <w:sz w:val="32"/>
          <w:szCs w:val="32"/>
        </w:rPr>
        <w:t>（图1：</w:t>
      </w:r>
      <w:r>
        <w:rPr>
          <w:rFonts w:hint="eastAsia" w:ascii="Times New Roman" w:hAnsi="Times New Roman" w:eastAsia="仿宋_GB2312" w:cs="Times New Roman"/>
          <w:sz w:val="32"/>
          <w:szCs w:val="32"/>
          <w:lang w:eastAsia="zh-CN"/>
        </w:rPr>
        <w:t>收入</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支出</w:t>
      </w:r>
      <w:r>
        <w:rPr>
          <w:rFonts w:hint="eastAsia" w:ascii="Times New Roman" w:hAnsi="Times New Roman" w:eastAsia="仿宋_GB2312" w:cs="Times New Roman"/>
          <w:sz w:val="32"/>
          <w:szCs w:val="32"/>
        </w:rPr>
        <w:t>决算总计变动情况图）（柱状</w:t>
      </w:r>
      <w:r>
        <w:rPr>
          <w:rFonts w:hint="eastAsia" w:ascii="Times New Roman" w:hAnsi="Times New Roman" w:eastAsia="仿宋_GB2312" w:cs="仿宋_GB2312"/>
          <w:color w:val="auto"/>
          <w:sz w:val="32"/>
          <w:szCs w:val="32"/>
          <w:highlight w:val="none"/>
        </w:rPr>
        <w:t>图）</w:t>
      </w:r>
    </w:p>
    <w:p w14:paraId="0C1EC1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14:paraId="62BD8852">
      <w:pPr>
        <w:pStyle w:val="2"/>
        <w:jc w:val="center"/>
        <w:rPr>
          <w:rFonts w:hint="eastAsia"/>
        </w:rPr>
      </w:pPr>
      <w:r>
        <w:rPr>
          <w:rFonts w:hint="eastAsia"/>
          <w:sz w:val="32"/>
          <w:szCs w:val="32"/>
        </w:rPr>
        <w:drawing>
          <wp:inline distT="0" distB="0" distL="0" distR="0">
            <wp:extent cx="4378325" cy="2628900"/>
            <wp:effectExtent l="4445" t="4445" r="17780"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A1AF7EC">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14" w:name="_Toc15396604"/>
      <w:bookmarkStart w:id="15" w:name="_Toc15377206"/>
      <w:r>
        <w:rPr>
          <w:rFonts w:hint="eastAsia" w:ascii="Times New Roman" w:hAnsi="Times New Roman" w:eastAsia="黑体"/>
          <w:color w:val="auto"/>
          <w:sz w:val="32"/>
          <w:szCs w:val="32"/>
          <w:highlight w:val="none"/>
          <w:lang w:eastAsia="zh-CN"/>
        </w:rPr>
        <w:t>二、收入决算情况说明</w:t>
      </w:r>
      <w:bookmarkEnd w:id="14"/>
      <w:bookmarkEnd w:id="15"/>
    </w:p>
    <w:p w14:paraId="430FDE3B">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Times New Roman"/>
          <w:sz w:val="32"/>
          <w:szCs w:val="32"/>
          <w:lang w:eastAsia="zh-CN"/>
        </w:rPr>
        <w:t>2024年度本年收入合计1661.04万元，其中：一般公共预算财政拨款收入1661.04万元，占100%；政府性基金预算财政拨款收入0万元，占0%；国有资本经营预算财政拨款收入0万元，占0%；上级补助收入0万元，占0%；事业收入0万元，占0%；经营收入0万元，占0%；附属单位上缴收入0万元，占0%；其他收入0万元，占0%。</w:t>
      </w:r>
    </w:p>
    <w:p w14:paraId="591C1BA8">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14:paraId="189067D2">
      <w:pPr>
        <w:jc w:val="center"/>
        <w:rPr>
          <w:rFonts w:hint="eastAsia"/>
          <w:lang w:eastAsia="zh-CN"/>
        </w:rPr>
      </w:pPr>
      <w:r>
        <w:rPr>
          <w:rFonts w:hint="eastAsia"/>
          <w:sz w:val="32"/>
          <w:szCs w:val="32"/>
        </w:rPr>
        <w:drawing>
          <wp:inline distT="0" distB="0" distL="0" distR="0">
            <wp:extent cx="3711575" cy="2250440"/>
            <wp:effectExtent l="5080" t="4445" r="17145" b="1206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81F49B3">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16" w:name="_Toc15377207"/>
      <w:bookmarkStart w:id="17"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16"/>
      <w:bookmarkEnd w:id="17"/>
    </w:p>
    <w:p w14:paraId="69CEF058">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2024年度本年支出合计1661.04万元，其中：基本支出1255.4</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lang w:eastAsia="zh-CN"/>
        </w:rPr>
        <w:t>万元，占75.58%；项目支出405.56万元，占24.4</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%；上缴上级支出0万元，占0%；经营支出0万元，占0%；对附属单位补助支出0万元，占0%。</w:t>
      </w:r>
    </w:p>
    <w:p w14:paraId="689CF028">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1F6972EE">
      <w:pPr>
        <w:pStyle w:val="2"/>
        <w:rPr>
          <w:rFonts w:hint="eastAsia" w:ascii="Times New Roman" w:hAnsi="Times New Roman" w:eastAsia="仿宋_GB2312" w:cs="仿宋_GB2312"/>
          <w:color w:val="auto"/>
          <w:sz w:val="32"/>
          <w:szCs w:val="32"/>
          <w:highlight w:val="none"/>
          <w:lang w:eastAsia="zh-CN"/>
        </w:rPr>
      </w:pPr>
      <w:r>
        <w:rPr>
          <w:rFonts w:hint="eastAsia"/>
          <w:sz w:val="32"/>
          <w:szCs w:val="32"/>
        </w:rPr>
        <w:drawing>
          <wp:inline distT="0" distB="0" distL="0" distR="0">
            <wp:extent cx="4620260" cy="2508885"/>
            <wp:effectExtent l="4445" t="4445" r="23495"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8697809">
      <w:pPr>
        <w:spacing w:line="600" w:lineRule="exact"/>
        <w:ind w:firstLine="640" w:firstLineChars="200"/>
        <w:outlineLvl w:val="1"/>
        <w:rPr>
          <w:rStyle w:val="30"/>
          <w:rFonts w:ascii="Times New Roman" w:hAnsi="Times New Roman" w:eastAsia="黑体"/>
          <w:b w:val="0"/>
          <w:color w:val="auto"/>
          <w:highlight w:val="none"/>
        </w:rPr>
      </w:pPr>
      <w:bookmarkStart w:id="18" w:name="_Toc15377208"/>
      <w:bookmarkStart w:id="19" w:name="_Toc15396606"/>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18"/>
      <w:bookmarkEnd w:id="19"/>
    </w:p>
    <w:p w14:paraId="2A3FC736">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2024年度财政拨款收入、支出总计均为</w:t>
      </w:r>
      <w:r>
        <w:rPr>
          <w:rFonts w:hint="eastAsia" w:ascii="Times New Roman" w:hAnsi="Times New Roman" w:eastAsia="仿宋_GB2312" w:cs="Times New Roman"/>
          <w:sz w:val="32"/>
          <w:szCs w:val="32"/>
          <w:lang w:eastAsia="zh-CN"/>
        </w:rPr>
        <w:t>1661.04</w:t>
      </w:r>
      <w:r>
        <w:rPr>
          <w:rFonts w:hint="eastAsia" w:ascii="Times New Roman" w:hAnsi="Times New Roman" w:eastAsia="仿宋_GB2312" w:cs="Times New Roman"/>
          <w:sz w:val="32"/>
          <w:szCs w:val="32"/>
          <w:lang w:val="en-US" w:eastAsia="zh-CN"/>
        </w:rPr>
        <w:t>万元。与2023年度相比，财政拨款收入总计、支出总计各减少240.6</w:t>
      </w:r>
      <w:r>
        <w:rPr>
          <w:rFonts w:hint="eastAsia" w:ascii="Times New Roman" w:hAnsi="Times New Roman" w:eastAsia="仿宋_GB2312" w:cs="Times New Roman"/>
          <w:sz w:val="32"/>
          <w:szCs w:val="32"/>
          <w:lang w:eastAsia="zh-CN"/>
        </w:rPr>
        <w:t>万元，下降</w:t>
      </w:r>
      <w:r>
        <w:rPr>
          <w:rFonts w:hint="eastAsia" w:ascii="Times New Roman" w:hAnsi="Times New Roman" w:eastAsia="仿宋_GB2312" w:cs="Times New Roman"/>
          <w:sz w:val="32"/>
          <w:szCs w:val="32"/>
          <w:lang w:val="en-US" w:eastAsia="zh-CN"/>
        </w:rPr>
        <w:t>14.48</w:t>
      </w:r>
      <w:r>
        <w:rPr>
          <w:rFonts w:hint="eastAsia" w:ascii="Times New Roman" w:hAnsi="Times New Roman" w:eastAsia="仿宋_GB2312" w:cs="Times New Roman"/>
          <w:sz w:val="32"/>
          <w:szCs w:val="32"/>
          <w:lang w:eastAsia="zh-CN"/>
        </w:rPr>
        <w:t>%。主要原因是阶段性项目较上年减少6个，未新购置公务用车。</w:t>
      </w:r>
    </w:p>
    <w:p w14:paraId="2195A702">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（图4：财政拨款收、支决算总计变动情况）（柱状图）</w:t>
      </w:r>
    </w:p>
    <w:p w14:paraId="5E5001C3">
      <w:pPr>
        <w:rPr>
          <w:rFonts w:hint="eastAsia" w:ascii="Times New Roman" w:hAnsi="Times New Roman" w:eastAsia="仿宋_GB2312" w:cs="仿宋_GB2312"/>
          <w:color w:val="auto"/>
          <w:kern w:val="2"/>
          <w:sz w:val="32"/>
          <w:szCs w:val="32"/>
          <w:highlight w:val="none"/>
          <w:lang w:val="en-US" w:eastAsia="zh-CN" w:bidi="ar-SA"/>
        </w:rPr>
      </w:pPr>
    </w:p>
    <w:p w14:paraId="3A7F25D4">
      <w:pPr>
        <w:pStyle w:val="2"/>
        <w:jc w:val="center"/>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3686810" cy="2443480"/>
            <wp:effectExtent l="4445" t="4445" r="23495"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15978E3">
      <w:pPr>
        <w:rPr>
          <w:rFonts w:hint="eastAsia"/>
          <w:lang w:val="en-US" w:eastAsia="zh-CN"/>
        </w:rPr>
      </w:pPr>
    </w:p>
    <w:p w14:paraId="4215101D">
      <w:pPr>
        <w:spacing w:line="600" w:lineRule="exact"/>
        <w:ind w:firstLine="640" w:firstLineChars="200"/>
        <w:outlineLvl w:val="1"/>
        <w:rPr>
          <w:rStyle w:val="30"/>
          <w:rFonts w:ascii="Times New Roman" w:hAnsi="Times New Roman" w:eastAsia="黑体"/>
          <w:b w:val="0"/>
          <w:color w:val="auto"/>
          <w:highlight w:val="none"/>
        </w:rPr>
      </w:pPr>
      <w:bookmarkStart w:id="20" w:name="_Toc15377209"/>
      <w:bookmarkStart w:id="21"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20"/>
      <w:bookmarkEnd w:id="21"/>
    </w:p>
    <w:p w14:paraId="7C7F459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2"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2"/>
    </w:p>
    <w:p w14:paraId="6DB54B3A">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2024年度一般公共预算财政拨款支出1661.04万元，占本年支出合计的100%。与2023年度相比，一般公共预算财政拨款支出减少240.6万元，下降14.48%。主要原因是阶段性项目较上年减少6个，未新购置公务用车。</w:t>
      </w:r>
    </w:p>
    <w:p w14:paraId="31CB6D2B">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（图5：一般公共预算财政拨款支出决算变动情况）（柱状图）</w:t>
      </w:r>
    </w:p>
    <w:p w14:paraId="27B41C90">
      <w:pPr>
        <w:pStyle w:val="2"/>
        <w:rPr>
          <w:rFonts w:hint="eastAsia" w:ascii="Times New Roman" w:hAnsi="Times New Roman" w:eastAsia="仿宋_GB2312" w:cs="仿宋_GB2312"/>
          <w:color w:val="auto"/>
          <w:kern w:val="2"/>
          <w:sz w:val="32"/>
          <w:szCs w:val="32"/>
          <w:highlight w:val="none"/>
          <w:lang w:val="en-US" w:eastAsia="zh-CN" w:bidi="ar-SA"/>
        </w:rPr>
      </w:pPr>
    </w:p>
    <w:p w14:paraId="5258BDB8">
      <w:pPr>
        <w:rPr>
          <w:rFonts w:hint="eastAsia" w:ascii="Times New Roman" w:hAnsi="Times New Roman" w:eastAsia="仿宋_GB2312" w:cs="仿宋_GB2312"/>
          <w:color w:val="auto"/>
          <w:kern w:val="2"/>
          <w:sz w:val="32"/>
          <w:szCs w:val="32"/>
          <w:highlight w:val="none"/>
          <w:lang w:val="en-US" w:eastAsia="zh-CN" w:bidi="ar-SA"/>
        </w:rPr>
      </w:pPr>
    </w:p>
    <w:p w14:paraId="29214EEF">
      <w:pPr>
        <w:pStyle w:val="2"/>
        <w:rPr>
          <w:rFonts w:hint="eastAsia" w:ascii="Times New Roman" w:hAnsi="Times New Roman" w:eastAsia="仿宋_GB2312" w:cs="仿宋_GB2312"/>
          <w:color w:val="auto"/>
          <w:kern w:val="2"/>
          <w:sz w:val="32"/>
          <w:szCs w:val="32"/>
          <w:highlight w:val="none"/>
          <w:lang w:val="en-US" w:eastAsia="zh-CN" w:bidi="ar-SA"/>
        </w:rPr>
      </w:pPr>
    </w:p>
    <w:p w14:paraId="1DA8E506">
      <w:pPr>
        <w:rPr>
          <w:rFonts w:hint="eastAsia" w:ascii="Times New Roman" w:hAnsi="Times New Roman" w:eastAsia="仿宋_GB2312" w:cs="仿宋_GB2312"/>
          <w:color w:val="auto"/>
          <w:kern w:val="2"/>
          <w:sz w:val="32"/>
          <w:szCs w:val="32"/>
          <w:highlight w:val="none"/>
          <w:lang w:val="en-US" w:eastAsia="zh-CN" w:bidi="ar-SA"/>
        </w:rPr>
      </w:pPr>
    </w:p>
    <w:p w14:paraId="4C20642B">
      <w:pPr>
        <w:pStyle w:val="2"/>
        <w:jc w:val="center"/>
        <w:rPr>
          <w:rFonts w:hint="eastAsia"/>
          <w:lang w:val="en-US" w:eastAsia="zh-CN"/>
        </w:rPr>
      </w:pPr>
      <w:r>
        <w:rPr>
          <w:rFonts w:hint="eastAsia"/>
          <w:sz w:val="32"/>
          <w:szCs w:val="32"/>
        </w:rPr>
        <w:drawing>
          <wp:inline distT="0" distB="0" distL="0" distR="0">
            <wp:extent cx="3907790" cy="2338070"/>
            <wp:effectExtent l="4445" t="4445" r="12065" b="19685"/>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384574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0326AA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3"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3"/>
    </w:p>
    <w:p w14:paraId="7E2C9973">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2024年度一般公共预算财政拨款支出1661.04万元，主要用于以下方面</w:t>
      </w:r>
      <w:r>
        <w:rPr>
          <w:rFonts w:hint="default" w:ascii="Times New Roman" w:hAnsi="Times New Roman" w:eastAsia="仿宋_GB2312" w:cs="Times New Roman"/>
          <w:sz w:val="32"/>
          <w:szCs w:val="32"/>
          <w:lang w:val="en-US" w:eastAsia="zh-CN"/>
        </w:rPr>
        <w:t>:一般公共服务支出</w:t>
      </w:r>
      <w:r>
        <w:rPr>
          <w:rFonts w:hint="eastAsia" w:ascii="Times New Roman" w:hAnsi="Times New Roman" w:eastAsia="仿宋_GB2312" w:cs="Times New Roman"/>
          <w:sz w:val="32"/>
          <w:szCs w:val="32"/>
          <w:lang w:val="en-US" w:eastAsia="zh-CN"/>
        </w:rPr>
        <w:t>1395.28</w:t>
      </w:r>
      <w:r>
        <w:rPr>
          <w:rFonts w:hint="default" w:ascii="Times New Roman" w:hAnsi="Times New Roman" w:eastAsia="仿宋_GB2312" w:cs="Times New Roman"/>
          <w:sz w:val="32"/>
          <w:szCs w:val="32"/>
          <w:lang w:val="en-US" w:eastAsia="zh-CN"/>
        </w:rPr>
        <w:t>万元，占</w:t>
      </w:r>
      <w:r>
        <w:rPr>
          <w:rFonts w:hint="eastAsia" w:ascii="Times New Roman" w:hAnsi="Times New Roman" w:eastAsia="仿宋_GB2312" w:cs="Times New Roman"/>
          <w:sz w:val="32"/>
          <w:szCs w:val="32"/>
          <w:lang w:val="en-US" w:eastAsia="zh-CN"/>
        </w:rPr>
        <w:t>84</w:t>
      </w:r>
      <w:r>
        <w:rPr>
          <w:rFonts w:hint="default" w:ascii="Times New Roman" w:hAnsi="Times New Roman" w:eastAsia="仿宋_GB2312" w:cs="Times New Roman"/>
          <w:sz w:val="32"/>
          <w:szCs w:val="32"/>
          <w:lang w:val="en-US" w:eastAsia="zh-CN"/>
        </w:rPr>
        <w:t xml:space="preserve"> %；社会保障和就业支出</w:t>
      </w:r>
      <w:r>
        <w:rPr>
          <w:rFonts w:hint="eastAsia" w:ascii="Times New Roman" w:hAnsi="Times New Roman" w:eastAsia="仿宋_GB2312" w:cs="Times New Roman"/>
          <w:sz w:val="32"/>
          <w:szCs w:val="32"/>
          <w:lang w:val="en-US" w:eastAsia="zh-CN"/>
        </w:rPr>
        <w:t>175.56</w:t>
      </w:r>
      <w:r>
        <w:rPr>
          <w:rFonts w:hint="default" w:ascii="Times New Roman" w:hAnsi="Times New Roman" w:eastAsia="仿宋_GB2312" w:cs="Times New Roman"/>
          <w:sz w:val="32"/>
          <w:szCs w:val="32"/>
          <w:lang w:val="en-US" w:eastAsia="zh-CN"/>
        </w:rPr>
        <w:t>万元，占</w:t>
      </w:r>
      <w:r>
        <w:rPr>
          <w:rFonts w:hint="eastAsia" w:ascii="Times New Roman" w:hAnsi="Times New Roman" w:eastAsia="仿宋_GB2312" w:cs="Times New Roman"/>
          <w:sz w:val="32"/>
          <w:szCs w:val="32"/>
          <w:lang w:val="en-US" w:eastAsia="zh-CN"/>
        </w:rPr>
        <w:t>10.57</w:t>
      </w:r>
      <w:r>
        <w:rPr>
          <w:rFonts w:hint="default" w:ascii="Times New Roman" w:hAnsi="Times New Roman" w:eastAsia="仿宋_GB2312" w:cs="Times New Roman"/>
          <w:sz w:val="32"/>
          <w:szCs w:val="32"/>
          <w:lang w:val="en-US" w:eastAsia="zh-CN"/>
        </w:rPr>
        <w:t>%；卫生健康支出</w:t>
      </w:r>
      <w:r>
        <w:rPr>
          <w:rFonts w:hint="eastAsia" w:ascii="Times New Roman" w:hAnsi="Times New Roman" w:eastAsia="仿宋_GB2312" w:cs="Times New Roman"/>
          <w:sz w:val="32"/>
          <w:szCs w:val="32"/>
          <w:lang w:val="en-US" w:eastAsia="zh-CN"/>
        </w:rPr>
        <w:t>26.71</w:t>
      </w:r>
      <w:r>
        <w:rPr>
          <w:rFonts w:hint="default" w:ascii="Times New Roman" w:hAnsi="Times New Roman" w:eastAsia="仿宋_GB2312" w:cs="Times New Roman"/>
          <w:sz w:val="32"/>
          <w:szCs w:val="32"/>
          <w:lang w:val="en-US" w:eastAsia="zh-CN"/>
        </w:rPr>
        <w:t>万元，占</w:t>
      </w:r>
      <w:r>
        <w:rPr>
          <w:rFonts w:hint="eastAsia" w:ascii="Times New Roman" w:hAnsi="Times New Roman" w:eastAsia="仿宋_GB2312" w:cs="Times New Roman"/>
          <w:sz w:val="32"/>
          <w:szCs w:val="32"/>
          <w:lang w:val="en-US" w:eastAsia="zh-CN"/>
        </w:rPr>
        <w:t>1.61</w:t>
      </w:r>
      <w:r>
        <w:rPr>
          <w:rFonts w:hint="default" w:ascii="Times New Roman" w:hAnsi="Times New Roman" w:eastAsia="仿宋_GB2312" w:cs="Times New Roman"/>
          <w:sz w:val="32"/>
          <w:szCs w:val="32"/>
          <w:lang w:val="en-US" w:eastAsia="zh-CN"/>
        </w:rPr>
        <w:t>%；住房保障支出</w:t>
      </w:r>
      <w:r>
        <w:rPr>
          <w:rFonts w:hint="eastAsia" w:ascii="Times New Roman" w:hAnsi="Times New Roman" w:eastAsia="仿宋_GB2312" w:cs="Times New Roman"/>
          <w:sz w:val="32"/>
          <w:szCs w:val="32"/>
          <w:lang w:val="en-US" w:eastAsia="zh-CN"/>
        </w:rPr>
        <w:t xml:space="preserve"> 63.49</w:t>
      </w:r>
      <w:r>
        <w:rPr>
          <w:rFonts w:hint="default" w:ascii="Times New Roman" w:hAnsi="Times New Roman" w:eastAsia="仿宋_GB2312" w:cs="Times New Roman"/>
          <w:sz w:val="32"/>
          <w:szCs w:val="32"/>
          <w:lang w:val="en-US" w:eastAsia="zh-CN"/>
        </w:rPr>
        <w:t>万元，占</w:t>
      </w:r>
      <w:r>
        <w:rPr>
          <w:rFonts w:hint="eastAsia" w:ascii="Times New Roman" w:hAnsi="Times New Roman" w:eastAsia="仿宋_GB2312" w:cs="Times New Roman"/>
          <w:sz w:val="32"/>
          <w:szCs w:val="32"/>
          <w:lang w:val="en-US" w:eastAsia="zh-CN"/>
        </w:rPr>
        <w:t>3.82</w:t>
      </w:r>
      <w:r>
        <w:rPr>
          <w:rFonts w:hint="default" w:ascii="Times New Roman" w:hAnsi="Times New Roman" w:eastAsia="仿宋_GB2312" w:cs="Times New Roman"/>
          <w:sz w:val="32"/>
          <w:szCs w:val="32"/>
          <w:lang w:val="en-US" w:eastAsia="zh-CN"/>
        </w:rPr>
        <w:t>%。</w:t>
      </w:r>
    </w:p>
    <w:p w14:paraId="76343BC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75F18AC4">
      <w:pPr>
        <w:jc w:val="center"/>
        <w:rPr>
          <w:rFonts w:hint="eastAsia"/>
          <w:lang w:val="en-US" w:eastAsia="zh-CN"/>
        </w:rPr>
      </w:pPr>
      <w:r>
        <w:rPr>
          <w:rFonts w:hint="eastAsia" w:ascii="仿宋" w:hAnsi="仿宋" w:eastAsia="仿宋"/>
          <w:sz w:val="32"/>
          <w:szCs w:val="32"/>
          <w:lang w:eastAsia="zh-CN"/>
        </w:rPr>
        <w:drawing>
          <wp:inline distT="0" distB="0" distL="114300" distR="114300">
            <wp:extent cx="4363085" cy="2936240"/>
            <wp:effectExtent l="4445" t="4445" r="13970" b="1206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EAB2308">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4"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24"/>
    </w:p>
    <w:p w14:paraId="59EA0A27">
      <w:pPr>
        <w:spacing w:line="600" w:lineRule="exact"/>
        <w:ind w:firstLine="640" w:firstLineChars="200"/>
        <w:rPr>
          <w:rFonts w:hint="eastAsia" w:eastAsia="仿宋_GB2312"/>
          <w:color w:val="000000"/>
          <w:sz w:val="32"/>
          <w:szCs w:val="32"/>
          <w:lang w:val="en-US" w:eastAsia="zh-CN"/>
        </w:rPr>
      </w:pPr>
      <w:bookmarkStart w:id="25" w:name="_Toc15377444"/>
      <w:bookmarkStart w:id="26" w:name="_Toc15377213"/>
      <w:bookmarkStart w:id="27" w:name="_Toc15378460"/>
      <w:r>
        <w:rPr>
          <w:rFonts w:hint="eastAsia" w:eastAsia="仿宋_GB2312"/>
          <w:color w:val="000000"/>
          <w:sz w:val="32"/>
          <w:szCs w:val="32"/>
          <w:lang w:val="en-US" w:eastAsia="zh-CN"/>
        </w:rPr>
        <w:t>2024年度一般公共预算财政拨款支出决算数为</w:t>
      </w:r>
      <w:r>
        <w:rPr>
          <w:rFonts w:hint="eastAsia" w:eastAsia="仿宋_GB2312"/>
          <w:color w:val="000000"/>
          <w:sz w:val="32"/>
          <w:szCs w:val="32"/>
        </w:rPr>
        <w:t>1661.04</w:t>
      </w:r>
      <w:r>
        <w:rPr>
          <w:rFonts w:hint="eastAsia" w:eastAsia="仿宋_GB2312"/>
          <w:color w:val="000000"/>
          <w:sz w:val="32"/>
          <w:szCs w:val="32"/>
          <w:lang w:eastAsia="zh-CN"/>
        </w:rPr>
        <w:t>万元</w:t>
      </w:r>
      <w:r>
        <w:rPr>
          <w:rFonts w:hint="eastAsia" w:eastAsia="仿宋_GB2312"/>
          <w:color w:val="000000"/>
          <w:sz w:val="32"/>
          <w:szCs w:val="32"/>
          <w:lang w:val="en-US" w:eastAsia="zh-CN"/>
        </w:rPr>
        <w:t>，完成预算100%。其中：</w:t>
      </w:r>
      <w:bookmarkEnd w:id="25"/>
      <w:bookmarkEnd w:id="26"/>
      <w:bookmarkEnd w:id="27"/>
    </w:p>
    <w:p w14:paraId="5169CEBC">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一般公共服务—政府办公厅（室）及相关机构事务—行政运行:支出决算</w:t>
      </w:r>
      <w:r>
        <w:rPr>
          <w:rFonts w:hint="eastAsia" w:eastAsia="仿宋_GB2312"/>
          <w:color w:val="000000"/>
          <w:sz w:val="32"/>
          <w:szCs w:val="32"/>
          <w:lang w:val="en-US" w:eastAsia="zh-CN"/>
        </w:rPr>
        <w:t>677.59</w:t>
      </w:r>
      <w:r>
        <w:rPr>
          <w:rFonts w:hint="eastAsia" w:eastAsia="仿宋_GB2312"/>
          <w:color w:val="000000"/>
          <w:sz w:val="32"/>
          <w:szCs w:val="32"/>
        </w:rPr>
        <w:t>万</w:t>
      </w:r>
      <w:r>
        <w:rPr>
          <w:rFonts w:eastAsia="仿宋_GB2312"/>
          <w:color w:val="000000"/>
          <w:sz w:val="32"/>
          <w:szCs w:val="32"/>
        </w:rPr>
        <w:t>元，完成预算100%。</w:t>
      </w:r>
    </w:p>
    <w:p w14:paraId="3C02BBDD">
      <w:pPr>
        <w:spacing w:line="600" w:lineRule="exact"/>
        <w:ind w:firstLine="640" w:firstLineChars="200"/>
        <w:rPr>
          <w:rFonts w:eastAsia="仿宋_GB2312"/>
          <w:color w:val="000000"/>
          <w:sz w:val="32"/>
          <w:szCs w:val="32"/>
        </w:rPr>
      </w:pPr>
      <w:r>
        <w:rPr>
          <w:rFonts w:eastAsia="仿宋_GB2312"/>
          <w:color w:val="000000"/>
          <w:sz w:val="32"/>
          <w:szCs w:val="32"/>
        </w:rPr>
        <w:t>一般公共服务—政府办公厅（室）及相关机构事务—事业运行：支出决算数</w:t>
      </w:r>
      <w:r>
        <w:rPr>
          <w:rFonts w:hint="eastAsia" w:eastAsia="仿宋_GB2312"/>
          <w:color w:val="000000"/>
          <w:sz w:val="32"/>
          <w:szCs w:val="32"/>
          <w:lang w:val="en-US" w:eastAsia="zh-CN"/>
        </w:rPr>
        <w:t>170.52</w:t>
      </w:r>
      <w:r>
        <w:rPr>
          <w:rFonts w:eastAsia="仿宋_GB2312"/>
          <w:color w:val="000000"/>
          <w:sz w:val="32"/>
          <w:szCs w:val="32"/>
        </w:rPr>
        <w:t>万元，完成预算100%。</w:t>
      </w:r>
    </w:p>
    <w:p w14:paraId="6B5AB85B">
      <w:pPr>
        <w:spacing w:line="600" w:lineRule="exact"/>
        <w:ind w:firstLine="640" w:firstLineChars="200"/>
        <w:rPr>
          <w:rFonts w:hint="eastAsia" w:eastAsia="仿宋_GB2312"/>
          <w:color w:val="000000"/>
          <w:sz w:val="32"/>
          <w:szCs w:val="32"/>
          <w:lang w:val="en-US" w:eastAsia="zh-CN"/>
        </w:rPr>
      </w:pPr>
      <w:r>
        <w:rPr>
          <w:rFonts w:eastAsia="仿宋_GB2312"/>
          <w:color w:val="000000"/>
          <w:sz w:val="32"/>
          <w:szCs w:val="32"/>
        </w:rPr>
        <w:t>一般公共服务—政府办公厅（室）及相关机构事务—其他政府办公厅（室）及相关机构事务支出：支出决算数</w:t>
      </w:r>
      <w:r>
        <w:rPr>
          <w:rFonts w:hint="eastAsia" w:eastAsia="仿宋_GB2312"/>
          <w:color w:val="000000"/>
          <w:sz w:val="32"/>
          <w:szCs w:val="32"/>
          <w:lang w:val="en-US" w:eastAsia="zh-CN"/>
        </w:rPr>
        <w:t>547.16</w:t>
      </w:r>
      <w:r>
        <w:rPr>
          <w:rFonts w:eastAsia="仿宋_GB2312"/>
          <w:color w:val="000000"/>
          <w:sz w:val="32"/>
          <w:szCs w:val="32"/>
        </w:rPr>
        <w:t>万元，完成预算</w:t>
      </w:r>
      <w:r>
        <w:rPr>
          <w:rFonts w:hint="eastAsia" w:eastAsia="仿宋_GB2312"/>
          <w:color w:val="000000"/>
          <w:sz w:val="32"/>
          <w:szCs w:val="32"/>
          <w:lang w:val="en-US" w:eastAsia="zh-CN"/>
        </w:rPr>
        <w:t>100</w:t>
      </w:r>
      <w:r>
        <w:rPr>
          <w:rFonts w:eastAsia="仿宋_GB2312"/>
          <w:color w:val="000000"/>
          <w:sz w:val="32"/>
          <w:szCs w:val="32"/>
        </w:rPr>
        <w:t>%。</w:t>
      </w:r>
    </w:p>
    <w:p w14:paraId="4E94D156">
      <w:pPr>
        <w:spacing w:line="600" w:lineRule="exact"/>
        <w:ind w:firstLine="640" w:firstLineChars="200"/>
        <w:rPr>
          <w:rFonts w:eastAsia="仿宋_GB2312"/>
          <w:color w:val="000000"/>
          <w:sz w:val="32"/>
          <w:szCs w:val="32"/>
        </w:rPr>
      </w:pPr>
      <w:r>
        <w:rPr>
          <w:rFonts w:eastAsia="仿宋_GB2312"/>
          <w:color w:val="000000"/>
          <w:sz w:val="32"/>
          <w:szCs w:val="32"/>
        </w:rPr>
        <w:t>2.社会保障和就业—行政事业单位</w:t>
      </w:r>
      <w:r>
        <w:rPr>
          <w:rFonts w:hint="eastAsia" w:eastAsia="仿宋_GB2312"/>
          <w:color w:val="000000"/>
          <w:sz w:val="32"/>
          <w:szCs w:val="32"/>
        </w:rPr>
        <w:t>养老支出</w:t>
      </w:r>
      <w:r>
        <w:rPr>
          <w:rFonts w:eastAsia="仿宋_GB2312"/>
          <w:color w:val="000000"/>
          <w:sz w:val="32"/>
          <w:szCs w:val="32"/>
        </w:rPr>
        <w:t>—机关事业单位基本养老保险缴费支出: 支出决算数</w:t>
      </w:r>
      <w:r>
        <w:rPr>
          <w:rFonts w:hint="eastAsia" w:eastAsia="仿宋_GB2312"/>
          <w:color w:val="000000"/>
          <w:sz w:val="32"/>
          <w:szCs w:val="32"/>
          <w:lang w:val="en-US" w:eastAsia="zh-CN"/>
        </w:rPr>
        <w:t>72.11</w:t>
      </w:r>
      <w:r>
        <w:rPr>
          <w:rFonts w:eastAsia="仿宋_GB2312"/>
          <w:color w:val="000000"/>
          <w:sz w:val="32"/>
          <w:szCs w:val="32"/>
        </w:rPr>
        <w:t>万元，完成预算100%。</w:t>
      </w:r>
    </w:p>
    <w:p w14:paraId="06EF95BA">
      <w:pPr>
        <w:spacing w:line="600" w:lineRule="exact"/>
        <w:ind w:firstLine="640"/>
        <w:rPr>
          <w:rFonts w:eastAsia="仿宋_GB2312"/>
          <w:color w:val="000000"/>
          <w:sz w:val="32"/>
          <w:szCs w:val="32"/>
        </w:rPr>
      </w:pPr>
      <w:r>
        <w:rPr>
          <w:rFonts w:eastAsia="仿宋_GB2312"/>
          <w:color w:val="000000"/>
          <w:sz w:val="32"/>
          <w:szCs w:val="32"/>
        </w:rPr>
        <w:t>社会保障和就业—行政事业单位</w:t>
      </w:r>
      <w:r>
        <w:rPr>
          <w:rFonts w:hint="eastAsia" w:eastAsia="仿宋_GB2312"/>
          <w:color w:val="000000"/>
          <w:sz w:val="32"/>
          <w:szCs w:val="32"/>
        </w:rPr>
        <w:t>养老支出</w:t>
      </w:r>
      <w:r>
        <w:rPr>
          <w:rFonts w:eastAsia="仿宋_GB2312"/>
          <w:color w:val="000000"/>
          <w:sz w:val="32"/>
          <w:szCs w:val="32"/>
        </w:rPr>
        <w:t>—机关事业单位职业年金</w:t>
      </w:r>
      <w:r>
        <w:rPr>
          <w:rFonts w:hint="eastAsia" w:eastAsia="仿宋_GB2312"/>
          <w:color w:val="000000"/>
          <w:sz w:val="32"/>
          <w:szCs w:val="32"/>
        </w:rPr>
        <w:t>缴费</w:t>
      </w:r>
      <w:r>
        <w:rPr>
          <w:rFonts w:eastAsia="仿宋_GB2312"/>
          <w:color w:val="000000"/>
          <w:sz w:val="32"/>
          <w:szCs w:val="32"/>
        </w:rPr>
        <w:t>支出: 支出决算数为</w:t>
      </w:r>
      <w:r>
        <w:rPr>
          <w:rFonts w:hint="eastAsia" w:eastAsia="仿宋_GB2312"/>
          <w:color w:val="000000"/>
          <w:sz w:val="32"/>
          <w:szCs w:val="32"/>
          <w:lang w:val="en-US" w:eastAsia="zh-CN"/>
        </w:rPr>
        <w:t>39.93</w:t>
      </w:r>
      <w:r>
        <w:rPr>
          <w:rFonts w:eastAsia="仿宋_GB2312"/>
          <w:color w:val="000000"/>
          <w:sz w:val="32"/>
          <w:szCs w:val="32"/>
        </w:rPr>
        <w:t>万元，完成预算100%。</w:t>
      </w:r>
    </w:p>
    <w:p w14:paraId="153245C6">
      <w:pPr>
        <w:spacing w:line="600" w:lineRule="exact"/>
        <w:ind w:firstLine="64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社会保障和就业—行政事业单位</w:t>
      </w:r>
      <w:r>
        <w:rPr>
          <w:rFonts w:hint="eastAsia" w:ascii="Times New Roman" w:hAnsi="Times New Roman" w:eastAsia="仿宋_GB2312" w:cs="Times New Roman"/>
          <w:color w:val="000000"/>
          <w:sz w:val="32"/>
          <w:szCs w:val="32"/>
        </w:rPr>
        <w:t>养老支出</w:t>
      </w:r>
      <w:r>
        <w:rPr>
          <w:rFonts w:ascii="Times New Roman" w:hAnsi="Times New Roman" w:eastAsia="仿宋_GB2312" w:cs="Times New Roman"/>
          <w:color w:val="000000"/>
          <w:sz w:val="32"/>
          <w:szCs w:val="32"/>
        </w:rPr>
        <w:t>—其他行政事业单位</w:t>
      </w:r>
      <w:r>
        <w:rPr>
          <w:rFonts w:hint="eastAsia" w:ascii="Times New Roman" w:hAnsi="Times New Roman" w:eastAsia="仿宋_GB2312" w:cs="Times New Roman"/>
          <w:color w:val="000000"/>
          <w:sz w:val="32"/>
          <w:szCs w:val="32"/>
        </w:rPr>
        <w:t>养老支出</w:t>
      </w:r>
      <w:r>
        <w:rPr>
          <w:rFonts w:ascii="Times New Roman" w:hAnsi="Times New Roman" w:eastAsia="仿宋_GB2312" w:cs="Times New Roman"/>
          <w:color w:val="000000"/>
          <w:sz w:val="32"/>
          <w:szCs w:val="32"/>
        </w:rPr>
        <w:t>: 支出决算数</w:t>
      </w:r>
      <w:r>
        <w:rPr>
          <w:rFonts w:hint="eastAsia" w:ascii="Times New Roman" w:hAnsi="Times New Roman" w:eastAsia="仿宋_GB2312" w:cs="Times New Roman"/>
          <w:color w:val="000000"/>
          <w:sz w:val="32"/>
          <w:szCs w:val="32"/>
          <w:lang w:val="en-US" w:eastAsia="zh-CN"/>
        </w:rPr>
        <w:t>35.58</w:t>
      </w:r>
      <w:r>
        <w:rPr>
          <w:rFonts w:ascii="Times New Roman" w:hAnsi="Times New Roman" w:eastAsia="仿宋_GB2312" w:cs="Times New Roman"/>
          <w:color w:val="000000"/>
          <w:sz w:val="32"/>
          <w:szCs w:val="32"/>
        </w:rPr>
        <w:t>万元，完成预算100%。</w:t>
      </w:r>
    </w:p>
    <w:p w14:paraId="30C7A532">
      <w:pPr>
        <w:spacing w:line="600" w:lineRule="exact"/>
        <w:ind w:firstLine="64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社会保障和就业—</w:t>
      </w:r>
      <w:r>
        <w:rPr>
          <w:rFonts w:hint="eastAsia" w:ascii="Times New Roman" w:hAnsi="Times New Roman" w:eastAsia="仿宋_GB2312" w:cs="Times New Roman"/>
          <w:color w:val="000000"/>
          <w:sz w:val="32"/>
          <w:szCs w:val="32"/>
          <w:lang w:eastAsia="zh-CN"/>
        </w:rPr>
        <w:t>抚恤</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死亡抚恤：</w:t>
      </w:r>
      <w:r>
        <w:rPr>
          <w:rFonts w:ascii="Times New Roman" w:hAnsi="Times New Roman" w:eastAsia="仿宋_GB2312" w:cs="Times New Roman"/>
          <w:color w:val="000000"/>
          <w:sz w:val="32"/>
          <w:szCs w:val="32"/>
        </w:rPr>
        <w:t>支出决算数</w:t>
      </w:r>
      <w:r>
        <w:rPr>
          <w:rFonts w:hint="eastAsia" w:ascii="Times New Roman" w:hAnsi="Times New Roman" w:eastAsia="仿宋_GB2312" w:cs="Times New Roman"/>
          <w:color w:val="000000"/>
          <w:sz w:val="32"/>
          <w:szCs w:val="32"/>
          <w:lang w:val="en-US" w:eastAsia="zh-CN"/>
        </w:rPr>
        <w:t>22.52</w:t>
      </w:r>
      <w:r>
        <w:rPr>
          <w:rFonts w:ascii="Times New Roman" w:hAnsi="Times New Roman" w:eastAsia="仿宋_GB2312" w:cs="Times New Roman"/>
          <w:color w:val="000000"/>
          <w:sz w:val="32"/>
          <w:szCs w:val="32"/>
        </w:rPr>
        <w:t>万元，完成预算100%。</w:t>
      </w:r>
    </w:p>
    <w:p w14:paraId="73649E3C">
      <w:pPr>
        <w:spacing w:line="600" w:lineRule="exact"/>
        <w:ind w:firstLine="64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社会保障和就业</w:t>
      </w:r>
      <w:r>
        <w:rPr>
          <w:rFonts w:hint="eastAsia" w:ascii="Times New Roman" w:hAnsi="Times New Roman" w:eastAsia="仿宋_GB2312" w:cs="Times New Roman"/>
          <w:color w:val="000000"/>
          <w:sz w:val="32"/>
          <w:szCs w:val="32"/>
          <w:lang w:eastAsia="zh-CN"/>
        </w:rPr>
        <w:t>—其他社会保障和就业支出—其他社会保障和就业支出：</w:t>
      </w:r>
      <w:r>
        <w:rPr>
          <w:rFonts w:ascii="Times New Roman" w:hAnsi="Times New Roman" w:eastAsia="仿宋_GB2312" w:cs="Times New Roman"/>
          <w:color w:val="000000"/>
          <w:sz w:val="32"/>
          <w:szCs w:val="32"/>
        </w:rPr>
        <w:t>支出决算数</w:t>
      </w:r>
      <w:r>
        <w:rPr>
          <w:rFonts w:hint="eastAsia" w:ascii="Times New Roman" w:hAnsi="Times New Roman" w:eastAsia="仿宋_GB2312" w:cs="Times New Roman"/>
          <w:color w:val="000000"/>
          <w:sz w:val="32"/>
          <w:szCs w:val="32"/>
          <w:lang w:val="en-US" w:eastAsia="zh-CN"/>
        </w:rPr>
        <w:t>5.41</w:t>
      </w:r>
      <w:r>
        <w:rPr>
          <w:rFonts w:ascii="Times New Roman" w:hAnsi="Times New Roman" w:eastAsia="仿宋_GB2312" w:cs="Times New Roman"/>
          <w:color w:val="000000"/>
          <w:sz w:val="32"/>
          <w:szCs w:val="32"/>
        </w:rPr>
        <w:t>万元，完成预算100%。</w:t>
      </w:r>
    </w:p>
    <w:p w14:paraId="709A5E62">
      <w:pPr>
        <w:spacing w:line="600" w:lineRule="exact"/>
        <w:ind w:firstLine="640"/>
        <w:rPr>
          <w:rFonts w:eastAsia="仿宋_GB2312"/>
          <w:color w:val="000000"/>
          <w:sz w:val="32"/>
          <w:szCs w:val="32"/>
        </w:rPr>
      </w:pPr>
      <w:r>
        <w:rPr>
          <w:rFonts w:hint="eastAsia" w:ascii="Times New Roman" w:hAnsi="Times New Roman" w:eastAsia="仿宋_GB2312" w:cs="Times New Roman"/>
          <w:color w:val="000000"/>
          <w:sz w:val="32"/>
          <w:szCs w:val="32"/>
          <w:lang w:val="en-US" w:eastAsia="zh-CN"/>
        </w:rPr>
        <w:t xml:space="preserve"> </w:t>
      </w:r>
      <w:r>
        <w:rPr>
          <w:rFonts w:ascii="Times New Roman" w:hAnsi="Times New Roman" w:eastAsia="仿宋_GB2312" w:cs="Times New Roman"/>
          <w:color w:val="000000"/>
          <w:sz w:val="32"/>
          <w:szCs w:val="32"/>
        </w:rPr>
        <w:t>3.</w:t>
      </w:r>
      <w:r>
        <w:rPr>
          <w:rFonts w:hint="eastAsia" w:eastAsia="仿宋_GB2312"/>
          <w:color w:val="000000"/>
          <w:sz w:val="32"/>
          <w:szCs w:val="32"/>
        </w:rPr>
        <w:t>卫生健康支出</w:t>
      </w:r>
      <w:r>
        <w:rPr>
          <w:rFonts w:eastAsia="仿宋_GB2312"/>
          <w:color w:val="000000"/>
          <w:sz w:val="32"/>
          <w:szCs w:val="32"/>
        </w:rPr>
        <w:t>—行政事业单位医疗—行政单位医疗: 支出决算数</w:t>
      </w:r>
      <w:r>
        <w:rPr>
          <w:rFonts w:hint="eastAsia" w:eastAsia="仿宋_GB2312"/>
          <w:color w:val="000000"/>
          <w:sz w:val="32"/>
          <w:szCs w:val="32"/>
          <w:lang w:val="en-US" w:eastAsia="zh-CN"/>
        </w:rPr>
        <w:t>14.98</w:t>
      </w:r>
      <w:r>
        <w:rPr>
          <w:rFonts w:eastAsia="仿宋_GB2312"/>
          <w:color w:val="000000"/>
          <w:sz w:val="32"/>
          <w:szCs w:val="32"/>
        </w:rPr>
        <w:t>万元，完成预算100%。</w:t>
      </w:r>
    </w:p>
    <w:p w14:paraId="43917AB7">
      <w:pPr>
        <w:spacing w:line="600" w:lineRule="exact"/>
        <w:ind w:firstLine="640"/>
        <w:rPr>
          <w:rFonts w:eastAsia="仿宋_GB2312"/>
          <w:color w:val="000000"/>
          <w:sz w:val="32"/>
          <w:szCs w:val="32"/>
        </w:rPr>
      </w:pPr>
      <w:r>
        <w:rPr>
          <w:rFonts w:hint="eastAsia" w:eastAsia="仿宋_GB2312"/>
          <w:color w:val="000000"/>
          <w:sz w:val="32"/>
          <w:szCs w:val="32"/>
        </w:rPr>
        <w:t>卫生健康支出</w:t>
      </w:r>
      <w:r>
        <w:rPr>
          <w:rFonts w:eastAsia="仿宋_GB2312"/>
          <w:color w:val="000000"/>
          <w:sz w:val="32"/>
          <w:szCs w:val="32"/>
        </w:rPr>
        <w:t>—行政事业单位医疗—事业单位医疗: 支出决算数</w:t>
      </w:r>
      <w:r>
        <w:rPr>
          <w:rFonts w:hint="eastAsia" w:eastAsia="仿宋_GB2312"/>
          <w:color w:val="000000"/>
          <w:sz w:val="32"/>
          <w:szCs w:val="32"/>
          <w:lang w:val="en-US" w:eastAsia="zh-CN"/>
        </w:rPr>
        <w:t>5.63万</w:t>
      </w:r>
      <w:r>
        <w:rPr>
          <w:rFonts w:eastAsia="仿宋_GB2312"/>
          <w:color w:val="000000"/>
          <w:sz w:val="32"/>
          <w:szCs w:val="32"/>
        </w:rPr>
        <w:t>元，完成预算100%。</w:t>
      </w:r>
    </w:p>
    <w:p w14:paraId="36627B0D">
      <w:pPr>
        <w:numPr>
          <w:ilvl w:val="0"/>
          <w:numId w:val="0"/>
        </w:numPr>
        <w:spacing w:line="600" w:lineRule="exact"/>
        <w:ind w:firstLine="640" w:firstLineChars="200"/>
        <w:rPr>
          <w:rFonts w:eastAsia="仿宋_GB2312"/>
          <w:color w:val="000000"/>
          <w:sz w:val="32"/>
          <w:szCs w:val="32"/>
        </w:rPr>
      </w:pPr>
      <w:r>
        <w:rPr>
          <w:rFonts w:hint="eastAsia" w:eastAsia="仿宋_GB2312"/>
          <w:color w:val="000000"/>
          <w:sz w:val="32"/>
          <w:szCs w:val="32"/>
        </w:rPr>
        <w:t>卫生健康支出</w:t>
      </w:r>
      <w:r>
        <w:rPr>
          <w:rFonts w:eastAsia="仿宋_GB2312"/>
          <w:color w:val="000000"/>
          <w:sz w:val="32"/>
          <w:szCs w:val="32"/>
        </w:rPr>
        <w:t>—行政事业单位医疗—</w:t>
      </w:r>
      <w:r>
        <w:rPr>
          <w:rFonts w:hint="eastAsia" w:eastAsia="仿宋_GB2312"/>
          <w:color w:val="000000"/>
          <w:sz w:val="32"/>
          <w:szCs w:val="32"/>
          <w:lang w:eastAsia="zh-CN"/>
        </w:rPr>
        <w:t>公务员医疗补助</w:t>
      </w:r>
      <w:r>
        <w:rPr>
          <w:rFonts w:eastAsia="仿宋_GB2312"/>
          <w:color w:val="000000"/>
          <w:sz w:val="32"/>
          <w:szCs w:val="32"/>
        </w:rPr>
        <w:t>: 支出决算数</w:t>
      </w:r>
      <w:r>
        <w:rPr>
          <w:rFonts w:hint="eastAsia" w:eastAsia="仿宋_GB2312"/>
          <w:color w:val="000000"/>
          <w:sz w:val="32"/>
          <w:szCs w:val="32"/>
          <w:lang w:val="en-US" w:eastAsia="zh-CN"/>
        </w:rPr>
        <w:t>6.1</w:t>
      </w:r>
      <w:r>
        <w:rPr>
          <w:rFonts w:eastAsia="仿宋_GB2312"/>
          <w:color w:val="000000"/>
          <w:sz w:val="32"/>
          <w:szCs w:val="32"/>
        </w:rPr>
        <w:t>万元，完成预算100%。</w:t>
      </w:r>
    </w:p>
    <w:p w14:paraId="37448467">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olor w:val="000000"/>
          <w:sz w:val="32"/>
          <w:szCs w:val="32"/>
          <w:lang w:val="en-US" w:eastAsia="zh-CN"/>
        </w:rPr>
        <w:t>4.</w:t>
      </w:r>
      <w:r>
        <w:rPr>
          <w:rFonts w:eastAsia="仿宋_GB2312"/>
          <w:color w:val="000000"/>
          <w:sz w:val="32"/>
          <w:szCs w:val="32"/>
        </w:rPr>
        <w:t>住房保障支出—住房改革支出—住房公积金：支出决算数为</w:t>
      </w:r>
      <w:r>
        <w:rPr>
          <w:rFonts w:hint="eastAsia" w:eastAsia="仿宋_GB2312"/>
          <w:color w:val="000000"/>
          <w:sz w:val="32"/>
          <w:szCs w:val="32"/>
          <w:lang w:val="en-US" w:eastAsia="zh-CN"/>
        </w:rPr>
        <w:t>63.49</w:t>
      </w:r>
      <w:r>
        <w:rPr>
          <w:rFonts w:eastAsia="仿宋_GB2312"/>
          <w:color w:val="000000"/>
          <w:sz w:val="32"/>
          <w:szCs w:val="32"/>
        </w:rPr>
        <w:t>万元，完成预算100%</w:t>
      </w:r>
      <w:r>
        <w:rPr>
          <w:rFonts w:hint="eastAsia" w:eastAsia="仿宋_GB2312"/>
          <w:color w:val="000000"/>
          <w:sz w:val="32"/>
          <w:szCs w:val="32"/>
          <w:lang w:eastAsia="zh-CN"/>
        </w:rPr>
        <w:t>。</w:t>
      </w:r>
    </w:p>
    <w:p w14:paraId="613C954F">
      <w:pPr>
        <w:tabs>
          <w:tab w:val="right" w:pos="8306"/>
        </w:tabs>
        <w:spacing w:line="600" w:lineRule="exact"/>
        <w:ind w:firstLine="640"/>
        <w:outlineLvl w:val="1"/>
        <w:rPr>
          <w:rStyle w:val="30"/>
          <w:rFonts w:ascii="Times New Roman" w:hAnsi="Times New Roman"/>
          <w:color w:val="auto"/>
          <w:highlight w:val="none"/>
        </w:rPr>
      </w:pPr>
      <w:bookmarkStart w:id="28" w:name="_Toc15396608"/>
      <w:bookmarkStart w:id="29"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28"/>
      <w:bookmarkEnd w:id="29"/>
      <w:r>
        <w:rPr>
          <w:rStyle w:val="30"/>
          <w:rFonts w:ascii="Times New Roman" w:hAnsi="Times New Roman" w:eastAsia="黑体"/>
          <w:b w:val="0"/>
          <w:color w:val="auto"/>
          <w:highlight w:val="none"/>
        </w:rPr>
        <w:tab/>
      </w:r>
    </w:p>
    <w:p w14:paraId="5FC55FEA">
      <w:pPr>
        <w:numPr>
          <w:ilvl w:val="0"/>
          <w:numId w:val="0"/>
        </w:num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2024年度一般公共预算财政拨款基本支出</w:t>
      </w:r>
      <w:r>
        <w:rPr>
          <w:rFonts w:hint="eastAsia" w:eastAsia="仿宋_GB2312"/>
          <w:color w:val="000000"/>
          <w:sz w:val="32"/>
          <w:szCs w:val="32"/>
        </w:rPr>
        <w:t>1255.4</w:t>
      </w:r>
      <w:r>
        <w:rPr>
          <w:rFonts w:hint="eastAsia" w:eastAsia="仿宋_GB2312"/>
          <w:color w:val="000000"/>
          <w:sz w:val="32"/>
          <w:szCs w:val="32"/>
          <w:lang w:val="en-US" w:eastAsia="zh-CN"/>
        </w:rPr>
        <w:t>8万元，其中：</w:t>
      </w:r>
    </w:p>
    <w:p w14:paraId="2178DF18">
      <w:pPr>
        <w:numPr>
          <w:ilvl w:val="0"/>
          <w:numId w:val="0"/>
        </w:num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人员经费</w:t>
      </w:r>
      <w:r>
        <w:rPr>
          <w:rFonts w:hint="eastAsia" w:eastAsia="仿宋_GB2312"/>
          <w:color w:val="000000"/>
          <w:sz w:val="32"/>
          <w:szCs w:val="32"/>
        </w:rPr>
        <w:t>1000.04</w:t>
      </w:r>
      <w:r>
        <w:rPr>
          <w:rFonts w:hint="eastAsia" w:eastAsia="仿宋_GB2312"/>
          <w:color w:val="000000"/>
          <w:sz w:val="32"/>
          <w:szCs w:val="32"/>
          <w:lang w:val="en-US" w:eastAsia="zh-CN"/>
        </w:rPr>
        <w:t>万元，主要包括：基本工资、津贴补贴、奖金、伙食补助费、绩效工资、机关事业单位基本养老保险缴费、职业年金缴费、其他社会保障缴费、其他工资福利支出、退休费、抚恤金、生活补助、住房公积金、其他对个人和家庭的补助支出等。</w:t>
      </w:r>
      <w:r>
        <w:rPr>
          <w:rFonts w:hint="eastAsia" w:eastAsia="仿宋_GB2312"/>
          <w:color w:val="000000"/>
          <w:sz w:val="32"/>
          <w:szCs w:val="32"/>
          <w:lang w:val="en-US" w:eastAsia="zh-CN"/>
        </w:rPr>
        <w:br w:type="textWrapping"/>
      </w:r>
      <w:r>
        <w:rPr>
          <w:rFonts w:hint="eastAsia" w:eastAsia="仿宋_GB2312"/>
          <w:color w:val="000000"/>
          <w:sz w:val="32"/>
          <w:szCs w:val="32"/>
          <w:lang w:val="en-US" w:eastAsia="zh-CN"/>
        </w:rPr>
        <w:t>　　公用经费</w:t>
      </w:r>
      <w:r>
        <w:rPr>
          <w:rFonts w:hint="eastAsia" w:eastAsia="仿宋_GB2312"/>
          <w:color w:val="000000"/>
          <w:sz w:val="32"/>
          <w:szCs w:val="32"/>
        </w:rPr>
        <w:t>255.4</w:t>
      </w:r>
      <w:r>
        <w:rPr>
          <w:rFonts w:hint="eastAsia" w:eastAsia="仿宋_GB2312"/>
          <w:color w:val="000000"/>
          <w:sz w:val="32"/>
          <w:szCs w:val="32"/>
          <w:lang w:val="en-US" w:eastAsia="zh-CN"/>
        </w:rPr>
        <w:t>4万元，主要包括：办公费、水费、电费、邮电费、差旅费、公务接待费、</w:t>
      </w:r>
      <w:r>
        <w:rPr>
          <w:rFonts w:hint="default" w:eastAsia="仿宋_GB2312"/>
          <w:color w:val="000000"/>
          <w:sz w:val="32"/>
          <w:szCs w:val="32"/>
        </w:rPr>
        <w:t>劳务费、</w:t>
      </w:r>
      <w:r>
        <w:rPr>
          <w:rFonts w:hint="eastAsia" w:eastAsia="仿宋_GB2312"/>
          <w:color w:val="000000"/>
          <w:sz w:val="32"/>
          <w:szCs w:val="32"/>
          <w:lang w:val="en-US" w:eastAsia="zh-CN"/>
        </w:rPr>
        <w:t>工会经费、福利费、公务用车运行维护费、其他交通费、其他商品和服务支出、办公设备购置等。</w:t>
      </w:r>
    </w:p>
    <w:p w14:paraId="259572D9">
      <w:pPr>
        <w:spacing w:line="600" w:lineRule="exact"/>
        <w:ind w:firstLine="640"/>
        <w:outlineLvl w:val="1"/>
        <w:rPr>
          <w:rStyle w:val="30"/>
          <w:rFonts w:ascii="Times New Roman" w:hAnsi="Times New Roman" w:eastAsia="黑体"/>
          <w:b w:val="0"/>
          <w:color w:val="auto"/>
          <w:highlight w:val="none"/>
        </w:rPr>
      </w:pPr>
      <w:bookmarkStart w:id="30" w:name="_Toc15396609"/>
      <w:bookmarkStart w:id="31" w:name="_Toc15377215"/>
      <w:r>
        <w:rPr>
          <w:rFonts w:hint="eastAsia" w:ascii="Times New Roman" w:hAnsi="Times New Roman" w:eastAsia="黑体"/>
          <w:color w:val="auto"/>
          <w:sz w:val="32"/>
          <w:szCs w:val="32"/>
          <w:highlight w:val="none"/>
        </w:rPr>
        <w:t>七、</w:t>
      </w:r>
      <w:r>
        <w:rPr>
          <w:rStyle w:val="30"/>
          <w:rFonts w:hint="eastAsia" w:ascii="Times New Roman" w:hAnsi="Times New Roman" w:eastAsia="黑体"/>
          <w:b w:val="0"/>
          <w:color w:val="auto"/>
          <w:highlight w:val="none"/>
        </w:rPr>
        <w:t>财政拨款</w:t>
      </w:r>
      <w:r>
        <w:rPr>
          <w:rStyle w:val="30"/>
          <w:rFonts w:hint="eastAsia" w:ascii="Times New Roman" w:hAnsi="Times New Roman" w:eastAsia="黑体"/>
          <w:color w:val="auto"/>
          <w:highlight w:val="none"/>
        </w:rPr>
        <w:t>“</w:t>
      </w:r>
      <w:r>
        <w:rPr>
          <w:rStyle w:val="30"/>
          <w:rFonts w:hint="eastAsia" w:ascii="Times New Roman" w:hAnsi="Times New Roman" w:eastAsia="黑体"/>
          <w:b w:val="0"/>
          <w:color w:val="auto"/>
          <w:highlight w:val="none"/>
        </w:rPr>
        <w:t>三公”经费支出决算情况说明</w:t>
      </w:r>
      <w:bookmarkEnd w:id="30"/>
      <w:bookmarkEnd w:id="31"/>
    </w:p>
    <w:p w14:paraId="206FD0E7">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2"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2"/>
    </w:p>
    <w:p w14:paraId="2E27AF0D">
      <w:pPr>
        <w:numPr>
          <w:ilvl w:val="0"/>
          <w:numId w:val="0"/>
        </w:num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2024年度“三公”经费财政拨款支出决算为146.53万元，完成预算100%，较上年度减少82.95万元，下降36.15%。下降的主要原因是2024年度未新购置公务用车。</w:t>
      </w:r>
    </w:p>
    <w:p w14:paraId="79C26A2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3"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3"/>
    </w:p>
    <w:p w14:paraId="29A344FB">
      <w:pPr>
        <w:numPr>
          <w:ilvl w:val="0"/>
          <w:numId w:val="0"/>
        </w:num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2024年度“三公”经费财政拨款支出决算中，因公出国（境）费支出决算0万元，占0%；公务用车购置及运行维护费支出决算141.6万元，占96.64%；公务接待费支出决算4.93万元，占3.36%。具体情况如下：</w:t>
      </w:r>
    </w:p>
    <w:p w14:paraId="6CEE7DAC">
      <w:pPr>
        <w:numPr>
          <w:ilvl w:val="0"/>
          <w:numId w:val="0"/>
        </w:numPr>
        <w:spacing w:line="600" w:lineRule="exact"/>
        <w:ind w:firstLine="640" w:firstLineChars="200"/>
        <w:rPr>
          <w:rFonts w:hint="eastAsia" w:eastAsia="仿宋_GB2312"/>
          <w:color w:val="000000"/>
          <w:sz w:val="32"/>
          <w:szCs w:val="32"/>
          <w:lang w:val="en-US" w:eastAsia="zh-CN"/>
        </w:rPr>
      </w:pP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olor w:val="000000"/>
          <w:sz w:val="32"/>
          <w:szCs w:val="32"/>
          <w:lang w:val="en-US" w:eastAsia="zh-CN"/>
        </w:rPr>
        <w:t>图7：“三公”经费财政拨款支出结构）（饼状图）</w:t>
      </w:r>
    </w:p>
    <w:p w14:paraId="0765DD7B">
      <w:pPr>
        <w:numPr>
          <w:ilvl w:val="0"/>
          <w:numId w:val="0"/>
        </w:numPr>
        <w:spacing w:line="600" w:lineRule="exact"/>
        <w:ind w:firstLine="640" w:firstLineChars="200"/>
        <w:rPr>
          <w:rFonts w:hint="eastAsia" w:eastAsia="仿宋_GB2312"/>
          <w:color w:val="000000"/>
          <w:sz w:val="32"/>
          <w:szCs w:val="32"/>
          <w:lang w:val="en-US" w:eastAsia="zh-CN"/>
        </w:rPr>
      </w:pPr>
    </w:p>
    <w:p w14:paraId="5FE2409F">
      <w:pPr>
        <w:pStyle w:val="7"/>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4514850" cy="2492375"/>
            <wp:effectExtent l="4445" t="4445" r="14605" b="1778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8CA97A1">
      <w:pPr>
        <w:rPr>
          <w:rFonts w:hint="eastAsia"/>
          <w:lang w:val="en-US" w:eastAsia="zh-CN"/>
        </w:rPr>
      </w:pPr>
    </w:p>
    <w:p w14:paraId="3DBAC79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w:t>
      </w:r>
      <w:r>
        <w:rPr>
          <w:rFonts w:hint="eastAsia" w:eastAsia="仿宋_GB2312" w:cs="仿宋_GB2312"/>
          <w:color w:val="auto"/>
          <w:kern w:val="2"/>
          <w:sz w:val="32"/>
          <w:szCs w:val="32"/>
          <w:highlight w:val="none"/>
          <w:lang w:val="en-US" w:eastAsia="zh-CN" w:bidi="ar-SA"/>
        </w:rPr>
        <w:t>与</w:t>
      </w:r>
      <w:r>
        <w:rPr>
          <w:rFonts w:hint="eastAsia" w:ascii="Times New Roman" w:hAnsi="Times New Roman" w:eastAsia="仿宋_GB2312" w:cs="仿宋_GB2312"/>
          <w:color w:val="auto"/>
          <w:kern w:val="2"/>
          <w:sz w:val="32"/>
          <w:szCs w:val="32"/>
          <w:highlight w:val="none"/>
          <w:lang w:val="en-US" w:eastAsia="zh-CN" w:bidi="ar-SA"/>
        </w:rPr>
        <w:t>2023</w:t>
      </w:r>
      <w:r>
        <w:rPr>
          <w:rFonts w:hint="eastAsia" w:eastAsia="仿宋_GB2312" w:cs="仿宋_GB2312"/>
          <w:color w:val="auto"/>
          <w:kern w:val="2"/>
          <w:sz w:val="32"/>
          <w:szCs w:val="32"/>
          <w:highlight w:val="none"/>
          <w:lang w:val="en-US" w:eastAsia="zh-CN" w:bidi="ar-SA"/>
        </w:rPr>
        <w:t>年持平。</w:t>
      </w:r>
    </w:p>
    <w:p w14:paraId="7FB78764">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141.6万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公务用车购置及运行维护费支出决算比2023年度减少</w:t>
      </w:r>
      <w:r>
        <w:rPr>
          <w:rFonts w:hint="eastAsia" w:eastAsia="仿宋_GB2312" w:cs="仿宋_GB2312"/>
          <w:color w:val="auto"/>
          <w:kern w:val="2"/>
          <w:sz w:val="32"/>
          <w:szCs w:val="32"/>
          <w:highlight w:val="none"/>
          <w:lang w:val="en-US" w:eastAsia="zh-CN" w:bidi="ar-SA"/>
        </w:rPr>
        <w:t>79.63</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35.93</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2024年度未新购置公务用车。</w:t>
      </w:r>
    </w:p>
    <w:p w14:paraId="4BFC0800">
      <w:pPr>
        <w:spacing w:line="600" w:lineRule="exact"/>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其中：公务用车购置支出0万元。全年按规定更新购置公务用车0辆，其中：轿车0辆、金额0万元，越野车0辆、金额0万元，载客汽车0辆、金额0万元。截至2024年12月31日，单位共有公务用车36辆，其中：轿车31辆、越野车4辆、载客汽车1辆。</w:t>
      </w:r>
    </w:p>
    <w:p w14:paraId="18CD1785">
      <w:pPr>
        <w:spacing w:line="600" w:lineRule="exact"/>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公务用车运行维护费支出141.6万元。主要用于全区统筹管理应急保障公务用车及实物保障车辆会议、出差、工作检查、调研及开展日常工作等所需的公务用车燃料费、维修费、过路过桥费、保险费等支出。</w:t>
      </w:r>
    </w:p>
    <w:p w14:paraId="26B6F758">
      <w:pPr>
        <w:numPr>
          <w:ilvl w:val="0"/>
          <w:numId w:val="0"/>
        </w:numPr>
        <w:spacing w:line="600" w:lineRule="exact"/>
        <w:ind w:firstLine="640" w:firstLineChars="20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3.公务接待费支出4.93万元，完成预算100%。公务接待费支出决算比2023年度减少3.32万元，下降40.24%。</w:t>
      </w:r>
      <w:r>
        <w:rPr>
          <w:rFonts w:hint="eastAsia" w:eastAsia="仿宋_GB2312"/>
          <w:color w:val="000000"/>
          <w:sz w:val="32"/>
          <w:szCs w:val="32"/>
          <w:lang w:val="en-US" w:eastAsia="zh-CN"/>
        </w:rPr>
        <w:t>主要原因是加强管理，厉行节约。</w:t>
      </w:r>
    </w:p>
    <w:p w14:paraId="73F1EE1B">
      <w:pPr>
        <w:spacing w:line="600" w:lineRule="exact"/>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国内公务接待支出4.93万元，</w:t>
      </w:r>
      <w:r>
        <w:rPr>
          <w:rFonts w:hint="eastAsia" w:eastAsia="仿宋_GB2312"/>
          <w:color w:val="000000"/>
          <w:sz w:val="32"/>
          <w:szCs w:val="32"/>
          <w:lang w:val="en-US" w:eastAsia="zh-CN"/>
        </w:rPr>
        <w:t>主要用于执行公务、开展业务活动开支的交通费、住宿费、用餐费等。国内公务接待31批次507人次（不包括陪同人员），共计支出4.93万元，具体内容包括：一是省、市领导调研；二是各项专项工作检查和业务调研；三是重大活动接待。</w:t>
      </w:r>
    </w:p>
    <w:p w14:paraId="6349A520">
      <w:pPr>
        <w:spacing w:line="600" w:lineRule="exact"/>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外事接待支出0万元，外事接待0批次，0人次，共计支出0万元。</w:t>
      </w:r>
      <w:bookmarkStart w:id="34" w:name="_Toc15396610"/>
      <w:bookmarkStart w:id="35" w:name="_Toc15377218"/>
    </w:p>
    <w:p w14:paraId="5093DF8C">
      <w:pPr>
        <w:spacing w:line="600" w:lineRule="exact"/>
        <w:ind w:firstLine="640"/>
        <w:outlineLvl w:val="1"/>
        <w:rPr>
          <w:rStyle w:val="30"/>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30"/>
          <w:rFonts w:hint="eastAsia" w:ascii="Times New Roman" w:hAnsi="Times New Roman" w:eastAsia="黑体"/>
          <w:b w:val="0"/>
          <w:color w:val="auto"/>
          <w:highlight w:val="none"/>
        </w:rPr>
        <w:t>政府性基金预算支出决算情况说明</w:t>
      </w:r>
      <w:bookmarkEnd w:id="34"/>
      <w:bookmarkEnd w:id="35"/>
    </w:p>
    <w:p w14:paraId="477B3B39">
      <w:pPr>
        <w:spacing w:line="600" w:lineRule="exact"/>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2024年度政府性基金预算财政拨款支出0万元，占本年支出合计的0%，与2023年度相比持平。</w:t>
      </w:r>
    </w:p>
    <w:p w14:paraId="45F97348">
      <w:pPr>
        <w:numPr>
          <w:ilvl w:val="0"/>
          <w:numId w:val="0"/>
        </w:numPr>
        <w:spacing w:line="600" w:lineRule="exact"/>
        <w:ind w:left="630" w:leftChars="0"/>
        <w:outlineLvl w:val="1"/>
        <w:rPr>
          <w:rStyle w:val="30"/>
          <w:rFonts w:ascii="Times New Roman" w:hAnsi="Times New Roman" w:eastAsia="黑体"/>
          <w:b w:val="0"/>
          <w:color w:val="auto"/>
          <w:highlight w:val="none"/>
        </w:rPr>
      </w:pPr>
      <w:bookmarkStart w:id="36" w:name="_Toc15377219"/>
      <w:bookmarkStart w:id="37" w:name="_Toc15396611"/>
      <w:r>
        <w:rPr>
          <w:rStyle w:val="30"/>
          <w:rFonts w:hint="eastAsia" w:ascii="Times New Roman" w:hAnsi="Times New Roman" w:eastAsia="黑体"/>
          <w:b w:val="0"/>
          <w:color w:val="auto"/>
          <w:highlight w:val="none"/>
          <w:lang w:eastAsia="zh-CN"/>
        </w:rPr>
        <w:t>九、</w:t>
      </w:r>
      <w:r>
        <w:rPr>
          <w:rStyle w:val="30"/>
          <w:rFonts w:hint="eastAsia" w:ascii="Times New Roman" w:hAnsi="Times New Roman" w:eastAsia="黑体"/>
          <w:b w:val="0"/>
          <w:color w:val="auto"/>
          <w:highlight w:val="none"/>
        </w:rPr>
        <w:t>国有资本经营预算支出决算情况说明</w:t>
      </w:r>
      <w:bookmarkEnd w:id="36"/>
      <w:bookmarkEnd w:id="37"/>
    </w:p>
    <w:p w14:paraId="7CE2270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2024年度国有资本经营预算财政拨款支出0万元，占本年支出合计的0%</w:t>
      </w:r>
      <w:r>
        <w:rPr>
          <w:rFonts w:hint="eastAsia" w:eastAsia="仿宋_GB2312" w:cs="仿宋_GB2312"/>
          <w:color w:val="auto"/>
          <w:kern w:val="2"/>
          <w:sz w:val="32"/>
          <w:szCs w:val="32"/>
          <w:highlight w:val="none"/>
          <w:lang w:val="en-US" w:eastAsia="zh-CN" w:bidi="ar-SA"/>
        </w:rPr>
        <w:t>，与2023年度相比持平。</w:t>
      </w:r>
    </w:p>
    <w:p w14:paraId="118C311E">
      <w:pPr>
        <w:numPr>
          <w:ilvl w:val="0"/>
          <w:numId w:val="0"/>
        </w:numPr>
        <w:spacing w:line="600" w:lineRule="exact"/>
        <w:ind w:left="630" w:leftChars="0"/>
        <w:outlineLvl w:val="1"/>
        <w:rPr>
          <w:rStyle w:val="30"/>
          <w:rFonts w:hint="eastAsia" w:ascii="Times New Roman" w:hAnsi="Times New Roman" w:eastAsia="黑体"/>
          <w:b w:val="0"/>
          <w:color w:val="auto"/>
          <w:highlight w:val="none"/>
        </w:rPr>
      </w:pPr>
      <w:bookmarkStart w:id="38" w:name="_Toc15396612"/>
      <w:bookmarkStart w:id="39" w:name="_Toc15377221"/>
      <w:r>
        <w:rPr>
          <w:rStyle w:val="30"/>
          <w:rFonts w:hint="eastAsia" w:ascii="Times New Roman" w:hAnsi="Times New Roman" w:eastAsia="黑体"/>
          <w:b w:val="0"/>
          <w:color w:val="auto"/>
          <w:highlight w:val="none"/>
          <w:lang w:eastAsia="zh-CN"/>
        </w:rPr>
        <w:t>十、</w:t>
      </w:r>
      <w:r>
        <w:rPr>
          <w:rStyle w:val="30"/>
          <w:rFonts w:hint="eastAsia" w:ascii="Times New Roman" w:hAnsi="Times New Roman" w:eastAsia="黑体"/>
          <w:b w:val="0"/>
          <w:color w:val="auto"/>
          <w:highlight w:val="none"/>
        </w:rPr>
        <w:t>其他重要事项的情况说明</w:t>
      </w:r>
      <w:bookmarkEnd w:id="38"/>
      <w:bookmarkEnd w:id="39"/>
    </w:p>
    <w:p w14:paraId="2803218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0" w:name="_Toc15377222"/>
      <w:r>
        <w:rPr>
          <w:rFonts w:hint="eastAsia" w:ascii="Times New Roman" w:hAnsi="Times New Roman" w:eastAsia="楷体_GB2312" w:cs="楷体_GB2312"/>
          <w:b/>
          <w:color w:val="auto"/>
          <w:sz w:val="32"/>
          <w:szCs w:val="32"/>
          <w:highlight w:val="none"/>
        </w:rPr>
        <w:t>（一）机关运行经费支出情况</w:t>
      </w:r>
      <w:bookmarkEnd w:id="40"/>
    </w:p>
    <w:p w14:paraId="156F570E">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乐山市五通桥区人民政府办公室</w:t>
      </w:r>
      <w:r>
        <w:rPr>
          <w:rFonts w:hint="eastAsia" w:ascii="仿宋_GB2312" w:hAnsi="仿宋_GB2312" w:eastAsia="仿宋_GB2312" w:cs="仿宋_GB2312"/>
          <w:color w:val="auto"/>
          <w:kern w:val="2"/>
          <w:sz w:val="32"/>
          <w:szCs w:val="32"/>
          <w:highlight w:val="none"/>
          <w:lang w:val="en-US" w:eastAsia="zh-CN" w:bidi="ar-SA"/>
        </w:rPr>
        <w:t>机关运行经费支</w:t>
      </w:r>
      <w:r>
        <w:rPr>
          <w:rFonts w:hint="eastAsia" w:ascii="Times New Roman" w:hAnsi="Times New Roman" w:eastAsia="仿宋_GB2312" w:cs="仿宋_GB2312"/>
          <w:color w:val="auto"/>
          <w:kern w:val="2"/>
          <w:sz w:val="32"/>
          <w:szCs w:val="32"/>
          <w:highlight w:val="none"/>
          <w:lang w:val="en-US" w:eastAsia="zh-CN" w:bidi="ar-SA"/>
        </w:rPr>
        <w:t>出238.64万元，比2023年度减少82.24万元，下降25.63%。主要原因是2024年度未新购公务用车。</w:t>
      </w:r>
    </w:p>
    <w:p w14:paraId="2B6CF9F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1" w:name="_Toc15377223"/>
      <w:r>
        <w:rPr>
          <w:rFonts w:hint="eastAsia" w:ascii="Times New Roman" w:hAnsi="Times New Roman" w:eastAsia="楷体_GB2312" w:cs="楷体_GB2312"/>
          <w:b/>
          <w:color w:val="auto"/>
          <w:sz w:val="32"/>
          <w:szCs w:val="32"/>
          <w:highlight w:val="none"/>
        </w:rPr>
        <w:t>（二）政府采购支出情况</w:t>
      </w:r>
      <w:bookmarkEnd w:id="41"/>
    </w:p>
    <w:p w14:paraId="41A69EC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2024年度，乐山市五通桥区人民政府办公室政府采购支出总额2.72万元，其中：政府采购货物支出2.72万元、政府采购工程支出0万元、政府采购服务支出0万元。主要用于</w:t>
      </w:r>
      <w:r>
        <w:rPr>
          <w:rFonts w:hint="eastAsia" w:eastAsia="仿宋_GB2312" w:cs="仿宋_GB2312"/>
          <w:color w:val="auto"/>
          <w:kern w:val="2"/>
          <w:sz w:val="32"/>
          <w:szCs w:val="32"/>
          <w:highlight w:val="none"/>
          <w:lang w:val="en-US" w:eastAsia="zh-CN" w:bidi="ar-SA"/>
        </w:rPr>
        <w:t>办公设备采购</w:t>
      </w:r>
      <w:r>
        <w:rPr>
          <w:rFonts w:hint="eastAsia" w:ascii="Times New Roman" w:hAnsi="Times New Roman" w:eastAsia="仿宋_GB2312" w:cs="仿宋_GB2312"/>
          <w:color w:val="auto"/>
          <w:kern w:val="2"/>
          <w:sz w:val="32"/>
          <w:szCs w:val="32"/>
          <w:highlight w:val="none"/>
          <w:lang w:val="en-US" w:eastAsia="zh-CN" w:bidi="ar-SA"/>
        </w:rPr>
        <w:t>。授予中小企业合同金额2.72万元，占政府采购支出总额的100%，其中：授予小微企业合同金额2.72万元，占政府采购支出总额的100%。</w:t>
      </w:r>
    </w:p>
    <w:p w14:paraId="324456A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2" w:name="_Toc15377224"/>
      <w:r>
        <w:rPr>
          <w:rFonts w:hint="eastAsia" w:ascii="Times New Roman" w:hAnsi="Times New Roman" w:eastAsia="楷体_GB2312" w:cs="楷体_GB2312"/>
          <w:b/>
          <w:color w:val="auto"/>
          <w:sz w:val="32"/>
          <w:szCs w:val="32"/>
          <w:highlight w:val="none"/>
        </w:rPr>
        <w:t>（三）国有资产占有使用情况</w:t>
      </w:r>
      <w:bookmarkEnd w:id="42"/>
    </w:p>
    <w:p w14:paraId="026FF87F">
      <w:pPr>
        <w:spacing w:line="60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仿宋_GB2312"/>
          <w:color w:val="auto"/>
          <w:kern w:val="2"/>
          <w:sz w:val="32"/>
          <w:szCs w:val="32"/>
          <w:highlight w:val="none"/>
          <w:lang w:val="en-US" w:eastAsia="zh-CN" w:bidi="ar-SA"/>
        </w:rPr>
        <w:t>截至2024年12月31日，乐山市五通桥区人民政府办公室共有车辆36辆，其中：主要负责人用车1辆、机要通信用车0辆、应急保障用车34辆、其他用车1辆，其他用车主要是用于</w:t>
      </w:r>
      <w:r>
        <w:rPr>
          <w:rFonts w:hint="eastAsia" w:eastAsia="仿宋_GB2312" w:cs="仿宋_GB2312"/>
          <w:color w:val="auto"/>
          <w:kern w:val="2"/>
          <w:sz w:val="32"/>
          <w:szCs w:val="32"/>
          <w:highlight w:val="none"/>
          <w:lang w:val="en-US" w:eastAsia="zh-CN" w:bidi="ar-SA"/>
        </w:rPr>
        <w:t>调研用车。</w:t>
      </w:r>
      <w:r>
        <w:rPr>
          <w:rFonts w:hint="eastAsia" w:ascii="Times New Roman" w:hAnsi="Times New Roman" w:eastAsia="仿宋_GB2312" w:cs="仿宋_GB2312"/>
          <w:color w:val="auto"/>
          <w:kern w:val="2"/>
          <w:sz w:val="32"/>
          <w:szCs w:val="32"/>
          <w:highlight w:val="none"/>
          <w:lang w:val="en-US" w:eastAsia="zh-CN" w:bidi="ar-SA"/>
        </w:rPr>
        <w:t>单价100万元（含）以上设备（不含车辆）0台（套）。</w:t>
      </w:r>
      <w:r>
        <w:rPr>
          <w:rFonts w:hint="eastAsia" w:ascii="Times New Roman" w:hAnsi="Times New Roman" w:eastAsia="仿宋_GB2312" w:cs="Times New Roman"/>
          <w:color w:val="000000"/>
          <w:sz w:val="32"/>
          <w:szCs w:val="32"/>
          <w:lang w:val="en-US" w:eastAsia="zh-CN"/>
        </w:rPr>
        <w:t>区政府办公室统筹管理使用车辆71辆。</w:t>
      </w:r>
    </w:p>
    <w:p w14:paraId="2CA62D08">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259A53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ascii="Times New Roman" w:hAnsi="Times New Roman" w:eastAsia="仿宋_GB2312" w:cs="Times New Roman"/>
          <w:color w:val="000000"/>
          <w:sz w:val="32"/>
          <w:szCs w:val="32"/>
          <w:lang w:val="en-US" w:eastAsia="zh-CN"/>
        </w:rPr>
        <w:t>本部门</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ascii="Times New Roman" w:hAnsi="Times New Roman" w:eastAsia="仿宋_GB2312" w:cs="Times New Roman"/>
          <w:color w:val="000000"/>
          <w:sz w:val="32"/>
          <w:szCs w:val="32"/>
          <w:lang w:val="en-US" w:eastAsia="zh-CN"/>
        </w:rPr>
        <w:t>区政府大院专项经费、区政府后勤保障经费项目</w:t>
      </w:r>
      <w:r>
        <w:rPr>
          <w:rFonts w:hint="eastAsia" w:ascii="Times New Roman" w:hAnsi="Times New Roman" w:eastAsia="仿宋_GB2312" w:cs="仿宋_GB2312"/>
          <w:color w:val="auto"/>
          <w:kern w:val="2"/>
          <w:sz w:val="32"/>
          <w:szCs w:val="32"/>
          <w:highlight w:val="none"/>
          <w:lang w:val="en-US" w:eastAsia="zh-CN" w:bidi="ar-SA"/>
        </w:rPr>
        <w:t>等</w:t>
      </w: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个项目开展绩效监控。</w:t>
      </w:r>
    </w:p>
    <w:p w14:paraId="263A66FB">
      <w:p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w:t>
      </w:r>
      <w:r>
        <w:rPr>
          <w:rFonts w:hint="eastAsia" w:eastAsia="仿宋_GB2312" w:cs="仿宋_GB2312"/>
          <w:color w:val="auto"/>
          <w:kern w:val="2"/>
          <w:sz w:val="32"/>
          <w:szCs w:val="32"/>
          <w:highlight w:val="none"/>
          <w:lang w:val="en-US" w:eastAsia="zh-CN" w:bidi="ar-SA"/>
        </w:rPr>
        <w:t>乐山市五通桥区人民政府办公室</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部门整体（含部门预算项目）绩效自评报告</w:t>
      </w:r>
      <w:r>
        <w:rPr>
          <w:rFonts w:hint="eastAsia" w:eastAsia="仿宋_GB2312" w:cs="仿宋_GB2312"/>
          <w:color w:val="auto"/>
          <w:kern w:val="2"/>
          <w:sz w:val="32"/>
          <w:szCs w:val="32"/>
          <w:highlight w:val="none"/>
          <w:lang w:val="en-US" w:eastAsia="zh-CN" w:bidi="ar-SA"/>
        </w:rPr>
        <w:t>。部门</w:t>
      </w:r>
      <w:r>
        <w:rPr>
          <w:rFonts w:hint="eastAsia" w:ascii="Times New Roman" w:hAnsi="Times New Roman" w:eastAsia="仿宋_GB2312" w:cs="Times New Roman"/>
          <w:color w:val="000000"/>
          <w:sz w:val="32"/>
          <w:szCs w:val="32"/>
          <w:lang w:val="en-US" w:eastAsia="zh-CN"/>
        </w:rPr>
        <w:t>整体（含部门预算项目）绩效自评得分为100分，绩效自评综述：</w:t>
      </w:r>
      <w:r>
        <w:rPr>
          <w:rFonts w:hint="default" w:ascii="Times New Roman" w:hAnsi="Times New Roman" w:eastAsia="仿宋_GB2312" w:cs="Times New Roman"/>
          <w:color w:val="000000"/>
          <w:sz w:val="32"/>
          <w:szCs w:val="32"/>
          <w:lang w:val="en-US" w:eastAsia="zh-CN"/>
        </w:rPr>
        <w:t>202</w:t>
      </w:r>
      <w:r>
        <w:rPr>
          <w:rFonts w:hint="eastAsia"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val="en-US" w:eastAsia="zh-CN"/>
        </w:rPr>
        <w:t>年部门</w:t>
      </w:r>
      <w:r>
        <w:rPr>
          <w:rFonts w:hint="eastAsia" w:ascii="Times New Roman" w:hAnsi="Times New Roman" w:eastAsia="仿宋_GB2312" w:cs="Times New Roman"/>
          <w:color w:val="000000"/>
          <w:sz w:val="32"/>
          <w:szCs w:val="32"/>
          <w:lang w:val="en-US" w:eastAsia="zh-CN"/>
        </w:rPr>
        <w:t>整体</w:t>
      </w:r>
      <w:r>
        <w:rPr>
          <w:rFonts w:hint="default" w:ascii="Times New Roman" w:hAnsi="Times New Roman" w:eastAsia="仿宋_GB2312" w:cs="Times New Roman"/>
          <w:color w:val="000000"/>
          <w:sz w:val="32"/>
          <w:szCs w:val="32"/>
          <w:lang w:val="en-US" w:eastAsia="zh-CN"/>
        </w:rPr>
        <w:t>支出与预算基本一致，预算合理、</w:t>
      </w:r>
      <w:r>
        <w:rPr>
          <w:rFonts w:hint="eastAsia" w:ascii="Times New Roman" w:hAnsi="Times New Roman" w:eastAsia="仿宋_GB2312" w:cs="Times New Roman"/>
          <w:color w:val="000000"/>
          <w:sz w:val="32"/>
          <w:szCs w:val="32"/>
          <w:lang w:val="en-US" w:eastAsia="zh-CN"/>
        </w:rPr>
        <w:t>全</w:t>
      </w:r>
      <w:r>
        <w:rPr>
          <w:rFonts w:hint="default" w:ascii="Times New Roman" w:hAnsi="Times New Roman" w:eastAsia="仿宋_GB2312" w:cs="Times New Roman"/>
          <w:color w:val="000000"/>
          <w:sz w:val="32"/>
          <w:szCs w:val="32"/>
          <w:lang w:val="en-US" w:eastAsia="zh-CN"/>
        </w:rPr>
        <w:t>年支出保证了部门的正常运行和各项工作的正常开展，达到预期</w:t>
      </w:r>
      <w:r>
        <w:rPr>
          <w:rFonts w:hint="eastAsia" w:ascii="Times New Roman" w:hAnsi="Times New Roman" w:eastAsia="仿宋_GB2312" w:cs="Times New Roman"/>
          <w:color w:val="000000"/>
          <w:sz w:val="32"/>
          <w:szCs w:val="32"/>
          <w:lang w:val="en-US" w:eastAsia="zh-CN"/>
        </w:rPr>
        <w:t>部门整体</w:t>
      </w:r>
      <w:r>
        <w:rPr>
          <w:rFonts w:hint="default" w:ascii="Times New Roman" w:hAnsi="Times New Roman" w:eastAsia="仿宋_GB2312" w:cs="Times New Roman"/>
          <w:color w:val="000000"/>
          <w:sz w:val="32"/>
          <w:szCs w:val="32"/>
          <w:lang w:val="en-US" w:eastAsia="zh-CN"/>
        </w:rPr>
        <w:t>绩效目标，总体较为满意。</w:t>
      </w:r>
      <w:r>
        <w:rPr>
          <w:rFonts w:hint="eastAsia" w:ascii="Times New Roman" w:hAnsi="Times New Roman" w:eastAsia="仿宋_GB2312" w:cs="Times New Roman"/>
          <w:color w:val="000000"/>
          <w:sz w:val="32"/>
          <w:szCs w:val="32"/>
          <w:lang w:val="en-US" w:eastAsia="zh-CN"/>
        </w:rPr>
        <w:t>绩效自评报告详见附件。</w:t>
      </w:r>
    </w:p>
    <w:p w14:paraId="33CC729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AEAB51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7719805">
      <w:pPr>
        <w:rPr>
          <w:rFonts w:hint="eastAsia" w:ascii="Times New Roman" w:hAnsi="Times New Roman" w:eastAsia="黑体"/>
          <w:color w:val="auto"/>
          <w:sz w:val="44"/>
          <w:szCs w:val="44"/>
          <w:highlight w:val="none"/>
        </w:rPr>
      </w:pPr>
      <w:bookmarkStart w:id="43" w:name="_Toc15377225"/>
      <w:bookmarkStart w:id="44" w:name="_Toc15396613"/>
      <w:r>
        <w:rPr>
          <w:rFonts w:hint="eastAsia" w:ascii="Times New Roman" w:hAnsi="Times New Roman" w:eastAsia="黑体"/>
          <w:color w:val="auto"/>
          <w:sz w:val="44"/>
          <w:szCs w:val="44"/>
          <w:highlight w:val="none"/>
        </w:rPr>
        <w:br w:type="page"/>
      </w:r>
    </w:p>
    <w:p w14:paraId="5806C49A">
      <w:pPr>
        <w:numPr>
          <w:ilvl w:val="0"/>
          <w:numId w:val="0"/>
        </w:numPr>
        <w:spacing w:line="600" w:lineRule="exact"/>
        <w:jc w:val="center"/>
        <w:outlineLvl w:val="0"/>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3"/>
      <w:bookmarkEnd w:id="44"/>
    </w:p>
    <w:p w14:paraId="63F1F7CA">
      <w:pPr>
        <w:spacing w:line="600" w:lineRule="exact"/>
        <w:jc w:val="left"/>
        <w:rPr>
          <w:rFonts w:ascii="Times New Roman" w:hAnsi="Times New Roman"/>
          <w:b/>
          <w:color w:val="auto"/>
          <w:sz w:val="44"/>
          <w:szCs w:val="44"/>
          <w:highlight w:val="none"/>
        </w:rPr>
      </w:pPr>
    </w:p>
    <w:p w14:paraId="603BD142">
      <w:pPr>
        <w:ind w:firstLine="640" w:firstLineChars="200"/>
        <w:rPr>
          <w:rFonts w:hint="eastAsia" w:ascii="仿宋_GB2312" w:eastAsia="仿宋_GB2312"/>
          <w:sz w:val="32"/>
          <w:szCs w:val="32"/>
        </w:rPr>
      </w:pPr>
      <w:bookmarkStart w:id="45" w:name="_Toc15396614"/>
      <w:bookmarkStart w:id="46" w:name="_Toc15377226"/>
      <w:r>
        <w:rPr>
          <w:rFonts w:hint="eastAsia" w:ascii="仿宋_GB2312" w:eastAsia="仿宋_GB2312"/>
          <w:sz w:val="32"/>
          <w:szCs w:val="32"/>
        </w:rPr>
        <w:t>1.财政拨款收入：指单位从同级财政部门取得的财政预算资金。</w:t>
      </w:r>
    </w:p>
    <w:p w14:paraId="1F340D77">
      <w:pPr>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w:t>
      </w:r>
    </w:p>
    <w:p w14:paraId="4B38355D">
      <w:pPr>
        <w:ind w:firstLine="640" w:firstLineChars="200"/>
        <w:rPr>
          <w:rFonts w:hint="eastAsia" w:ascii="仿宋_GB2312" w:eastAsia="仿宋_GB2312"/>
          <w:sz w:val="32"/>
          <w:szCs w:val="32"/>
        </w:rPr>
      </w:pPr>
      <w:r>
        <w:rPr>
          <w:rFonts w:hint="eastAsia" w:ascii="仿宋_GB2312" w:eastAsia="仿宋_GB2312"/>
          <w:sz w:val="32"/>
          <w:szCs w:val="32"/>
        </w:rPr>
        <w:t>3.经营收入：指事业单位在专业业务活动及其辅助活动之外开展非独立核算经营活动取得的收入。</w:t>
      </w:r>
    </w:p>
    <w:p w14:paraId="099B77E1">
      <w:pPr>
        <w:ind w:firstLine="640" w:firstLineChars="200"/>
        <w:rPr>
          <w:rFonts w:hint="eastAsia" w:ascii="仿宋_GB2312" w:eastAsia="仿宋_GB2312"/>
          <w:sz w:val="32"/>
          <w:szCs w:val="32"/>
        </w:rPr>
      </w:pPr>
      <w:r>
        <w:rPr>
          <w:rFonts w:hint="eastAsia" w:ascii="仿宋_GB2312" w:eastAsia="仿宋_GB2312"/>
          <w:sz w:val="32"/>
          <w:szCs w:val="32"/>
        </w:rPr>
        <w:t xml:space="preserve">4.其他收入：指单位取得的除上述收入以外的各项收入。 </w:t>
      </w:r>
    </w:p>
    <w:p w14:paraId="38E6F945">
      <w:pPr>
        <w:ind w:firstLine="640" w:firstLineChars="200"/>
        <w:rPr>
          <w:rFonts w:hint="eastAsia" w:ascii="仿宋_GB2312" w:eastAsia="仿宋_GB2312"/>
          <w:sz w:val="32"/>
          <w:szCs w:val="32"/>
        </w:rPr>
      </w:pPr>
      <w:r>
        <w:rPr>
          <w:rFonts w:hint="eastAsia" w:ascii="仿宋_GB2312" w:eastAsia="仿宋_GB2312"/>
          <w:sz w:val="32"/>
          <w:szCs w:val="32"/>
        </w:rPr>
        <w:t xml:space="preserve">5.使用非财政拨款结余（含专用结余）：指事业单位使用以前年度积累的非财政拨款结余弥补当年收支差额的金额。 </w:t>
      </w:r>
    </w:p>
    <w:p w14:paraId="5EE33E15">
      <w:pPr>
        <w:ind w:firstLine="640" w:firstLineChars="200"/>
        <w:rPr>
          <w:rFonts w:hint="eastAsia" w:ascii="仿宋_GB2312" w:eastAsia="仿宋_GB2312"/>
          <w:sz w:val="32"/>
          <w:szCs w:val="32"/>
        </w:rPr>
      </w:pPr>
      <w:r>
        <w:rPr>
          <w:rFonts w:hint="eastAsia" w:ascii="仿宋_GB2312" w:eastAsia="仿宋_GB2312"/>
          <w:sz w:val="32"/>
          <w:szCs w:val="32"/>
        </w:rPr>
        <w:t xml:space="preserve">6.年初结转和结余：指以前年度尚未完成、结转到本年按有关规定继续使用的资金。 </w:t>
      </w:r>
    </w:p>
    <w:p w14:paraId="2C527B0F">
      <w:pPr>
        <w:ind w:firstLine="640" w:firstLineChars="200"/>
        <w:rPr>
          <w:rFonts w:hint="eastAsia" w:ascii="仿宋_GB2312" w:eastAsia="仿宋_GB2312"/>
          <w:sz w:val="32"/>
          <w:szCs w:val="32"/>
        </w:rPr>
      </w:pPr>
      <w:r>
        <w:rPr>
          <w:rFonts w:hint="eastAsia" w:ascii="仿宋_GB2312" w:eastAsia="仿宋_GB2312"/>
          <w:sz w:val="32"/>
          <w:szCs w:val="32"/>
        </w:rPr>
        <w:t>7.结余分配：指事业单位按照会计制度规定缴纳的所得税、提取的专用结余以及转入非财政拨款结余的金额等。</w:t>
      </w:r>
    </w:p>
    <w:p w14:paraId="3756B09D">
      <w:pPr>
        <w:ind w:firstLine="640" w:firstLineChars="200"/>
        <w:rPr>
          <w:rFonts w:hint="eastAsia" w:ascii="仿宋_GB2312" w:eastAsia="仿宋_GB2312"/>
          <w:sz w:val="32"/>
          <w:szCs w:val="32"/>
        </w:rPr>
      </w:pPr>
      <w:r>
        <w:rPr>
          <w:rFonts w:hint="eastAsia" w:ascii="仿宋_GB2312" w:eastAsia="仿宋_GB2312"/>
          <w:sz w:val="32"/>
          <w:szCs w:val="32"/>
        </w:rPr>
        <w:t>8.年末结转和结余：指单位按有关规定结转到下年或以后年度继续使用的资金。</w:t>
      </w:r>
    </w:p>
    <w:p w14:paraId="74B6163D">
      <w:pPr>
        <w:spacing w:line="580" w:lineRule="exact"/>
        <w:ind w:firstLine="640" w:firstLineChars="200"/>
        <w:rPr>
          <w:rFonts w:hAnsi="仿宋_GB2312" w:eastAsia="仿宋_GB2312"/>
          <w:sz w:val="32"/>
          <w:szCs w:val="32"/>
        </w:rPr>
      </w:pPr>
      <w:r>
        <w:rPr>
          <w:rFonts w:hint="eastAsia" w:ascii="仿宋_GB2312" w:eastAsia="仿宋_GB2312"/>
          <w:sz w:val="32"/>
          <w:szCs w:val="32"/>
        </w:rPr>
        <w:t>9.</w:t>
      </w:r>
      <w:r>
        <w:rPr>
          <w:rFonts w:hAnsi="仿宋_GB2312" w:eastAsia="仿宋_GB2312"/>
          <w:sz w:val="32"/>
          <w:szCs w:val="32"/>
        </w:rPr>
        <w:t>一般公共服</w:t>
      </w:r>
      <w:r>
        <w:rPr>
          <w:rFonts w:hint="eastAsia" w:hAnsi="仿宋_GB2312" w:eastAsia="仿宋_GB2312"/>
          <w:sz w:val="32"/>
          <w:szCs w:val="32"/>
        </w:rPr>
        <w:t>务201</w:t>
      </w:r>
      <w:r>
        <w:rPr>
          <w:rFonts w:hint="eastAsia" w:hAnsi="仿宋_GB2312" w:eastAsia="仿宋_GB2312"/>
          <w:sz w:val="32"/>
          <w:szCs w:val="32"/>
          <w:lang w:eastAsia="zh-CN"/>
        </w:rPr>
        <w:t>（类）</w:t>
      </w:r>
      <w:r>
        <w:rPr>
          <w:rFonts w:hint="eastAsia" w:hAnsi="仿宋_GB2312" w:eastAsia="仿宋_GB2312"/>
          <w:sz w:val="32"/>
          <w:szCs w:val="32"/>
          <w:lang w:val="en-US" w:eastAsia="zh-CN"/>
        </w:rPr>
        <w:t>03（款）01（项）：指行政运行，</w:t>
      </w:r>
      <w:r>
        <w:rPr>
          <w:rFonts w:hint="eastAsia" w:hAnsi="仿宋_GB2312" w:eastAsia="仿宋_GB2312"/>
          <w:sz w:val="32"/>
          <w:szCs w:val="32"/>
          <w:lang w:eastAsia="zh-CN"/>
        </w:rPr>
        <w:t>反映行政单位（包括实行公务员管理的事业单位）的基本支出</w:t>
      </w:r>
      <w:r>
        <w:rPr>
          <w:rFonts w:hint="eastAsia" w:hAnsi="仿宋_GB2312" w:eastAsia="仿宋_GB2312"/>
          <w:sz w:val="32"/>
          <w:szCs w:val="32"/>
        </w:rPr>
        <w:t>；201（类）03（款）02（项）</w:t>
      </w:r>
      <w:r>
        <w:rPr>
          <w:rFonts w:hint="eastAsia" w:hAnsi="仿宋_GB2312" w:eastAsia="仿宋_GB2312"/>
          <w:sz w:val="32"/>
          <w:szCs w:val="32"/>
          <w:lang w:val="en-US" w:eastAsia="zh-CN"/>
        </w:rPr>
        <w:t>：指一</w:t>
      </w:r>
      <w:r>
        <w:rPr>
          <w:rFonts w:hint="eastAsia" w:hAnsi="仿宋_GB2312" w:eastAsia="仿宋_GB2312"/>
          <w:sz w:val="32"/>
          <w:szCs w:val="32"/>
        </w:rPr>
        <w:t>般行政管理事务</w:t>
      </w:r>
      <w:r>
        <w:rPr>
          <w:rFonts w:hint="eastAsia" w:hAnsi="仿宋_GB2312" w:eastAsia="仿宋_GB2312"/>
          <w:sz w:val="32"/>
          <w:szCs w:val="32"/>
          <w:lang w:eastAsia="zh-CN"/>
        </w:rPr>
        <w:t>，反映行政单位（包括实行公务员管理的事业单位）未单独设置项级科目的其他项目支出</w:t>
      </w:r>
      <w:r>
        <w:rPr>
          <w:rFonts w:hint="eastAsia" w:hAnsi="仿宋_GB2312" w:eastAsia="仿宋_GB2312"/>
          <w:sz w:val="32"/>
          <w:szCs w:val="32"/>
        </w:rPr>
        <w:t>；201（类）03（款）50（项）：指事业运行</w:t>
      </w:r>
      <w:r>
        <w:rPr>
          <w:rFonts w:hint="eastAsia" w:hAnsi="仿宋_GB2312" w:eastAsia="仿宋_GB2312"/>
          <w:sz w:val="32"/>
          <w:szCs w:val="32"/>
          <w:lang w:eastAsia="zh-CN"/>
        </w:rPr>
        <w:t>，反映事业单位的基本支出，不包括行政单位（包括实行公务员管理的事业单位）后勤服务中心、医务室等附属事业单位</w:t>
      </w:r>
      <w:r>
        <w:rPr>
          <w:rFonts w:hint="eastAsia" w:hAnsi="仿宋_GB2312" w:eastAsia="仿宋_GB2312"/>
          <w:sz w:val="32"/>
          <w:szCs w:val="32"/>
        </w:rPr>
        <w:t>；201（类）03（款）99（项）：指其他政府办公厅（室）及相关机构事务支出，反映除上</w:t>
      </w:r>
      <w:r>
        <w:rPr>
          <w:rFonts w:hint="eastAsia" w:hAnsi="仿宋_GB2312" w:eastAsia="仿宋_GB2312"/>
          <w:sz w:val="32"/>
          <w:szCs w:val="32"/>
          <w:lang w:eastAsia="zh-CN"/>
        </w:rPr>
        <w:t>述</w:t>
      </w:r>
      <w:r>
        <w:rPr>
          <w:rFonts w:hint="eastAsia" w:hAnsi="仿宋_GB2312" w:eastAsia="仿宋_GB2312"/>
          <w:sz w:val="32"/>
          <w:szCs w:val="32"/>
        </w:rPr>
        <w:t>项目以</w:t>
      </w:r>
      <w:r>
        <w:rPr>
          <w:rFonts w:hint="eastAsia" w:hAnsi="仿宋_GB2312" w:eastAsia="仿宋_GB2312"/>
          <w:sz w:val="32"/>
          <w:szCs w:val="32"/>
          <w:lang w:eastAsia="zh-CN"/>
        </w:rPr>
        <w:t>外</w:t>
      </w:r>
      <w:r>
        <w:rPr>
          <w:rFonts w:hint="eastAsia" w:hAnsi="仿宋_GB2312" w:eastAsia="仿宋_GB2312"/>
          <w:sz w:val="32"/>
          <w:szCs w:val="32"/>
        </w:rPr>
        <w:t>的其他政府办公厅（室）及相关机构事务支出。</w:t>
      </w:r>
    </w:p>
    <w:p w14:paraId="63C1C1E1">
      <w:pPr>
        <w:spacing w:line="580" w:lineRule="exact"/>
        <w:ind w:firstLine="640" w:firstLineChars="200"/>
        <w:rPr>
          <w:rFonts w:hint="default" w:hAnsi="仿宋_GB2312" w:eastAsia="仿宋_GB2312"/>
          <w:sz w:val="32"/>
          <w:szCs w:val="32"/>
          <w:lang w:val="en-US" w:eastAsia="zh-CN"/>
        </w:rPr>
      </w:pPr>
      <w:r>
        <w:rPr>
          <w:rFonts w:hint="eastAsia" w:hAnsi="仿宋_GB2312" w:eastAsia="仿宋_GB2312"/>
          <w:sz w:val="32"/>
          <w:szCs w:val="32"/>
          <w:lang w:val="en-US" w:eastAsia="zh-CN"/>
        </w:rPr>
        <w:t>10</w:t>
      </w:r>
      <w:r>
        <w:rPr>
          <w:rFonts w:hint="eastAsia" w:hAnsi="仿宋_GB2312" w:eastAsia="仿宋_GB2312"/>
          <w:sz w:val="32"/>
          <w:szCs w:val="32"/>
        </w:rPr>
        <w:t>．社会保障和就业208（类）05（款）05（项）：指机关事业单位基本养老保险缴费支出</w:t>
      </w:r>
      <w:r>
        <w:rPr>
          <w:rFonts w:hint="eastAsia" w:hAnsi="仿宋_GB2312" w:eastAsia="仿宋_GB2312"/>
          <w:sz w:val="32"/>
          <w:szCs w:val="32"/>
          <w:lang w:eastAsia="zh-CN"/>
        </w:rPr>
        <w:t>，反映机关事业单位实施养老保险制度由单位缴纳的基本养老保险费支出</w:t>
      </w:r>
      <w:r>
        <w:rPr>
          <w:rFonts w:hint="eastAsia" w:hAnsi="仿宋_GB2312" w:eastAsia="仿宋_GB2312"/>
          <w:sz w:val="32"/>
          <w:szCs w:val="32"/>
        </w:rPr>
        <w:t>；社会保障和就业208（类）05（款）</w:t>
      </w:r>
      <w:r>
        <w:rPr>
          <w:rFonts w:hint="eastAsia" w:hAnsi="仿宋_GB2312" w:eastAsia="仿宋_GB2312"/>
          <w:sz w:val="32"/>
          <w:szCs w:val="32"/>
          <w:lang w:val="en-US" w:eastAsia="zh-CN"/>
        </w:rPr>
        <w:t>0</w:t>
      </w:r>
      <w:r>
        <w:rPr>
          <w:rFonts w:hint="eastAsia" w:hAnsi="仿宋_GB2312" w:eastAsia="仿宋_GB2312"/>
          <w:sz w:val="32"/>
          <w:szCs w:val="32"/>
        </w:rPr>
        <w:t>6（项）：指机关事业单位职业年金缴费支出</w:t>
      </w:r>
      <w:r>
        <w:rPr>
          <w:rFonts w:hint="eastAsia" w:hAnsi="仿宋_GB2312" w:eastAsia="仿宋_GB2312"/>
          <w:sz w:val="32"/>
          <w:szCs w:val="32"/>
          <w:lang w:eastAsia="zh-CN"/>
        </w:rPr>
        <w:t>，反映机关事业单位实施养老保险制度由单位实际缴纳的职业年金支出</w:t>
      </w:r>
      <w:r>
        <w:rPr>
          <w:rFonts w:hint="eastAsia" w:hAnsi="仿宋_GB2312" w:eastAsia="仿宋_GB2312"/>
          <w:sz w:val="32"/>
          <w:szCs w:val="32"/>
        </w:rPr>
        <w:t>；社会保障和就业208（类）05（款）99（项）：指其他行政事业单位养老支出</w:t>
      </w:r>
      <w:r>
        <w:rPr>
          <w:rFonts w:hint="eastAsia" w:hAnsi="仿宋_GB2312" w:eastAsia="仿宋_GB2312"/>
          <w:sz w:val="32"/>
          <w:szCs w:val="32"/>
          <w:lang w:eastAsia="zh-CN"/>
        </w:rPr>
        <w:t>，反映其他用于</w:t>
      </w:r>
      <w:r>
        <w:rPr>
          <w:rFonts w:hint="eastAsia" w:hAnsi="仿宋_GB2312" w:eastAsia="仿宋_GB2312"/>
          <w:sz w:val="32"/>
          <w:szCs w:val="32"/>
        </w:rPr>
        <w:t>行政事业单位养老</w:t>
      </w:r>
      <w:r>
        <w:rPr>
          <w:rFonts w:hint="eastAsia" w:hAnsi="仿宋_GB2312" w:eastAsia="仿宋_GB2312"/>
          <w:sz w:val="32"/>
          <w:szCs w:val="32"/>
          <w:lang w:eastAsia="zh-CN"/>
        </w:rPr>
        <w:t>方面的</w:t>
      </w:r>
      <w:r>
        <w:rPr>
          <w:rFonts w:hint="eastAsia" w:hAnsi="仿宋_GB2312" w:eastAsia="仿宋_GB2312"/>
          <w:sz w:val="32"/>
          <w:szCs w:val="32"/>
        </w:rPr>
        <w:t>支出</w:t>
      </w:r>
      <w:r>
        <w:rPr>
          <w:rFonts w:hint="eastAsia" w:hAnsi="仿宋_GB2312" w:eastAsia="仿宋_GB2312"/>
          <w:sz w:val="32"/>
          <w:szCs w:val="32"/>
          <w:lang w:eastAsia="zh-CN"/>
        </w:rPr>
        <w:t>；</w:t>
      </w:r>
      <w:r>
        <w:rPr>
          <w:rFonts w:hint="eastAsia" w:hAnsi="仿宋_GB2312" w:eastAsia="仿宋_GB2312"/>
          <w:sz w:val="32"/>
          <w:szCs w:val="32"/>
        </w:rPr>
        <w:t>社会保障和就业208（类）</w:t>
      </w:r>
      <w:r>
        <w:rPr>
          <w:rFonts w:hint="eastAsia" w:hAnsi="仿宋_GB2312" w:eastAsia="仿宋_GB2312"/>
          <w:sz w:val="32"/>
          <w:szCs w:val="32"/>
          <w:lang w:val="en-US" w:eastAsia="zh-CN"/>
        </w:rPr>
        <w:t>08（款）01（项）：指死亡抚恤支出，反映按规定用于烈士和牺牲、病故人员家属的一次性和定期抚恤金、丧葬补助费以及烈士褒扬金；</w:t>
      </w:r>
      <w:r>
        <w:rPr>
          <w:rFonts w:hint="eastAsia" w:hAnsi="仿宋_GB2312" w:eastAsia="仿宋_GB2312"/>
          <w:sz w:val="32"/>
          <w:szCs w:val="32"/>
        </w:rPr>
        <w:t>社会保障和就业208（类）</w:t>
      </w:r>
      <w:r>
        <w:rPr>
          <w:rFonts w:hint="eastAsia" w:hAnsi="仿宋_GB2312" w:eastAsia="仿宋_GB2312"/>
          <w:sz w:val="32"/>
          <w:szCs w:val="32"/>
          <w:lang w:val="en-US" w:eastAsia="zh-CN"/>
        </w:rPr>
        <w:t>99（款）99（项）：指其他社会保障机制和就业支出，反映除上述项目以外其他用于社会保障和就业方面的支出。</w:t>
      </w:r>
    </w:p>
    <w:p w14:paraId="2036CADE">
      <w:pPr>
        <w:spacing w:line="580" w:lineRule="exact"/>
        <w:ind w:firstLine="640" w:firstLineChars="200"/>
        <w:rPr>
          <w:rFonts w:hint="eastAsia" w:hAnsi="仿宋_GB2312" w:eastAsia="仿宋_GB2312"/>
          <w:sz w:val="32"/>
          <w:szCs w:val="32"/>
          <w:lang w:eastAsia="zh-CN"/>
        </w:rPr>
      </w:pPr>
      <w:r>
        <w:rPr>
          <w:rFonts w:hint="eastAsia" w:hAnsi="仿宋_GB2312" w:eastAsia="仿宋_GB2312"/>
          <w:sz w:val="32"/>
          <w:szCs w:val="32"/>
          <w:lang w:val="en-US" w:eastAsia="zh-CN"/>
        </w:rPr>
        <w:t>11</w:t>
      </w:r>
      <w:r>
        <w:rPr>
          <w:rFonts w:hint="eastAsia" w:hAnsi="仿宋_GB2312" w:eastAsia="仿宋_GB2312"/>
          <w:sz w:val="32"/>
          <w:szCs w:val="32"/>
        </w:rPr>
        <w:t>．卫生健康210（类）11（款）01（项）：指行政单位医疗，反映财政部门安排的行政单位</w:t>
      </w:r>
      <w:r>
        <w:rPr>
          <w:rFonts w:hint="eastAsia" w:hAnsi="仿宋_GB2312" w:eastAsia="仿宋_GB2312"/>
          <w:sz w:val="32"/>
          <w:szCs w:val="32"/>
          <w:lang w:eastAsia="zh-CN"/>
        </w:rPr>
        <w:t>（包括实行公务员管理的事业单位）</w:t>
      </w:r>
      <w:r>
        <w:rPr>
          <w:rFonts w:hint="eastAsia" w:hAnsi="仿宋_GB2312" w:eastAsia="仿宋_GB2312"/>
          <w:sz w:val="32"/>
          <w:szCs w:val="32"/>
        </w:rPr>
        <w:t>基本医疗保险缴费经费；210（类）11（款）02（项）：指事</w:t>
      </w:r>
      <w:r>
        <w:rPr>
          <w:rFonts w:hAnsi="仿宋_GB2312" w:eastAsia="仿宋_GB2312"/>
          <w:sz w:val="32"/>
          <w:szCs w:val="32"/>
        </w:rPr>
        <w:t>业单位医疗</w:t>
      </w:r>
      <w:r>
        <w:rPr>
          <w:rFonts w:hint="eastAsia" w:hAnsi="仿宋_GB2312" w:eastAsia="仿宋_GB2312"/>
          <w:sz w:val="32"/>
          <w:szCs w:val="32"/>
        </w:rPr>
        <w:t>，反映财政部门安排的事业单位基本医疗保险缴费经费</w:t>
      </w:r>
      <w:r>
        <w:rPr>
          <w:rFonts w:hint="eastAsia" w:hAnsi="仿宋_GB2312" w:eastAsia="仿宋_GB2312"/>
          <w:sz w:val="32"/>
          <w:szCs w:val="32"/>
          <w:lang w:eastAsia="zh-CN"/>
        </w:rPr>
        <w:t>；</w:t>
      </w:r>
      <w:r>
        <w:rPr>
          <w:rFonts w:hint="eastAsia" w:hAnsi="仿宋_GB2312" w:eastAsia="仿宋_GB2312"/>
          <w:sz w:val="32"/>
          <w:szCs w:val="32"/>
        </w:rPr>
        <w:t>210（类）11（款）0</w:t>
      </w:r>
      <w:r>
        <w:rPr>
          <w:rFonts w:hint="eastAsia" w:hAnsi="仿宋_GB2312" w:eastAsia="仿宋_GB2312"/>
          <w:sz w:val="32"/>
          <w:szCs w:val="32"/>
          <w:lang w:val="en-US" w:eastAsia="zh-CN"/>
        </w:rPr>
        <w:t>3</w:t>
      </w:r>
      <w:r>
        <w:rPr>
          <w:rFonts w:hint="eastAsia" w:hAnsi="仿宋_GB2312" w:eastAsia="仿宋_GB2312"/>
          <w:sz w:val="32"/>
          <w:szCs w:val="32"/>
        </w:rPr>
        <w:t>（项）：指</w:t>
      </w:r>
      <w:r>
        <w:rPr>
          <w:rFonts w:hint="eastAsia" w:hAnsi="仿宋_GB2312" w:eastAsia="仿宋_GB2312"/>
          <w:sz w:val="32"/>
          <w:szCs w:val="32"/>
          <w:lang w:eastAsia="zh-CN"/>
        </w:rPr>
        <w:t>公务员医疗补助</w:t>
      </w:r>
      <w:r>
        <w:rPr>
          <w:rFonts w:hint="eastAsia" w:hAnsi="仿宋_GB2312" w:eastAsia="仿宋_GB2312"/>
          <w:sz w:val="32"/>
          <w:szCs w:val="32"/>
        </w:rPr>
        <w:t>，反映财政部门安排的</w:t>
      </w:r>
      <w:r>
        <w:rPr>
          <w:rFonts w:hint="eastAsia" w:hAnsi="仿宋_GB2312" w:eastAsia="仿宋_GB2312"/>
          <w:sz w:val="32"/>
          <w:szCs w:val="32"/>
          <w:lang w:eastAsia="zh-CN"/>
        </w:rPr>
        <w:t>公务员医疗补助</w:t>
      </w:r>
      <w:r>
        <w:rPr>
          <w:rFonts w:hint="eastAsia" w:hAnsi="仿宋_GB2312" w:eastAsia="仿宋_GB2312"/>
          <w:sz w:val="32"/>
          <w:szCs w:val="32"/>
        </w:rPr>
        <w:t>经费</w:t>
      </w:r>
      <w:r>
        <w:rPr>
          <w:rFonts w:hint="eastAsia" w:hAnsi="仿宋_GB2312" w:eastAsia="仿宋_GB2312"/>
          <w:sz w:val="32"/>
          <w:szCs w:val="32"/>
          <w:lang w:eastAsia="zh-CN"/>
        </w:rPr>
        <w:t>。</w:t>
      </w:r>
    </w:p>
    <w:p w14:paraId="1A6237F5">
      <w:pPr>
        <w:spacing w:line="580" w:lineRule="exact"/>
        <w:ind w:firstLine="640" w:firstLineChars="200"/>
        <w:rPr>
          <w:rFonts w:hint="eastAsia" w:hAnsi="仿宋_GB2312" w:eastAsia="仿宋_GB2312"/>
          <w:sz w:val="32"/>
          <w:szCs w:val="32"/>
        </w:rPr>
      </w:pPr>
      <w:r>
        <w:rPr>
          <w:rFonts w:hint="eastAsia" w:hAnsi="仿宋_GB2312" w:eastAsia="仿宋_GB2312"/>
          <w:sz w:val="32"/>
          <w:szCs w:val="32"/>
          <w:lang w:val="en-US" w:eastAsia="zh-CN"/>
        </w:rPr>
        <w:t>12</w:t>
      </w:r>
      <w:r>
        <w:rPr>
          <w:rFonts w:hAnsi="仿宋_GB2312" w:eastAsia="仿宋_GB2312"/>
          <w:sz w:val="32"/>
          <w:szCs w:val="32"/>
        </w:rPr>
        <w:t>．住房保</w:t>
      </w:r>
      <w:r>
        <w:rPr>
          <w:rFonts w:hint="eastAsia" w:hAnsi="仿宋_GB2312" w:eastAsia="仿宋_GB2312"/>
          <w:sz w:val="32"/>
          <w:szCs w:val="32"/>
        </w:rPr>
        <w:t>障221（类）02（款）01（项）：</w:t>
      </w:r>
      <w:r>
        <w:rPr>
          <w:rFonts w:hint="eastAsia" w:hAnsi="仿宋_GB2312" w:eastAsia="仿宋_GB2312"/>
          <w:sz w:val="32"/>
          <w:szCs w:val="32"/>
          <w:lang w:eastAsia="zh-CN"/>
        </w:rPr>
        <w:t>指住房公积金，</w:t>
      </w:r>
      <w:r>
        <w:rPr>
          <w:rFonts w:hint="eastAsia" w:hAnsi="仿宋_GB2312" w:eastAsia="仿宋_GB2312"/>
          <w:sz w:val="32"/>
          <w:szCs w:val="32"/>
        </w:rPr>
        <w:t>反映行政事业单位按人力资源和社会保障部、财政部规定的基本工资和津贴补贴以及规定比例为职工缴纳的住房公积金。</w:t>
      </w:r>
    </w:p>
    <w:p w14:paraId="1149CF25">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hint="eastAsia" w:ascii="仿宋_GB2312" w:eastAsia="仿宋_GB2312"/>
          <w:sz w:val="32"/>
          <w:szCs w:val="32"/>
        </w:rPr>
        <w:t>.基本支出：指为保障机构正常运转、完成日常工作任务而发生的人员支出和公用支出。</w:t>
      </w:r>
    </w:p>
    <w:p w14:paraId="58897830">
      <w:pPr>
        <w:ind w:firstLine="640" w:firstLineChars="200"/>
        <w:rPr>
          <w:rFonts w:ascii="仿宋_GB2312" w:eastAsia="仿宋_GB2312"/>
          <w:sz w:val="32"/>
          <w:szCs w:val="32"/>
        </w:rPr>
      </w:pPr>
      <w:r>
        <w:rPr>
          <w:rFonts w:hint="eastAsia" w:ascii="仿宋_GB2312" w:eastAsia="仿宋_GB2312"/>
          <w:sz w:val="32"/>
          <w:szCs w:val="32"/>
          <w:lang w:val="en-US" w:eastAsia="zh-CN"/>
        </w:rPr>
        <w:t>14</w:t>
      </w:r>
      <w:r>
        <w:rPr>
          <w:rFonts w:hint="eastAsia" w:ascii="仿宋_GB2312" w:eastAsia="仿宋_GB2312"/>
          <w:sz w:val="32"/>
          <w:szCs w:val="32"/>
        </w:rPr>
        <w:t xml:space="preserve">.项目支出：指在基本支出之外为完成特定行政任务和事业发展目标所发生的支出。 </w:t>
      </w:r>
    </w:p>
    <w:p w14:paraId="265163DE">
      <w:pPr>
        <w:ind w:firstLine="640" w:firstLineChars="200"/>
        <w:rPr>
          <w:rFonts w:ascii="仿宋_GB2312" w:eastAsia="仿宋_GB2312"/>
          <w:sz w:val="32"/>
          <w:szCs w:val="32"/>
        </w:rPr>
      </w:pPr>
      <w:r>
        <w:rPr>
          <w:rFonts w:hint="eastAsia" w:ascii="仿宋_GB2312" w:eastAsia="仿宋_GB2312"/>
          <w:sz w:val="32"/>
          <w:szCs w:val="32"/>
          <w:lang w:val="en-US" w:eastAsia="zh-CN"/>
        </w:rPr>
        <w:t>15</w:t>
      </w:r>
      <w:r>
        <w:rPr>
          <w:rFonts w:hint="eastAsia" w:ascii="仿宋_GB2312" w:eastAsia="仿宋_GB2312"/>
          <w:sz w:val="32"/>
          <w:szCs w:val="32"/>
        </w:rPr>
        <w:t>.经营支出：指事业单位在专业业务活动及其辅助活动之外开展非独立核算经营活动发生的支出。</w:t>
      </w:r>
    </w:p>
    <w:p w14:paraId="4F2A1062">
      <w:pPr>
        <w:ind w:firstLine="640" w:firstLineChars="200"/>
        <w:rPr>
          <w:rFonts w:ascii="仿宋_GB2312" w:eastAsia="仿宋_GB2312"/>
          <w:sz w:val="32"/>
          <w:szCs w:val="32"/>
        </w:rPr>
      </w:pPr>
      <w:r>
        <w:rPr>
          <w:rFonts w:hint="eastAsia" w:ascii="仿宋_GB2312" w:eastAsia="仿宋_GB2312"/>
          <w:sz w:val="32"/>
          <w:szCs w:val="32"/>
          <w:lang w:val="en-US" w:eastAsia="zh-CN"/>
        </w:rPr>
        <w:t>16</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CF468B3">
      <w:pPr>
        <w:ind w:firstLine="640" w:firstLineChars="200"/>
        <w:rPr>
          <w:rFonts w:ascii="仿宋_GB2312" w:eastAsia="仿宋_GB2312"/>
          <w:sz w:val="32"/>
          <w:szCs w:val="32"/>
        </w:rPr>
      </w:pPr>
      <w:r>
        <w:rPr>
          <w:rFonts w:hint="eastAsia" w:ascii="仿宋_GB2312" w:eastAsia="仿宋_GB2312"/>
          <w:sz w:val="32"/>
          <w:szCs w:val="32"/>
          <w:lang w:val="en-US" w:eastAsia="zh-CN"/>
        </w:rPr>
        <w:t>17</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DFA99AC">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p w14:paraId="31B7B198">
      <w:pPr>
        <w:spacing w:line="600" w:lineRule="exact"/>
        <w:jc w:val="center"/>
        <w:rPr>
          <w:rStyle w:val="29"/>
          <w:rFonts w:hint="eastAsia" w:ascii="Times New Roman" w:hAnsi="Times New Roman" w:eastAsia="黑体"/>
          <w:b w:val="0"/>
          <w:color w:val="auto"/>
          <w:highlight w:val="none"/>
          <w:lang w:eastAsia="zh-CN"/>
        </w:rPr>
      </w:pPr>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45"/>
    </w:p>
    <w:p w14:paraId="0316A579">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5713F00D">
      <w:pPr>
        <w:keepNext w:val="0"/>
        <w:keepLines w:val="0"/>
        <w:pageBreakBefore w:val="0"/>
        <w:kinsoku/>
        <w:wordWrap/>
        <w:overflowPunct/>
        <w:autoSpaceDE/>
        <w:autoSpaceDN/>
        <w:bidi w:val="0"/>
        <w:spacing w:line="600" w:lineRule="exact"/>
        <w:ind w:firstLine="880" w:firstLineChars="200"/>
        <w:jc w:val="center"/>
        <w:textAlignment w:val="auto"/>
        <w:rPr>
          <w:rFonts w:ascii="方正小标宋简体" w:hAnsi="仿宋_GB2312" w:eastAsia="方正小标宋简体"/>
          <w:sz w:val="44"/>
          <w:szCs w:val="44"/>
        </w:rPr>
      </w:pPr>
      <w:bookmarkStart w:id="47" w:name="_Toc15396618"/>
      <w:r>
        <w:rPr>
          <w:rFonts w:hint="eastAsia" w:ascii="方正小标宋简体" w:hAnsi="仿宋_GB2312" w:eastAsia="方正小标宋简体"/>
          <w:sz w:val="44"/>
          <w:szCs w:val="44"/>
        </w:rPr>
        <w:t>乐山市五通桥区人民政府办公室</w:t>
      </w:r>
    </w:p>
    <w:p w14:paraId="5B493377">
      <w:pPr>
        <w:keepNext w:val="0"/>
        <w:keepLines w:val="0"/>
        <w:pageBreakBefore w:val="0"/>
        <w:kinsoku/>
        <w:wordWrap/>
        <w:overflowPunct/>
        <w:autoSpaceDE/>
        <w:autoSpaceDN/>
        <w:bidi w:val="0"/>
        <w:spacing w:line="600" w:lineRule="exact"/>
        <w:ind w:firstLine="880" w:firstLineChars="200"/>
        <w:jc w:val="center"/>
        <w:textAlignment w:val="auto"/>
        <w:rPr>
          <w:rFonts w:ascii="方正小标宋简体" w:hAnsi="仿宋_GB2312" w:eastAsia="方正小标宋简体"/>
          <w:sz w:val="44"/>
          <w:szCs w:val="44"/>
        </w:rPr>
      </w:pPr>
      <w:r>
        <w:rPr>
          <w:rFonts w:hint="eastAsia" w:ascii="方正小标宋简体" w:hAnsi="仿宋_GB2312" w:eastAsia="方正小标宋简体"/>
          <w:sz w:val="44"/>
          <w:szCs w:val="44"/>
        </w:rPr>
        <w:t>202</w:t>
      </w:r>
      <w:r>
        <w:rPr>
          <w:rFonts w:hint="eastAsia" w:ascii="方正小标宋简体" w:hAnsi="仿宋_GB2312" w:eastAsia="方正小标宋简体"/>
          <w:sz w:val="44"/>
          <w:szCs w:val="44"/>
          <w:lang w:val="en-US" w:eastAsia="zh-CN"/>
        </w:rPr>
        <w:t>4</w:t>
      </w:r>
      <w:r>
        <w:rPr>
          <w:rFonts w:hint="eastAsia" w:ascii="方正小标宋简体" w:hAnsi="仿宋_GB2312" w:eastAsia="方正小标宋简体"/>
          <w:sz w:val="44"/>
          <w:szCs w:val="44"/>
        </w:rPr>
        <w:t>年部门整体支出绩效评价报告</w:t>
      </w:r>
    </w:p>
    <w:p w14:paraId="3AE66387">
      <w:pPr>
        <w:pStyle w:val="37"/>
        <w:keepNext w:val="0"/>
        <w:keepLines w:val="0"/>
        <w:pageBreakBefore w:val="0"/>
        <w:kinsoku/>
        <w:wordWrap/>
        <w:overflowPunct/>
        <w:autoSpaceDE/>
        <w:autoSpaceDN/>
        <w:bidi w:val="0"/>
        <w:spacing w:line="600" w:lineRule="exact"/>
        <w:ind w:firstLine="643"/>
        <w:jc w:val="center"/>
        <w:textAlignment w:val="auto"/>
        <w:rPr>
          <w:rFonts w:hint="eastAsia"/>
        </w:rPr>
      </w:pPr>
      <w:r>
        <w:rPr>
          <w:rFonts w:hint="eastAsia"/>
        </w:rPr>
        <w:t>（报告范围包括机关和下属单位）</w:t>
      </w:r>
    </w:p>
    <w:p w14:paraId="460F729F">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14:paraId="40169072">
      <w:pPr>
        <w:pStyle w:val="37"/>
        <w:keepNext w:val="0"/>
        <w:keepLines w:val="0"/>
        <w:pageBreakBefore w:val="0"/>
        <w:kinsoku/>
        <w:wordWrap/>
        <w:overflowPunct/>
        <w:autoSpaceDE/>
        <w:autoSpaceDN/>
        <w:bidi w:val="0"/>
        <w:spacing w:line="600" w:lineRule="exact"/>
        <w:ind w:firstLine="643"/>
        <w:textAlignment w:val="auto"/>
        <w:rPr>
          <w:rFonts w:hint="eastAsia" w:ascii="黑体" w:hAnsi="黑体" w:eastAsia="黑体" w:cs="黑体"/>
          <w:lang w:val="zh-CN"/>
        </w:rPr>
      </w:pPr>
      <w:r>
        <w:rPr>
          <w:rFonts w:hint="eastAsia" w:ascii="黑体" w:hAnsi="黑体" w:eastAsia="黑体" w:cs="黑体"/>
        </w:rPr>
        <w:t>一、</w:t>
      </w:r>
      <w:r>
        <w:rPr>
          <w:rFonts w:hint="eastAsia" w:ascii="黑体" w:hAnsi="黑体" w:eastAsia="黑体" w:cs="黑体"/>
          <w:lang w:val="zh-CN"/>
        </w:rPr>
        <w:t>部门基本情况</w:t>
      </w:r>
    </w:p>
    <w:p w14:paraId="6D56382F">
      <w:pPr>
        <w:pStyle w:val="37"/>
        <w:keepNext w:val="0"/>
        <w:keepLines w:val="0"/>
        <w:pageBreakBefore w:val="0"/>
        <w:kinsoku/>
        <w:wordWrap/>
        <w:overflowPunct/>
        <w:autoSpaceDE/>
        <w:autoSpaceDN/>
        <w:bidi w:val="0"/>
        <w:spacing w:line="600" w:lineRule="exact"/>
        <w:ind w:firstLine="643"/>
        <w:textAlignment w:val="auto"/>
      </w:pPr>
      <w:r>
        <w:rPr>
          <w:rFonts w:hint="eastAsia"/>
          <w:b/>
        </w:rPr>
        <w:t>（一）机构组成。</w:t>
      </w:r>
      <w:r>
        <w:rPr>
          <w:rFonts w:hint="eastAsia"/>
        </w:rPr>
        <w:t>区政府办公室内设7个股室。下属二级预算单位2个，其中其他事业单位2个（区信息中心、区机关事务服务中心）。</w:t>
      </w:r>
    </w:p>
    <w:p w14:paraId="550C38EB">
      <w:pPr>
        <w:pStyle w:val="37"/>
        <w:keepNext w:val="0"/>
        <w:keepLines w:val="0"/>
        <w:pageBreakBefore w:val="0"/>
        <w:kinsoku/>
        <w:wordWrap/>
        <w:overflowPunct/>
        <w:autoSpaceDE/>
        <w:autoSpaceDN/>
        <w:bidi w:val="0"/>
        <w:spacing w:line="600" w:lineRule="exact"/>
        <w:ind w:firstLine="643"/>
        <w:textAlignment w:val="auto"/>
      </w:pPr>
      <w:r>
        <w:rPr>
          <w:rFonts w:hint="eastAsia"/>
          <w:b/>
        </w:rPr>
        <w:t>（二）机构职能</w:t>
      </w:r>
      <w:r>
        <w:rPr>
          <w:rFonts w:hint="eastAsia"/>
          <w:b/>
          <w:lang w:eastAsia="zh-CN"/>
        </w:rPr>
        <w:t>和人员概况</w:t>
      </w:r>
      <w:r>
        <w:rPr>
          <w:rFonts w:hint="eastAsia"/>
          <w:b/>
        </w:rPr>
        <w:t>。</w:t>
      </w:r>
      <w:r>
        <w:rPr>
          <w:rFonts w:hint="eastAsia"/>
        </w:rPr>
        <w:t>乐山市五通桥区人民政府办公室（简称区政府办公室）是乐山市五通桥区人民政府工作部门。</w:t>
      </w:r>
    </w:p>
    <w:p w14:paraId="48FE0767">
      <w:pPr>
        <w:pStyle w:val="37"/>
        <w:keepNext w:val="0"/>
        <w:keepLines w:val="0"/>
        <w:pageBreakBefore w:val="0"/>
        <w:kinsoku/>
        <w:wordWrap/>
        <w:overflowPunct/>
        <w:autoSpaceDE/>
        <w:autoSpaceDN/>
        <w:bidi w:val="0"/>
        <w:spacing w:line="600" w:lineRule="exact"/>
        <w:textAlignment w:val="auto"/>
      </w:pPr>
      <w:r>
        <w:rPr>
          <w:rFonts w:hint="eastAsia"/>
        </w:rPr>
        <w:t>区政府办公室是协助区政府领导同志处理区政府日常工作的机构。主要职责是：</w:t>
      </w:r>
    </w:p>
    <w:p w14:paraId="7328030A">
      <w:pPr>
        <w:pStyle w:val="37"/>
        <w:keepNext w:val="0"/>
        <w:keepLines w:val="0"/>
        <w:pageBreakBefore w:val="0"/>
        <w:kinsoku/>
        <w:wordWrap/>
        <w:overflowPunct/>
        <w:autoSpaceDE/>
        <w:autoSpaceDN/>
        <w:bidi w:val="0"/>
        <w:spacing w:line="600" w:lineRule="exact"/>
        <w:textAlignment w:val="auto"/>
      </w:pPr>
      <w:r>
        <w:rPr>
          <w:rFonts w:hint="eastAsia"/>
        </w:rPr>
        <w:t>1．协助区政府领导组织起草或审核以区政府、区政府办公室名义发布的公文。办理市政府、市政府办公室及市政府各部门发送区政府的文电。指导全区行政机关公文处理工作。</w:t>
      </w:r>
    </w:p>
    <w:p w14:paraId="3088C10E">
      <w:pPr>
        <w:pStyle w:val="37"/>
        <w:keepNext w:val="0"/>
        <w:keepLines w:val="0"/>
        <w:pageBreakBefore w:val="0"/>
        <w:kinsoku/>
        <w:wordWrap/>
        <w:overflowPunct/>
        <w:autoSpaceDE/>
        <w:autoSpaceDN/>
        <w:bidi w:val="0"/>
        <w:spacing w:line="600" w:lineRule="exact"/>
        <w:textAlignment w:val="auto"/>
      </w:pPr>
      <w:r>
        <w:rPr>
          <w:rFonts w:hint="eastAsia"/>
        </w:rPr>
        <w:t>2．协助区政府领导研究区政府部门和镇人民政府请示、报告区政府的事项。</w:t>
      </w:r>
    </w:p>
    <w:p w14:paraId="220765E6">
      <w:pPr>
        <w:pStyle w:val="37"/>
        <w:keepNext w:val="0"/>
        <w:keepLines w:val="0"/>
        <w:pageBreakBefore w:val="0"/>
        <w:kinsoku/>
        <w:wordWrap/>
        <w:overflowPunct/>
        <w:autoSpaceDE/>
        <w:autoSpaceDN/>
        <w:bidi w:val="0"/>
        <w:spacing w:line="600" w:lineRule="exact"/>
        <w:textAlignment w:val="auto"/>
      </w:pPr>
      <w:r>
        <w:rPr>
          <w:rFonts w:hint="eastAsia"/>
        </w:rPr>
        <w:t>3．组织和协助做好区政府有关会议的会务工作，协助区政府领导组织实施会议决定事项。</w:t>
      </w:r>
    </w:p>
    <w:p w14:paraId="73D3DCE7">
      <w:pPr>
        <w:pStyle w:val="9"/>
        <w:keepNext w:val="0"/>
        <w:keepLines w:val="0"/>
        <w:pageBreakBefore w:val="0"/>
        <w:kinsoku/>
        <w:wordWrap/>
        <w:overflowPunct/>
        <w:autoSpaceDE/>
        <w:autoSpaceDN/>
        <w:bidi w:val="0"/>
        <w:spacing w:line="600" w:lineRule="exact"/>
        <w:ind w:firstLine="640" w:firstLineChars="200"/>
        <w:textAlignment w:val="auto"/>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4．督促区政府部门和镇人民政府正确履行工作职责，贯彻执行上级各项决定和部署，协调区政府部门和镇人民政府开展工作。</w:t>
      </w:r>
    </w:p>
    <w:p w14:paraId="2D1F6095">
      <w:pPr>
        <w:pStyle w:val="9"/>
        <w:keepNext w:val="0"/>
        <w:keepLines w:val="0"/>
        <w:pageBreakBefore w:val="0"/>
        <w:kinsoku/>
        <w:wordWrap/>
        <w:overflowPunct/>
        <w:autoSpaceDE/>
        <w:autoSpaceDN/>
        <w:bidi w:val="0"/>
        <w:spacing w:line="600" w:lineRule="exact"/>
        <w:ind w:firstLine="640" w:firstLineChars="200"/>
        <w:textAlignment w:val="auto"/>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5．</w:t>
      </w:r>
      <w:r>
        <w:rPr>
          <w:rFonts w:hint="eastAsia" w:ascii="仿宋_GB2312" w:eastAsia="仿宋_GB2312"/>
          <w:color w:val="000000"/>
          <w:sz w:val="32"/>
          <w:szCs w:val="32"/>
        </w:rPr>
        <w:t>组织开展调查研究，负责起草区政府重要综合文稿、会议讲话和汇报材料，</w:t>
      </w:r>
      <w:r>
        <w:rPr>
          <w:rFonts w:hint="eastAsia" w:ascii="仿宋_GB2312" w:hAnsi="Times New Roman" w:eastAsia="仿宋_GB2312" w:cs="Times New Roman"/>
          <w:color w:val="000000"/>
          <w:sz w:val="32"/>
          <w:szCs w:val="32"/>
        </w:rPr>
        <w:t>为区政府决策提供服务。</w:t>
      </w:r>
    </w:p>
    <w:p w14:paraId="48107CFA">
      <w:pPr>
        <w:pStyle w:val="9"/>
        <w:keepNext w:val="0"/>
        <w:keepLines w:val="0"/>
        <w:pageBreakBefore w:val="0"/>
        <w:kinsoku/>
        <w:wordWrap/>
        <w:overflowPunct/>
        <w:autoSpaceDE/>
        <w:autoSpaceDN/>
        <w:bidi w:val="0"/>
        <w:spacing w:line="600" w:lineRule="exact"/>
        <w:ind w:firstLine="640" w:firstLineChars="200"/>
        <w:textAlignment w:val="auto"/>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6．负责联系区人大常委会、区政协的有关日常工作和提案、议案、建议、意见的办理工作。</w:t>
      </w:r>
    </w:p>
    <w:p w14:paraId="462233B0">
      <w:pPr>
        <w:pStyle w:val="9"/>
        <w:keepNext w:val="0"/>
        <w:keepLines w:val="0"/>
        <w:pageBreakBefore w:val="0"/>
        <w:kinsoku/>
        <w:wordWrap/>
        <w:overflowPunct/>
        <w:autoSpaceDE/>
        <w:autoSpaceDN/>
        <w:bidi w:val="0"/>
        <w:spacing w:line="600" w:lineRule="exact"/>
        <w:ind w:firstLine="640" w:firstLineChars="200"/>
        <w:textAlignment w:val="auto"/>
        <w:rPr>
          <w:rFonts w:ascii="仿宋_GB2312" w:eastAsia="仿宋_GB2312"/>
          <w:color w:val="000000"/>
          <w:sz w:val="32"/>
          <w:szCs w:val="32"/>
        </w:rPr>
      </w:pPr>
      <w:r>
        <w:rPr>
          <w:rFonts w:hint="eastAsia" w:ascii="仿宋_GB2312" w:hAnsi="Times New Roman" w:eastAsia="仿宋_GB2312" w:cs="Times New Roman"/>
          <w:color w:val="000000"/>
          <w:sz w:val="32"/>
          <w:szCs w:val="32"/>
        </w:rPr>
        <w:t>7．</w:t>
      </w:r>
      <w:r>
        <w:rPr>
          <w:rFonts w:hint="eastAsia" w:ascii="仿宋_GB2312" w:eastAsia="仿宋_GB2312"/>
          <w:color w:val="000000"/>
          <w:sz w:val="32"/>
          <w:szCs w:val="32"/>
        </w:rPr>
        <w:t>负责区政府值班工作</w:t>
      </w:r>
      <w:r>
        <w:rPr>
          <w:rFonts w:hint="eastAsia" w:ascii="仿宋_GB2312" w:eastAsia="仿宋_GB2312"/>
          <w:color w:val="000000"/>
          <w:sz w:val="32"/>
          <w:szCs w:val="32"/>
          <w:lang w:val="en-US" w:eastAsia="zh-CN"/>
        </w:rPr>
        <w:t>,</w:t>
      </w:r>
      <w:r>
        <w:rPr>
          <w:rFonts w:hint="eastAsia" w:eastAsia="仿宋_GB2312"/>
          <w:color w:val="000000"/>
          <w:sz w:val="32"/>
        </w:rPr>
        <w:t>做好心连心服务热线工作</w:t>
      </w:r>
      <w:r>
        <w:rPr>
          <w:rFonts w:hint="eastAsia" w:ascii="仿宋_GB2312" w:eastAsia="仿宋_GB2312"/>
          <w:color w:val="000000"/>
          <w:sz w:val="32"/>
          <w:szCs w:val="32"/>
        </w:rPr>
        <w:t>。</w:t>
      </w:r>
    </w:p>
    <w:p w14:paraId="7A659DEF">
      <w:pPr>
        <w:keepNext w:val="0"/>
        <w:keepLines w:val="0"/>
        <w:pageBreakBefore w:val="0"/>
        <w:kinsoku/>
        <w:wordWrap/>
        <w:overflowPunct/>
        <w:autoSpaceDE/>
        <w:autoSpaceDN/>
        <w:bidi w:val="0"/>
        <w:spacing w:line="60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8．负责统筹协调全区机关事务管理工作。</w:t>
      </w:r>
    </w:p>
    <w:p w14:paraId="44A10AC3">
      <w:pPr>
        <w:pStyle w:val="9"/>
        <w:keepNext w:val="0"/>
        <w:keepLines w:val="0"/>
        <w:pageBreakBefore w:val="0"/>
        <w:kinsoku/>
        <w:wordWrap/>
        <w:overflowPunct/>
        <w:autoSpaceDE/>
        <w:autoSpaceDN/>
        <w:bidi w:val="0"/>
        <w:spacing w:line="600" w:lineRule="exact"/>
        <w:ind w:firstLine="640" w:firstLineChars="200"/>
        <w:textAlignment w:val="auto"/>
        <w:rPr>
          <w:rFonts w:ascii="仿宋_GB2312" w:eastAsia="仿宋_GB2312"/>
          <w:color w:val="000000"/>
          <w:sz w:val="32"/>
          <w:szCs w:val="32"/>
        </w:rPr>
      </w:pPr>
      <w:r>
        <w:rPr>
          <w:rFonts w:hint="eastAsia" w:ascii="仿宋_GB2312" w:hAnsi="Times New Roman" w:eastAsia="仿宋_GB2312" w:cs="Times New Roman"/>
          <w:color w:val="000000"/>
          <w:sz w:val="32"/>
          <w:szCs w:val="32"/>
        </w:rPr>
        <w:t>9．</w:t>
      </w:r>
      <w:r>
        <w:rPr>
          <w:rFonts w:hint="eastAsia" w:ascii="仿宋_GB2312" w:eastAsia="仿宋_GB2312"/>
          <w:color w:val="000000"/>
          <w:sz w:val="32"/>
          <w:szCs w:val="32"/>
        </w:rPr>
        <w:t>指导、监督全区政府信息公开工作</w:t>
      </w:r>
      <w:r>
        <w:rPr>
          <w:rFonts w:hint="eastAsia" w:ascii="仿宋_GB2312" w:hAnsi="Times New Roman" w:eastAsia="仿宋_GB2312" w:cs="Times New Roman"/>
          <w:color w:val="000000"/>
          <w:sz w:val="32"/>
          <w:szCs w:val="32"/>
        </w:rPr>
        <w:t>。</w:t>
      </w:r>
    </w:p>
    <w:p w14:paraId="698B2CAE">
      <w:pPr>
        <w:keepNext w:val="0"/>
        <w:keepLines w:val="0"/>
        <w:pageBreakBefore w:val="0"/>
        <w:widowControl/>
        <w:kinsoku/>
        <w:wordWrap/>
        <w:overflowPunct/>
        <w:autoSpaceDE/>
        <w:autoSpaceDN/>
        <w:bidi w:val="0"/>
        <w:snapToGrid w:val="0"/>
        <w:spacing w:line="600" w:lineRule="exact"/>
        <w:ind w:firstLine="640"/>
        <w:jc w:val="left"/>
        <w:textAlignment w:val="auto"/>
        <w:rPr>
          <w:rFonts w:ascii="仿宋_GB2312" w:hAnsi="仿宋_GB2312" w:eastAsia="仿宋_GB2312"/>
          <w:sz w:val="32"/>
          <w:szCs w:val="32"/>
        </w:rPr>
      </w:pPr>
      <w:r>
        <w:rPr>
          <w:rFonts w:hint="eastAsia" w:ascii="仿宋_GB2312" w:hAnsi="仿宋_GB2312" w:eastAsia="仿宋_GB2312"/>
          <w:sz w:val="32"/>
          <w:szCs w:val="32"/>
        </w:rPr>
        <w:t>10．负责职责范围内的安全生产和职业健康、生态环境保护等工作。</w:t>
      </w:r>
    </w:p>
    <w:p w14:paraId="2D440795">
      <w:pPr>
        <w:keepNext w:val="0"/>
        <w:keepLines w:val="0"/>
        <w:pageBreakBefore w:val="0"/>
        <w:widowControl/>
        <w:kinsoku/>
        <w:wordWrap/>
        <w:overflowPunct/>
        <w:autoSpaceDE/>
        <w:autoSpaceDN/>
        <w:bidi w:val="0"/>
        <w:snapToGrid w:val="0"/>
        <w:spacing w:line="600" w:lineRule="exact"/>
        <w:ind w:firstLine="640"/>
        <w:jc w:val="left"/>
        <w:textAlignment w:val="auto"/>
        <w:rPr>
          <w:rFonts w:ascii="仿宋_GB2312" w:hAnsi="仿宋_GB2312" w:eastAsia="仿宋_GB2312"/>
          <w:b w:val="0"/>
          <w:bCs w:val="0"/>
          <w:sz w:val="32"/>
          <w:szCs w:val="32"/>
        </w:rPr>
      </w:pPr>
      <w:r>
        <w:rPr>
          <w:rFonts w:hint="eastAsia" w:ascii="仿宋_GB2312" w:hAnsi="仿宋_GB2312" w:eastAsia="仿宋_GB2312"/>
          <w:sz w:val="32"/>
          <w:szCs w:val="32"/>
        </w:rPr>
        <w:t>11．完成区委、区</w:t>
      </w:r>
      <w:r>
        <w:rPr>
          <w:rFonts w:hint="eastAsia" w:ascii="仿宋_GB2312" w:hAnsi="仿宋_GB2312" w:eastAsia="仿宋_GB2312"/>
          <w:b w:val="0"/>
          <w:bCs w:val="0"/>
          <w:sz w:val="32"/>
          <w:szCs w:val="32"/>
        </w:rPr>
        <w:t>政府交办的其他工作。</w:t>
      </w:r>
    </w:p>
    <w:p w14:paraId="0F7D2E4D">
      <w:pPr>
        <w:keepNext w:val="0"/>
        <w:keepLines w:val="0"/>
        <w:pageBreakBefore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行政编制数3</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名（其中</w:t>
      </w:r>
      <w:r>
        <w:rPr>
          <w:rFonts w:hint="default" w:ascii="Times New Roman" w:hAnsi="Times New Roman" w:eastAsia="仿宋_GB2312" w:cs="Times New Roman"/>
          <w:sz w:val="32"/>
          <w:szCs w:val="32"/>
          <w:lang w:eastAsia="zh-CN"/>
        </w:rPr>
        <w:t>单列编制</w:t>
      </w:r>
      <w:r>
        <w:rPr>
          <w:rFonts w:hint="default" w:ascii="Times New Roman" w:hAnsi="Times New Roman" w:eastAsia="仿宋_GB2312" w:cs="Times New Roman"/>
          <w:sz w:val="32"/>
          <w:szCs w:val="32"/>
          <w:lang w:val="en-US" w:eastAsia="zh-CN"/>
        </w:rPr>
        <w:t>7名，</w:t>
      </w:r>
      <w:r>
        <w:rPr>
          <w:rFonts w:hint="default" w:ascii="Times New Roman" w:hAnsi="Times New Roman" w:eastAsia="仿宋_GB2312" w:cs="Times New Roman"/>
          <w:sz w:val="32"/>
          <w:szCs w:val="32"/>
        </w:rPr>
        <w:t>工勤8名），事</w:t>
      </w:r>
      <w:r>
        <w:rPr>
          <w:rFonts w:hint="eastAsia" w:ascii="仿宋_GB2312" w:hAnsi="仿宋_GB2312" w:eastAsia="仿宋_GB2312" w:cs="仿宋_GB2312"/>
          <w:sz w:val="32"/>
          <w:szCs w:val="32"/>
        </w:rPr>
        <w:t>业编制数1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年末在职行政人员</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名，事业人员</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名。</w:t>
      </w:r>
    </w:p>
    <w:p w14:paraId="7550851A">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zh-CN" w:eastAsia="zh-CN"/>
        </w:rPr>
      </w:pPr>
      <w:r>
        <w:rPr>
          <w:rFonts w:hint="eastAsia" w:eastAsia="仿宋_GB2312" w:cs="Times New Roman"/>
          <w:b/>
          <w:bCs/>
          <w:sz w:val="32"/>
          <w:szCs w:val="32"/>
          <w:lang w:val="zh-CN" w:eastAsia="zh-CN"/>
        </w:rPr>
        <w:t>（三）</w:t>
      </w:r>
      <w:r>
        <w:rPr>
          <w:rFonts w:hint="eastAsia" w:ascii="Times New Roman" w:hAnsi="Times New Roman" w:eastAsia="仿宋_GB2312" w:cs="Times New Roman"/>
          <w:b/>
          <w:bCs/>
          <w:sz w:val="32"/>
          <w:szCs w:val="32"/>
          <w:lang w:val="zh-CN" w:eastAsia="zh-CN"/>
        </w:rPr>
        <w:t>年度主要工作任务。</w:t>
      </w:r>
    </w:p>
    <w:p w14:paraId="5E8E8C5B">
      <w:pPr>
        <w:keepNext w:val="0"/>
        <w:keepLines w:val="0"/>
        <w:pageBreakBefore w:val="0"/>
        <w:kinsoku/>
        <w:wordWrap/>
        <w:overflowPunct/>
        <w:autoSpaceDE/>
        <w:autoSpaceDN/>
        <w:bidi w:val="0"/>
        <w:spacing w:line="600" w:lineRule="exact"/>
        <w:ind w:firstLine="640"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en-US" w:eastAsia="zh-CN"/>
        </w:rPr>
        <w:t xml:space="preserve"> 2024年度</w:t>
      </w:r>
      <w:r>
        <w:rPr>
          <w:rFonts w:hint="eastAsia" w:ascii="Times New Roman" w:hAnsi="Times New Roman" w:eastAsia="仿宋_GB2312" w:cs="Times New Roman"/>
          <w:sz w:val="32"/>
          <w:szCs w:val="32"/>
          <w:lang w:val="zh-CN" w:eastAsia="zh-CN"/>
        </w:rPr>
        <w:t>主要开展区政府办公室行政事业运行、综合协调服务、区政府大院管理维护、区政府各类会务保障、区政府</w:t>
      </w:r>
      <w:r>
        <w:rPr>
          <w:rFonts w:hint="eastAsia" w:ascii="Times New Roman" w:hAnsi="Times New Roman" w:eastAsia="仿宋_GB2312" w:cs="Times New Roman"/>
          <w:sz w:val="32"/>
          <w:szCs w:val="32"/>
          <w:lang w:eastAsia="zh-CN"/>
        </w:rPr>
        <w:t>值班值守、心连心热线办理、</w:t>
      </w:r>
      <w:r>
        <w:rPr>
          <w:rFonts w:hint="eastAsia" w:ascii="Times New Roman" w:hAnsi="Times New Roman" w:eastAsia="仿宋_GB2312" w:cs="Times New Roman"/>
          <w:sz w:val="32"/>
          <w:szCs w:val="32"/>
          <w:lang w:val="zh-CN" w:eastAsia="zh-CN"/>
        </w:rPr>
        <w:t>机关事务服务、公共机构节能管理、区本级公务用车集中统筹管理、区政府后勤保障、信息网络运行维护、全区电子政务外网IPV6升级改造、信息化综合事务管理等工作。</w:t>
      </w:r>
    </w:p>
    <w:p w14:paraId="7EAB0E21">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zh-CN" w:eastAsia="zh-CN"/>
        </w:rPr>
      </w:pPr>
      <w:r>
        <w:rPr>
          <w:rFonts w:hint="eastAsia" w:eastAsia="仿宋_GB2312" w:cs="Times New Roman"/>
          <w:b/>
          <w:bCs/>
          <w:sz w:val="32"/>
          <w:szCs w:val="32"/>
          <w:lang w:val="zh-CN" w:eastAsia="zh-CN"/>
        </w:rPr>
        <w:t>（四）</w:t>
      </w:r>
      <w:r>
        <w:rPr>
          <w:rFonts w:hint="eastAsia" w:ascii="Times New Roman" w:hAnsi="Times New Roman" w:eastAsia="仿宋_GB2312" w:cs="Times New Roman"/>
          <w:b/>
          <w:bCs/>
          <w:sz w:val="32"/>
          <w:szCs w:val="32"/>
          <w:lang w:val="zh-CN" w:eastAsia="zh-CN"/>
        </w:rPr>
        <w:t>部门整体支出绩效目标。</w:t>
      </w:r>
    </w:p>
    <w:p w14:paraId="5A5293D1">
      <w:pPr>
        <w:keepNext w:val="0"/>
        <w:keepLines w:val="0"/>
        <w:pageBreakBefore w:val="0"/>
        <w:kinsoku/>
        <w:wordWrap/>
        <w:overflowPunct/>
        <w:autoSpaceDE/>
        <w:autoSpaceDN/>
        <w:bidi w:val="0"/>
        <w:spacing w:line="600" w:lineRule="exact"/>
        <w:ind w:firstLine="640"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保障政府办机关、下属事业单位日常运转及各类行政事业目标任务完成，保障区政府办公室各项综合工作正常运转，协助区政府领导同志处理区政府日常工作，充分发挥统筹调度作用，发挥参谋助手、督查推动、后勤保障作用。</w:t>
      </w:r>
    </w:p>
    <w:p w14:paraId="03FB3221">
      <w:pPr>
        <w:keepNext w:val="0"/>
        <w:keepLines w:val="0"/>
        <w:pageBreakBefore w:val="0"/>
        <w:kinsoku/>
        <w:wordWrap/>
        <w:overflowPunct/>
        <w:autoSpaceDE/>
        <w:autoSpaceDN/>
        <w:bidi w:val="0"/>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二、部门财政资金收支情况</w:t>
      </w:r>
    </w:p>
    <w:p w14:paraId="69E05147">
      <w:pPr>
        <w:keepNext w:val="0"/>
        <w:keepLines w:val="0"/>
        <w:pageBreakBefore w:val="0"/>
        <w:kinsoku/>
        <w:wordWrap/>
        <w:overflowPunct/>
        <w:autoSpaceDE/>
        <w:autoSpaceDN/>
        <w:bidi w:val="0"/>
        <w:spacing w:line="600"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zh-CN" w:eastAsia="zh-CN"/>
        </w:rPr>
        <w:t>（一）部门财政资金收入情况。</w:t>
      </w:r>
      <w:r>
        <w:rPr>
          <w:rFonts w:hint="default" w:ascii="Times New Roman" w:hAnsi="Times New Roman" w:eastAsia="仿宋_GB2312" w:cs="Times New Roman"/>
          <w:sz w:val="32"/>
          <w:szCs w:val="32"/>
          <w:lang w:val="en-US" w:eastAsia="zh-CN"/>
        </w:rPr>
        <w:t>2024年区政府办本年收入合计1661.04万元，其中：财政拨款收入1661.04万元，占100%。</w:t>
      </w:r>
    </w:p>
    <w:p w14:paraId="390F1DC3">
      <w:pPr>
        <w:keepNext w:val="0"/>
        <w:keepLines w:val="0"/>
        <w:pageBreakBefore w:val="0"/>
        <w:kinsoku/>
        <w:wordWrap/>
        <w:overflowPunct/>
        <w:autoSpaceDE/>
        <w:autoSpaceDN/>
        <w:bidi w:val="0"/>
        <w:spacing w:line="600"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zh-CN" w:eastAsia="zh-CN"/>
        </w:rPr>
        <w:t>（二）部门财政资金支出情况</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2024年区政府办本年支出合计1661.04万元，其中：基本支出1255.4</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万元，占75.58%；项目支出405.56万元，占24.42%。按支出功能分，其中</w:t>
      </w:r>
      <w:r>
        <w:rPr>
          <w:rFonts w:hint="default" w:ascii="Times New Roman" w:hAnsi="Times New Roman" w:eastAsia="仿宋_GB2312" w:cs="Times New Roman"/>
          <w:sz w:val="32"/>
          <w:szCs w:val="32"/>
          <w:lang w:val="en-US" w:eastAsia="zh-CN"/>
        </w:rPr>
        <w:sym w:font="Wingdings" w:char="F081"/>
      </w:r>
      <w:r>
        <w:rPr>
          <w:rFonts w:hint="default" w:ascii="Times New Roman" w:hAnsi="Times New Roman" w:eastAsia="仿宋_GB2312" w:cs="Times New Roman"/>
          <w:sz w:val="32"/>
          <w:szCs w:val="32"/>
          <w:lang w:val="en-US" w:eastAsia="zh-CN"/>
        </w:rPr>
        <w:t>一般公共服务支出1395.28万元，主要用于机关事业单位工资性支出和公用经费，以及为完成特定行政工作任务和事业发展目标而安排的年度项目支出，包括行政事业人员基本工资、津贴补贴等人员经费，区政府办公大楼水、电、安保、卫生、会务、车辆运行维护、公务接待、临聘人员工资及社会保障缴费等费用。</w:t>
      </w:r>
      <w:r>
        <w:rPr>
          <w:rFonts w:hint="default" w:ascii="Times New Roman" w:hAnsi="Times New Roman" w:eastAsia="仿宋_GB2312" w:cs="Times New Roman"/>
          <w:sz w:val="32"/>
          <w:szCs w:val="32"/>
          <w:lang w:val="en-US" w:eastAsia="zh-CN"/>
        </w:rPr>
        <w:sym w:font="Wingdings" w:char="F082"/>
      </w:r>
      <w:r>
        <w:rPr>
          <w:rFonts w:hint="default" w:ascii="Times New Roman" w:hAnsi="Times New Roman" w:eastAsia="仿宋_GB2312" w:cs="Times New Roman"/>
          <w:sz w:val="32"/>
          <w:szCs w:val="32"/>
          <w:lang w:val="en-US" w:eastAsia="zh-CN"/>
        </w:rPr>
        <w:t>社会保障和就业支出175.56万元，主要用于部门机关事业单位基本养老保险、职业年金缴费、退休人员慰问支出。</w:t>
      </w:r>
      <w:r>
        <w:rPr>
          <w:rFonts w:hint="default" w:ascii="Times New Roman" w:hAnsi="Times New Roman" w:eastAsia="仿宋_GB2312" w:cs="Times New Roman"/>
          <w:sz w:val="32"/>
          <w:szCs w:val="32"/>
          <w:lang w:val="en-US" w:eastAsia="zh-CN"/>
        </w:rPr>
        <w:sym w:font="Wingdings" w:char="F083"/>
      </w:r>
      <w:r>
        <w:rPr>
          <w:rFonts w:hint="default" w:ascii="Times New Roman" w:hAnsi="Times New Roman" w:eastAsia="仿宋_GB2312" w:cs="Times New Roman"/>
          <w:sz w:val="32"/>
          <w:szCs w:val="32"/>
          <w:lang w:val="en-US" w:eastAsia="zh-CN"/>
        </w:rPr>
        <w:t>卫生健康支出26.71万元，主要用于部门机关事业单位在职职工基本医疗保险缴费单位部分支出</w:t>
      </w:r>
      <w:r>
        <w:rPr>
          <w:rFonts w:hint="default" w:ascii="Times New Roman" w:hAnsi="Times New Roman" w:eastAsia="仿宋_GB2312" w:cs="Times New Roman"/>
          <w:sz w:val="32"/>
          <w:szCs w:val="32"/>
          <w:lang w:eastAsia="zh-CN"/>
        </w:rPr>
        <w:t>。④住房保障支出</w:t>
      </w:r>
      <w:r>
        <w:rPr>
          <w:rFonts w:hint="default" w:ascii="Times New Roman" w:hAnsi="Times New Roman" w:eastAsia="仿宋_GB2312" w:cs="Times New Roman"/>
          <w:sz w:val="32"/>
          <w:szCs w:val="32"/>
          <w:lang w:val="en-US" w:eastAsia="zh-CN"/>
        </w:rPr>
        <w:t xml:space="preserve">63.49 </w:t>
      </w:r>
      <w:r>
        <w:rPr>
          <w:rFonts w:hint="default" w:ascii="Times New Roman" w:hAnsi="Times New Roman" w:eastAsia="仿宋_GB2312" w:cs="Times New Roman"/>
          <w:sz w:val="32"/>
          <w:szCs w:val="32"/>
          <w:lang w:eastAsia="zh-CN"/>
        </w:rPr>
        <w:t>万元，主要用于职工住房公积金单位部分支出。</w:t>
      </w:r>
    </w:p>
    <w:p w14:paraId="6A62E483">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b/>
          <w:bCs/>
          <w:sz w:val="32"/>
          <w:szCs w:val="32"/>
          <w:lang w:val="zh-CN" w:eastAsia="zh-CN"/>
        </w:rPr>
        <w:t>（三）部门财政资金结转结余情况。</w:t>
      </w:r>
      <w:r>
        <w:rPr>
          <w:rFonts w:hint="eastAsia" w:ascii="Times New Roman" w:hAnsi="Times New Roman" w:eastAsia="仿宋_GB2312" w:cs="Times New Roman"/>
          <w:sz w:val="32"/>
          <w:szCs w:val="32"/>
          <w:lang w:val="zh-CN" w:eastAsia="zh-CN"/>
        </w:rPr>
        <w:t>当年财政收支平衡，无结余。</w:t>
      </w:r>
    </w:p>
    <w:p w14:paraId="39F8B3A9">
      <w:pPr>
        <w:keepNext w:val="0"/>
        <w:keepLines w:val="0"/>
        <w:pageBreakBefore w:val="0"/>
        <w:kinsoku/>
        <w:wordWrap/>
        <w:overflowPunct/>
        <w:autoSpaceDE/>
        <w:autoSpaceDN/>
        <w:bidi w:val="0"/>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三、部门整体绩效管理情况</w:t>
      </w:r>
    </w:p>
    <w:p w14:paraId="4B095915">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zh-CN" w:eastAsia="zh-CN"/>
        </w:rPr>
      </w:pPr>
      <w:r>
        <w:rPr>
          <w:rFonts w:hint="eastAsia" w:ascii="Times New Roman" w:hAnsi="Times New Roman" w:eastAsia="仿宋_GB2312" w:cs="Times New Roman"/>
          <w:b/>
          <w:bCs/>
          <w:sz w:val="32"/>
          <w:szCs w:val="32"/>
          <w:lang w:val="zh-CN" w:eastAsia="zh-CN"/>
        </w:rPr>
        <w:t>（一）部门整体履职绩效分析。</w:t>
      </w:r>
    </w:p>
    <w:p w14:paraId="7E4732A9">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 xml:space="preserve"> 1.部门履职情况</w:t>
      </w:r>
    </w:p>
    <w:p w14:paraId="0773669D">
      <w:pPr>
        <w:keepNext w:val="0"/>
        <w:keepLines w:val="0"/>
        <w:pageBreakBefore w:val="0"/>
        <w:kinsoku/>
        <w:wordWrap/>
        <w:overflowPunct/>
        <w:autoSpaceDE/>
        <w:autoSpaceDN/>
        <w:bidi w:val="0"/>
        <w:spacing w:line="600" w:lineRule="exact"/>
        <w:ind w:firstLine="640" w:firstLineChars="200"/>
        <w:textAlignment w:val="auto"/>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en-US" w:eastAsia="zh-CN"/>
        </w:rPr>
        <w:t>2024</w:t>
      </w:r>
      <w:r>
        <w:rPr>
          <w:rFonts w:hint="eastAsia" w:ascii="Times New Roman" w:hAnsi="Times New Roman" w:eastAsia="仿宋_GB2312" w:cs="Times New Roman"/>
          <w:sz w:val="32"/>
          <w:szCs w:val="32"/>
          <w:lang w:eastAsia="zh-CN"/>
        </w:rPr>
        <w:t>年，区政府办公室在区委、区政府的领导下，始终围绕中心、服务大局，不断创新工作方式，着力提升参谋助手、统筹协调、服务保障等工作水平，较好地完成了各项工作任务，有力促进了区政府各项工作顺利开展，办公室牵头负责的文秘、督查、机关节能、值班值守、信息及网站建设、后勤保障服务等工作继续走在全市前列，各项目标任务全面完成。</w:t>
      </w:r>
    </w:p>
    <w:p w14:paraId="0E1605EF">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2、绩效目标管理情况</w:t>
      </w:r>
    </w:p>
    <w:p w14:paraId="57FE8A66">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（1）以预算编制为基础，提高资金使用效益</w:t>
      </w:r>
    </w:p>
    <w:p w14:paraId="78D085D4">
      <w:pPr>
        <w:keepNext w:val="0"/>
        <w:keepLines w:val="0"/>
        <w:pageBreakBefore w:val="0"/>
        <w:kinsoku/>
        <w:wordWrap/>
        <w:overflowPunct/>
        <w:autoSpaceDE/>
        <w:autoSpaceDN/>
        <w:bidi w:val="0"/>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结合财政部《预算管理一体化业务规范》要求，通过不断强化预算管理意识，实行部门综合预算管理，细化预算编制；形成以领导支持、财务部门牵头、其他部门密切配合的工作格局，使预算编制的科学性、合理性不断提高，以保证预算编制质量。同时不断加强会计基础工作规范化建设，建立健全财务工作制度，建立自我激励约束机制，提高资金使用效益，确保资金安全。牢固树立用钱必问效、问效必问责、问责效为先的预算绩效管理理念。</w:t>
      </w:r>
    </w:p>
    <w:p w14:paraId="6EF514E4">
      <w:pPr>
        <w:keepNext w:val="0"/>
        <w:keepLines w:val="0"/>
        <w:pageBreakBefore w:val="0"/>
        <w:numPr>
          <w:ilvl w:val="0"/>
          <w:numId w:val="4"/>
        </w:numPr>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细化绩效评价指标。根据项目支出科学、合理设置评价指标。</w:t>
      </w:r>
    </w:p>
    <w:p w14:paraId="79261E46">
      <w:pPr>
        <w:keepNext w:val="0"/>
        <w:keepLines w:val="0"/>
        <w:pageBreakBefore w:val="0"/>
        <w:numPr>
          <w:ilvl w:val="0"/>
          <w:numId w:val="4"/>
        </w:numPr>
        <w:kinsoku/>
        <w:wordWrap/>
        <w:overflowPunct/>
        <w:autoSpaceDE/>
        <w:autoSpaceDN/>
        <w:bidi w:val="0"/>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结合上年度预算绩效编制工作存在的不足，对2024年度预算绩效目标编制工作中，进一步对整体支出以及具体项目支出的预算绩效指标进行了细化，力争做到绩效目标事前可评价、事中可跟踪、事后可监督评价的工作成果。</w:t>
      </w:r>
    </w:p>
    <w:p w14:paraId="2A551EE5">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（3）定期对预算执行进行分析，确保预算绩效目标完成</w:t>
      </w:r>
    </w:p>
    <w:p w14:paraId="66FCCEF1">
      <w:pPr>
        <w:keepNext w:val="0"/>
        <w:keepLines w:val="0"/>
        <w:pageBreakBefore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一是定期对预算执行进行分析，确保预算目标完成，结合202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年度业务情况，进行科学合理分配细化，部门预算经批复后，跟踪预算执行进度，科学合理安排支出。202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年部门年初预算数</w:t>
      </w:r>
      <w:r>
        <w:rPr>
          <w:rFonts w:hint="eastAsia" w:ascii="Times New Roman" w:hAnsi="Times New Roman" w:eastAsia="仿宋_GB2312" w:cs="Times New Roman"/>
          <w:sz w:val="32"/>
          <w:szCs w:val="32"/>
          <w:lang w:val="en-US" w:eastAsia="zh-CN"/>
        </w:rPr>
        <w:t>1720.67</w:t>
      </w:r>
      <w:r>
        <w:rPr>
          <w:rFonts w:hint="default" w:ascii="Times New Roman" w:hAnsi="Times New Roman" w:eastAsia="仿宋_GB2312" w:cs="Times New Roman"/>
          <w:sz w:val="32"/>
          <w:szCs w:val="32"/>
          <w:lang w:val="en-US" w:eastAsia="zh-CN"/>
        </w:rPr>
        <w:t>万元，调整预算数为1661.04万元，决算数为1661.04万元，完成比例100%。1—6月多数项目执行进度完成或接近完成了50%。1—11月各项目完成了80%以上，1—12月全部预算执行进度为100%。二是预算</w:t>
      </w:r>
      <w:r>
        <w:rPr>
          <w:rFonts w:hint="eastAsia" w:ascii="Times New Roman" w:hAnsi="Times New Roman" w:eastAsia="仿宋_GB2312" w:cs="Times New Roman"/>
          <w:sz w:val="32"/>
          <w:szCs w:val="32"/>
          <w:lang w:val="en-US" w:eastAsia="zh-CN"/>
        </w:rPr>
        <w:t>绩效目标</w:t>
      </w:r>
      <w:r>
        <w:rPr>
          <w:rFonts w:hint="default" w:ascii="Times New Roman" w:hAnsi="Times New Roman" w:eastAsia="仿宋_GB2312" w:cs="Times New Roman"/>
          <w:sz w:val="32"/>
          <w:szCs w:val="32"/>
          <w:lang w:val="en-US" w:eastAsia="zh-CN"/>
        </w:rPr>
        <w:t>执行管理情况良好。</w:t>
      </w:r>
      <w:r>
        <w:rPr>
          <w:rFonts w:hint="default" w:ascii="Times New Roman" w:hAnsi="Times New Roman" w:eastAsia="仿宋_GB2312" w:cs="Times New Roman"/>
          <w:sz w:val="32"/>
          <w:szCs w:val="32"/>
          <w:lang w:eastAsia="zh-CN"/>
        </w:rPr>
        <w:t>在资金使用和管理方面，</w:t>
      </w:r>
      <w:r>
        <w:rPr>
          <w:rFonts w:hint="default" w:ascii="Times New Roman" w:hAnsi="Times New Roman" w:eastAsia="仿宋_GB2312" w:cs="Times New Roman"/>
          <w:sz w:val="32"/>
          <w:szCs w:val="32"/>
          <w:lang w:val="en-US" w:eastAsia="zh-CN"/>
        </w:rPr>
        <w:t>不断加强会计基础工作规范化建设，建立健全财务工作制度，建立自我激励约束机制，提高资金使用效益，确保资金安全。</w:t>
      </w:r>
      <w:r>
        <w:rPr>
          <w:rFonts w:hint="default" w:ascii="Times New Roman" w:hAnsi="Times New Roman" w:eastAsia="仿宋_GB2312" w:cs="Times New Roman"/>
          <w:sz w:val="32"/>
          <w:szCs w:val="32"/>
          <w:lang w:eastAsia="zh-CN"/>
        </w:rPr>
        <w:t>进一步加强资金统筹，细化资金用途，明确开支范围，</w:t>
      </w:r>
      <w:r>
        <w:rPr>
          <w:rFonts w:hint="default" w:ascii="Times New Roman" w:hAnsi="Times New Roman" w:eastAsia="仿宋_GB2312" w:cs="Times New Roman"/>
          <w:sz w:val="32"/>
          <w:szCs w:val="32"/>
          <w:lang w:val="en-US" w:eastAsia="zh-CN"/>
        </w:rPr>
        <w:t>各项收支做到账账相符，账实相符，做到出有凭，入有据，费用报销具有实效性，</w:t>
      </w:r>
      <w:r>
        <w:rPr>
          <w:rFonts w:hint="default" w:ascii="Times New Roman" w:hAnsi="Times New Roman" w:eastAsia="仿宋_GB2312" w:cs="Times New Roman"/>
          <w:sz w:val="32"/>
          <w:szCs w:val="32"/>
          <w:lang w:eastAsia="zh-CN"/>
        </w:rPr>
        <w:t>从人力、物力上保证了部门各项工作的正常运转。</w:t>
      </w:r>
    </w:p>
    <w:p w14:paraId="59A20DAF">
      <w:pPr>
        <w:keepNext w:val="0"/>
        <w:keepLines w:val="0"/>
        <w:pageBreakBefore w:val="0"/>
        <w:kinsoku/>
        <w:wordWrap/>
        <w:overflowPunct/>
        <w:autoSpaceDE/>
        <w:autoSpaceDN/>
        <w:bidi w:val="0"/>
        <w:spacing w:line="600" w:lineRule="exact"/>
        <w:ind w:firstLine="321" w:firstLineChars="100"/>
        <w:textAlignment w:val="auto"/>
        <w:rPr>
          <w:rFonts w:hint="default" w:ascii="Times New Roman" w:hAnsi="Times New Roman" w:eastAsia="仿宋_GB2312" w:cs="Times New Roman"/>
          <w:b/>
          <w:bCs/>
          <w:sz w:val="32"/>
          <w:szCs w:val="32"/>
          <w:lang w:val="zh-CN" w:eastAsia="zh-CN"/>
        </w:rPr>
      </w:pPr>
      <w:r>
        <w:rPr>
          <w:rFonts w:hint="eastAsia" w:ascii="Times New Roman" w:hAnsi="Times New Roman" w:eastAsia="仿宋_GB2312" w:cs="Times New Roman"/>
          <w:b/>
          <w:bCs/>
          <w:sz w:val="32"/>
          <w:szCs w:val="32"/>
          <w:lang w:val="zh-CN" w:eastAsia="zh-CN"/>
        </w:rPr>
        <w:t>（二）特定目标类项目绩效分析。</w:t>
      </w:r>
    </w:p>
    <w:p w14:paraId="618337BE">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zh-CN" w:eastAsia="zh-CN"/>
        </w:rPr>
      </w:pPr>
      <w:r>
        <w:rPr>
          <w:rFonts w:hint="eastAsia" w:ascii="Times New Roman" w:hAnsi="Times New Roman" w:eastAsia="仿宋_GB2312" w:cs="Times New Roman"/>
          <w:b/>
          <w:bCs/>
          <w:sz w:val="32"/>
          <w:szCs w:val="32"/>
          <w:lang w:val="zh-CN" w:eastAsia="zh-CN"/>
        </w:rPr>
        <w:t>1.整体情况。</w:t>
      </w:r>
    </w:p>
    <w:p w14:paraId="5B232A78">
      <w:pPr>
        <w:keepNext w:val="0"/>
        <w:keepLines w:val="0"/>
        <w:pageBreakBefore w:val="0"/>
        <w:kinsoku/>
        <w:wordWrap/>
        <w:overflowPunct/>
        <w:autoSpaceDE/>
        <w:autoSpaceDN/>
        <w:bidi w:val="0"/>
        <w:spacing w:line="600" w:lineRule="exact"/>
        <w:ind w:firstLine="640" w:firstLineChars="200"/>
        <w:textAlignment w:val="auto"/>
        <w:rPr>
          <w:rFonts w:hint="eastAsia"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eastAsia="zh-CN"/>
        </w:rPr>
        <w:t>本部</w:t>
      </w:r>
      <w:r>
        <w:rPr>
          <w:rFonts w:hint="default" w:ascii="Times New Roman" w:hAnsi="Times New Roman" w:eastAsia="仿宋_GB2312" w:cs="Times New Roman"/>
          <w:sz w:val="32"/>
          <w:szCs w:val="32"/>
          <w:lang w:val="en-US" w:eastAsia="zh-CN"/>
        </w:rPr>
        <w:t>门202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zh-CN" w:eastAsia="zh-CN"/>
        </w:rPr>
        <w:t>特定目标类项目</w:t>
      </w:r>
      <w:r>
        <w:rPr>
          <w:rFonts w:hint="default" w:ascii="Times New Roman" w:hAnsi="Times New Roman" w:eastAsia="仿宋_GB2312" w:cs="Times New Roman"/>
          <w:sz w:val="32"/>
          <w:szCs w:val="32"/>
          <w:lang w:val="en-US" w:eastAsia="zh-CN"/>
        </w:rPr>
        <w:t>包括</w:t>
      </w:r>
      <w:r>
        <w:rPr>
          <w:rFonts w:hint="default" w:ascii="Times New Roman" w:hAnsi="Times New Roman" w:eastAsia="仿宋_GB2312" w:cs="Times New Roman"/>
          <w:sz w:val="32"/>
          <w:szCs w:val="32"/>
          <w:lang w:eastAsia="zh-CN"/>
        </w:rPr>
        <w:t>区政府</w:t>
      </w:r>
      <w:r>
        <w:rPr>
          <w:rFonts w:hint="eastAsia" w:ascii="Times New Roman" w:hAnsi="Times New Roman" w:eastAsia="仿宋_GB2312" w:cs="Times New Roman"/>
          <w:sz w:val="32"/>
          <w:szCs w:val="32"/>
          <w:lang w:eastAsia="zh-CN"/>
        </w:rPr>
        <w:t>大院专项经费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区政府后勤保障</w:t>
      </w:r>
      <w:r>
        <w:rPr>
          <w:rFonts w:hint="eastAsia" w:ascii="Times New Roman" w:hAnsi="Times New Roman" w:eastAsia="仿宋_GB2312" w:cs="Times New Roman"/>
          <w:sz w:val="32"/>
          <w:szCs w:val="32"/>
          <w:lang w:val="en-US" w:eastAsia="zh-CN"/>
        </w:rPr>
        <w:t>等13</w:t>
      </w:r>
      <w:r>
        <w:rPr>
          <w:rFonts w:hint="default" w:ascii="Times New Roman" w:hAnsi="Times New Roman" w:eastAsia="仿宋_GB2312" w:cs="Times New Roman"/>
          <w:sz w:val="32"/>
          <w:szCs w:val="32"/>
          <w:lang w:eastAsia="zh-CN"/>
        </w:rPr>
        <w:t>个项目，预算年初数</w:t>
      </w:r>
      <w:r>
        <w:rPr>
          <w:rFonts w:hint="eastAsia" w:ascii="Times New Roman" w:hAnsi="Times New Roman" w:eastAsia="仿宋_GB2312" w:cs="Times New Roman"/>
          <w:sz w:val="32"/>
          <w:szCs w:val="32"/>
          <w:lang w:val="en-US" w:eastAsia="zh-CN"/>
        </w:rPr>
        <w:t>499.88</w:t>
      </w:r>
      <w:r>
        <w:rPr>
          <w:rFonts w:hint="default" w:ascii="Times New Roman" w:hAnsi="Times New Roman" w:eastAsia="仿宋_GB2312" w:cs="Times New Roman"/>
          <w:sz w:val="32"/>
          <w:szCs w:val="32"/>
          <w:lang w:val="en-US" w:eastAsia="zh-CN"/>
        </w:rPr>
        <w:t>万元 预算调整数</w:t>
      </w:r>
      <w:r>
        <w:rPr>
          <w:rFonts w:hint="eastAsia" w:ascii="Times New Roman" w:hAnsi="Times New Roman" w:eastAsia="仿宋_GB2312" w:cs="Times New Roman"/>
          <w:sz w:val="32"/>
          <w:szCs w:val="32"/>
          <w:lang w:val="en-US" w:eastAsia="zh-CN"/>
        </w:rPr>
        <w:t>405.56</w:t>
      </w:r>
      <w:r>
        <w:rPr>
          <w:rFonts w:hint="default" w:ascii="Times New Roman" w:hAnsi="Times New Roman" w:eastAsia="仿宋_GB2312" w:cs="Times New Roman"/>
          <w:sz w:val="32"/>
          <w:szCs w:val="32"/>
          <w:lang w:val="en-US" w:eastAsia="zh-CN"/>
        </w:rPr>
        <w:t>万元，决算数</w:t>
      </w:r>
      <w:r>
        <w:rPr>
          <w:rFonts w:hint="eastAsia" w:ascii="Times New Roman" w:hAnsi="Times New Roman" w:eastAsia="仿宋_GB2312" w:cs="Times New Roman"/>
          <w:sz w:val="32"/>
          <w:szCs w:val="32"/>
          <w:lang w:val="en-US" w:eastAsia="zh-CN"/>
        </w:rPr>
        <w:t>405.56</w:t>
      </w:r>
      <w:r>
        <w:rPr>
          <w:rFonts w:hint="default" w:ascii="Times New Roman" w:hAnsi="Times New Roman" w:eastAsia="仿宋_GB2312" w:cs="Times New Roman"/>
          <w:sz w:val="32"/>
          <w:szCs w:val="32"/>
          <w:lang w:val="en-US" w:eastAsia="zh-CN"/>
        </w:rPr>
        <w:t>万元，完成100%。 保障了区政府办公室各项综合工作正常运转，充分发挥统筹调度作用，发挥参谋助手、督查推动、后勤保障作用。每个项目均编制了绩效目标，在预算执行过程中，</w:t>
      </w:r>
      <w:r>
        <w:rPr>
          <w:rFonts w:hint="eastAsia" w:ascii="Times New Roman" w:hAnsi="Times New Roman" w:eastAsia="仿宋_GB2312" w:cs="Times New Roman"/>
          <w:sz w:val="32"/>
          <w:szCs w:val="32"/>
          <w:lang w:val="en-US" w:eastAsia="zh-CN"/>
        </w:rPr>
        <w:t>对13</w:t>
      </w:r>
      <w:r>
        <w:rPr>
          <w:rFonts w:hint="default" w:ascii="Times New Roman" w:hAnsi="Times New Roman" w:eastAsia="仿宋_GB2312" w:cs="Times New Roman"/>
          <w:sz w:val="32"/>
          <w:szCs w:val="32"/>
          <w:lang w:val="en-US" w:eastAsia="zh-CN"/>
        </w:rPr>
        <w:t>个项目开展了绩效运行监控，</w:t>
      </w:r>
      <w:r>
        <w:rPr>
          <w:rFonts w:hint="eastAsia" w:ascii="Times New Roman" w:hAnsi="Times New Roman" w:eastAsia="仿宋_GB2312" w:cs="Times New Roman"/>
          <w:sz w:val="32"/>
          <w:szCs w:val="32"/>
          <w:lang w:val="en-US" w:eastAsia="zh-CN"/>
        </w:rPr>
        <w:t>并及时调整预算，</w:t>
      </w:r>
      <w:r>
        <w:rPr>
          <w:rFonts w:hint="default" w:ascii="Times New Roman" w:hAnsi="Times New Roman" w:eastAsia="仿宋_GB2312" w:cs="Times New Roman"/>
          <w:sz w:val="32"/>
          <w:szCs w:val="32"/>
          <w:lang w:val="en-US" w:eastAsia="zh-CN"/>
        </w:rPr>
        <w:t>年终执行完毕后，对</w:t>
      </w:r>
      <w:r>
        <w:rPr>
          <w:rFonts w:hint="eastAsia"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lang w:val="en-US" w:eastAsia="zh-CN"/>
        </w:rPr>
        <w:t>个项目开展了绩效目标完成情况自评。</w:t>
      </w:r>
      <w:r>
        <w:rPr>
          <w:rFonts w:hint="eastAsia" w:ascii="Times New Roman" w:hAnsi="Times New Roman" w:eastAsia="仿宋_GB2312" w:cs="Times New Roman"/>
          <w:sz w:val="32"/>
          <w:szCs w:val="32"/>
          <w:lang w:val="en-US" w:eastAsia="zh-CN"/>
        </w:rPr>
        <w:t>所有项目</w:t>
      </w:r>
      <w:r>
        <w:rPr>
          <w:rFonts w:hint="eastAsia" w:ascii="Times New Roman" w:hAnsi="Times New Roman" w:eastAsia="仿宋_GB2312" w:cs="Times New Roman"/>
          <w:sz w:val="32"/>
          <w:szCs w:val="32"/>
          <w:lang w:val="zh-CN" w:eastAsia="zh-CN"/>
        </w:rPr>
        <w:t>资金结余率为</w:t>
      </w:r>
      <w:r>
        <w:rPr>
          <w:rFonts w:hint="eastAsia" w:ascii="Times New Roman" w:hAnsi="Times New Roman" w:eastAsia="仿宋_GB2312" w:cs="Times New Roman"/>
          <w:sz w:val="32"/>
          <w:szCs w:val="32"/>
          <w:lang w:val="en-US" w:eastAsia="zh-CN"/>
        </w:rPr>
        <w:t>0，无</w:t>
      </w:r>
      <w:r>
        <w:rPr>
          <w:rFonts w:hint="eastAsia" w:ascii="Times New Roman" w:hAnsi="Times New Roman" w:eastAsia="仿宋_GB2312" w:cs="Times New Roman"/>
          <w:sz w:val="32"/>
          <w:szCs w:val="32"/>
          <w:lang w:val="zh-CN" w:eastAsia="zh-CN"/>
        </w:rPr>
        <w:t>违规记录。</w:t>
      </w:r>
    </w:p>
    <w:p w14:paraId="29DD5B20">
      <w:pPr>
        <w:keepNext w:val="0"/>
        <w:keepLines w:val="0"/>
        <w:pageBreakBefore w:val="0"/>
        <w:kinsoku/>
        <w:wordWrap/>
        <w:overflowPunct/>
        <w:autoSpaceDE/>
        <w:autoSpaceDN/>
        <w:bidi w:val="0"/>
        <w:spacing w:line="600" w:lineRule="exact"/>
        <w:ind w:firstLine="643" w:firstLineChars="200"/>
        <w:textAlignment w:val="auto"/>
        <w:rPr>
          <w:rFonts w:hint="eastAsia" w:ascii="Times New Roman" w:hAnsi="Times New Roman" w:eastAsia="仿宋_GB2312" w:cs="Times New Roman"/>
          <w:b/>
          <w:bCs/>
          <w:sz w:val="32"/>
          <w:szCs w:val="32"/>
          <w:lang w:val="zh-CN" w:eastAsia="zh-CN"/>
        </w:rPr>
      </w:pPr>
      <w:r>
        <w:rPr>
          <w:rFonts w:hint="eastAsia" w:ascii="Times New Roman" w:hAnsi="Times New Roman" w:eastAsia="仿宋_GB2312" w:cs="Times New Roman"/>
          <w:b/>
          <w:bCs/>
          <w:sz w:val="32"/>
          <w:szCs w:val="32"/>
          <w:lang w:val="zh-CN" w:eastAsia="zh-CN"/>
        </w:rPr>
        <w:t>2.</w:t>
      </w:r>
      <w:r>
        <w:rPr>
          <w:rFonts w:hint="eastAsia" w:ascii="Times New Roman" w:hAnsi="Times New Roman" w:eastAsia="仿宋_GB2312" w:cs="Times New Roman"/>
          <w:b/>
          <w:bCs/>
          <w:sz w:val="32"/>
          <w:szCs w:val="32"/>
          <w:lang w:val="en-US" w:eastAsia="zh-CN"/>
        </w:rPr>
        <w:t>50</w:t>
      </w:r>
      <w:r>
        <w:rPr>
          <w:rFonts w:hint="eastAsia" w:ascii="Times New Roman" w:hAnsi="Times New Roman" w:eastAsia="仿宋_GB2312" w:cs="Times New Roman"/>
          <w:b/>
          <w:bCs/>
          <w:sz w:val="32"/>
          <w:szCs w:val="32"/>
          <w:lang w:val="zh-CN" w:eastAsia="zh-CN"/>
        </w:rPr>
        <w:t>万以上项目：</w:t>
      </w:r>
    </w:p>
    <w:p w14:paraId="3A0BF1B3">
      <w:pPr>
        <w:keepNext w:val="0"/>
        <w:keepLines w:val="0"/>
        <w:pageBreakBefore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zh-CN" w:eastAsia="zh-CN"/>
        </w:rPr>
        <w:t>项目1：区政府大院专项</w:t>
      </w:r>
      <w:r>
        <w:rPr>
          <w:rFonts w:hint="eastAsia" w:eastAsia="仿宋_GB2312" w:cs="Times New Roman"/>
          <w:sz w:val="32"/>
          <w:szCs w:val="32"/>
          <w:lang w:val="zh-CN" w:eastAsia="zh-CN"/>
        </w:rPr>
        <w:t>经费</w:t>
      </w:r>
      <w:r>
        <w:rPr>
          <w:rFonts w:hint="eastAsia" w:ascii="Times New Roman" w:hAnsi="Times New Roman" w:eastAsia="仿宋_GB2312" w:cs="Times New Roman"/>
          <w:sz w:val="32"/>
          <w:szCs w:val="32"/>
          <w:lang w:val="zh-CN" w:eastAsia="zh-CN"/>
        </w:rPr>
        <w:t>项目年初预算数</w:t>
      </w:r>
      <w:r>
        <w:rPr>
          <w:rFonts w:hint="eastAsia" w:ascii="Times New Roman" w:hAnsi="Times New Roman" w:eastAsia="仿宋_GB2312" w:cs="Times New Roman"/>
          <w:sz w:val="32"/>
          <w:szCs w:val="32"/>
          <w:lang w:val="en-US" w:eastAsia="zh-CN"/>
        </w:rPr>
        <w:t>160万元，</w:t>
      </w:r>
      <w:r>
        <w:rPr>
          <w:rFonts w:hint="eastAsia" w:ascii="Times New Roman" w:hAnsi="Times New Roman" w:eastAsia="仿宋_GB2312" w:cs="Times New Roman"/>
          <w:sz w:val="32"/>
          <w:szCs w:val="32"/>
          <w:lang w:val="zh-CN" w:eastAsia="zh-CN"/>
        </w:rPr>
        <w:t>预算调整数</w:t>
      </w:r>
      <w:r>
        <w:rPr>
          <w:rFonts w:hint="eastAsia" w:ascii="Times New Roman" w:hAnsi="Times New Roman" w:eastAsia="仿宋_GB2312" w:cs="Times New Roman"/>
          <w:sz w:val="32"/>
          <w:szCs w:val="32"/>
          <w:lang w:val="en-US" w:eastAsia="zh-CN"/>
        </w:rPr>
        <w:t>120.76万元，执行</w:t>
      </w:r>
      <w:r>
        <w:rPr>
          <w:rFonts w:hint="eastAsia" w:ascii="Times New Roman" w:hAnsi="Times New Roman" w:eastAsia="仿宋_GB2312" w:cs="Times New Roman"/>
          <w:sz w:val="32"/>
          <w:szCs w:val="32"/>
          <w:lang w:val="zh-CN" w:eastAsia="zh-CN"/>
        </w:rPr>
        <w:t>决算数</w:t>
      </w:r>
      <w:r>
        <w:rPr>
          <w:rFonts w:hint="eastAsia" w:ascii="Times New Roman" w:hAnsi="Times New Roman" w:eastAsia="仿宋_GB2312" w:cs="Times New Roman"/>
          <w:sz w:val="32"/>
          <w:szCs w:val="32"/>
          <w:lang w:val="en-US" w:eastAsia="zh-CN"/>
        </w:rPr>
        <w:t>120.76万元</w:t>
      </w:r>
      <w:r>
        <w:rPr>
          <w:rFonts w:hint="eastAsia" w:ascii="Times New Roman" w:hAnsi="Times New Roman" w:eastAsia="仿宋_GB2312" w:cs="Times New Roman"/>
          <w:sz w:val="32"/>
          <w:szCs w:val="32"/>
          <w:lang w:val="zh-CN" w:eastAsia="zh-CN"/>
        </w:rPr>
        <w:t>. 执行率</w:t>
      </w:r>
      <w:r>
        <w:rPr>
          <w:rFonts w:hint="eastAsia" w:ascii="Times New Roman" w:hAnsi="Times New Roman" w:eastAsia="仿宋_GB2312" w:cs="Times New Roman"/>
          <w:sz w:val="32"/>
          <w:szCs w:val="32"/>
          <w:lang w:val="en-US" w:eastAsia="zh-CN"/>
        </w:rPr>
        <w:t>100%。</w:t>
      </w:r>
    </w:p>
    <w:p w14:paraId="178E2C22">
      <w:pPr>
        <w:keepNext w:val="0"/>
        <w:keepLines w:val="0"/>
        <w:pageBreakBefore w:val="0"/>
        <w:kinsoku/>
        <w:wordWrap/>
        <w:overflowPunct/>
        <w:autoSpaceDE/>
        <w:autoSpaceDN/>
        <w:bidi w:val="0"/>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zh-CN" w:eastAsia="zh-CN"/>
        </w:rPr>
        <w:t>项目2：电子政务外网升级改造项目年初预算数</w:t>
      </w:r>
      <w:r>
        <w:rPr>
          <w:rFonts w:hint="eastAsia" w:ascii="Times New Roman" w:hAnsi="Times New Roman" w:eastAsia="仿宋_GB2312" w:cs="Times New Roman"/>
          <w:sz w:val="32"/>
          <w:szCs w:val="32"/>
          <w:lang w:val="en-US" w:eastAsia="zh-CN"/>
        </w:rPr>
        <w:t>56万元，</w:t>
      </w:r>
      <w:r>
        <w:rPr>
          <w:rFonts w:hint="eastAsia" w:ascii="Times New Roman" w:hAnsi="Times New Roman" w:eastAsia="仿宋_GB2312" w:cs="Times New Roman"/>
          <w:sz w:val="32"/>
          <w:szCs w:val="32"/>
          <w:lang w:val="zh-CN" w:eastAsia="zh-CN"/>
        </w:rPr>
        <w:t>预算调整数</w:t>
      </w:r>
      <w:r>
        <w:rPr>
          <w:rFonts w:hint="eastAsia" w:ascii="Times New Roman" w:hAnsi="Times New Roman" w:eastAsia="仿宋_GB2312" w:cs="Times New Roman"/>
          <w:sz w:val="32"/>
          <w:szCs w:val="32"/>
          <w:lang w:val="en-US" w:eastAsia="zh-CN"/>
        </w:rPr>
        <w:t>46.3万元，执行</w:t>
      </w:r>
      <w:r>
        <w:rPr>
          <w:rFonts w:hint="eastAsia" w:ascii="Times New Roman" w:hAnsi="Times New Roman" w:eastAsia="仿宋_GB2312" w:cs="Times New Roman"/>
          <w:sz w:val="32"/>
          <w:szCs w:val="32"/>
          <w:lang w:val="zh-CN" w:eastAsia="zh-CN"/>
        </w:rPr>
        <w:t>决算数</w:t>
      </w:r>
      <w:r>
        <w:rPr>
          <w:rFonts w:hint="eastAsia" w:ascii="Times New Roman" w:hAnsi="Times New Roman" w:eastAsia="仿宋_GB2312" w:cs="Times New Roman"/>
          <w:sz w:val="32"/>
          <w:szCs w:val="32"/>
          <w:lang w:val="en-US" w:eastAsia="zh-CN"/>
        </w:rPr>
        <w:t>46.3万元，</w:t>
      </w:r>
      <w:r>
        <w:rPr>
          <w:rFonts w:hint="eastAsia" w:ascii="Times New Roman" w:hAnsi="Times New Roman" w:eastAsia="仿宋_GB2312" w:cs="Times New Roman"/>
          <w:sz w:val="32"/>
          <w:szCs w:val="32"/>
          <w:lang w:val="zh-CN" w:eastAsia="zh-CN"/>
        </w:rPr>
        <w:t>执行率</w:t>
      </w:r>
      <w:r>
        <w:rPr>
          <w:rFonts w:hint="eastAsia" w:ascii="Times New Roman" w:hAnsi="Times New Roman" w:eastAsia="仿宋_GB2312" w:cs="Times New Roman"/>
          <w:sz w:val="32"/>
          <w:szCs w:val="32"/>
          <w:lang w:val="en-US" w:eastAsia="zh-CN"/>
        </w:rPr>
        <w:t>100%。</w:t>
      </w:r>
    </w:p>
    <w:p w14:paraId="6DE0E3BB">
      <w:pPr>
        <w:keepNext w:val="0"/>
        <w:keepLines w:val="0"/>
        <w:pageBreakBefore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项目3:区政府后勤保障费项目年初预算数170万元，调整预算数147.6万元，执行决算数147.6万元，执行率100%。</w:t>
      </w:r>
    </w:p>
    <w:p w14:paraId="29275672">
      <w:pPr>
        <w:keepNext w:val="0"/>
        <w:keepLines w:val="0"/>
        <w:pageBreakBefore w:val="0"/>
        <w:kinsoku/>
        <w:wordWrap/>
        <w:overflowPunct/>
        <w:autoSpaceDE/>
        <w:autoSpaceDN/>
        <w:bidi w:val="0"/>
        <w:spacing w:line="600" w:lineRule="exact"/>
        <w:ind w:firstLine="643" w:firstLineChars="200"/>
        <w:textAlignment w:val="auto"/>
        <w:rPr>
          <w:rFonts w:hint="default" w:ascii="Times New Roman" w:hAnsi="Times New Roman" w:eastAsia="仿宋_GB2312" w:cs="Times New Roman"/>
          <w:b/>
          <w:bCs/>
          <w:sz w:val="32"/>
          <w:szCs w:val="32"/>
          <w:lang w:val="zh-CN" w:eastAsia="zh-CN"/>
        </w:rPr>
      </w:pPr>
      <w:r>
        <w:rPr>
          <w:rFonts w:hint="eastAsia" w:ascii="Times New Roman" w:hAnsi="Times New Roman" w:eastAsia="仿宋_GB2312" w:cs="Times New Roman"/>
          <w:b/>
          <w:bCs/>
          <w:sz w:val="32"/>
          <w:szCs w:val="32"/>
          <w:lang w:val="zh-CN" w:eastAsia="zh-CN"/>
        </w:rPr>
        <w:t>（三）结果应用情况。</w:t>
      </w:r>
    </w:p>
    <w:p w14:paraId="260E3E2B">
      <w:pPr>
        <w:keepNext w:val="0"/>
        <w:keepLines w:val="0"/>
        <w:pageBreakBefore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1、及时对部门整体支出和项目支出进行自评，并按要求将自评表于区政府门户网站公开，接受监督。</w:t>
      </w:r>
    </w:p>
    <w:p w14:paraId="09EF3DB8">
      <w:pPr>
        <w:keepNext w:val="0"/>
        <w:keepLines w:val="0"/>
        <w:pageBreakBefore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2、通过预算绩效管理，及时完成中期评估及调整，</w:t>
      </w:r>
      <w:r>
        <w:rPr>
          <w:rFonts w:hint="default" w:ascii="Times New Roman" w:hAnsi="Times New Roman" w:eastAsia="仿宋_GB2312" w:cs="Times New Roman"/>
          <w:sz w:val="32"/>
          <w:szCs w:val="32"/>
          <w:lang w:eastAsia="zh-CN"/>
        </w:rPr>
        <w:t>强化了资金统筹，优化了资金结构，保证了部门的正常运行和各项工作的正常开展。</w:t>
      </w:r>
    </w:p>
    <w:p w14:paraId="40DFD449">
      <w:pPr>
        <w:keepNext w:val="0"/>
        <w:keepLines w:val="0"/>
        <w:pageBreakBefore w:val="0"/>
        <w:kinsoku/>
        <w:wordWrap/>
        <w:overflowPunct/>
        <w:autoSpaceDE/>
        <w:autoSpaceDN/>
        <w:bidi w:val="0"/>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四、评价结论及建议</w:t>
      </w:r>
    </w:p>
    <w:p w14:paraId="7FE7535F">
      <w:pPr>
        <w:keepNext w:val="0"/>
        <w:keepLines w:val="0"/>
        <w:pageBreakBefore w:val="0"/>
        <w:kinsoku/>
        <w:wordWrap/>
        <w:overflowPunct/>
        <w:autoSpaceDE/>
        <w:autoSpaceDN/>
        <w:bidi w:val="0"/>
        <w:spacing w:line="600" w:lineRule="exact"/>
        <w:ind w:firstLine="643" w:firstLineChars="200"/>
        <w:textAlignment w:val="auto"/>
        <w:rPr>
          <w:rFonts w:hint="default" w:ascii="Times New Roman" w:hAnsi="Times New Roman" w:eastAsia="仿宋_GB2312" w:cs="Times New Roman"/>
          <w:b/>
          <w:bCs/>
          <w:sz w:val="32"/>
          <w:szCs w:val="32"/>
          <w:lang w:val="zh-CN" w:eastAsia="zh-CN"/>
        </w:rPr>
      </w:pPr>
      <w:r>
        <w:rPr>
          <w:rFonts w:hint="default" w:ascii="Times New Roman" w:hAnsi="Times New Roman" w:eastAsia="仿宋_GB2312" w:cs="Times New Roman"/>
          <w:b/>
          <w:bCs/>
          <w:sz w:val="32"/>
          <w:szCs w:val="32"/>
          <w:lang w:val="zh-CN" w:eastAsia="zh-CN"/>
        </w:rPr>
        <w:t>（一）评价结论。</w:t>
      </w:r>
    </w:p>
    <w:p w14:paraId="3F830F4F">
      <w:pPr>
        <w:keepNext w:val="0"/>
        <w:keepLines w:val="0"/>
        <w:pageBreakBefore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总体来看，我</w:t>
      </w:r>
      <w:r>
        <w:rPr>
          <w:rFonts w:hint="eastAsia" w:ascii="Times New Roman" w:hAnsi="Times New Roman" w:eastAsia="仿宋_GB2312" w:cs="Times New Roman"/>
          <w:sz w:val="32"/>
          <w:szCs w:val="32"/>
          <w:lang w:eastAsia="zh-CN"/>
        </w:rPr>
        <w:t>办</w:t>
      </w:r>
      <w:r>
        <w:rPr>
          <w:rFonts w:hint="default"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年部门</w:t>
      </w:r>
      <w:r>
        <w:rPr>
          <w:rFonts w:hint="eastAsia" w:ascii="Times New Roman" w:hAnsi="Times New Roman" w:eastAsia="仿宋_GB2312" w:cs="Times New Roman"/>
          <w:sz w:val="32"/>
          <w:szCs w:val="32"/>
          <w:lang w:eastAsia="zh-CN"/>
        </w:rPr>
        <w:t>整体</w:t>
      </w:r>
      <w:r>
        <w:rPr>
          <w:rFonts w:hint="default" w:ascii="Times New Roman" w:hAnsi="Times New Roman" w:eastAsia="仿宋_GB2312" w:cs="Times New Roman"/>
          <w:sz w:val="32"/>
          <w:szCs w:val="32"/>
          <w:lang w:eastAsia="zh-CN"/>
        </w:rPr>
        <w:t>支出与预算基本一致，预算合理、不留缺口、不留空项，在资金使用和管理方面，进一步强化资金统筹，优化资金结构，明确开支范围，细化资金用途，确保部门职责任务顺利完成。全年支出保证了部门的正常运行和各项工作的正常开展，达到预期</w:t>
      </w:r>
      <w:r>
        <w:rPr>
          <w:rFonts w:hint="eastAsia" w:ascii="Times New Roman" w:hAnsi="Times New Roman" w:eastAsia="仿宋_GB2312" w:cs="Times New Roman"/>
          <w:sz w:val="32"/>
          <w:szCs w:val="32"/>
          <w:lang w:eastAsia="zh-CN"/>
        </w:rPr>
        <w:t>部门整体</w:t>
      </w:r>
      <w:r>
        <w:rPr>
          <w:rFonts w:hint="default" w:ascii="Times New Roman" w:hAnsi="Times New Roman" w:eastAsia="仿宋_GB2312" w:cs="Times New Roman"/>
          <w:sz w:val="32"/>
          <w:szCs w:val="32"/>
          <w:lang w:eastAsia="zh-CN"/>
        </w:rPr>
        <w:t>绩效目标，总体较为满意。</w:t>
      </w:r>
    </w:p>
    <w:p w14:paraId="58231310">
      <w:pPr>
        <w:keepNext w:val="0"/>
        <w:keepLines w:val="0"/>
        <w:pageBreakBefore w:val="0"/>
        <w:kinsoku/>
        <w:wordWrap/>
        <w:overflowPunct/>
        <w:autoSpaceDE/>
        <w:autoSpaceDN/>
        <w:bidi w:val="0"/>
        <w:spacing w:line="60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（二）存在问题。</w:t>
      </w:r>
    </w:p>
    <w:p w14:paraId="48298413">
      <w:pPr>
        <w:keepNext w:val="0"/>
        <w:keepLines w:val="0"/>
        <w:pageBreakBefore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绩效评价工作业务有待加强，评价结果运用不够。</w:t>
      </w:r>
    </w:p>
    <w:p w14:paraId="34ED4CF4">
      <w:pPr>
        <w:keepNext w:val="0"/>
        <w:keepLines w:val="0"/>
        <w:pageBreakBefore w:val="0"/>
        <w:kinsoku/>
        <w:wordWrap/>
        <w:overflowPunct/>
        <w:autoSpaceDE/>
        <w:autoSpaceDN/>
        <w:bidi w:val="0"/>
        <w:spacing w:line="60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（三）改进建议。</w:t>
      </w:r>
    </w:p>
    <w:p w14:paraId="76C7C7F1">
      <w:pPr>
        <w:keepNext w:val="0"/>
        <w:keepLines w:val="0"/>
        <w:pageBreakBefore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部门整体绩效评价工作是一项长期性的工作，专业性强，工作量大，建议财政部门进一步加强开展部门领导及经办人员相关的政策、业务工作培训和指导，优化相关指标，切实推进绩效评价工作的开展。</w:t>
      </w:r>
    </w:p>
    <w:p w14:paraId="789507E7">
      <w:pPr>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br w:type="page"/>
      </w:r>
    </w:p>
    <w:p w14:paraId="48D69A72">
      <w:pPr>
        <w:spacing w:line="600" w:lineRule="exact"/>
        <w:jc w:val="both"/>
        <w:outlineLvl w:val="0"/>
        <w:rPr>
          <w:rFonts w:hint="eastAsia" w:ascii="黑体" w:hAnsi="黑体" w:eastAsia="黑体"/>
          <w:color w:val="FF0000"/>
          <w:sz w:val="44"/>
          <w:szCs w:val="44"/>
          <w:highlight w:val="none"/>
        </w:rPr>
      </w:pPr>
      <w:r>
        <w:rPr>
          <w:rFonts w:hint="eastAsia" w:cs="Times New Roman"/>
          <w:sz w:val="32"/>
          <w:szCs w:val="32"/>
          <w:highlight w:val="none"/>
          <w:lang w:val="en-US" w:eastAsia="zh-CN"/>
        </w:rPr>
        <w:t>附表：</w:t>
      </w:r>
      <w:r>
        <w:rPr>
          <w:rFonts w:hint="eastAsia" w:hAnsi="Times New Roman" w:cs="Times New Roman"/>
          <w:sz w:val="32"/>
          <w:szCs w:val="32"/>
          <w:highlight w:val="none"/>
          <w:lang w:val="en-US" w:eastAsia="zh-CN"/>
        </w:rPr>
        <w:t>部门预算项目支出绩效自评表（2024年度）</w:t>
      </w:r>
    </w:p>
    <w:tbl>
      <w:tblPr>
        <w:tblStyle w:val="16"/>
        <w:tblW w:w="10733" w:type="dxa"/>
        <w:tblInd w:w="-56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85"/>
        <w:gridCol w:w="1590"/>
        <w:gridCol w:w="2918"/>
        <w:gridCol w:w="1346"/>
        <w:gridCol w:w="1161"/>
        <w:gridCol w:w="868"/>
        <w:gridCol w:w="600"/>
        <w:gridCol w:w="765"/>
      </w:tblGrid>
      <w:tr w14:paraId="3EE4B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733" w:type="dxa"/>
            <w:gridSpan w:val="8"/>
            <w:tcBorders>
              <w:top w:val="nil"/>
              <w:left w:val="nil"/>
              <w:bottom w:val="nil"/>
              <w:right w:val="nil"/>
            </w:tcBorders>
            <w:shd w:val="clear" w:color="auto" w:fill="auto"/>
            <w:noWrap/>
            <w:vAlign w:val="center"/>
          </w:tcPr>
          <w:p w14:paraId="5AFC7864">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2"/>
                <w:szCs w:val="32"/>
                <w:u w:val="none"/>
                <w:lang w:val="en-US" w:eastAsia="zh-CN" w:bidi="ar"/>
              </w:rPr>
              <w:t>区级项目支出绩效自评表1</w:t>
            </w:r>
          </w:p>
        </w:tc>
      </w:tr>
      <w:tr w14:paraId="64B61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03F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A6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区政府大院运行专项经费</w:t>
            </w: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46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39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C9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D5B9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 w:hRule="atLeast"/>
        </w:trPr>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EA3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6EFF1">
            <w:pPr>
              <w:jc w:val="left"/>
              <w:rPr>
                <w:rFonts w:hint="eastAsia" w:ascii="宋体" w:hAnsi="宋体" w:eastAsia="宋体" w:cs="宋体"/>
                <w:i w:val="0"/>
                <w:iCs w:val="0"/>
                <w:color w:val="000000"/>
                <w:sz w:val="20"/>
                <w:szCs w:val="20"/>
                <w:u w:val="none"/>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4D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39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4CD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五通桥区人民政府办公室机关</w:t>
            </w:r>
          </w:p>
        </w:tc>
      </w:tr>
      <w:tr w14:paraId="2314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73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08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8065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3075" w:type="dxa"/>
            <w:gridSpan w:val="2"/>
            <w:tcBorders>
              <w:top w:val="single" w:color="000000" w:sz="4" w:space="0"/>
              <w:left w:val="single" w:color="000000" w:sz="4" w:space="0"/>
              <w:bottom w:val="single" w:color="000000" w:sz="4" w:space="0"/>
              <w:right w:val="nil"/>
            </w:tcBorders>
            <w:shd w:val="clear" w:color="auto" w:fill="auto"/>
            <w:noWrap/>
            <w:vAlign w:val="center"/>
          </w:tcPr>
          <w:p w14:paraId="246C1146">
            <w:pPr>
              <w:jc w:val="center"/>
              <w:rPr>
                <w:rFonts w:hint="eastAsia" w:ascii="宋体" w:hAnsi="宋体" w:eastAsia="宋体" w:cs="宋体"/>
                <w:i w:val="0"/>
                <w:iCs w:val="0"/>
                <w:color w:val="000000"/>
                <w:sz w:val="20"/>
                <w:szCs w:val="20"/>
                <w:u w:val="none"/>
              </w:rPr>
            </w:pP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14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5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BF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2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F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2F5C3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2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FA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120.76</w:t>
            </w:r>
          </w:p>
        </w:tc>
        <w:tc>
          <w:tcPr>
            <w:tcW w:w="25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8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120.76</w:t>
            </w:r>
          </w:p>
        </w:tc>
        <w:tc>
          <w:tcPr>
            <w:tcW w:w="22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7D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3AB5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51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50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120.76</w:t>
            </w:r>
          </w:p>
        </w:tc>
        <w:tc>
          <w:tcPr>
            <w:tcW w:w="25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9D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120.76</w:t>
            </w:r>
          </w:p>
        </w:tc>
        <w:tc>
          <w:tcPr>
            <w:tcW w:w="22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ED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2C7B0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3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F696">
            <w:pPr>
              <w:jc w:val="center"/>
              <w:rPr>
                <w:rFonts w:hint="eastAsia" w:ascii="宋体" w:hAnsi="宋体" w:eastAsia="宋体" w:cs="宋体"/>
                <w:i w:val="0"/>
                <w:iCs w:val="0"/>
                <w:color w:val="000000"/>
                <w:sz w:val="20"/>
                <w:szCs w:val="20"/>
                <w:u w:val="none"/>
              </w:rPr>
            </w:pPr>
          </w:p>
        </w:tc>
        <w:tc>
          <w:tcPr>
            <w:tcW w:w="25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16855">
            <w:pPr>
              <w:jc w:val="center"/>
              <w:rPr>
                <w:rFonts w:hint="eastAsia" w:ascii="宋体" w:hAnsi="宋体" w:eastAsia="宋体" w:cs="宋体"/>
                <w:i w:val="0"/>
                <w:iCs w:val="0"/>
                <w:color w:val="000000"/>
                <w:sz w:val="20"/>
                <w:szCs w:val="20"/>
                <w:u w:val="none"/>
              </w:rPr>
            </w:pPr>
          </w:p>
        </w:tc>
        <w:tc>
          <w:tcPr>
            <w:tcW w:w="22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4F29C">
            <w:pPr>
              <w:jc w:val="center"/>
              <w:rPr>
                <w:rFonts w:hint="eastAsia" w:ascii="宋体" w:hAnsi="宋体" w:eastAsia="宋体" w:cs="宋体"/>
                <w:i w:val="0"/>
                <w:iCs w:val="0"/>
                <w:color w:val="000000"/>
                <w:sz w:val="20"/>
                <w:szCs w:val="20"/>
                <w:u w:val="none"/>
              </w:rPr>
            </w:pPr>
          </w:p>
        </w:tc>
      </w:tr>
      <w:tr w14:paraId="6625C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AD8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5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36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74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77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39D9D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F6376">
            <w:pPr>
              <w:jc w:val="left"/>
              <w:rPr>
                <w:rFonts w:hint="eastAsia" w:ascii="宋体" w:hAnsi="宋体" w:eastAsia="宋体" w:cs="宋体"/>
                <w:i w:val="0"/>
                <w:iCs w:val="0"/>
                <w:color w:val="000000"/>
                <w:sz w:val="20"/>
                <w:szCs w:val="20"/>
                <w:u w:val="none"/>
              </w:rPr>
            </w:pPr>
          </w:p>
        </w:tc>
        <w:tc>
          <w:tcPr>
            <w:tcW w:w="4508" w:type="dxa"/>
            <w:gridSpan w:val="2"/>
            <w:tcBorders>
              <w:top w:val="single" w:color="000000" w:sz="4" w:space="0"/>
              <w:left w:val="single" w:color="000000" w:sz="4" w:space="0"/>
              <w:bottom w:val="nil"/>
              <w:right w:val="single" w:color="000000" w:sz="4" w:space="0"/>
            </w:tcBorders>
            <w:shd w:val="clear" w:color="auto" w:fill="auto"/>
            <w:vAlign w:val="center"/>
          </w:tcPr>
          <w:p w14:paraId="7FD94D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年预计投入160万元，做好区政府大院管理维修维护，值班周转房租赁及管理，心连心运行服务、区政府各类会议保障服务，各项电子政务专网运行，区政府咨询顾问及挂职干部专项服务工作。</w:t>
            </w:r>
          </w:p>
        </w:tc>
        <w:tc>
          <w:tcPr>
            <w:tcW w:w="4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A765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实际投入120.76万元，做好区政府大院管理维修维护，值班周转房租赁及管理，心连心运行服务，区政府各类会议保障服务，各项电子政务专网运行，区政府决策咨询顾问及挂职干部专项服务工作。</w:t>
            </w:r>
          </w:p>
        </w:tc>
      </w:tr>
      <w:tr w14:paraId="3C094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14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58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3F0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C4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7CE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2E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56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7B344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ED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E0F7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 w:hRule="atLeast"/>
        </w:trPr>
        <w:tc>
          <w:tcPr>
            <w:tcW w:w="85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BF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A81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66A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E990">
            <w:pPr>
              <w:jc w:val="center"/>
              <w:rPr>
                <w:rFonts w:hint="eastAsia" w:ascii="宋体" w:hAnsi="宋体" w:eastAsia="宋体" w:cs="宋体"/>
                <w:i w:val="0"/>
                <w:iCs w:val="0"/>
                <w:color w:val="000000"/>
                <w:sz w:val="18"/>
                <w:szCs w:val="18"/>
                <w:u w:val="none"/>
              </w:rPr>
            </w:pPr>
          </w:p>
        </w:tc>
      </w:tr>
      <w:tr w14:paraId="28B89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9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BC2D4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378F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C72C2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E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24B525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BAACC">
            <w:pPr>
              <w:rPr>
                <w:rFonts w:hint="eastAsia" w:ascii="宋体" w:hAnsi="宋体" w:eastAsia="宋体" w:cs="宋体"/>
                <w:i w:val="0"/>
                <w:iCs w:val="0"/>
                <w:color w:val="000000"/>
                <w:sz w:val="18"/>
                <w:szCs w:val="18"/>
                <w:u w:val="none"/>
              </w:rPr>
            </w:pPr>
          </w:p>
        </w:tc>
      </w:tr>
      <w:tr w14:paraId="78FE6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85" w:type="dxa"/>
            <w:vMerge w:val="restart"/>
            <w:tcBorders>
              <w:top w:val="single" w:color="000000" w:sz="4" w:space="0"/>
              <w:left w:val="single" w:color="000000" w:sz="4" w:space="0"/>
              <w:bottom w:val="nil"/>
              <w:right w:val="single" w:color="000000" w:sz="4" w:space="0"/>
            </w:tcBorders>
            <w:shd w:val="clear" w:color="auto" w:fill="FFFFFF"/>
            <w:vAlign w:val="center"/>
          </w:tcPr>
          <w:p w14:paraId="6BEF36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09D16DF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CF0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会议室会议物资购买批次</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318A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12批次</w:t>
            </w:r>
          </w:p>
        </w:tc>
        <w:tc>
          <w:tcPr>
            <w:tcW w:w="1161" w:type="dxa"/>
            <w:tcBorders>
              <w:top w:val="nil"/>
              <w:left w:val="nil"/>
              <w:bottom w:val="nil"/>
              <w:right w:val="nil"/>
            </w:tcBorders>
            <w:shd w:val="clear" w:color="auto" w:fill="auto"/>
            <w:vAlign w:val="center"/>
          </w:tcPr>
          <w:p w14:paraId="01BA54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14次</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EE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3B0B06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7B70F">
            <w:pPr>
              <w:rPr>
                <w:rFonts w:hint="eastAsia" w:ascii="宋体" w:hAnsi="宋体" w:eastAsia="宋体" w:cs="宋体"/>
                <w:i w:val="0"/>
                <w:iCs w:val="0"/>
                <w:color w:val="000000"/>
                <w:sz w:val="18"/>
                <w:szCs w:val="18"/>
                <w:u w:val="none"/>
              </w:rPr>
            </w:pPr>
          </w:p>
        </w:tc>
      </w:tr>
      <w:tr w14:paraId="36C44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4080E0DC">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6C718EB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15C2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办公楼全年水电费支付及时率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E77B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71541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0B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251486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23EB">
            <w:pPr>
              <w:rPr>
                <w:rFonts w:hint="eastAsia" w:ascii="宋体" w:hAnsi="宋体" w:eastAsia="宋体" w:cs="宋体"/>
                <w:i w:val="0"/>
                <w:iCs w:val="0"/>
                <w:color w:val="000000"/>
                <w:sz w:val="18"/>
                <w:szCs w:val="18"/>
                <w:u w:val="none"/>
              </w:rPr>
            </w:pPr>
          </w:p>
        </w:tc>
      </w:tr>
      <w:tr w14:paraId="7EF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77131E7F">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4CA7A0C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6495E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心连心热线办理数量</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FCBD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7000件次</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131C6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11000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CE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193D4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2994">
            <w:pPr>
              <w:rPr>
                <w:rFonts w:hint="eastAsia" w:ascii="宋体" w:hAnsi="宋体" w:eastAsia="宋体" w:cs="宋体"/>
                <w:i w:val="0"/>
                <w:iCs w:val="0"/>
                <w:color w:val="000000"/>
                <w:sz w:val="18"/>
                <w:szCs w:val="18"/>
                <w:u w:val="none"/>
              </w:rPr>
            </w:pPr>
          </w:p>
        </w:tc>
      </w:tr>
      <w:tr w14:paraId="26133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7B3EF9AB">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0076A7C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0A30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区政府保洁绿化及维护验收合格率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54F5B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9D19F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36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66ADC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2AF17">
            <w:pPr>
              <w:rPr>
                <w:rFonts w:hint="eastAsia" w:ascii="宋体" w:hAnsi="宋体" w:eastAsia="宋体" w:cs="宋体"/>
                <w:i w:val="0"/>
                <w:iCs w:val="0"/>
                <w:color w:val="000000"/>
                <w:sz w:val="18"/>
                <w:szCs w:val="18"/>
                <w:u w:val="none"/>
              </w:rPr>
            </w:pPr>
          </w:p>
        </w:tc>
      </w:tr>
      <w:tr w14:paraId="24368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44F6AF0E">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003E5A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4730F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办公楼全年水电费支付准确率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F421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E9F7C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01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01543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0F23A">
            <w:pPr>
              <w:rPr>
                <w:rFonts w:hint="eastAsia" w:ascii="宋体" w:hAnsi="宋体" w:eastAsia="宋体" w:cs="宋体"/>
                <w:i w:val="0"/>
                <w:iCs w:val="0"/>
                <w:color w:val="000000"/>
                <w:sz w:val="18"/>
                <w:szCs w:val="18"/>
                <w:u w:val="none"/>
              </w:rPr>
            </w:pPr>
          </w:p>
        </w:tc>
      </w:tr>
      <w:tr w14:paraId="2BB9E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4FCA49C4">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6F5652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444F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区政府保洁绿化及维护及时率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F899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7E058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80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76108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4C367">
            <w:pPr>
              <w:rPr>
                <w:rFonts w:hint="eastAsia" w:ascii="宋体" w:hAnsi="宋体" w:eastAsia="宋体" w:cs="宋体"/>
                <w:i w:val="0"/>
                <w:iCs w:val="0"/>
                <w:color w:val="000000"/>
                <w:sz w:val="18"/>
                <w:szCs w:val="18"/>
                <w:u w:val="none"/>
              </w:rPr>
            </w:pPr>
          </w:p>
        </w:tc>
      </w:tr>
      <w:tr w14:paraId="352D4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17A4A68F">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5D8683C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7A08D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值班室响应及时率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3A5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B89C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72E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49B7D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0F54">
            <w:pPr>
              <w:rPr>
                <w:rFonts w:hint="eastAsia" w:ascii="宋体" w:hAnsi="宋体" w:eastAsia="宋体" w:cs="宋体"/>
                <w:i w:val="0"/>
                <w:iCs w:val="0"/>
                <w:color w:val="000000"/>
                <w:sz w:val="18"/>
                <w:szCs w:val="18"/>
                <w:u w:val="none"/>
              </w:rPr>
            </w:pPr>
          </w:p>
        </w:tc>
      </w:tr>
      <w:tr w14:paraId="26986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01093A08">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38F454D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01B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决策顾问费支付及时率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E3CC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F17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634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68531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A37B">
            <w:pPr>
              <w:rPr>
                <w:rFonts w:hint="eastAsia" w:ascii="宋体" w:hAnsi="宋体" w:eastAsia="宋体" w:cs="宋体"/>
                <w:i w:val="0"/>
                <w:iCs w:val="0"/>
                <w:color w:val="000000"/>
                <w:sz w:val="18"/>
                <w:szCs w:val="18"/>
                <w:u w:val="none"/>
              </w:rPr>
            </w:pPr>
          </w:p>
        </w:tc>
      </w:tr>
      <w:tr w14:paraId="163B9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090D5580">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5DE3667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66D45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区政府大院绿化面积</w:t>
            </w:r>
          </w:p>
        </w:tc>
        <w:tc>
          <w:tcPr>
            <w:tcW w:w="13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BA1F4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 1200平方米</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C2F5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1200平米</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C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7E96BB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E9320">
            <w:pPr>
              <w:rPr>
                <w:rFonts w:hint="eastAsia" w:ascii="宋体" w:hAnsi="宋体" w:eastAsia="宋体" w:cs="宋体"/>
                <w:i w:val="0"/>
                <w:iCs w:val="0"/>
                <w:color w:val="000000"/>
                <w:sz w:val="18"/>
                <w:szCs w:val="18"/>
                <w:u w:val="none"/>
              </w:rPr>
            </w:pPr>
          </w:p>
        </w:tc>
      </w:tr>
      <w:tr w14:paraId="6E22D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5151A009">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6ADD577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98AF7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政府大院绿化养护次数</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E9BA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15C5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6</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A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0D0332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3AC3">
            <w:pPr>
              <w:rPr>
                <w:rFonts w:hint="eastAsia" w:ascii="宋体" w:hAnsi="宋体" w:eastAsia="宋体" w:cs="宋体"/>
                <w:i w:val="0"/>
                <w:iCs w:val="0"/>
                <w:color w:val="000000"/>
                <w:sz w:val="18"/>
                <w:szCs w:val="18"/>
                <w:u w:val="none"/>
              </w:rPr>
            </w:pPr>
          </w:p>
        </w:tc>
      </w:tr>
      <w:tr w14:paraId="70827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785B0C51">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180FEB5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F953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办公楼全年用水量</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0DD7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≤4800吨</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8595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4450吨</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AA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6EAEB5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0ED7">
            <w:pPr>
              <w:rPr>
                <w:rFonts w:hint="eastAsia" w:ascii="宋体" w:hAnsi="宋体" w:eastAsia="宋体" w:cs="宋体"/>
                <w:i w:val="0"/>
                <w:iCs w:val="0"/>
                <w:color w:val="000000"/>
                <w:sz w:val="18"/>
                <w:szCs w:val="18"/>
                <w:u w:val="none"/>
              </w:rPr>
            </w:pPr>
          </w:p>
        </w:tc>
      </w:tr>
      <w:tr w14:paraId="5D4E3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1BA114CB">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1B1D810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A6BF8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会议室全年参会人次</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8CEC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15000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BB9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15000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CF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64D62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D90A">
            <w:pPr>
              <w:rPr>
                <w:rFonts w:hint="eastAsia" w:ascii="宋体" w:hAnsi="宋体" w:eastAsia="宋体" w:cs="宋体"/>
                <w:i w:val="0"/>
                <w:iCs w:val="0"/>
                <w:color w:val="000000"/>
                <w:sz w:val="18"/>
                <w:szCs w:val="18"/>
                <w:u w:val="none"/>
              </w:rPr>
            </w:pPr>
          </w:p>
        </w:tc>
      </w:tr>
      <w:tr w14:paraId="5AA9E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38B34789">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1908F3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235B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区政府大院维修维护面积</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40CC5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4475平米</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3E828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6000平米</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E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56F229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E3DF4">
            <w:pPr>
              <w:rPr>
                <w:rFonts w:hint="eastAsia" w:ascii="宋体" w:hAnsi="宋体" w:eastAsia="宋体" w:cs="宋体"/>
                <w:i w:val="0"/>
                <w:iCs w:val="0"/>
                <w:color w:val="000000"/>
                <w:sz w:val="18"/>
                <w:szCs w:val="18"/>
                <w:u w:val="none"/>
              </w:rPr>
            </w:pPr>
          </w:p>
        </w:tc>
      </w:tr>
      <w:tr w14:paraId="1DB53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85" w:type="dxa"/>
            <w:vMerge w:val="continue"/>
            <w:tcBorders>
              <w:top w:val="single" w:color="000000" w:sz="4" w:space="0"/>
              <w:left w:val="single" w:color="000000" w:sz="4" w:space="0"/>
              <w:bottom w:val="nil"/>
              <w:right w:val="single" w:color="000000" w:sz="4" w:space="0"/>
            </w:tcBorders>
            <w:shd w:val="clear" w:color="auto" w:fill="FFFFFF"/>
            <w:vAlign w:val="center"/>
          </w:tcPr>
          <w:p w14:paraId="438CDFBB">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6E3037E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7C39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办公楼全年用电量</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39DA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≤210000度</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2388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208000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D8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5049B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C1CF8">
            <w:pPr>
              <w:rPr>
                <w:rFonts w:hint="eastAsia" w:ascii="宋体" w:hAnsi="宋体" w:eastAsia="宋体" w:cs="宋体"/>
                <w:i w:val="0"/>
                <w:iCs w:val="0"/>
                <w:color w:val="000000"/>
                <w:sz w:val="18"/>
                <w:szCs w:val="18"/>
                <w:u w:val="none"/>
              </w:rPr>
            </w:pPr>
          </w:p>
        </w:tc>
      </w:tr>
      <w:tr w14:paraId="2C24C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043A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2FAD703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918" w:type="dxa"/>
            <w:tcBorders>
              <w:top w:val="single" w:color="000000" w:sz="4" w:space="0"/>
              <w:left w:val="single" w:color="000000" w:sz="4" w:space="0"/>
              <w:bottom w:val="single" w:color="000000" w:sz="4" w:space="0"/>
              <w:right w:val="nil"/>
            </w:tcBorders>
            <w:shd w:val="clear" w:color="auto" w:fill="FFFFFF"/>
            <w:noWrap/>
            <w:vAlign w:val="center"/>
          </w:tcPr>
          <w:p w14:paraId="455E42C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区政府大院管理机制健全性</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0B70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97508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8B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13FFB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6308">
            <w:pPr>
              <w:rPr>
                <w:rFonts w:hint="eastAsia" w:ascii="宋体" w:hAnsi="宋体" w:eastAsia="宋体" w:cs="宋体"/>
                <w:i w:val="0"/>
                <w:iCs w:val="0"/>
                <w:color w:val="000000"/>
                <w:sz w:val="18"/>
                <w:szCs w:val="18"/>
                <w:u w:val="none"/>
              </w:rPr>
            </w:pPr>
          </w:p>
        </w:tc>
      </w:tr>
      <w:tr w14:paraId="25A65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 w:hRule="atLeast"/>
        </w:trPr>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64C5D">
            <w:pPr>
              <w:jc w:val="center"/>
              <w:rPr>
                <w:rFonts w:hint="eastAsia" w:ascii="宋体" w:hAnsi="宋体" w:eastAsia="宋体" w:cs="宋体"/>
                <w:i w:val="0"/>
                <w:iCs w:val="0"/>
                <w:color w:val="333333"/>
                <w:sz w:val="18"/>
                <w:szCs w:val="18"/>
                <w:u w:val="none"/>
              </w:rPr>
            </w:pP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76C0268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918" w:type="dxa"/>
            <w:tcBorders>
              <w:top w:val="single" w:color="000000" w:sz="4" w:space="0"/>
              <w:left w:val="single" w:color="000000" w:sz="4" w:space="0"/>
              <w:bottom w:val="single" w:color="000000" w:sz="4" w:space="0"/>
              <w:right w:val="nil"/>
            </w:tcBorders>
            <w:shd w:val="clear" w:color="auto" w:fill="FFFFFF"/>
            <w:noWrap/>
            <w:vAlign w:val="center"/>
          </w:tcPr>
          <w:p w14:paraId="3CC01F3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部门日常工作正常运转率</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2DEF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91B2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6B4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0D6FD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CCFD">
            <w:pPr>
              <w:rPr>
                <w:rFonts w:hint="eastAsia" w:ascii="宋体" w:hAnsi="宋体" w:eastAsia="宋体" w:cs="宋体"/>
                <w:i w:val="0"/>
                <w:iCs w:val="0"/>
                <w:color w:val="000000"/>
                <w:sz w:val="18"/>
                <w:szCs w:val="18"/>
                <w:u w:val="none"/>
              </w:rPr>
            </w:pPr>
          </w:p>
        </w:tc>
      </w:tr>
      <w:tr w14:paraId="094FB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5" w:hRule="atLeast"/>
        </w:trPr>
        <w:tc>
          <w:tcPr>
            <w:tcW w:w="14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7704F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90" w:type="dxa"/>
            <w:tcBorders>
              <w:top w:val="single" w:color="000000" w:sz="4" w:space="0"/>
              <w:left w:val="single" w:color="000000" w:sz="4" w:space="0"/>
              <w:bottom w:val="single" w:color="000000" w:sz="4" w:space="0"/>
              <w:right w:val="nil"/>
            </w:tcBorders>
            <w:shd w:val="clear" w:color="auto" w:fill="FFFFFF"/>
            <w:noWrap/>
            <w:vAlign w:val="center"/>
          </w:tcPr>
          <w:p w14:paraId="41B827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918" w:type="dxa"/>
            <w:tcBorders>
              <w:top w:val="single" w:color="000000" w:sz="4" w:space="0"/>
              <w:left w:val="single" w:color="000000" w:sz="4" w:space="0"/>
              <w:bottom w:val="single" w:color="000000" w:sz="4" w:space="0"/>
              <w:right w:val="nil"/>
            </w:tcBorders>
            <w:shd w:val="clear" w:color="auto" w:fill="FFFFFF"/>
            <w:noWrap/>
            <w:vAlign w:val="center"/>
          </w:tcPr>
          <w:p w14:paraId="7DCA8A6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服务单位满意度</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7344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98%</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B2497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98%</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F3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nil"/>
              <w:bottom w:val="single" w:color="000000" w:sz="4" w:space="0"/>
              <w:right w:val="single" w:color="000000" w:sz="4" w:space="0"/>
            </w:tcBorders>
            <w:shd w:val="clear" w:color="auto" w:fill="auto"/>
            <w:noWrap/>
            <w:vAlign w:val="center"/>
          </w:tcPr>
          <w:p w14:paraId="54299B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1FBC">
            <w:pPr>
              <w:rPr>
                <w:rFonts w:hint="eastAsia" w:ascii="宋体" w:hAnsi="宋体" w:eastAsia="宋体" w:cs="宋体"/>
                <w:i w:val="0"/>
                <w:iCs w:val="0"/>
                <w:color w:val="000000"/>
                <w:sz w:val="18"/>
                <w:szCs w:val="18"/>
                <w:u w:val="none"/>
              </w:rPr>
            </w:pPr>
          </w:p>
        </w:tc>
      </w:tr>
      <w:tr w14:paraId="507EF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4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8305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108E9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9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BEFB5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区政府大院专项费用控制数</w:t>
            </w:r>
          </w:p>
        </w:tc>
        <w:tc>
          <w:tcPr>
            <w:tcW w:w="13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D7028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160万元</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A08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120.76万元</w:t>
            </w: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A9A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0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AA1A">
            <w:pPr>
              <w:rPr>
                <w:rFonts w:hint="eastAsia" w:ascii="宋体" w:hAnsi="宋体" w:eastAsia="宋体" w:cs="宋体"/>
                <w:i w:val="0"/>
                <w:iCs w:val="0"/>
                <w:color w:val="000000"/>
                <w:sz w:val="18"/>
                <w:szCs w:val="18"/>
                <w:u w:val="none"/>
              </w:rPr>
            </w:pPr>
          </w:p>
        </w:tc>
      </w:tr>
    </w:tbl>
    <w:p w14:paraId="6F7B02B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br w:type="page"/>
      </w:r>
    </w:p>
    <w:tbl>
      <w:tblPr>
        <w:tblStyle w:val="16"/>
        <w:tblW w:w="102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3"/>
        <w:gridCol w:w="450"/>
        <w:gridCol w:w="1466"/>
        <w:gridCol w:w="3019"/>
        <w:gridCol w:w="315"/>
        <w:gridCol w:w="840"/>
        <w:gridCol w:w="1020"/>
        <w:gridCol w:w="840"/>
        <w:gridCol w:w="660"/>
        <w:gridCol w:w="600"/>
      </w:tblGrid>
      <w:tr w14:paraId="2769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273" w:type="dxa"/>
            <w:gridSpan w:val="10"/>
            <w:tcBorders>
              <w:top w:val="nil"/>
              <w:left w:val="nil"/>
              <w:bottom w:val="nil"/>
              <w:right w:val="nil"/>
            </w:tcBorders>
            <w:shd w:val="clear" w:color="auto" w:fill="auto"/>
            <w:noWrap/>
            <w:vAlign w:val="center"/>
          </w:tcPr>
          <w:p w14:paraId="20F170A1">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2</w:t>
            </w:r>
          </w:p>
        </w:tc>
      </w:tr>
      <w:tr w14:paraId="39592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2FD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4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B9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电子政务外网IPV6升级改造项目</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6EE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FF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E932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60E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4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C430">
            <w:pPr>
              <w:jc w:val="left"/>
              <w:rPr>
                <w:rFonts w:hint="eastAsia" w:ascii="宋体" w:hAnsi="宋体" w:eastAsia="宋体" w:cs="宋体"/>
                <w:i w:val="0"/>
                <w:iCs w:val="0"/>
                <w:color w:val="000000"/>
                <w:sz w:val="20"/>
                <w:szCs w:val="20"/>
                <w:u w:val="none"/>
              </w:rPr>
            </w:pP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28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C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五通桥区人民政府办公室机关</w:t>
            </w:r>
          </w:p>
        </w:tc>
      </w:tr>
      <w:tr w14:paraId="72C33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273"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D3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6FAD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979" w:type="dxa"/>
            <w:gridSpan w:val="3"/>
            <w:tcBorders>
              <w:top w:val="single" w:color="000000" w:sz="4" w:space="0"/>
              <w:left w:val="single" w:color="000000" w:sz="4" w:space="0"/>
              <w:bottom w:val="single" w:color="000000" w:sz="4" w:space="0"/>
              <w:right w:val="nil"/>
            </w:tcBorders>
            <w:shd w:val="clear" w:color="auto" w:fill="auto"/>
            <w:noWrap/>
            <w:vAlign w:val="center"/>
          </w:tcPr>
          <w:p w14:paraId="1344B9CA">
            <w:pPr>
              <w:jc w:val="center"/>
              <w:rPr>
                <w:rFonts w:hint="eastAsia" w:ascii="宋体" w:hAnsi="宋体" w:eastAsia="宋体" w:cs="宋体"/>
                <w:i w:val="0"/>
                <w:iCs w:val="0"/>
                <w:color w:val="000000"/>
                <w:sz w:val="20"/>
                <w:szCs w:val="20"/>
                <w:u w:val="none"/>
              </w:rPr>
            </w:pP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74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3B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CD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0F49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9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E9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8A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BC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FB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7C600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9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63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76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B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62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32CCE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9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6D1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C5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28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F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0B0CF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AC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25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93D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9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83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677ED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5"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AF9B1">
            <w:pPr>
              <w:jc w:val="left"/>
              <w:rPr>
                <w:rFonts w:hint="eastAsia" w:ascii="宋体" w:hAnsi="宋体" w:eastAsia="宋体" w:cs="宋体"/>
                <w:i w:val="0"/>
                <w:iCs w:val="0"/>
                <w:color w:val="000000"/>
                <w:sz w:val="20"/>
                <w:szCs w:val="20"/>
                <w:u w:val="none"/>
              </w:rPr>
            </w:pPr>
          </w:p>
        </w:tc>
        <w:tc>
          <w:tcPr>
            <w:tcW w:w="5250" w:type="dxa"/>
            <w:gridSpan w:val="4"/>
            <w:tcBorders>
              <w:top w:val="single" w:color="000000" w:sz="4" w:space="0"/>
              <w:left w:val="single" w:color="000000" w:sz="4" w:space="0"/>
              <w:bottom w:val="nil"/>
              <w:right w:val="single" w:color="000000" w:sz="4" w:space="0"/>
            </w:tcBorders>
            <w:shd w:val="clear" w:color="auto" w:fill="auto"/>
            <w:vAlign w:val="center"/>
          </w:tcPr>
          <w:p w14:paraId="2D7786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年预计投入56万元用于全区电子政务外网IPV6升级改造项目设备费、网络租用费、维护费，确保电子政务外网正常运行。</w:t>
            </w:r>
          </w:p>
        </w:tc>
        <w:tc>
          <w:tcPr>
            <w:tcW w:w="39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CE37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实际投入46.3万元，保障了电子政务外网正常运行。</w:t>
            </w:r>
          </w:p>
        </w:tc>
      </w:tr>
      <w:tr w14:paraId="7F66F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6A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0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02E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8A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50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8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60" w:type="dxa"/>
            <w:tcBorders>
              <w:top w:val="single" w:color="000000" w:sz="4" w:space="0"/>
              <w:left w:val="nil"/>
              <w:bottom w:val="single" w:color="000000" w:sz="4" w:space="0"/>
              <w:right w:val="single" w:color="000000" w:sz="4" w:space="0"/>
            </w:tcBorders>
            <w:shd w:val="clear" w:color="auto" w:fill="auto"/>
            <w:noWrap/>
            <w:vAlign w:val="center"/>
          </w:tcPr>
          <w:p w14:paraId="62A389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2A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272F5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7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0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7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86F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1DFD8">
            <w:pPr>
              <w:jc w:val="center"/>
              <w:rPr>
                <w:rFonts w:hint="eastAsia" w:ascii="宋体" w:hAnsi="宋体" w:eastAsia="宋体" w:cs="宋体"/>
                <w:i w:val="0"/>
                <w:iCs w:val="0"/>
                <w:color w:val="000000"/>
                <w:sz w:val="18"/>
                <w:szCs w:val="18"/>
                <w:u w:val="none"/>
              </w:rPr>
            </w:pPr>
          </w:p>
        </w:tc>
      </w:tr>
      <w:tr w14:paraId="61927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13"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8EC8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F9E37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085E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6A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5AC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08CE8">
            <w:pPr>
              <w:rPr>
                <w:rFonts w:hint="eastAsia" w:ascii="宋体" w:hAnsi="宋体" w:eastAsia="宋体" w:cs="宋体"/>
                <w:i w:val="0"/>
                <w:iCs w:val="0"/>
                <w:color w:val="000000"/>
                <w:sz w:val="18"/>
                <w:szCs w:val="18"/>
                <w:u w:val="none"/>
              </w:rPr>
            </w:pPr>
          </w:p>
        </w:tc>
      </w:tr>
      <w:tr w14:paraId="4DC23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411A566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3B81E99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21D97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电子政务外网运行万兆光纤租用条数</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01A1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283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2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D4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229E">
            <w:pPr>
              <w:rPr>
                <w:rFonts w:hint="eastAsia" w:ascii="宋体" w:hAnsi="宋体" w:eastAsia="宋体" w:cs="宋体"/>
                <w:i w:val="0"/>
                <w:iCs w:val="0"/>
                <w:color w:val="000000"/>
                <w:sz w:val="18"/>
                <w:szCs w:val="18"/>
                <w:u w:val="none"/>
              </w:rPr>
            </w:pPr>
          </w:p>
        </w:tc>
      </w:tr>
      <w:tr w14:paraId="7F7F2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D0A50D3">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4209CDB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8D2E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设备维护数量</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9B4DC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7045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F7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B0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C35C">
            <w:pPr>
              <w:rPr>
                <w:rFonts w:hint="eastAsia" w:ascii="宋体" w:hAnsi="宋体" w:eastAsia="宋体" w:cs="宋体"/>
                <w:i w:val="0"/>
                <w:iCs w:val="0"/>
                <w:color w:val="000000"/>
                <w:sz w:val="18"/>
                <w:szCs w:val="18"/>
                <w:u w:val="none"/>
              </w:rPr>
            </w:pPr>
          </w:p>
        </w:tc>
      </w:tr>
      <w:tr w14:paraId="43200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6EF51BE2">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765E9AB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CD122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电子政务外网IPV6升级改造设备数量</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46408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3CC5D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54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A6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F96C">
            <w:pPr>
              <w:rPr>
                <w:rFonts w:hint="eastAsia" w:ascii="宋体" w:hAnsi="宋体" w:eastAsia="宋体" w:cs="宋体"/>
                <w:i w:val="0"/>
                <w:iCs w:val="0"/>
                <w:color w:val="000000"/>
                <w:sz w:val="18"/>
                <w:szCs w:val="18"/>
                <w:u w:val="none"/>
              </w:rPr>
            </w:pPr>
          </w:p>
        </w:tc>
      </w:tr>
      <w:tr w14:paraId="59A28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6DADA1BA">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6571BD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3531E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费用支付准确率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DFDF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01E5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112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39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C970">
            <w:pPr>
              <w:rPr>
                <w:rFonts w:hint="eastAsia" w:ascii="宋体" w:hAnsi="宋体" w:eastAsia="宋体" w:cs="宋体"/>
                <w:i w:val="0"/>
                <w:iCs w:val="0"/>
                <w:color w:val="000000"/>
                <w:sz w:val="18"/>
                <w:szCs w:val="18"/>
                <w:u w:val="none"/>
              </w:rPr>
            </w:pPr>
          </w:p>
        </w:tc>
      </w:tr>
      <w:tr w14:paraId="280BC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1EE7B57D">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77807D3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23F4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设备维护合格率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F1290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8AEC5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7A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0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7E99C">
            <w:pPr>
              <w:rPr>
                <w:rFonts w:hint="eastAsia" w:ascii="宋体" w:hAnsi="宋体" w:eastAsia="宋体" w:cs="宋体"/>
                <w:i w:val="0"/>
                <w:iCs w:val="0"/>
                <w:color w:val="000000"/>
                <w:sz w:val="18"/>
                <w:szCs w:val="18"/>
                <w:u w:val="none"/>
              </w:rPr>
            </w:pPr>
          </w:p>
        </w:tc>
      </w:tr>
      <w:tr w14:paraId="6846C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7B56FF96">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4752328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09B3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费用支付及时率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C26DE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961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D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8BC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5DB15">
            <w:pPr>
              <w:rPr>
                <w:rFonts w:hint="eastAsia" w:ascii="宋体" w:hAnsi="宋体" w:eastAsia="宋体" w:cs="宋体"/>
                <w:i w:val="0"/>
                <w:iCs w:val="0"/>
                <w:color w:val="000000"/>
                <w:sz w:val="18"/>
                <w:szCs w:val="18"/>
                <w:u w:val="none"/>
              </w:rPr>
            </w:pPr>
          </w:p>
        </w:tc>
      </w:tr>
      <w:tr w14:paraId="5AA9D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044E17DA">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0C815EE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6942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设备维护及时率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B61D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6280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C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0D5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6A2A">
            <w:pPr>
              <w:rPr>
                <w:rFonts w:hint="eastAsia" w:ascii="宋体" w:hAnsi="宋体" w:eastAsia="宋体" w:cs="宋体"/>
                <w:i w:val="0"/>
                <w:iCs w:val="0"/>
                <w:color w:val="000000"/>
                <w:sz w:val="18"/>
                <w:szCs w:val="18"/>
                <w:u w:val="none"/>
              </w:rPr>
            </w:pPr>
          </w:p>
        </w:tc>
      </w:tr>
      <w:tr w14:paraId="66486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94535">
            <w:pPr>
              <w:jc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4604DAC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78B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IPV6升级改造设备正常使用</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2872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3C89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165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8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B2548">
            <w:pPr>
              <w:rPr>
                <w:rFonts w:hint="eastAsia" w:ascii="宋体" w:hAnsi="宋体" w:eastAsia="宋体" w:cs="宋体"/>
                <w:i w:val="0"/>
                <w:iCs w:val="0"/>
                <w:color w:val="000000"/>
                <w:sz w:val="18"/>
                <w:szCs w:val="18"/>
                <w:u w:val="none"/>
              </w:rPr>
            </w:pPr>
          </w:p>
        </w:tc>
      </w:tr>
      <w:tr w14:paraId="2C4F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D83F9">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30753E1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FC1A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电子政务外网正常使用率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544C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9C2D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D3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2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48B7">
            <w:pPr>
              <w:rPr>
                <w:rFonts w:hint="eastAsia" w:ascii="宋体" w:hAnsi="宋体" w:eastAsia="宋体" w:cs="宋体"/>
                <w:i w:val="0"/>
                <w:iCs w:val="0"/>
                <w:color w:val="000000"/>
                <w:sz w:val="18"/>
                <w:szCs w:val="18"/>
                <w:u w:val="none"/>
              </w:rPr>
            </w:pPr>
          </w:p>
        </w:tc>
      </w:tr>
      <w:tr w14:paraId="1498D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BA224">
            <w:pPr>
              <w:jc w:val="center"/>
              <w:rPr>
                <w:rFonts w:hint="eastAsia" w:ascii="宋体" w:hAnsi="宋体" w:eastAsia="宋体" w:cs="宋体"/>
                <w:i w:val="0"/>
                <w:iCs w:val="0"/>
                <w:color w:val="333333"/>
                <w:sz w:val="18"/>
                <w:szCs w:val="18"/>
                <w:u w:val="none"/>
              </w:rPr>
            </w:pPr>
          </w:p>
        </w:tc>
        <w:tc>
          <w:tcPr>
            <w:tcW w:w="1916" w:type="dxa"/>
            <w:gridSpan w:val="2"/>
            <w:tcBorders>
              <w:top w:val="single" w:color="000000" w:sz="4" w:space="0"/>
              <w:left w:val="single" w:color="000000" w:sz="4" w:space="0"/>
              <w:bottom w:val="single" w:color="000000" w:sz="4" w:space="0"/>
              <w:right w:val="nil"/>
            </w:tcBorders>
            <w:shd w:val="clear" w:color="auto" w:fill="FFFFFF"/>
            <w:noWrap/>
            <w:vAlign w:val="center"/>
          </w:tcPr>
          <w:p w14:paraId="319C8D1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480A2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电子政务外网运维管护机制健全性</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699A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5C415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AB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037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2F56">
            <w:pPr>
              <w:rPr>
                <w:rFonts w:hint="eastAsia" w:ascii="宋体" w:hAnsi="宋体" w:eastAsia="宋体" w:cs="宋体"/>
                <w:i w:val="0"/>
                <w:iCs w:val="0"/>
                <w:color w:val="000000"/>
                <w:sz w:val="18"/>
                <w:szCs w:val="18"/>
                <w:u w:val="none"/>
              </w:rPr>
            </w:pPr>
          </w:p>
        </w:tc>
      </w:tr>
      <w:tr w14:paraId="1BF6D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063"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1139565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16" w:type="dxa"/>
            <w:gridSpan w:val="2"/>
            <w:tcBorders>
              <w:top w:val="single" w:color="000000" w:sz="4" w:space="0"/>
              <w:left w:val="single" w:color="000000" w:sz="4" w:space="0"/>
              <w:bottom w:val="single" w:color="auto" w:sz="4" w:space="0"/>
              <w:right w:val="nil"/>
            </w:tcBorders>
            <w:shd w:val="clear" w:color="auto" w:fill="FFFFFF"/>
            <w:noWrap/>
            <w:vAlign w:val="center"/>
          </w:tcPr>
          <w:p w14:paraId="5288C8E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333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4E2A5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各电子政务外网使用单位满意度</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6F41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C6FE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5B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B8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754FB">
            <w:pPr>
              <w:rPr>
                <w:rFonts w:hint="eastAsia" w:ascii="宋体" w:hAnsi="宋体" w:eastAsia="宋体" w:cs="宋体"/>
                <w:i w:val="0"/>
                <w:iCs w:val="0"/>
                <w:color w:val="000000"/>
                <w:sz w:val="18"/>
                <w:szCs w:val="18"/>
                <w:u w:val="none"/>
              </w:rPr>
            </w:pPr>
          </w:p>
        </w:tc>
      </w:tr>
      <w:tr w14:paraId="0F8DF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63" w:type="dxa"/>
            <w:tcBorders>
              <w:top w:val="single" w:color="auto" w:sz="4" w:space="0"/>
              <w:left w:val="single" w:color="auto" w:sz="4" w:space="0"/>
              <w:bottom w:val="single" w:color="auto" w:sz="4" w:space="0"/>
              <w:right w:val="nil"/>
            </w:tcBorders>
            <w:shd w:val="clear" w:color="auto" w:fill="FFFFFF"/>
            <w:noWrap/>
            <w:vAlign w:val="center"/>
          </w:tcPr>
          <w:p w14:paraId="2561292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916" w:type="dxa"/>
            <w:gridSpan w:val="2"/>
            <w:tcBorders>
              <w:top w:val="single" w:color="auto" w:sz="4" w:space="0"/>
              <w:left w:val="single" w:color="000000" w:sz="4" w:space="0"/>
              <w:bottom w:val="single" w:color="auto" w:sz="4" w:space="0"/>
              <w:right w:val="single" w:color="auto" w:sz="4" w:space="0"/>
            </w:tcBorders>
            <w:shd w:val="clear" w:color="auto" w:fill="FFFFFF"/>
            <w:noWrap/>
            <w:vAlign w:val="center"/>
          </w:tcPr>
          <w:p w14:paraId="58C9FD4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3334" w:type="dxa"/>
            <w:gridSpan w:val="2"/>
            <w:tcBorders>
              <w:top w:val="single" w:color="000000" w:sz="4" w:space="0"/>
              <w:left w:val="single" w:color="auto" w:sz="4" w:space="0"/>
              <w:bottom w:val="single" w:color="000000" w:sz="4" w:space="0"/>
              <w:right w:val="single" w:color="000000" w:sz="4" w:space="0"/>
            </w:tcBorders>
            <w:shd w:val="clear" w:color="auto" w:fill="FFFFFF"/>
            <w:noWrap/>
            <w:vAlign w:val="center"/>
          </w:tcPr>
          <w:p w14:paraId="606E6F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项目费用控制数</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43F42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56万元</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7346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46.3万元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A6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7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FD68">
            <w:pPr>
              <w:rPr>
                <w:rFonts w:hint="eastAsia" w:ascii="宋体" w:hAnsi="宋体" w:eastAsia="宋体" w:cs="宋体"/>
                <w:i w:val="0"/>
                <w:iCs w:val="0"/>
                <w:color w:val="000000"/>
                <w:sz w:val="18"/>
                <w:szCs w:val="18"/>
                <w:u w:val="none"/>
              </w:rPr>
            </w:pPr>
          </w:p>
        </w:tc>
      </w:tr>
    </w:tbl>
    <w:p w14:paraId="05AC7972">
      <w:pPr>
        <w:widowControl/>
        <w:jc w:val="center"/>
        <w:rPr>
          <w:rFonts w:hint="eastAsia" w:ascii="Times New Roman" w:hAnsi="Times New Roman" w:eastAsia="黑体"/>
          <w:color w:val="auto"/>
          <w:sz w:val="44"/>
          <w:szCs w:val="44"/>
          <w:highlight w:val="none"/>
        </w:rPr>
      </w:pPr>
    </w:p>
    <w:p w14:paraId="52EF3E4E">
      <w:pPr>
        <w:widowControl/>
        <w:jc w:val="center"/>
        <w:rPr>
          <w:rFonts w:hint="eastAsia" w:ascii="Times New Roman" w:hAnsi="Times New Roman" w:eastAsia="黑体"/>
          <w:color w:val="auto"/>
          <w:sz w:val="44"/>
          <w:szCs w:val="44"/>
          <w:highlight w:val="none"/>
        </w:rPr>
      </w:pPr>
    </w:p>
    <w:tbl>
      <w:tblPr>
        <w:tblStyle w:val="16"/>
        <w:tblW w:w="96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16"/>
        <w:gridCol w:w="1476"/>
        <w:gridCol w:w="2016"/>
        <w:gridCol w:w="1216"/>
        <w:gridCol w:w="1116"/>
        <w:gridCol w:w="1008"/>
        <w:gridCol w:w="720"/>
        <w:gridCol w:w="720"/>
      </w:tblGrid>
      <w:tr w14:paraId="1C039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688" w:type="dxa"/>
            <w:gridSpan w:val="8"/>
            <w:tcBorders>
              <w:top w:val="nil"/>
              <w:left w:val="nil"/>
              <w:bottom w:val="nil"/>
              <w:right w:val="nil"/>
            </w:tcBorders>
            <w:shd w:val="clear" w:color="auto" w:fill="auto"/>
            <w:noWrap/>
            <w:vAlign w:val="center"/>
          </w:tcPr>
          <w:p w14:paraId="4829F572">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3</w:t>
            </w:r>
          </w:p>
        </w:tc>
      </w:tr>
      <w:tr w14:paraId="3E9F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09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4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0B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春节一线在岗职工慰问</w:t>
            </w: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648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56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061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184FE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E3C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4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CD99">
            <w:pPr>
              <w:jc w:val="left"/>
              <w:rPr>
                <w:rFonts w:hint="eastAsia" w:ascii="宋体" w:hAnsi="宋体" w:eastAsia="宋体" w:cs="宋体"/>
                <w:i w:val="0"/>
                <w:iCs w:val="0"/>
                <w:color w:val="000000"/>
                <w:sz w:val="20"/>
                <w:szCs w:val="20"/>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E7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56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10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五通桥区人民政府办公室机关</w:t>
            </w:r>
          </w:p>
        </w:tc>
      </w:tr>
      <w:tr w14:paraId="2ED98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68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D9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E32F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92" w:type="dxa"/>
            <w:gridSpan w:val="2"/>
            <w:tcBorders>
              <w:top w:val="single" w:color="000000" w:sz="4" w:space="0"/>
              <w:left w:val="single" w:color="000000" w:sz="4" w:space="0"/>
              <w:bottom w:val="single" w:color="000000" w:sz="4" w:space="0"/>
              <w:right w:val="nil"/>
            </w:tcBorders>
            <w:shd w:val="clear" w:color="auto" w:fill="auto"/>
            <w:noWrap/>
            <w:vAlign w:val="center"/>
          </w:tcPr>
          <w:p w14:paraId="05C76E53">
            <w:pPr>
              <w:jc w:val="center"/>
              <w:rPr>
                <w:rFonts w:hint="eastAsia" w:ascii="宋体" w:hAnsi="宋体" w:eastAsia="宋体" w:cs="宋体"/>
                <w:i w:val="0"/>
                <w:iCs w:val="0"/>
                <w:color w:val="000000"/>
                <w:sz w:val="20"/>
                <w:szCs w:val="20"/>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16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3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E4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ECB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2E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DE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2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A2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5D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0E85D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C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76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2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1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7.54</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EF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14EA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8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F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3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9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4D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4308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49C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7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DA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56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5FA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04FC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AADBB">
            <w:pPr>
              <w:jc w:val="left"/>
              <w:rPr>
                <w:rFonts w:hint="eastAsia" w:ascii="宋体" w:hAnsi="宋体" w:eastAsia="宋体" w:cs="宋体"/>
                <w:i w:val="0"/>
                <w:iCs w:val="0"/>
                <w:color w:val="000000"/>
                <w:sz w:val="20"/>
                <w:szCs w:val="20"/>
                <w:u w:val="none"/>
              </w:rPr>
            </w:pPr>
          </w:p>
        </w:tc>
        <w:tc>
          <w:tcPr>
            <w:tcW w:w="4708" w:type="dxa"/>
            <w:gridSpan w:val="3"/>
            <w:tcBorders>
              <w:top w:val="single" w:color="000000" w:sz="4" w:space="0"/>
              <w:left w:val="single" w:color="000000" w:sz="4" w:space="0"/>
              <w:bottom w:val="nil"/>
              <w:right w:val="single" w:color="000000" w:sz="4" w:space="0"/>
            </w:tcBorders>
            <w:shd w:val="clear" w:color="auto" w:fill="auto"/>
            <w:vAlign w:val="center"/>
          </w:tcPr>
          <w:p w14:paraId="44690A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投入8万元，用于区领导在对春节一线在岗各行业职工进行走访慰问,提高职工工作积极性。</w:t>
            </w:r>
          </w:p>
        </w:tc>
        <w:tc>
          <w:tcPr>
            <w:tcW w:w="35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17AAF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实际投入7.54万元，区领导在对春节一线在岗各行业职工进行走访慰问377人,提高职工工作积极性。</w:t>
            </w:r>
          </w:p>
        </w:tc>
      </w:tr>
      <w:tr w14:paraId="5E4C6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2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A1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46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3A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16" w:type="dxa"/>
            <w:tcBorders>
              <w:top w:val="nil"/>
              <w:left w:val="single" w:color="000000" w:sz="4" w:space="0"/>
              <w:bottom w:val="single" w:color="000000" w:sz="4" w:space="0"/>
              <w:right w:val="single" w:color="000000" w:sz="4" w:space="0"/>
            </w:tcBorders>
            <w:shd w:val="clear" w:color="auto" w:fill="auto"/>
            <w:noWrap/>
            <w:vAlign w:val="center"/>
          </w:tcPr>
          <w:p w14:paraId="398BB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08" w:type="dxa"/>
            <w:tcBorders>
              <w:top w:val="nil"/>
              <w:left w:val="single" w:color="000000" w:sz="4" w:space="0"/>
              <w:bottom w:val="single" w:color="000000" w:sz="4" w:space="0"/>
              <w:right w:val="single" w:color="000000" w:sz="4" w:space="0"/>
            </w:tcBorders>
            <w:shd w:val="clear" w:color="auto" w:fill="auto"/>
            <w:vAlign w:val="center"/>
          </w:tcPr>
          <w:p w14:paraId="4DE5C3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720" w:type="dxa"/>
            <w:tcBorders>
              <w:top w:val="nil"/>
              <w:left w:val="nil"/>
              <w:bottom w:val="single" w:color="000000" w:sz="4" w:space="0"/>
              <w:right w:val="single" w:color="000000" w:sz="4" w:space="0"/>
            </w:tcBorders>
            <w:shd w:val="clear" w:color="auto" w:fill="auto"/>
            <w:noWrap/>
            <w:vAlign w:val="center"/>
          </w:tcPr>
          <w:p w14:paraId="0D6F5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20" w:type="dxa"/>
            <w:tcBorders>
              <w:top w:val="nil"/>
              <w:left w:val="single" w:color="000000" w:sz="4" w:space="0"/>
              <w:bottom w:val="single" w:color="000000" w:sz="4" w:space="0"/>
              <w:right w:val="single" w:color="000000" w:sz="4" w:space="0"/>
            </w:tcBorders>
            <w:shd w:val="clear" w:color="auto" w:fill="auto"/>
            <w:vAlign w:val="center"/>
          </w:tcPr>
          <w:p w14:paraId="4A750E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AA5D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24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34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34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D0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1A21">
            <w:pPr>
              <w:jc w:val="center"/>
              <w:rPr>
                <w:rFonts w:hint="eastAsia" w:ascii="宋体" w:hAnsi="宋体" w:eastAsia="宋体" w:cs="宋体"/>
                <w:i w:val="0"/>
                <w:iCs w:val="0"/>
                <w:color w:val="000000"/>
                <w:sz w:val="18"/>
                <w:szCs w:val="18"/>
                <w:u w:val="none"/>
              </w:rPr>
            </w:pPr>
          </w:p>
        </w:tc>
      </w:tr>
      <w:tr w14:paraId="77226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8"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48EC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0F30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A5FA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8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C2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21BA">
            <w:pPr>
              <w:rPr>
                <w:rFonts w:hint="eastAsia" w:ascii="宋体" w:hAnsi="宋体" w:eastAsia="宋体" w:cs="宋体"/>
                <w:i w:val="0"/>
                <w:iCs w:val="0"/>
                <w:color w:val="000000"/>
                <w:sz w:val="18"/>
                <w:szCs w:val="18"/>
                <w:u w:val="none"/>
              </w:rPr>
            </w:pPr>
          </w:p>
        </w:tc>
      </w:tr>
      <w:tr w14:paraId="084C4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035B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66DEEA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E6CC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慰问人数</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0239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400人</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6D42F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377人</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EE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24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0144">
            <w:pPr>
              <w:rPr>
                <w:rFonts w:hint="eastAsia" w:ascii="宋体" w:hAnsi="宋体" w:eastAsia="宋体" w:cs="宋体"/>
                <w:i w:val="0"/>
                <w:iCs w:val="0"/>
                <w:color w:val="000000"/>
                <w:sz w:val="18"/>
                <w:szCs w:val="18"/>
                <w:u w:val="none"/>
              </w:rPr>
            </w:pPr>
          </w:p>
        </w:tc>
      </w:tr>
      <w:tr w14:paraId="2B862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933A73">
            <w:pPr>
              <w:jc w:val="center"/>
              <w:rPr>
                <w:rFonts w:hint="eastAsia" w:ascii="宋体" w:hAnsi="宋体" w:eastAsia="宋体" w:cs="宋体"/>
                <w:i w:val="0"/>
                <w:iCs w:val="0"/>
                <w:color w:val="333333"/>
                <w:sz w:val="18"/>
                <w:szCs w:val="18"/>
                <w:u w:val="none"/>
              </w:rPr>
            </w:pP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594E85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9CC24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慰问费发放准确率</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9BDE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99D5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21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B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437A">
            <w:pPr>
              <w:rPr>
                <w:rFonts w:hint="eastAsia" w:ascii="宋体" w:hAnsi="宋体" w:eastAsia="宋体" w:cs="宋体"/>
                <w:i w:val="0"/>
                <w:iCs w:val="0"/>
                <w:color w:val="000000"/>
                <w:sz w:val="18"/>
                <w:szCs w:val="18"/>
                <w:u w:val="none"/>
              </w:rPr>
            </w:pPr>
          </w:p>
        </w:tc>
      </w:tr>
      <w:tr w14:paraId="44949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4AF81">
            <w:pPr>
              <w:jc w:val="center"/>
              <w:rPr>
                <w:rFonts w:hint="eastAsia" w:ascii="宋体" w:hAnsi="宋体" w:eastAsia="宋体" w:cs="宋体"/>
                <w:i w:val="0"/>
                <w:iCs w:val="0"/>
                <w:color w:val="333333"/>
                <w:sz w:val="18"/>
                <w:szCs w:val="18"/>
                <w:u w:val="none"/>
              </w:rPr>
            </w:pP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3EA707F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02701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慰问费发放及时率</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A08B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71B7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5A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60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9293">
            <w:pPr>
              <w:rPr>
                <w:rFonts w:hint="eastAsia" w:ascii="宋体" w:hAnsi="宋体" w:eastAsia="宋体" w:cs="宋体"/>
                <w:i w:val="0"/>
                <w:iCs w:val="0"/>
                <w:color w:val="000000"/>
                <w:sz w:val="18"/>
                <w:szCs w:val="18"/>
                <w:u w:val="none"/>
              </w:rPr>
            </w:pPr>
          </w:p>
        </w:tc>
      </w:tr>
      <w:tr w14:paraId="076B7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953A0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3426CDE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F8EF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慰问费应发尽发率</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4B1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97885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F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58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4F32F">
            <w:pPr>
              <w:rPr>
                <w:rFonts w:hint="eastAsia" w:ascii="宋体" w:hAnsi="宋体" w:eastAsia="宋体" w:cs="宋体"/>
                <w:i w:val="0"/>
                <w:iCs w:val="0"/>
                <w:color w:val="000000"/>
                <w:sz w:val="18"/>
                <w:szCs w:val="18"/>
                <w:u w:val="none"/>
              </w:rPr>
            </w:pPr>
          </w:p>
        </w:tc>
      </w:tr>
      <w:tr w14:paraId="7B449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E0C616">
            <w:pPr>
              <w:jc w:val="center"/>
              <w:rPr>
                <w:rFonts w:hint="eastAsia" w:ascii="宋体" w:hAnsi="宋体" w:eastAsia="宋体" w:cs="宋体"/>
                <w:i w:val="0"/>
                <w:iCs w:val="0"/>
                <w:color w:val="333333"/>
                <w:sz w:val="18"/>
                <w:szCs w:val="18"/>
                <w:u w:val="none"/>
              </w:rPr>
            </w:pP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2352E3B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EEC1C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慰问金管理机制健全性</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3D49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9972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AA4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D33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AB04">
            <w:pPr>
              <w:rPr>
                <w:rFonts w:hint="eastAsia" w:ascii="宋体" w:hAnsi="宋体" w:eastAsia="宋体" w:cs="宋体"/>
                <w:i w:val="0"/>
                <w:iCs w:val="0"/>
                <w:color w:val="000000"/>
                <w:sz w:val="18"/>
                <w:szCs w:val="18"/>
                <w:u w:val="none"/>
              </w:rPr>
            </w:pPr>
          </w:p>
        </w:tc>
      </w:tr>
      <w:tr w14:paraId="605FB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D081F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76" w:type="dxa"/>
            <w:tcBorders>
              <w:top w:val="single" w:color="000000" w:sz="4" w:space="0"/>
              <w:left w:val="single" w:color="000000" w:sz="4" w:space="0"/>
              <w:bottom w:val="single" w:color="000000" w:sz="4" w:space="0"/>
              <w:right w:val="nil"/>
            </w:tcBorders>
            <w:shd w:val="clear" w:color="auto" w:fill="FFFFFF"/>
            <w:noWrap/>
            <w:vAlign w:val="center"/>
          </w:tcPr>
          <w:p w14:paraId="6F188F2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9D0E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被慰问一线职工满意度</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902D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CFA78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3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0BB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D408">
            <w:pPr>
              <w:rPr>
                <w:rFonts w:hint="eastAsia" w:ascii="宋体" w:hAnsi="宋体" w:eastAsia="宋体" w:cs="宋体"/>
                <w:i w:val="0"/>
                <w:iCs w:val="0"/>
                <w:color w:val="000000"/>
                <w:sz w:val="18"/>
                <w:szCs w:val="18"/>
                <w:u w:val="none"/>
              </w:rPr>
            </w:pPr>
          </w:p>
        </w:tc>
      </w:tr>
      <w:tr w14:paraId="1F575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F2AC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76" w:type="dxa"/>
            <w:tcBorders>
              <w:top w:val="single" w:color="000000" w:sz="4" w:space="0"/>
              <w:left w:val="nil"/>
              <w:bottom w:val="single" w:color="000000" w:sz="4" w:space="0"/>
              <w:right w:val="single" w:color="000000" w:sz="4" w:space="0"/>
            </w:tcBorders>
            <w:shd w:val="clear" w:color="auto" w:fill="FFFFFF"/>
            <w:noWrap/>
            <w:vAlign w:val="center"/>
          </w:tcPr>
          <w:p w14:paraId="64F5FC4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C3328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慰问标准</w:t>
            </w:r>
          </w:p>
        </w:tc>
        <w:tc>
          <w:tcPr>
            <w:tcW w:w="12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E938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200元/人</w:t>
            </w:r>
          </w:p>
        </w:tc>
        <w:tc>
          <w:tcPr>
            <w:tcW w:w="11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CA3B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200元/人</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FD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AD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6C868">
            <w:pPr>
              <w:rPr>
                <w:rFonts w:hint="eastAsia" w:ascii="宋体" w:hAnsi="宋体" w:eastAsia="宋体" w:cs="宋体"/>
                <w:i w:val="0"/>
                <w:iCs w:val="0"/>
                <w:color w:val="000000"/>
                <w:sz w:val="18"/>
                <w:szCs w:val="18"/>
                <w:u w:val="none"/>
              </w:rPr>
            </w:pPr>
          </w:p>
        </w:tc>
      </w:tr>
    </w:tbl>
    <w:p w14:paraId="7EAD97D7">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tbl>
      <w:tblPr>
        <w:tblStyle w:val="16"/>
        <w:tblW w:w="8985" w:type="dxa"/>
        <w:tblInd w:w="-10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0"/>
        <w:gridCol w:w="1008"/>
        <w:gridCol w:w="942"/>
        <w:gridCol w:w="2220"/>
        <w:gridCol w:w="865"/>
        <w:gridCol w:w="961"/>
        <w:gridCol w:w="679"/>
        <w:gridCol w:w="525"/>
        <w:gridCol w:w="645"/>
      </w:tblGrid>
      <w:tr w14:paraId="015B3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985" w:type="dxa"/>
            <w:gridSpan w:val="9"/>
            <w:tcBorders>
              <w:top w:val="nil"/>
              <w:left w:val="nil"/>
              <w:bottom w:val="nil"/>
              <w:right w:val="nil"/>
            </w:tcBorders>
            <w:shd w:val="clear" w:color="auto" w:fill="auto"/>
            <w:noWrap/>
            <w:vAlign w:val="center"/>
          </w:tcPr>
          <w:p w14:paraId="5D3B361E">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4</w:t>
            </w:r>
          </w:p>
        </w:tc>
      </w:tr>
      <w:tr w14:paraId="7FF11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F2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EBD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公共机构能耗监测平台建设项目</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6B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D30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62200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34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6D3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09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19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74151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985"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79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FF6F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48" w:type="dxa"/>
            <w:gridSpan w:val="2"/>
            <w:tcBorders>
              <w:top w:val="single" w:color="000000" w:sz="4" w:space="0"/>
              <w:left w:val="single" w:color="000000" w:sz="4" w:space="0"/>
              <w:bottom w:val="single" w:color="000000" w:sz="4" w:space="0"/>
              <w:right w:val="nil"/>
            </w:tcBorders>
            <w:shd w:val="clear" w:color="auto" w:fill="auto"/>
            <w:noWrap/>
            <w:vAlign w:val="center"/>
          </w:tcPr>
          <w:p w14:paraId="573384EF">
            <w:pPr>
              <w:jc w:val="center"/>
              <w:rPr>
                <w:rFonts w:hint="eastAsia" w:ascii="宋体" w:hAnsi="宋体" w:eastAsia="宋体" w:cs="宋体"/>
                <w:i w:val="0"/>
                <w:iCs w:val="0"/>
                <w:color w:val="000000"/>
                <w:sz w:val="20"/>
                <w:szCs w:val="20"/>
                <w:u w:val="none"/>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0E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B45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39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EE0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8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48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19.84</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B0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19.84</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ED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29DE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5F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B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19.84</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01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19.84</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D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3A09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D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041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AC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5DC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7EAD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6B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03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F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F9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4A50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FB232">
            <w:pPr>
              <w:jc w:val="left"/>
              <w:rPr>
                <w:rFonts w:hint="eastAsia" w:ascii="宋体" w:hAnsi="宋体" w:eastAsia="宋体" w:cs="宋体"/>
                <w:i w:val="0"/>
                <w:iCs w:val="0"/>
                <w:color w:val="000000"/>
                <w:sz w:val="20"/>
                <w:szCs w:val="20"/>
                <w:u w:val="none"/>
              </w:rPr>
            </w:pPr>
          </w:p>
        </w:tc>
        <w:tc>
          <w:tcPr>
            <w:tcW w:w="5035" w:type="dxa"/>
            <w:gridSpan w:val="4"/>
            <w:tcBorders>
              <w:top w:val="single" w:color="000000" w:sz="4" w:space="0"/>
              <w:left w:val="single" w:color="000000" w:sz="4" w:space="0"/>
              <w:bottom w:val="nil"/>
              <w:right w:val="single" w:color="000000" w:sz="4" w:space="0"/>
            </w:tcBorders>
            <w:shd w:val="clear" w:color="auto" w:fill="auto"/>
            <w:vAlign w:val="center"/>
          </w:tcPr>
          <w:p w14:paraId="43023A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预计投入20万元，接入省市数据平台，通过对全区公共机构建筑进行能耗监测、能耗诊断，节能潜力判断、节能改造方案评诂、最终实现对全区公共机构建筑用能的科学管理，提高能源的使用效率</w:t>
            </w:r>
          </w:p>
        </w:tc>
        <w:tc>
          <w:tcPr>
            <w:tcW w:w="28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C622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实际投入19.84万元，建成能耗监测系统一套，完成20个监测点建设，进行能耗监测。</w:t>
            </w:r>
          </w:p>
        </w:tc>
      </w:tr>
      <w:tr w14:paraId="262C8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E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B0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441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6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5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0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525" w:type="dxa"/>
            <w:tcBorders>
              <w:top w:val="single" w:color="000000" w:sz="4" w:space="0"/>
              <w:left w:val="nil"/>
              <w:bottom w:val="single" w:color="000000" w:sz="4" w:space="0"/>
              <w:right w:val="single" w:color="000000" w:sz="4" w:space="0"/>
            </w:tcBorders>
            <w:shd w:val="clear" w:color="auto" w:fill="auto"/>
            <w:noWrap/>
            <w:vAlign w:val="center"/>
          </w:tcPr>
          <w:p w14:paraId="1343DA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F1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212E2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C8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FA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DD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10E8A">
            <w:pPr>
              <w:jc w:val="center"/>
              <w:rPr>
                <w:rFonts w:hint="eastAsia" w:ascii="宋体" w:hAnsi="宋体" w:eastAsia="宋体" w:cs="宋体"/>
                <w:i w:val="0"/>
                <w:iCs w:val="0"/>
                <w:color w:val="000000"/>
                <w:sz w:val="18"/>
                <w:szCs w:val="18"/>
                <w:u w:val="none"/>
              </w:rPr>
            </w:pPr>
          </w:p>
        </w:tc>
      </w:tr>
      <w:tr w14:paraId="7D2F5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310"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677B5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029E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F175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55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F4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8943">
            <w:pPr>
              <w:rPr>
                <w:rFonts w:hint="eastAsia" w:ascii="宋体" w:hAnsi="宋体" w:eastAsia="宋体" w:cs="宋体"/>
                <w:i w:val="0"/>
                <w:iCs w:val="0"/>
                <w:color w:val="000000"/>
                <w:sz w:val="18"/>
                <w:szCs w:val="18"/>
                <w:u w:val="none"/>
              </w:rPr>
            </w:pPr>
          </w:p>
        </w:tc>
      </w:tr>
      <w:tr w14:paraId="30FDD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4EEDD47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014BA0E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97E018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监测点建设数量</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3AE9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20个</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3932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20个</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CA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D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5129">
            <w:pPr>
              <w:rPr>
                <w:rFonts w:hint="eastAsia" w:ascii="宋体" w:hAnsi="宋体" w:eastAsia="宋体" w:cs="宋体"/>
                <w:i w:val="0"/>
                <w:iCs w:val="0"/>
                <w:color w:val="000000"/>
                <w:sz w:val="18"/>
                <w:szCs w:val="18"/>
                <w:u w:val="none"/>
              </w:rPr>
            </w:pPr>
          </w:p>
        </w:tc>
      </w:tr>
      <w:tr w14:paraId="4C71A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480C86CF">
            <w:pPr>
              <w:jc w:val="center"/>
              <w:rPr>
                <w:rFonts w:hint="eastAsia" w:ascii="宋体" w:hAnsi="宋体" w:eastAsia="宋体" w:cs="宋体"/>
                <w:i w:val="0"/>
                <w:iCs w:val="0"/>
                <w:color w:val="333333"/>
                <w:sz w:val="18"/>
                <w:szCs w:val="18"/>
                <w:u w:val="none"/>
              </w:rPr>
            </w:pP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570E015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4AA3B8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监测点设备质量合格率</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70A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680F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D6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3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4B19">
            <w:pPr>
              <w:rPr>
                <w:rFonts w:hint="eastAsia" w:ascii="宋体" w:hAnsi="宋体" w:eastAsia="宋体" w:cs="宋体"/>
                <w:i w:val="0"/>
                <w:iCs w:val="0"/>
                <w:color w:val="000000"/>
                <w:sz w:val="18"/>
                <w:szCs w:val="18"/>
                <w:u w:val="none"/>
              </w:rPr>
            </w:pPr>
          </w:p>
        </w:tc>
      </w:tr>
      <w:tr w14:paraId="6B55E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0B32628">
            <w:pPr>
              <w:jc w:val="center"/>
              <w:rPr>
                <w:rFonts w:hint="eastAsia" w:ascii="宋体" w:hAnsi="宋体" w:eastAsia="宋体" w:cs="宋体"/>
                <w:i w:val="0"/>
                <w:iCs w:val="0"/>
                <w:color w:val="333333"/>
                <w:sz w:val="18"/>
                <w:szCs w:val="18"/>
                <w:u w:val="none"/>
              </w:rPr>
            </w:pP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5CCC6D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697437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接入省市平台及时率</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7CB8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09E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C8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96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B8BC">
            <w:pPr>
              <w:rPr>
                <w:rFonts w:hint="eastAsia" w:ascii="宋体" w:hAnsi="宋体" w:eastAsia="宋体" w:cs="宋体"/>
                <w:i w:val="0"/>
                <w:iCs w:val="0"/>
                <w:color w:val="000000"/>
                <w:sz w:val="18"/>
                <w:szCs w:val="18"/>
                <w:u w:val="none"/>
              </w:rPr>
            </w:pPr>
          </w:p>
        </w:tc>
      </w:tr>
      <w:tr w14:paraId="7CBA7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1E27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656E74C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1EFCCB7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监测点运行正常率</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B546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3ED4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5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60B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06C6B">
            <w:pPr>
              <w:rPr>
                <w:rFonts w:hint="eastAsia" w:ascii="宋体" w:hAnsi="宋体" w:eastAsia="宋体" w:cs="宋体"/>
                <w:i w:val="0"/>
                <w:iCs w:val="0"/>
                <w:color w:val="000000"/>
                <w:sz w:val="18"/>
                <w:szCs w:val="18"/>
                <w:u w:val="none"/>
              </w:rPr>
            </w:pPr>
          </w:p>
        </w:tc>
      </w:tr>
      <w:tr w14:paraId="6253C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8907B">
            <w:pPr>
              <w:jc w:val="center"/>
              <w:rPr>
                <w:rFonts w:hint="eastAsia" w:ascii="宋体" w:hAnsi="宋体" w:eastAsia="宋体" w:cs="宋体"/>
                <w:i w:val="0"/>
                <w:iCs w:val="0"/>
                <w:color w:val="333333"/>
                <w:sz w:val="18"/>
                <w:szCs w:val="18"/>
                <w:u w:val="none"/>
              </w:rPr>
            </w:pP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26C2146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36F9F6D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监测点运行管理机制健全性</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C60C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B476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D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BB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0E96A">
            <w:pPr>
              <w:rPr>
                <w:rFonts w:hint="eastAsia" w:ascii="宋体" w:hAnsi="宋体" w:eastAsia="宋体" w:cs="宋体"/>
                <w:i w:val="0"/>
                <w:iCs w:val="0"/>
                <w:color w:val="000000"/>
                <w:sz w:val="18"/>
                <w:szCs w:val="18"/>
                <w:u w:val="none"/>
              </w:rPr>
            </w:pPr>
          </w:p>
        </w:tc>
      </w:tr>
      <w:tr w14:paraId="1D58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C970A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8BB4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28B96E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各监测点服务单位满意度</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50C6E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99%</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89AE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C3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3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7735C">
            <w:pPr>
              <w:rPr>
                <w:rFonts w:hint="eastAsia" w:ascii="宋体" w:hAnsi="宋体" w:eastAsia="宋体" w:cs="宋体"/>
                <w:i w:val="0"/>
                <w:iCs w:val="0"/>
                <w:color w:val="000000"/>
                <w:sz w:val="18"/>
                <w:szCs w:val="18"/>
                <w:u w:val="none"/>
              </w:rPr>
            </w:pPr>
          </w:p>
        </w:tc>
      </w:tr>
      <w:tr w14:paraId="3DFB8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95D9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EF70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6447D4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监测点建设经费控制数</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78A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20万元</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E8DF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19.84万元</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9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397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ECDE">
            <w:pPr>
              <w:rPr>
                <w:rFonts w:hint="eastAsia" w:ascii="宋体" w:hAnsi="宋体" w:eastAsia="宋体" w:cs="宋体"/>
                <w:i w:val="0"/>
                <w:iCs w:val="0"/>
                <w:color w:val="000000"/>
                <w:sz w:val="18"/>
                <w:szCs w:val="18"/>
                <w:u w:val="none"/>
              </w:rPr>
            </w:pPr>
          </w:p>
        </w:tc>
      </w:tr>
    </w:tbl>
    <w:p w14:paraId="2BFC1C12">
      <w:pPr>
        <w:rPr>
          <w:rFonts w:hint="eastAsia" w:ascii="Times New Roman" w:hAnsi="Times New Roman" w:eastAsia="黑体" w:cs="黑体"/>
          <w:color w:val="FF0000"/>
          <w:sz w:val="32"/>
          <w:szCs w:val="32"/>
          <w:highlight w:val="none"/>
        </w:rPr>
      </w:pPr>
      <w:r>
        <w:rPr>
          <w:rFonts w:hint="eastAsia" w:ascii="Times New Roman" w:hAnsi="Times New Roman" w:eastAsia="黑体" w:cs="黑体"/>
          <w:color w:val="FF0000"/>
          <w:sz w:val="32"/>
          <w:szCs w:val="32"/>
          <w:highlight w:val="none"/>
        </w:rPr>
        <w:br w:type="page"/>
      </w:r>
    </w:p>
    <w:tbl>
      <w:tblPr>
        <w:tblStyle w:val="16"/>
        <w:tblW w:w="9060" w:type="dxa"/>
        <w:tblInd w:w="-1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0"/>
        <w:gridCol w:w="625"/>
        <w:gridCol w:w="1000"/>
        <w:gridCol w:w="2070"/>
        <w:gridCol w:w="1275"/>
        <w:gridCol w:w="795"/>
        <w:gridCol w:w="689"/>
        <w:gridCol w:w="525"/>
        <w:gridCol w:w="811"/>
      </w:tblGrid>
      <w:tr w14:paraId="0F0E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060" w:type="dxa"/>
            <w:gridSpan w:val="9"/>
            <w:tcBorders>
              <w:top w:val="nil"/>
              <w:left w:val="nil"/>
              <w:bottom w:val="nil"/>
              <w:right w:val="nil"/>
            </w:tcBorders>
            <w:shd w:val="clear" w:color="auto" w:fill="auto"/>
            <w:noWrap/>
            <w:vAlign w:val="center"/>
          </w:tcPr>
          <w:p w14:paraId="763F32ED">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5</w:t>
            </w:r>
          </w:p>
        </w:tc>
      </w:tr>
      <w:tr w14:paraId="583EC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36A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6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62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区政府集中办公区新建车棚项目</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BDA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D35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6116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25F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6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81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409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DE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4190E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060"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7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3BFD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895" w:type="dxa"/>
            <w:gridSpan w:val="2"/>
            <w:tcBorders>
              <w:top w:val="single" w:color="000000" w:sz="4" w:space="0"/>
              <w:left w:val="single" w:color="000000" w:sz="4" w:space="0"/>
              <w:bottom w:val="single" w:color="000000" w:sz="4" w:space="0"/>
              <w:right w:val="nil"/>
            </w:tcBorders>
            <w:shd w:val="clear" w:color="auto" w:fill="auto"/>
            <w:noWrap/>
            <w:vAlign w:val="center"/>
          </w:tcPr>
          <w:p w14:paraId="0AE24490">
            <w:pPr>
              <w:jc w:val="center"/>
              <w:rPr>
                <w:rFonts w:hint="eastAsia" w:ascii="宋体" w:hAnsi="宋体" w:eastAsia="宋体" w:cs="宋体"/>
                <w:i w:val="0"/>
                <w:iCs w:val="0"/>
                <w:color w:val="000000"/>
                <w:sz w:val="20"/>
                <w:szCs w:val="20"/>
                <w:u w:val="none"/>
              </w:rPr>
            </w:pP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0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0FD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8B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AE09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79A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8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25.02</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0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25.02</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2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68B9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6F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E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25.02</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0C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25.02</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DE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7DD5F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C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0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9BD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92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3DB3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A3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97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6C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0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73FD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0" w:hRule="atLeast"/>
        </w:trPr>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A7D87">
            <w:pPr>
              <w:jc w:val="left"/>
              <w:rPr>
                <w:rFonts w:hint="eastAsia" w:ascii="宋体" w:hAnsi="宋体" w:eastAsia="宋体" w:cs="宋体"/>
                <w:i w:val="0"/>
                <w:iCs w:val="0"/>
                <w:color w:val="000000"/>
                <w:sz w:val="20"/>
                <w:szCs w:val="20"/>
                <w:u w:val="none"/>
              </w:rPr>
            </w:pPr>
          </w:p>
        </w:tc>
        <w:tc>
          <w:tcPr>
            <w:tcW w:w="4970" w:type="dxa"/>
            <w:gridSpan w:val="4"/>
            <w:tcBorders>
              <w:top w:val="single" w:color="000000" w:sz="4" w:space="0"/>
              <w:left w:val="single" w:color="000000" w:sz="4" w:space="0"/>
              <w:bottom w:val="nil"/>
              <w:right w:val="single" w:color="000000" w:sz="4" w:space="0"/>
            </w:tcBorders>
            <w:shd w:val="clear" w:color="auto" w:fill="auto"/>
            <w:vAlign w:val="center"/>
          </w:tcPr>
          <w:p w14:paraId="492563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深入贯彻落实区委、区政府实施“工业强区、城市更新、绿色发展”战略，响应国家发展清洁能源号召，起好创建国家级节约型公共机构示范带头作用，在区政府集中办公区新建车棚，并加装光伏组件，建成后投影面积约830平方米，装机容量约200千瓦。</w:t>
            </w:r>
          </w:p>
        </w:tc>
        <w:tc>
          <w:tcPr>
            <w:tcW w:w="2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46E9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本年投入25.02万元，初步完成建设竣工并试运行，初步起到光伏节能示范带头作用。</w:t>
            </w:r>
          </w:p>
        </w:tc>
      </w:tr>
      <w:tr w14:paraId="08355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D0D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0EE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0A0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DC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82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BE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525" w:type="dxa"/>
            <w:tcBorders>
              <w:top w:val="single" w:color="000000" w:sz="4" w:space="0"/>
              <w:left w:val="nil"/>
              <w:bottom w:val="single" w:color="000000" w:sz="4" w:space="0"/>
              <w:right w:val="single" w:color="000000" w:sz="4" w:space="0"/>
            </w:tcBorders>
            <w:shd w:val="clear" w:color="auto" w:fill="auto"/>
            <w:noWrap/>
            <w:vAlign w:val="center"/>
          </w:tcPr>
          <w:p w14:paraId="0C3D2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A2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69ACB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03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93D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F9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50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62EC">
            <w:pPr>
              <w:jc w:val="center"/>
              <w:rPr>
                <w:rFonts w:hint="eastAsia" w:ascii="宋体" w:hAnsi="宋体" w:eastAsia="宋体" w:cs="宋体"/>
                <w:i w:val="0"/>
                <w:iCs w:val="0"/>
                <w:color w:val="000000"/>
                <w:sz w:val="18"/>
                <w:szCs w:val="18"/>
                <w:u w:val="none"/>
              </w:rPr>
            </w:pPr>
          </w:p>
        </w:tc>
      </w:tr>
      <w:tr w14:paraId="52A77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6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CEEA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96ED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281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2B3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F7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3BE72">
            <w:pPr>
              <w:rPr>
                <w:rFonts w:hint="eastAsia" w:ascii="宋体" w:hAnsi="宋体" w:eastAsia="宋体" w:cs="宋体"/>
                <w:i w:val="0"/>
                <w:iCs w:val="0"/>
                <w:color w:val="000000"/>
                <w:sz w:val="18"/>
                <w:szCs w:val="18"/>
                <w:u w:val="none"/>
              </w:rPr>
            </w:pPr>
          </w:p>
        </w:tc>
      </w:tr>
      <w:tr w14:paraId="44BD5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1FC6C09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279215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501D835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车棚投影面积</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6F28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830平米</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EF19F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830平米</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BF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50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6BF8">
            <w:pPr>
              <w:rPr>
                <w:rFonts w:hint="eastAsia" w:ascii="宋体" w:hAnsi="宋体" w:eastAsia="宋体" w:cs="宋体"/>
                <w:i w:val="0"/>
                <w:iCs w:val="0"/>
                <w:color w:val="000000"/>
                <w:sz w:val="18"/>
                <w:szCs w:val="18"/>
                <w:u w:val="none"/>
              </w:rPr>
            </w:pPr>
          </w:p>
        </w:tc>
      </w:tr>
      <w:tr w14:paraId="116B7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7E2FDF54">
            <w:pPr>
              <w:jc w:val="center"/>
              <w:rPr>
                <w:rFonts w:hint="eastAsia" w:ascii="宋体" w:hAnsi="宋体" w:eastAsia="宋体" w:cs="宋体"/>
                <w:i w:val="0"/>
                <w:iCs w:val="0"/>
                <w:color w:val="333333"/>
                <w:sz w:val="18"/>
                <w:szCs w:val="18"/>
                <w:u w:val="none"/>
              </w:rPr>
            </w:pP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1B3BB1E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4C370B0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车棚钢结构合格率</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1324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4F40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46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80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B6743">
            <w:pPr>
              <w:rPr>
                <w:rFonts w:hint="eastAsia" w:ascii="宋体" w:hAnsi="宋体" w:eastAsia="宋体" w:cs="宋体"/>
                <w:i w:val="0"/>
                <w:iCs w:val="0"/>
                <w:color w:val="000000"/>
                <w:sz w:val="18"/>
                <w:szCs w:val="18"/>
                <w:u w:val="none"/>
              </w:rPr>
            </w:pPr>
          </w:p>
        </w:tc>
      </w:tr>
      <w:tr w14:paraId="5BDAE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62EF775D">
            <w:pPr>
              <w:jc w:val="center"/>
              <w:rPr>
                <w:rFonts w:hint="eastAsia" w:ascii="宋体" w:hAnsi="宋体" w:eastAsia="宋体" w:cs="宋体"/>
                <w:i w:val="0"/>
                <w:iCs w:val="0"/>
                <w:color w:val="333333"/>
                <w:sz w:val="18"/>
                <w:szCs w:val="18"/>
                <w:u w:val="none"/>
              </w:rPr>
            </w:pP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4A6CF46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5293475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车棚竣工及时率</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21E14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4E1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7E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26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0AB7">
            <w:pPr>
              <w:rPr>
                <w:rFonts w:hint="eastAsia" w:ascii="宋体" w:hAnsi="宋体" w:eastAsia="宋体" w:cs="宋体"/>
                <w:i w:val="0"/>
                <w:iCs w:val="0"/>
                <w:color w:val="000000"/>
                <w:sz w:val="18"/>
                <w:szCs w:val="18"/>
                <w:u w:val="none"/>
              </w:rPr>
            </w:pPr>
          </w:p>
        </w:tc>
      </w:tr>
      <w:tr w14:paraId="797FB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3AC4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514E3B6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3263DEA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光伏节能带动效应</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A3456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8CA1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45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947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44AD">
            <w:pPr>
              <w:rPr>
                <w:rFonts w:hint="eastAsia" w:ascii="宋体" w:hAnsi="宋体" w:eastAsia="宋体" w:cs="宋体"/>
                <w:i w:val="0"/>
                <w:iCs w:val="0"/>
                <w:color w:val="000000"/>
                <w:sz w:val="18"/>
                <w:szCs w:val="18"/>
                <w:u w:val="none"/>
              </w:rPr>
            </w:pPr>
          </w:p>
        </w:tc>
      </w:tr>
      <w:tr w14:paraId="07874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E92E0">
            <w:pPr>
              <w:jc w:val="center"/>
              <w:rPr>
                <w:rFonts w:hint="eastAsia" w:ascii="宋体" w:hAnsi="宋体" w:eastAsia="宋体" w:cs="宋体"/>
                <w:i w:val="0"/>
                <w:iCs w:val="0"/>
                <w:color w:val="333333"/>
                <w:sz w:val="18"/>
                <w:szCs w:val="18"/>
                <w:u w:val="none"/>
              </w:rPr>
            </w:pP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28E1157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61A9A1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车棚使用管理机制有效性</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86C5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37A29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311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84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80F53">
            <w:pPr>
              <w:rPr>
                <w:rFonts w:hint="eastAsia" w:ascii="宋体" w:hAnsi="宋体" w:eastAsia="宋体" w:cs="宋体"/>
                <w:i w:val="0"/>
                <w:iCs w:val="0"/>
                <w:color w:val="000000"/>
                <w:sz w:val="18"/>
                <w:szCs w:val="18"/>
                <w:u w:val="none"/>
              </w:rPr>
            </w:pPr>
          </w:p>
        </w:tc>
      </w:tr>
      <w:tr w14:paraId="5BFB7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3EAF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8E4E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0BC52ED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职工满意度</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F953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2EF7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A8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3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2626B">
            <w:pPr>
              <w:rPr>
                <w:rFonts w:hint="eastAsia" w:ascii="宋体" w:hAnsi="宋体" w:eastAsia="宋体" w:cs="宋体"/>
                <w:i w:val="0"/>
                <w:iCs w:val="0"/>
                <w:color w:val="000000"/>
                <w:sz w:val="18"/>
                <w:szCs w:val="18"/>
                <w:u w:val="none"/>
              </w:rPr>
            </w:pPr>
          </w:p>
        </w:tc>
      </w:tr>
      <w:tr w14:paraId="5A39E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5F13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1C67C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B3B82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建设成本</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E686D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25.02万元</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AEA4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25.02万元</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D98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107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E1BE">
            <w:pPr>
              <w:rPr>
                <w:rFonts w:hint="eastAsia" w:ascii="宋体" w:hAnsi="宋体" w:eastAsia="宋体" w:cs="宋体"/>
                <w:i w:val="0"/>
                <w:iCs w:val="0"/>
                <w:color w:val="000000"/>
                <w:sz w:val="18"/>
                <w:szCs w:val="18"/>
                <w:u w:val="none"/>
              </w:rPr>
            </w:pPr>
          </w:p>
        </w:tc>
      </w:tr>
    </w:tbl>
    <w:p w14:paraId="4152077E">
      <w:pPr>
        <w:pStyle w:val="2"/>
        <w:rPr>
          <w:rFonts w:hint="eastAsia" w:ascii="Times New Roman" w:hAnsi="Times New Roman" w:eastAsia="黑体" w:cs="黑体"/>
          <w:color w:val="FF0000"/>
          <w:sz w:val="32"/>
          <w:szCs w:val="32"/>
          <w:highlight w:val="none"/>
        </w:rPr>
      </w:pPr>
    </w:p>
    <w:tbl>
      <w:tblPr>
        <w:tblStyle w:val="16"/>
        <w:tblW w:w="931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68"/>
        <w:gridCol w:w="1305"/>
        <w:gridCol w:w="2235"/>
        <w:gridCol w:w="1380"/>
        <w:gridCol w:w="795"/>
        <w:gridCol w:w="1095"/>
        <w:gridCol w:w="660"/>
        <w:gridCol w:w="675"/>
      </w:tblGrid>
      <w:tr w14:paraId="07C58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313" w:type="dxa"/>
            <w:gridSpan w:val="8"/>
            <w:tcBorders>
              <w:top w:val="nil"/>
              <w:left w:val="nil"/>
              <w:bottom w:val="nil"/>
              <w:right w:val="nil"/>
            </w:tcBorders>
            <w:shd w:val="clear" w:color="auto" w:fill="auto"/>
            <w:noWrap/>
            <w:vAlign w:val="center"/>
          </w:tcPr>
          <w:p w14:paraId="0D91D2DF">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6</w:t>
            </w:r>
          </w:p>
        </w:tc>
      </w:tr>
      <w:tr w14:paraId="25D4F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6A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5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1B7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公务接待专项费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15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55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1191F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0A2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5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C5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78E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1BE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26CE1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31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A3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D89D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73" w:type="dxa"/>
            <w:gridSpan w:val="2"/>
            <w:tcBorders>
              <w:top w:val="single" w:color="000000" w:sz="4" w:space="0"/>
              <w:left w:val="single" w:color="000000" w:sz="4" w:space="0"/>
              <w:bottom w:val="single" w:color="000000" w:sz="4" w:space="0"/>
              <w:right w:val="nil"/>
            </w:tcBorders>
            <w:shd w:val="clear" w:color="auto" w:fill="auto"/>
            <w:noWrap/>
            <w:vAlign w:val="center"/>
          </w:tcPr>
          <w:p w14:paraId="1EDDD94B">
            <w:pPr>
              <w:jc w:val="center"/>
              <w:rPr>
                <w:rFonts w:hint="eastAsia" w:ascii="宋体" w:hAnsi="宋体" w:eastAsia="宋体" w:cs="宋体"/>
                <w:i w:val="0"/>
                <w:iCs w:val="0"/>
                <w:color w:val="000000"/>
                <w:sz w:val="20"/>
                <w:szCs w:val="20"/>
                <w:u w:val="none"/>
              </w:rPr>
            </w:pP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32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66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88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748DA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AB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BC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613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D8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C01B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A6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FC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A82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60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97B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AD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CB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78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13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3F7CF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79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9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444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4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CF0F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B0FBE">
            <w:pPr>
              <w:jc w:val="left"/>
              <w:rPr>
                <w:rFonts w:hint="eastAsia" w:ascii="宋体" w:hAnsi="宋体" w:eastAsia="宋体" w:cs="宋体"/>
                <w:i w:val="0"/>
                <w:iCs w:val="0"/>
                <w:color w:val="000000"/>
                <w:sz w:val="20"/>
                <w:szCs w:val="20"/>
                <w:u w:val="none"/>
              </w:rPr>
            </w:pPr>
          </w:p>
        </w:tc>
        <w:tc>
          <w:tcPr>
            <w:tcW w:w="4920" w:type="dxa"/>
            <w:gridSpan w:val="3"/>
            <w:tcBorders>
              <w:top w:val="single" w:color="000000" w:sz="4" w:space="0"/>
              <w:left w:val="single" w:color="000000" w:sz="4" w:space="0"/>
              <w:bottom w:val="nil"/>
              <w:right w:val="single" w:color="000000" w:sz="4" w:space="0"/>
            </w:tcBorders>
            <w:shd w:val="clear" w:color="auto" w:fill="auto"/>
            <w:vAlign w:val="center"/>
          </w:tcPr>
          <w:p w14:paraId="196393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承担全区区级重要及大型公务接待任务,确保支出规范,后勤保障</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EE3C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完成全区区级重要及大型公务接待任务,确保支出规范,后勤保障</w:t>
            </w:r>
          </w:p>
        </w:tc>
      </w:tr>
      <w:tr w14:paraId="0CC27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E82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CA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1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B57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93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378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60" w:type="dxa"/>
            <w:tcBorders>
              <w:top w:val="single" w:color="000000" w:sz="4" w:space="0"/>
              <w:left w:val="nil"/>
              <w:bottom w:val="single" w:color="000000" w:sz="4" w:space="0"/>
              <w:right w:val="single" w:color="000000" w:sz="4" w:space="0"/>
            </w:tcBorders>
            <w:shd w:val="clear" w:color="auto" w:fill="auto"/>
            <w:noWrap/>
            <w:vAlign w:val="center"/>
          </w:tcPr>
          <w:p w14:paraId="2A9AD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3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5D88A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28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4A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3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9094A">
            <w:pPr>
              <w:jc w:val="center"/>
              <w:rPr>
                <w:rFonts w:hint="eastAsia" w:ascii="宋体" w:hAnsi="宋体" w:eastAsia="宋体" w:cs="宋体"/>
                <w:i w:val="0"/>
                <w:iCs w:val="0"/>
                <w:color w:val="000000"/>
                <w:sz w:val="18"/>
                <w:szCs w:val="18"/>
                <w:u w:val="none"/>
              </w:rPr>
            </w:pPr>
          </w:p>
        </w:tc>
      </w:tr>
      <w:tr w14:paraId="48349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708"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A236F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FC15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26BE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07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A5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B049">
            <w:pPr>
              <w:rPr>
                <w:rFonts w:hint="eastAsia" w:ascii="宋体" w:hAnsi="宋体" w:eastAsia="宋体" w:cs="宋体"/>
                <w:i w:val="0"/>
                <w:iCs w:val="0"/>
                <w:color w:val="000000"/>
                <w:sz w:val="18"/>
                <w:szCs w:val="18"/>
                <w:u w:val="none"/>
              </w:rPr>
            </w:pPr>
          </w:p>
        </w:tc>
      </w:tr>
      <w:tr w14:paraId="1BFCE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168"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1204D55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232E81A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664E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公务接待费用结算准确率</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0CE9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13DA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67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6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AB00E">
            <w:pPr>
              <w:rPr>
                <w:rFonts w:hint="eastAsia" w:ascii="宋体" w:hAnsi="宋体" w:eastAsia="宋体" w:cs="宋体"/>
                <w:i w:val="0"/>
                <w:iCs w:val="0"/>
                <w:color w:val="000000"/>
                <w:sz w:val="18"/>
                <w:szCs w:val="18"/>
                <w:u w:val="none"/>
              </w:rPr>
            </w:pPr>
          </w:p>
        </w:tc>
      </w:tr>
      <w:tr w14:paraId="69F3B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168"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5D4C1C1B">
            <w:pPr>
              <w:jc w:val="center"/>
              <w:rPr>
                <w:rFonts w:hint="eastAsia" w:ascii="宋体" w:hAnsi="宋体" w:eastAsia="宋体" w:cs="宋体"/>
                <w:i w:val="0"/>
                <w:iCs w:val="0"/>
                <w:color w:val="333333"/>
                <w:sz w:val="18"/>
                <w:szCs w:val="18"/>
                <w:u w:val="none"/>
              </w:rPr>
            </w:pP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26182A4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63639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公务接待费用支付及时率</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4E29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D94E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505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8A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3BF74">
            <w:pPr>
              <w:rPr>
                <w:rFonts w:hint="eastAsia" w:ascii="宋体" w:hAnsi="宋体" w:eastAsia="宋体" w:cs="宋体"/>
                <w:i w:val="0"/>
                <w:iCs w:val="0"/>
                <w:color w:val="000000"/>
                <w:sz w:val="18"/>
                <w:szCs w:val="18"/>
                <w:u w:val="none"/>
              </w:rPr>
            </w:pPr>
          </w:p>
        </w:tc>
      </w:tr>
      <w:tr w14:paraId="14479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168"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942D2E3">
            <w:pPr>
              <w:jc w:val="center"/>
              <w:rPr>
                <w:rFonts w:hint="eastAsia" w:ascii="宋体" w:hAnsi="宋体" w:eastAsia="宋体" w:cs="宋体"/>
                <w:i w:val="0"/>
                <w:iCs w:val="0"/>
                <w:color w:val="333333"/>
                <w:sz w:val="18"/>
                <w:szCs w:val="18"/>
                <w:u w:val="none"/>
              </w:rPr>
            </w:pP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3FC8C4D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199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全年公务接待人次</w:t>
            </w:r>
          </w:p>
        </w:tc>
        <w:tc>
          <w:tcPr>
            <w:tcW w:w="1380" w:type="dxa"/>
            <w:tcBorders>
              <w:top w:val="nil"/>
              <w:left w:val="nil"/>
              <w:bottom w:val="nil"/>
              <w:right w:val="nil"/>
            </w:tcBorders>
            <w:shd w:val="clear" w:color="auto" w:fill="auto"/>
            <w:vAlign w:val="center"/>
          </w:tcPr>
          <w:p w14:paraId="026D7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≤1400人次</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0FF3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440人次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D7E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45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783C8">
            <w:pPr>
              <w:rPr>
                <w:rFonts w:hint="eastAsia" w:ascii="宋体" w:hAnsi="宋体" w:eastAsia="宋体" w:cs="宋体"/>
                <w:i w:val="0"/>
                <w:iCs w:val="0"/>
                <w:color w:val="000000"/>
                <w:sz w:val="18"/>
                <w:szCs w:val="18"/>
                <w:u w:val="none"/>
              </w:rPr>
            </w:pPr>
          </w:p>
        </w:tc>
      </w:tr>
      <w:tr w14:paraId="4659E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1487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0E0551E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9F343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公务接待规范性</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9863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DD6A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0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72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A846">
            <w:pPr>
              <w:rPr>
                <w:rFonts w:hint="eastAsia" w:ascii="宋体" w:hAnsi="宋体" w:eastAsia="宋体" w:cs="宋体"/>
                <w:i w:val="0"/>
                <w:iCs w:val="0"/>
                <w:color w:val="000000"/>
                <w:sz w:val="18"/>
                <w:szCs w:val="18"/>
                <w:u w:val="none"/>
              </w:rPr>
            </w:pPr>
          </w:p>
        </w:tc>
      </w:tr>
      <w:tr w14:paraId="11478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A4624D">
            <w:pPr>
              <w:jc w:val="center"/>
              <w:rPr>
                <w:rFonts w:hint="eastAsia" w:ascii="宋体" w:hAnsi="宋体" w:eastAsia="宋体" w:cs="宋体"/>
                <w:i w:val="0"/>
                <w:iCs w:val="0"/>
                <w:color w:val="333333"/>
                <w:sz w:val="18"/>
                <w:szCs w:val="18"/>
                <w:u w:val="none"/>
              </w:rPr>
            </w:pP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23E28F4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9EA74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公务接待管理机制健全性</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750C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BEB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E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2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FCD9">
            <w:pPr>
              <w:rPr>
                <w:rFonts w:hint="eastAsia" w:ascii="宋体" w:hAnsi="宋体" w:eastAsia="宋体" w:cs="宋体"/>
                <w:i w:val="0"/>
                <w:iCs w:val="0"/>
                <w:color w:val="000000"/>
                <w:sz w:val="18"/>
                <w:szCs w:val="18"/>
                <w:u w:val="none"/>
              </w:rPr>
            </w:pPr>
          </w:p>
        </w:tc>
      </w:tr>
      <w:tr w14:paraId="4AB9A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7E08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47D76AA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F51E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公务接待对象满意度</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5231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EB7DD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E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96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C928C">
            <w:pPr>
              <w:rPr>
                <w:rFonts w:hint="eastAsia" w:ascii="宋体" w:hAnsi="宋体" w:eastAsia="宋体" w:cs="宋体"/>
                <w:i w:val="0"/>
                <w:iCs w:val="0"/>
                <w:color w:val="000000"/>
                <w:sz w:val="18"/>
                <w:szCs w:val="18"/>
                <w:u w:val="none"/>
              </w:rPr>
            </w:pPr>
          </w:p>
        </w:tc>
      </w:tr>
      <w:tr w14:paraId="00CD0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049B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5AA821A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0EA3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公务接待费用控制数</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33BA7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16万元</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EB3D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4.3万元</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7E81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7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7D7C">
            <w:pPr>
              <w:rPr>
                <w:rFonts w:hint="eastAsia" w:ascii="宋体" w:hAnsi="宋体" w:eastAsia="宋体" w:cs="宋体"/>
                <w:i w:val="0"/>
                <w:iCs w:val="0"/>
                <w:color w:val="000000"/>
                <w:sz w:val="18"/>
                <w:szCs w:val="18"/>
                <w:u w:val="none"/>
              </w:rPr>
            </w:pPr>
          </w:p>
        </w:tc>
      </w:tr>
    </w:tbl>
    <w:p w14:paraId="18E60D74">
      <w:pPr>
        <w:widowControl/>
        <w:jc w:val="both"/>
        <w:rPr>
          <w:rFonts w:hint="eastAsia" w:ascii="Times New Roman" w:hAnsi="Times New Roman" w:eastAsia="黑体"/>
          <w:color w:val="auto"/>
          <w:sz w:val="44"/>
          <w:szCs w:val="44"/>
          <w:highlight w:val="none"/>
        </w:rPr>
      </w:pPr>
    </w:p>
    <w:p w14:paraId="4BE8E3FA">
      <w:pPr>
        <w:rPr>
          <w:rFonts w:hint="eastAsia"/>
        </w:rPr>
      </w:pPr>
      <w:r>
        <w:rPr>
          <w:rFonts w:hint="eastAsia"/>
        </w:rPr>
        <w:br w:type="page"/>
      </w:r>
    </w:p>
    <w:p w14:paraId="06C7E4CC">
      <w:pPr>
        <w:pStyle w:val="2"/>
        <w:rPr>
          <w:rFonts w:hint="eastAsia"/>
        </w:rPr>
      </w:pPr>
    </w:p>
    <w:tbl>
      <w:tblPr>
        <w:tblStyle w:val="16"/>
        <w:tblW w:w="896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8"/>
        <w:gridCol w:w="740"/>
        <w:gridCol w:w="740"/>
        <w:gridCol w:w="2230"/>
        <w:gridCol w:w="1207"/>
        <w:gridCol w:w="940"/>
        <w:gridCol w:w="718"/>
        <w:gridCol w:w="615"/>
        <w:gridCol w:w="600"/>
      </w:tblGrid>
      <w:tr w14:paraId="7FBC3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968" w:type="dxa"/>
            <w:gridSpan w:val="9"/>
            <w:tcBorders>
              <w:top w:val="nil"/>
              <w:left w:val="nil"/>
              <w:bottom w:val="nil"/>
              <w:right w:val="nil"/>
            </w:tcBorders>
            <w:shd w:val="clear" w:color="auto" w:fill="auto"/>
            <w:noWrap/>
            <w:vAlign w:val="center"/>
          </w:tcPr>
          <w:p w14:paraId="458A3DB1">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7</w:t>
            </w:r>
          </w:p>
        </w:tc>
      </w:tr>
      <w:tr w14:paraId="497AF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B0C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FF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县级领导体检经费</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6D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7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FB1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4FC9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0A2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BE1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E7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7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B9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31A76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96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96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3557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18" w:type="dxa"/>
            <w:gridSpan w:val="2"/>
            <w:tcBorders>
              <w:top w:val="single" w:color="000000" w:sz="4" w:space="0"/>
              <w:left w:val="single" w:color="000000" w:sz="4" w:space="0"/>
              <w:bottom w:val="single" w:color="000000" w:sz="4" w:space="0"/>
              <w:right w:val="nil"/>
            </w:tcBorders>
            <w:shd w:val="clear" w:color="auto" w:fill="auto"/>
            <w:noWrap/>
            <w:vAlign w:val="center"/>
          </w:tcPr>
          <w:p w14:paraId="55EB7CB9">
            <w:pPr>
              <w:jc w:val="center"/>
              <w:rPr>
                <w:rFonts w:hint="eastAsia" w:ascii="宋体" w:hAnsi="宋体" w:eastAsia="宋体" w:cs="宋体"/>
                <w:i w:val="0"/>
                <w:iCs w:val="0"/>
                <w:color w:val="000000"/>
                <w:sz w:val="20"/>
                <w:szCs w:val="20"/>
                <w:u w:val="none"/>
              </w:rPr>
            </w:pPr>
          </w:p>
        </w:tc>
        <w:tc>
          <w:tcPr>
            <w:tcW w:w="29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3C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B4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9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1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18EDA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EE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9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B0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9.55</w:t>
            </w: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6F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9.55</w:t>
            </w:r>
          </w:p>
        </w:tc>
        <w:tc>
          <w:tcPr>
            <w:tcW w:w="19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25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4D9A0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4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9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6C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9.55</w:t>
            </w: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9E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9.55</w:t>
            </w:r>
          </w:p>
        </w:tc>
        <w:tc>
          <w:tcPr>
            <w:tcW w:w="19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97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2EA8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B9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9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89382">
            <w:pPr>
              <w:jc w:val="center"/>
              <w:rPr>
                <w:rFonts w:hint="eastAsia" w:ascii="宋体" w:hAnsi="宋体" w:eastAsia="宋体" w:cs="宋体"/>
                <w:i w:val="0"/>
                <w:iCs w:val="0"/>
                <w:color w:val="000000"/>
                <w:sz w:val="20"/>
                <w:szCs w:val="20"/>
                <w:u w:val="none"/>
              </w:rPr>
            </w:pP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E43F">
            <w:pPr>
              <w:jc w:val="center"/>
              <w:rPr>
                <w:rFonts w:hint="eastAsia" w:ascii="宋体" w:hAnsi="宋体" w:eastAsia="宋体" w:cs="宋体"/>
                <w:i w:val="0"/>
                <w:iCs w:val="0"/>
                <w:color w:val="000000"/>
                <w:sz w:val="20"/>
                <w:szCs w:val="20"/>
                <w:u w:val="none"/>
              </w:rPr>
            </w:pPr>
          </w:p>
        </w:tc>
        <w:tc>
          <w:tcPr>
            <w:tcW w:w="19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F4670">
            <w:pPr>
              <w:jc w:val="center"/>
              <w:rPr>
                <w:rFonts w:hint="eastAsia" w:ascii="宋体" w:hAnsi="宋体" w:eastAsia="宋体" w:cs="宋体"/>
                <w:i w:val="0"/>
                <w:iCs w:val="0"/>
                <w:color w:val="000000"/>
                <w:sz w:val="20"/>
                <w:szCs w:val="20"/>
                <w:u w:val="none"/>
              </w:rPr>
            </w:pPr>
          </w:p>
        </w:tc>
      </w:tr>
      <w:tr w14:paraId="4C4D0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20A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91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CD5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7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B5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751F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51B56">
            <w:pPr>
              <w:jc w:val="left"/>
              <w:rPr>
                <w:rFonts w:hint="eastAsia" w:ascii="宋体" w:hAnsi="宋体" w:eastAsia="宋体" w:cs="宋体"/>
                <w:i w:val="0"/>
                <w:iCs w:val="0"/>
                <w:color w:val="000000"/>
                <w:sz w:val="20"/>
                <w:szCs w:val="20"/>
                <w:u w:val="none"/>
              </w:rPr>
            </w:pPr>
          </w:p>
        </w:tc>
        <w:tc>
          <w:tcPr>
            <w:tcW w:w="4917" w:type="dxa"/>
            <w:gridSpan w:val="4"/>
            <w:tcBorders>
              <w:top w:val="single" w:color="000000" w:sz="4" w:space="0"/>
              <w:left w:val="single" w:color="000000" w:sz="4" w:space="0"/>
              <w:bottom w:val="nil"/>
              <w:right w:val="single" w:color="000000" w:sz="4" w:space="0"/>
            </w:tcBorders>
            <w:shd w:val="clear" w:color="auto" w:fill="auto"/>
            <w:vAlign w:val="center"/>
          </w:tcPr>
          <w:p w14:paraId="0D6C3F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开展县级领导身体健康体检服务，有效消除健康隐患，更好开展各项工作。</w:t>
            </w:r>
          </w:p>
        </w:tc>
        <w:tc>
          <w:tcPr>
            <w:tcW w:w="28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1DDA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完成所有县级领导身体健康体检服务，有效消除健康隐患，更好开展各项工作。</w:t>
            </w:r>
          </w:p>
        </w:tc>
      </w:tr>
      <w:tr w14:paraId="262EB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AE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93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D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4B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FB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005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15" w:type="dxa"/>
            <w:tcBorders>
              <w:top w:val="single" w:color="000000" w:sz="4" w:space="0"/>
              <w:left w:val="nil"/>
              <w:bottom w:val="single" w:color="000000" w:sz="4" w:space="0"/>
              <w:right w:val="single" w:color="000000" w:sz="4" w:space="0"/>
            </w:tcBorders>
            <w:shd w:val="clear" w:color="auto" w:fill="auto"/>
            <w:noWrap/>
            <w:vAlign w:val="center"/>
          </w:tcPr>
          <w:p w14:paraId="72BACD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4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6EB2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035" w:type="dxa"/>
            <w:gridSpan w:val="6"/>
            <w:tcBorders>
              <w:top w:val="single" w:color="000000" w:sz="4" w:space="0"/>
              <w:left w:val="single" w:color="000000" w:sz="4" w:space="0"/>
              <w:bottom w:val="single" w:color="auto" w:sz="4" w:space="0"/>
              <w:right w:val="single" w:color="000000" w:sz="4" w:space="0"/>
            </w:tcBorders>
            <w:shd w:val="clear" w:color="auto" w:fill="auto"/>
            <w:noWrap/>
            <w:vAlign w:val="center"/>
          </w:tcPr>
          <w:p w14:paraId="05B2FC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7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391FB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6221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4D0C">
            <w:pPr>
              <w:jc w:val="center"/>
              <w:rPr>
                <w:rFonts w:hint="eastAsia" w:ascii="宋体" w:hAnsi="宋体" w:eastAsia="宋体" w:cs="宋体"/>
                <w:i w:val="0"/>
                <w:iCs w:val="0"/>
                <w:color w:val="000000"/>
                <w:sz w:val="18"/>
                <w:szCs w:val="18"/>
                <w:u w:val="none"/>
              </w:rPr>
            </w:pPr>
          </w:p>
        </w:tc>
      </w:tr>
      <w:tr w14:paraId="2652F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888" w:type="dxa"/>
            <w:gridSpan w:val="4"/>
            <w:tcBorders>
              <w:top w:val="single" w:color="auto" w:sz="4" w:space="0"/>
              <w:left w:val="single" w:color="auto" w:sz="4" w:space="0"/>
              <w:bottom w:val="single" w:color="000000" w:sz="4" w:space="0"/>
              <w:right w:val="single" w:color="000000" w:sz="4" w:space="0"/>
            </w:tcBorders>
            <w:shd w:val="clear" w:color="auto" w:fill="FFFFFF"/>
            <w:noWrap/>
            <w:vAlign w:val="center"/>
          </w:tcPr>
          <w:p w14:paraId="5E3B814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207"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0686F66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0"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052452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1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F4409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2B798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33E9EA9D">
            <w:pPr>
              <w:rPr>
                <w:rFonts w:hint="eastAsia" w:ascii="宋体" w:hAnsi="宋体" w:eastAsia="宋体" w:cs="宋体"/>
                <w:i w:val="0"/>
                <w:iCs w:val="0"/>
                <w:color w:val="000000"/>
                <w:sz w:val="18"/>
                <w:szCs w:val="18"/>
                <w:u w:val="none"/>
              </w:rPr>
            </w:pPr>
          </w:p>
        </w:tc>
      </w:tr>
      <w:tr w14:paraId="21E04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vMerge w:val="restart"/>
            <w:tcBorders>
              <w:top w:val="single" w:color="000000" w:sz="4" w:space="0"/>
              <w:left w:val="single" w:color="auto" w:sz="4" w:space="0"/>
              <w:bottom w:val="nil"/>
              <w:right w:val="single" w:color="000000" w:sz="4" w:space="0"/>
            </w:tcBorders>
            <w:shd w:val="clear" w:color="auto" w:fill="FFFFFF"/>
            <w:vAlign w:val="center"/>
          </w:tcPr>
          <w:p w14:paraId="4ACC8FB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666F7EE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45F43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体检及时率</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4EF6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C87BB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FD8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09ED6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16873E0A">
            <w:pPr>
              <w:rPr>
                <w:rFonts w:hint="eastAsia" w:ascii="宋体" w:hAnsi="宋体" w:eastAsia="宋体" w:cs="宋体"/>
                <w:i w:val="0"/>
                <w:iCs w:val="0"/>
                <w:color w:val="000000"/>
                <w:sz w:val="18"/>
                <w:szCs w:val="18"/>
                <w:u w:val="none"/>
              </w:rPr>
            </w:pPr>
          </w:p>
        </w:tc>
      </w:tr>
      <w:tr w14:paraId="49357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vMerge w:val="continue"/>
            <w:tcBorders>
              <w:top w:val="single" w:color="000000" w:sz="4" w:space="0"/>
              <w:left w:val="single" w:color="auto" w:sz="4" w:space="0"/>
              <w:bottom w:val="nil"/>
              <w:right w:val="single" w:color="000000" w:sz="4" w:space="0"/>
            </w:tcBorders>
            <w:shd w:val="clear" w:color="auto" w:fill="FFFFFF"/>
            <w:vAlign w:val="center"/>
          </w:tcPr>
          <w:p w14:paraId="1B0740E0">
            <w:pPr>
              <w:jc w:val="center"/>
              <w:rPr>
                <w:rFonts w:hint="eastAsia" w:ascii="宋体" w:hAnsi="宋体" w:eastAsia="宋体" w:cs="宋体"/>
                <w:i w:val="0"/>
                <w:iCs w:val="0"/>
                <w:color w:val="333333"/>
                <w:sz w:val="18"/>
                <w:szCs w:val="18"/>
                <w:u w:val="none"/>
              </w:rPr>
            </w:pP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000A84A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F807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体检人数</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311B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51AD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40人</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6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6D8FF0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6B5E5C88">
            <w:pPr>
              <w:rPr>
                <w:rFonts w:hint="eastAsia" w:ascii="宋体" w:hAnsi="宋体" w:eastAsia="宋体" w:cs="宋体"/>
                <w:i w:val="0"/>
                <w:iCs w:val="0"/>
                <w:color w:val="000000"/>
                <w:sz w:val="18"/>
                <w:szCs w:val="18"/>
                <w:u w:val="none"/>
              </w:rPr>
            </w:pPr>
          </w:p>
        </w:tc>
      </w:tr>
      <w:tr w14:paraId="0C458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vMerge w:val="continue"/>
            <w:tcBorders>
              <w:top w:val="single" w:color="000000" w:sz="4" w:space="0"/>
              <w:left w:val="single" w:color="auto" w:sz="4" w:space="0"/>
              <w:bottom w:val="nil"/>
              <w:right w:val="single" w:color="000000" w:sz="4" w:space="0"/>
            </w:tcBorders>
            <w:shd w:val="clear" w:color="auto" w:fill="FFFFFF"/>
            <w:vAlign w:val="center"/>
          </w:tcPr>
          <w:p w14:paraId="14E6902D">
            <w:pPr>
              <w:jc w:val="center"/>
              <w:rPr>
                <w:rFonts w:hint="eastAsia" w:ascii="宋体" w:hAnsi="宋体" w:eastAsia="宋体" w:cs="宋体"/>
                <w:i w:val="0"/>
                <w:iCs w:val="0"/>
                <w:color w:val="333333"/>
                <w:sz w:val="18"/>
                <w:szCs w:val="18"/>
                <w:u w:val="none"/>
              </w:rPr>
            </w:pP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6DF54C7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B7695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体检数据准确率</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7ED0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82DA6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9C6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15F02C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7A85E11D">
            <w:pPr>
              <w:rPr>
                <w:rFonts w:hint="eastAsia" w:ascii="宋体" w:hAnsi="宋体" w:eastAsia="宋体" w:cs="宋体"/>
                <w:i w:val="0"/>
                <w:iCs w:val="0"/>
                <w:color w:val="000000"/>
                <w:sz w:val="18"/>
                <w:szCs w:val="18"/>
                <w:u w:val="none"/>
              </w:rPr>
            </w:pPr>
          </w:p>
        </w:tc>
      </w:tr>
      <w:tr w14:paraId="6602A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vMerge w:val="restart"/>
            <w:tcBorders>
              <w:top w:val="single" w:color="000000" w:sz="4" w:space="0"/>
              <w:left w:val="single" w:color="auto" w:sz="4" w:space="0"/>
              <w:bottom w:val="single" w:color="000000" w:sz="4" w:space="0"/>
              <w:right w:val="single" w:color="000000" w:sz="4" w:space="0"/>
            </w:tcBorders>
            <w:shd w:val="clear" w:color="auto" w:fill="FFFFFF"/>
            <w:noWrap/>
            <w:vAlign w:val="center"/>
          </w:tcPr>
          <w:p w14:paraId="21298C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092E5CF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230" w:type="dxa"/>
            <w:tcBorders>
              <w:top w:val="single" w:color="000000" w:sz="4" w:space="0"/>
              <w:left w:val="single" w:color="000000" w:sz="4" w:space="0"/>
              <w:bottom w:val="single" w:color="000000" w:sz="4" w:space="0"/>
              <w:right w:val="nil"/>
            </w:tcBorders>
            <w:shd w:val="clear" w:color="auto" w:fill="FFFFFF"/>
            <w:noWrap/>
            <w:vAlign w:val="center"/>
          </w:tcPr>
          <w:p w14:paraId="7602E62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消除健康隐患，保障服务工作水平</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77707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94F3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D4D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6C5B04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586D6437">
            <w:pPr>
              <w:rPr>
                <w:rFonts w:hint="eastAsia" w:ascii="宋体" w:hAnsi="宋体" w:eastAsia="宋体" w:cs="宋体"/>
                <w:i w:val="0"/>
                <w:iCs w:val="0"/>
                <w:color w:val="000000"/>
                <w:sz w:val="18"/>
                <w:szCs w:val="18"/>
                <w:u w:val="none"/>
              </w:rPr>
            </w:pPr>
          </w:p>
        </w:tc>
      </w:tr>
      <w:tr w14:paraId="2BF08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vMerge w:val="continue"/>
            <w:tcBorders>
              <w:top w:val="single" w:color="000000" w:sz="4" w:space="0"/>
              <w:left w:val="single" w:color="auto" w:sz="4" w:space="0"/>
              <w:bottom w:val="single" w:color="000000" w:sz="4" w:space="0"/>
              <w:right w:val="single" w:color="000000" w:sz="4" w:space="0"/>
            </w:tcBorders>
            <w:shd w:val="clear" w:color="auto" w:fill="FFFFFF"/>
            <w:noWrap/>
            <w:vAlign w:val="center"/>
          </w:tcPr>
          <w:p w14:paraId="115C4983">
            <w:pPr>
              <w:jc w:val="center"/>
              <w:rPr>
                <w:rFonts w:hint="eastAsia" w:ascii="宋体" w:hAnsi="宋体" w:eastAsia="宋体" w:cs="宋体"/>
                <w:i w:val="0"/>
                <w:iCs w:val="0"/>
                <w:color w:val="333333"/>
                <w:sz w:val="18"/>
                <w:szCs w:val="18"/>
                <w:u w:val="none"/>
              </w:rPr>
            </w:pP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0314FBD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230" w:type="dxa"/>
            <w:tcBorders>
              <w:top w:val="single" w:color="000000" w:sz="4" w:space="0"/>
              <w:left w:val="single" w:color="000000" w:sz="4" w:space="0"/>
              <w:bottom w:val="single" w:color="000000" w:sz="4" w:space="0"/>
              <w:right w:val="nil"/>
            </w:tcBorders>
            <w:shd w:val="clear" w:color="auto" w:fill="FFFFFF"/>
            <w:noWrap/>
            <w:vAlign w:val="center"/>
          </w:tcPr>
          <w:p w14:paraId="494B23C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县级领导健康体检保障率</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14331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BF674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B3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3DD47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3E99FF46">
            <w:pPr>
              <w:rPr>
                <w:rFonts w:hint="eastAsia" w:ascii="宋体" w:hAnsi="宋体" w:eastAsia="宋体" w:cs="宋体"/>
                <w:i w:val="0"/>
                <w:iCs w:val="0"/>
                <w:color w:val="000000"/>
                <w:sz w:val="18"/>
                <w:szCs w:val="18"/>
                <w:u w:val="none"/>
              </w:rPr>
            </w:pPr>
          </w:p>
        </w:tc>
      </w:tr>
      <w:tr w14:paraId="408E5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tcBorders>
              <w:top w:val="single" w:color="000000" w:sz="4" w:space="0"/>
              <w:left w:val="single" w:color="auto" w:sz="4" w:space="0"/>
              <w:bottom w:val="nil"/>
              <w:right w:val="single" w:color="000000" w:sz="4" w:space="0"/>
            </w:tcBorders>
            <w:shd w:val="clear" w:color="auto" w:fill="FFFFFF"/>
            <w:noWrap/>
            <w:vAlign w:val="center"/>
          </w:tcPr>
          <w:p w14:paraId="25676F6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45B9EA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230" w:type="dxa"/>
            <w:tcBorders>
              <w:top w:val="single" w:color="000000" w:sz="4" w:space="0"/>
              <w:left w:val="single" w:color="000000" w:sz="4" w:space="0"/>
              <w:bottom w:val="single" w:color="000000" w:sz="4" w:space="0"/>
              <w:right w:val="nil"/>
            </w:tcBorders>
            <w:shd w:val="clear" w:color="auto" w:fill="FFFFFF"/>
            <w:noWrap/>
            <w:vAlign w:val="center"/>
          </w:tcPr>
          <w:p w14:paraId="473EBF1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参加体检人员满意度</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0D2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7CAE0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06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1756E9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0AD6BA36">
            <w:pPr>
              <w:rPr>
                <w:rFonts w:hint="eastAsia" w:ascii="宋体" w:hAnsi="宋体" w:eastAsia="宋体" w:cs="宋体"/>
                <w:i w:val="0"/>
                <w:iCs w:val="0"/>
                <w:color w:val="000000"/>
                <w:sz w:val="18"/>
                <w:szCs w:val="18"/>
                <w:u w:val="none"/>
              </w:rPr>
            </w:pPr>
          </w:p>
        </w:tc>
      </w:tr>
      <w:tr w14:paraId="42DF9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78" w:type="dxa"/>
            <w:tcBorders>
              <w:top w:val="nil"/>
              <w:left w:val="single" w:color="auto" w:sz="4" w:space="0"/>
              <w:bottom w:val="single" w:color="auto" w:sz="4" w:space="0"/>
              <w:right w:val="nil"/>
            </w:tcBorders>
            <w:shd w:val="clear" w:color="auto" w:fill="FFFFFF"/>
            <w:noWrap/>
            <w:vAlign w:val="center"/>
          </w:tcPr>
          <w:p w14:paraId="204257A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80" w:type="dxa"/>
            <w:gridSpan w:val="2"/>
            <w:tcBorders>
              <w:top w:val="single" w:color="000000" w:sz="4" w:space="0"/>
              <w:left w:val="single" w:color="000000" w:sz="4" w:space="0"/>
              <w:bottom w:val="single" w:color="auto" w:sz="4" w:space="0"/>
              <w:right w:val="nil"/>
            </w:tcBorders>
            <w:shd w:val="clear" w:color="auto" w:fill="FFFFFF"/>
            <w:noWrap/>
            <w:vAlign w:val="center"/>
          </w:tcPr>
          <w:p w14:paraId="6DC3DEB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230" w:type="dxa"/>
            <w:tcBorders>
              <w:top w:val="single" w:color="000000" w:sz="4" w:space="0"/>
              <w:left w:val="nil"/>
              <w:bottom w:val="single" w:color="auto" w:sz="4" w:space="0"/>
              <w:right w:val="nil"/>
            </w:tcBorders>
            <w:shd w:val="clear" w:color="auto" w:fill="FFFFFF"/>
            <w:noWrap/>
            <w:vAlign w:val="center"/>
          </w:tcPr>
          <w:p w14:paraId="57BD478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体检费用控制数</w:t>
            </w:r>
          </w:p>
        </w:tc>
        <w:tc>
          <w:tcPr>
            <w:tcW w:w="1207"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1FB00B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≤20万元</w:t>
            </w:r>
          </w:p>
        </w:tc>
        <w:tc>
          <w:tcPr>
            <w:tcW w:w="9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22DE205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9.55万</w:t>
            </w:r>
          </w:p>
        </w:tc>
        <w:tc>
          <w:tcPr>
            <w:tcW w:w="7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FF8C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15"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37F456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4FFFB3C7">
            <w:pPr>
              <w:rPr>
                <w:rFonts w:hint="eastAsia" w:ascii="宋体" w:hAnsi="宋体" w:eastAsia="宋体" w:cs="宋体"/>
                <w:i w:val="0"/>
                <w:iCs w:val="0"/>
                <w:color w:val="000000"/>
                <w:sz w:val="18"/>
                <w:szCs w:val="18"/>
                <w:u w:val="none"/>
              </w:rPr>
            </w:pPr>
          </w:p>
        </w:tc>
      </w:tr>
    </w:tbl>
    <w:p w14:paraId="2E92DE31">
      <w:pPr>
        <w:widowControl/>
        <w:jc w:val="center"/>
        <w:rPr>
          <w:rFonts w:hint="eastAsia" w:ascii="Times New Roman" w:hAnsi="Times New Roman" w:eastAsia="黑体"/>
          <w:color w:val="auto"/>
          <w:sz w:val="44"/>
          <w:szCs w:val="44"/>
          <w:highlight w:val="none"/>
        </w:rPr>
      </w:pPr>
    </w:p>
    <w:p w14:paraId="5B0F26A4">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tbl>
      <w:tblPr>
        <w:tblStyle w:val="16"/>
        <w:tblW w:w="9465" w:type="dxa"/>
        <w:tblInd w:w="-10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210"/>
        <w:gridCol w:w="281"/>
        <w:gridCol w:w="889"/>
        <w:gridCol w:w="2385"/>
        <w:gridCol w:w="900"/>
        <w:gridCol w:w="1110"/>
        <w:gridCol w:w="1035"/>
        <w:gridCol w:w="615"/>
        <w:gridCol w:w="780"/>
      </w:tblGrid>
      <w:tr w14:paraId="1D976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465" w:type="dxa"/>
            <w:gridSpan w:val="10"/>
            <w:tcBorders>
              <w:top w:val="nil"/>
              <w:left w:val="nil"/>
              <w:bottom w:val="nil"/>
              <w:right w:val="nil"/>
            </w:tcBorders>
            <w:shd w:val="clear" w:color="auto" w:fill="auto"/>
            <w:noWrap/>
            <w:vAlign w:val="center"/>
          </w:tcPr>
          <w:p w14:paraId="5096E122">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8</w:t>
            </w:r>
          </w:p>
        </w:tc>
      </w:tr>
      <w:tr w14:paraId="48860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539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95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区政府后勤保障费</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5C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6FE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4799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C4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095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9D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285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19BA0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F4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8D3D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51" w:type="dxa"/>
            <w:gridSpan w:val="3"/>
            <w:tcBorders>
              <w:top w:val="single" w:color="000000" w:sz="4" w:space="0"/>
              <w:left w:val="single" w:color="000000" w:sz="4" w:space="0"/>
              <w:bottom w:val="single" w:color="000000" w:sz="4" w:space="0"/>
              <w:right w:val="nil"/>
            </w:tcBorders>
            <w:shd w:val="clear" w:color="auto" w:fill="auto"/>
            <w:noWrap/>
            <w:vAlign w:val="center"/>
          </w:tcPr>
          <w:p w14:paraId="0415514A">
            <w:pPr>
              <w:jc w:val="center"/>
              <w:rPr>
                <w:rFonts w:hint="eastAsia" w:ascii="宋体" w:hAnsi="宋体" w:eastAsia="宋体" w:cs="宋体"/>
                <w:i w:val="0"/>
                <w:iCs w:val="0"/>
                <w:color w:val="000000"/>
                <w:sz w:val="20"/>
                <w:szCs w:val="20"/>
                <w:u w:val="none"/>
              </w:rPr>
            </w:pP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ACA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6C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65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299F2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DD1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3B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2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F4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2FDE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B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02C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DA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F2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823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2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140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80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C2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68514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58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6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EB9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CE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5CB4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8DE2">
            <w:pPr>
              <w:jc w:val="left"/>
              <w:rPr>
                <w:rFonts w:hint="eastAsia" w:ascii="宋体" w:hAnsi="宋体" w:eastAsia="宋体" w:cs="宋体"/>
                <w:i w:val="0"/>
                <w:iCs w:val="0"/>
                <w:color w:val="000000"/>
                <w:sz w:val="20"/>
                <w:szCs w:val="20"/>
                <w:u w:val="none"/>
              </w:rPr>
            </w:pPr>
          </w:p>
        </w:tc>
        <w:tc>
          <w:tcPr>
            <w:tcW w:w="4665" w:type="dxa"/>
            <w:gridSpan w:val="5"/>
            <w:tcBorders>
              <w:top w:val="single" w:color="000000" w:sz="4" w:space="0"/>
              <w:left w:val="single" w:color="000000" w:sz="4" w:space="0"/>
              <w:bottom w:val="nil"/>
              <w:right w:val="single" w:color="000000" w:sz="4" w:space="0"/>
            </w:tcBorders>
            <w:shd w:val="clear" w:color="auto" w:fill="auto"/>
            <w:vAlign w:val="center"/>
          </w:tcPr>
          <w:p w14:paraId="07A915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保障区政府大院内职工就餐安全、方便，保障区政府机关食堂正常运行，做好区政府相关后勤保障工作，提高职工工作积极性，促进区政府各项工作正常推进。</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3E21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保障区政府大院内职工就餐安全、方便，保障区政府机关食堂正常运行，做好区政府相关后勤保障工作，提高职工工作积极性，促进区政府各项工作正常推进。</w:t>
            </w:r>
          </w:p>
        </w:tc>
      </w:tr>
      <w:tr w14:paraId="223B3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2A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39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22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68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DB1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16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15" w:type="dxa"/>
            <w:tcBorders>
              <w:top w:val="single" w:color="000000" w:sz="4" w:space="0"/>
              <w:left w:val="nil"/>
              <w:bottom w:val="single" w:color="000000" w:sz="4" w:space="0"/>
              <w:right w:val="single" w:color="000000" w:sz="4" w:space="0"/>
            </w:tcBorders>
            <w:shd w:val="clear" w:color="auto" w:fill="auto"/>
            <w:noWrap/>
            <w:vAlign w:val="center"/>
          </w:tcPr>
          <w:p w14:paraId="2CBAA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C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5D8E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03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204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C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0F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B7C2">
            <w:pPr>
              <w:jc w:val="center"/>
              <w:rPr>
                <w:rFonts w:hint="eastAsia" w:ascii="宋体" w:hAnsi="宋体" w:eastAsia="宋体" w:cs="宋体"/>
                <w:i w:val="0"/>
                <w:iCs w:val="0"/>
                <w:color w:val="000000"/>
                <w:sz w:val="18"/>
                <w:szCs w:val="18"/>
                <w:u w:val="none"/>
              </w:rPr>
            </w:pPr>
          </w:p>
        </w:tc>
      </w:tr>
      <w:tr w14:paraId="67F96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02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93229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27F2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CC97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56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E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31D1">
            <w:pPr>
              <w:rPr>
                <w:rFonts w:hint="eastAsia" w:ascii="宋体" w:hAnsi="宋体" w:eastAsia="宋体" w:cs="宋体"/>
                <w:i w:val="0"/>
                <w:iCs w:val="0"/>
                <w:color w:val="000000"/>
                <w:sz w:val="18"/>
                <w:szCs w:val="18"/>
                <w:u w:val="none"/>
              </w:rPr>
            </w:pPr>
          </w:p>
        </w:tc>
      </w:tr>
      <w:tr w14:paraId="5CA4C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3D4E301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0600715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D8E2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食堂每日服务人数</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F9C9E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200人</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088E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200人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34A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53F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0BE6">
            <w:pPr>
              <w:rPr>
                <w:rFonts w:hint="eastAsia" w:ascii="宋体" w:hAnsi="宋体" w:eastAsia="宋体" w:cs="宋体"/>
                <w:i w:val="0"/>
                <w:iCs w:val="0"/>
                <w:color w:val="000000"/>
                <w:sz w:val="18"/>
                <w:szCs w:val="18"/>
                <w:u w:val="none"/>
              </w:rPr>
            </w:pPr>
          </w:p>
        </w:tc>
      </w:tr>
      <w:tr w14:paraId="18C7A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463A5F01">
            <w:pPr>
              <w:jc w:val="center"/>
              <w:rPr>
                <w:rFonts w:hint="eastAsia" w:ascii="宋体" w:hAnsi="宋体" w:eastAsia="宋体" w:cs="宋体"/>
                <w:i w:val="0"/>
                <w:iCs w:val="0"/>
                <w:color w:val="333333"/>
                <w:sz w:val="18"/>
                <w:szCs w:val="18"/>
                <w:u w:val="none"/>
              </w:rPr>
            </w:pP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47C78A0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30FD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食堂就餐服务达标率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3E72A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91CD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882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57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D7BF">
            <w:pPr>
              <w:rPr>
                <w:rFonts w:hint="eastAsia" w:ascii="宋体" w:hAnsi="宋体" w:eastAsia="宋体" w:cs="宋体"/>
                <w:i w:val="0"/>
                <w:iCs w:val="0"/>
                <w:color w:val="000000"/>
                <w:sz w:val="18"/>
                <w:szCs w:val="18"/>
                <w:u w:val="none"/>
              </w:rPr>
            </w:pPr>
          </w:p>
        </w:tc>
      </w:tr>
      <w:tr w14:paraId="4A0B7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9FAE224">
            <w:pPr>
              <w:jc w:val="center"/>
              <w:rPr>
                <w:rFonts w:hint="eastAsia" w:ascii="宋体" w:hAnsi="宋体" w:eastAsia="宋体" w:cs="宋体"/>
                <w:i w:val="0"/>
                <w:iCs w:val="0"/>
                <w:color w:val="333333"/>
                <w:sz w:val="18"/>
                <w:szCs w:val="18"/>
                <w:u w:val="none"/>
              </w:rPr>
            </w:pP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030C003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3FE49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食堂全年维护及时率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736F4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1AE49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05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CC9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8F8C">
            <w:pPr>
              <w:rPr>
                <w:rFonts w:hint="eastAsia" w:ascii="宋体" w:hAnsi="宋体" w:eastAsia="宋体" w:cs="宋体"/>
                <w:i w:val="0"/>
                <w:iCs w:val="0"/>
                <w:color w:val="000000"/>
                <w:sz w:val="18"/>
                <w:szCs w:val="18"/>
                <w:u w:val="none"/>
              </w:rPr>
            </w:pPr>
          </w:p>
        </w:tc>
      </w:tr>
      <w:tr w14:paraId="6B23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9CE4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14034CC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F756D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保障食堂正常运转</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EB96F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B4AD3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2A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63F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E5B7">
            <w:pPr>
              <w:rPr>
                <w:rFonts w:hint="eastAsia" w:ascii="宋体" w:hAnsi="宋体" w:eastAsia="宋体" w:cs="宋体"/>
                <w:i w:val="0"/>
                <w:iCs w:val="0"/>
                <w:color w:val="000000"/>
                <w:sz w:val="18"/>
                <w:szCs w:val="18"/>
                <w:u w:val="none"/>
              </w:rPr>
            </w:pPr>
          </w:p>
        </w:tc>
      </w:tr>
      <w:tr w14:paraId="03CA6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030E6">
            <w:pPr>
              <w:jc w:val="center"/>
              <w:rPr>
                <w:rFonts w:hint="eastAsia" w:ascii="宋体" w:hAnsi="宋体" w:eastAsia="宋体" w:cs="宋体"/>
                <w:i w:val="0"/>
                <w:iCs w:val="0"/>
                <w:color w:val="333333"/>
                <w:sz w:val="18"/>
                <w:szCs w:val="18"/>
                <w:u w:val="none"/>
              </w:rPr>
            </w:pP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3D2A6F6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5EAD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区政府后勤保障工作管理机制健全性</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717B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F0F84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9D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96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EC343">
            <w:pPr>
              <w:rPr>
                <w:rFonts w:hint="eastAsia" w:ascii="宋体" w:hAnsi="宋体" w:eastAsia="宋体" w:cs="宋体"/>
                <w:i w:val="0"/>
                <w:iCs w:val="0"/>
                <w:color w:val="000000"/>
                <w:sz w:val="18"/>
                <w:szCs w:val="18"/>
                <w:u w:val="none"/>
              </w:rPr>
            </w:pPr>
          </w:p>
        </w:tc>
      </w:tr>
      <w:tr w14:paraId="4FA86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D49E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EE005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49111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食堂就餐人员满意度</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655CD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62981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41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9A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6ACC8">
            <w:pPr>
              <w:rPr>
                <w:rFonts w:hint="eastAsia" w:ascii="宋体" w:hAnsi="宋体" w:eastAsia="宋体" w:cs="宋体"/>
                <w:i w:val="0"/>
                <w:iCs w:val="0"/>
                <w:color w:val="000000"/>
                <w:sz w:val="18"/>
                <w:szCs w:val="18"/>
                <w:u w:val="none"/>
              </w:rPr>
            </w:pPr>
          </w:p>
        </w:tc>
      </w:tr>
      <w:tr w14:paraId="322B4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3B45E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28F4A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B168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区政府后勤保障费用控制数</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6E12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170万元</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5A61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147.6万元</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2529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ED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26F2">
            <w:pPr>
              <w:rPr>
                <w:rFonts w:hint="eastAsia" w:ascii="宋体" w:hAnsi="宋体" w:eastAsia="宋体" w:cs="宋体"/>
                <w:i w:val="0"/>
                <w:iCs w:val="0"/>
                <w:color w:val="000000"/>
                <w:sz w:val="18"/>
                <w:szCs w:val="18"/>
                <w:u w:val="none"/>
              </w:rPr>
            </w:pPr>
          </w:p>
        </w:tc>
      </w:tr>
    </w:tbl>
    <w:p w14:paraId="65E82201">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p w14:paraId="74EB8D5E">
      <w:pPr>
        <w:pStyle w:val="2"/>
        <w:rPr>
          <w:rFonts w:hint="eastAsia"/>
        </w:rPr>
      </w:pPr>
    </w:p>
    <w:tbl>
      <w:tblPr>
        <w:tblStyle w:val="16"/>
        <w:tblW w:w="9255" w:type="dxa"/>
        <w:tblInd w:w="-1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0"/>
        <w:gridCol w:w="675"/>
        <w:gridCol w:w="129"/>
        <w:gridCol w:w="732"/>
        <w:gridCol w:w="2574"/>
        <w:gridCol w:w="180"/>
        <w:gridCol w:w="810"/>
        <w:gridCol w:w="180"/>
        <w:gridCol w:w="600"/>
        <w:gridCol w:w="945"/>
        <w:gridCol w:w="570"/>
        <w:gridCol w:w="720"/>
      </w:tblGrid>
      <w:tr w14:paraId="1186D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255" w:type="dxa"/>
            <w:gridSpan w:val="12"/>
            <w:tcBorders>
              <w:top w:val="nil"/>
              <w:left w:val="nil"/>
              <w:bottom w:val="nil"/>
              <w:right w:val="nil"/>
            </w:tcBorders>
            <w:shd w:val="clear" w:color="auto" w:fill="auto"/>
            <w:noWrap/>
            <w:vAlign w:val="center"/>
          </w:tcPr>
          <w:p w14:paraId="546AB02E">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9</w:t>
            </w:r>
          </w:p>
        </w:tc>
      </w:tr>
      <w:tr w14:paraId="08409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2BA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4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CC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公共机构节能建设经费</w:t>
            </w:r>
          </w:p>
        </w:tc>
        <w:tc>
          <w:tcPr>
            <w:tcW w:w="11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56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3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69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A8AB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951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4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96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1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649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3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A7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0B060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255"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3C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78B4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44" w:type="dxa"/>
            <w:gridSpan w:val="3"/>
            <w:tcBorders>
              <w:top w:val="single" w:color="000000" w:sz="4" w:space="0"/>
              <w:left w:val="single" w:color="000000" w:sz="4" w:space="0"/>
              <w:bottom w:val="single" w:color="000000" w:sz="4" w:space="0"/>
              <w:right w:val="nil"/>
            </w:tcBorders>
            <w:shd w:val="clear" w:color="auto" w:fill="auto"/>
            <w:noWrap/>
            <w:vAlign w:val="center"/>
          </w:tcPr>
          <w:p w14:paraId="7AE9DDEA">
            <w:pPr>
              <w:jc w:val="center"/>
              <w:rPr>
                <w:rFonts w:hint="eastAsia" w:ascii="宋体" w:hAnsi="宋体" w:eastAsia="宋体" w:cs="宋体"/>
                <w:i w:val="0"/>
                <w:iCs w:val="0"/>
                <w:color w:val="000000"/>
                <w:sz w:val="20"/>
                <w:szCs w:val="20"/>
                <w:u w:val="none"/>
              </w:rPr>
            </w:pP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8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5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3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4B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08FEC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66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F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15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94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A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33BB4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9F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33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15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AA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7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1D5F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BD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1D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4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FBF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9F73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48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2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4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82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3F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2B9F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5"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D59B1">
            <w:pPr>
              <w:jc w:val="left"/>
              <w:rPr>
                <w:rFonts w:hint="eastAsia" w:ascii="宋体" w:hAnsi="宋体" w:eastAsia="宋体" w:cs="宋体"/>
                <w:i w:val="0"/>
                <w:iCs w:val="0"/>
                <w:color w:val="000000"/>
                <w:sz w:val="20"/>
                <w:szCs w:val="20"/>
                <w:u w:val="none"/>
              </w:rPr>
            </w:pPr>
          </w:p>
        </w:tc>
        <w:tc>
          <w:tcPr>
            <w:tcW w:w="4290" w:type="dxa"/>
            <w:gridSpan w:val="5"/>
            <w:tcBorders>
              <w:top w:val="single" w:color="000000" w:sz="4" w:space="0"/>
              <w:left w:val="single" w:color="000000" w:sz="4" w:space="0"/>
              <w:bottom w:val="nil"/>
              <w:right w:val="single" w:color="000000" w:sz="4" w:space="0"/>
            </w:tcBorders>
            <w:shd w:val="clear" w:color="auto" w:fill="auto"/>
            <w:vAlign w:val="center"/>
          </w:tcPr>
          <w:p w14:paraId="6498BC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预计投入2万元，指导全区公共机构开展节能机构创建、开展节能宣传等工作</w:t>
            </w:r>
          </w:p>
        </w:tc>
        <w:tc>
          <w:tcPr>
            <w:tcW w:w="38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5710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本年投入1.29万元，指导全区公共机构开展无废机关创建、节能宣传等工作</w:t>
            </w:r>
          </w:p>
        </w:tc>
      </w:tr>
      <w:tr w14:paraId="5D496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2C6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5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A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7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04B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8A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F32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9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分值/权重（百分制）</w:t>
            </w:r>
          </w:p>
        </w:tc>
        <w:tc>
          <w:tcPr>
            <w:tcW w:w="570" w:type="dxa"/>
            <w:tcBorders>
              <w:top w:val="single" w:color="000000" w:sz="4" w:space="0"/>
              <w:left w:val="nil"/>
              <w:bottom w:val="single" w:color="000000" w:sz="4" w:space="0"/>
              <w:right w:val="single" w:color="000000" w:sz="4" w:space="0"/>
            </w:tcBorders>
            <w:shd w:val="clear" w:color="auto" w:fill="auto"/>
            <w:noWrap/>
            <w:vAlign w:val="center"/>
          </w:tcPr>
          <w:p w14:paraId="53121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2E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5551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020"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36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C7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6E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1F419">
            <w:pPr>
              <w:jc w:val="center"/>
              <w:rPr>
                <w:rFonts w:hint="eastAsia" w:ascii="宋体" w:hAnsi="宋体" w:eastAsia="宋体" w:cs="宋体"/>
                <w:i w:val="0"/>
                <w:iCs w:val="0"/>
                <w:color w:val="000000"/>
                <w:sz w:val="18"/>
                <w:szCs w:val="18"/>
                <w:u w:val="none"/>
              </w:rPr>
            </w:pPr>
          </w:p>
        </w:tc>
      </w:tr>
      <w:tr w14:paraId="792EA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430"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DA09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891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ED838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D7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F35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77DC7">
            <w:pPr>
              <w:rPr>
                <w:rFonts w:hint="eastAsia" w:ascii="宋体" w:hAnsi="宋体" w:eastAsia="宋体" w:cs="宋体"/>
                <w:i w:val="0"/>
                <w:iCs w:val="0"/>
                <w:color w:val="000000"/>
                <w:sz w:val="18"/>
                <w:szCs w:val="18"/>
                <w:u w:val="none"/>
              </w:rPr>
            </w:pPr>
          </w:p>
        </w:tc>
      </w:tr>
      <w:tr w14:paraId="11768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069D906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21E4A76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6FD34DB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节能宣传活动开展次数</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E3BB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2次</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066A0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2次</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CF9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3E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EB09">
            <w:pPr>
              <w:rPr>
                <w:rFonts w:hint="eastAsia" w:ascii="宋体" w:hAnsi="宋体" w:eastAsia="宋体" w:cs="宋体"/>
                <w:i w:val="0"/>
                <w:iCs w:val="0"/>
                <w:color w:val="000000"/>
                <w:sz w:val="18"/>
                <w:szCs w:val="18"/>
                <w:u w:val="none"/>
              </w:rPr>
            </w:pPr>
          </w:p>
        </w:tc>
      </w:tr>
      <w:tr w14:paraId="6656E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13A70358">
            <w:pPr>
              <w:jc w:val="center"/>
              <w:rPr>
                <w:rFonts w:hint="eastAsia" w:ascii="宋体" w:hAnsi="宋体" w:eastAsia="宋体" w:cs="宋体"/>
                <w:i w:val="0"/>
                <w:iCs w:val="0"/>
                <w:color w:val="333333"/>
                <w:sz w:val="18"/>
                <w:szCs w:val="18"/>
                <w:u w:val="none"/>
              </w:rPr>
            </w:pP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00EFA85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5D212F3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 </w:t>
            </w:r>
            <w:r>
              <w:rPr>
                <w:rFonts w:hint="eastAsia" w:ascii="宋体" w:hAnsi="宋体" w:eastAsia="宋体" w:cs="宋体"/>
                <w:i w:val="0"/>
                <w:iCs w:val="0"/>
                <w:color w:val="333333"/>
                <w:kern w:val="0"/>
                <w:sz w:val="18"/>
                <w:szCs w:val="18"/>
                <w:u w:val="none"/>
                <w:lang w:val="en-US" w:eastAsia="zh-CN" w:bidi="ar"/>
              </w:rPr>
              <w:br w:type="textWrapping"/>
            </w:r>
            <w:r>
              <w:rPr>
                <w:rFonts w:hint="eastAsia" w:ascii="宋体" w:hAnsi="宋体" w:eastAsia="宋体" w:cs="宋体"/>
                <w:i w:val="0"/>
                <w:iCs w:val="0"/>
                <w:color w:val="333333"/>
                <w:kern w:val="0"/>
                <w:sz w:val="18"/>
                <w:szCs w:val="18"/>
                <w:u w:val="none"/>
                <w:lang w:val="en-US" w:eastAsia="zh-CN" w:bidi="ar"/>
              </w:rPr>
              <w:t>公共机构数据统计表数据准确率</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D4D87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D4A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8B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AE4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A413">
            <w:pPr>
              <w:rPr>
                <w:rFonts w:hint="eastAsia" w:ascii="宋体" w:hAnsi="宋体" w:eastAsia="宋体" w:cs="宋体"/>
                <w:i w:val="0"/>
                <w:iCs w:val="0"/>
                <w:color w:val="000000"/>
                <w:sz w:val="18"/>
                <w:szCs w:val="18"/>
                <w:u w:val="none"/>
              </w:rPr>
            </w:pPr>
          </w:p>
        </w:tc>
      </w:tr>
      <w:tr w14:paraId="75CEB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A3FAA21">
            <w:pPr>
              <w:jc w:val="center"/>
              <w:rPr>
                <w:rFonts w:hint="eastAsia" w:ascii="宋体" w:hAnsi="宋体" w:eastAsia="宋体" w:cs="宋体"/>
                <w:i w:val="0"/>
                <w:iCs w:val="0"/>
                <w:color w:val="333333"/>
                <w:sz w:val="18"/>
                <w:szCs w:val="18"/>
                <w:u w:val="none"/>
              </w:rPr>
            </w:pP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3F298FD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50BBF4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节能宣传资料质量合格率</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4482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EFA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F5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0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6DD28">
            <w:pPr>
              <w:rPr>
                <w:rFonts w:hint="eastAsia" w:ascii="宋体" w:hAnsi="宋体" w:eastAsia="宋体" w:cs="宋体"/>
                <w:i w:val="0"/>
                <w:iCs w:val="0"/>
                <w:color w:val="000000"/>
                <w:sz w:val="18"/>
                <w:szCs w:val="18"/>
                <w:u w:val="none"/>
              </w:rPr>
            </w:pPr>
          </w:p>
        </w:tc>
      </w:tr>
      <w:tr w14:paraId="2F33F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65926CC8">
            <w:pPr>
              <w:jc w:val="center"/>
              <w:rPr>
                <w:rFonts w:hint="eastAsia" w:ascii="宋体" w:hAnsi="宋体" w:eastAsia="宋体" w:cs="宋体"/>
                <w:i w:val="0"/>
                <w:iCs w:val="0"/>
                <w:color w:val="333333"/>
                <w:sz w:val="18"/>
                <w:szCs w:val="18"/>
                <w:u w:val="none"/>
              </w:rPr>
            </w:pP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1086FCE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23EA543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节能宣传活动开展及时率</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941B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F126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F8F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4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3A9E">
            <w:pPr>
              <w:rPr>
                <w:rFonts w:hint="eastAsia" w:ascii="宋体" w:hAnsi="宋体" w:eastAsia="宋体" w:cs="宋体"/>
                <w:i w:val="0"/>
                <w:iCs w:val="0"/>
                <w:color w:val="000000"/>
                <w:sz w:val="18"/>
                <w:szCs w:val="18"/>
                <w:u w:val="none"/>
              </w:rPr>
            </w:pPr>
          </w:p>
        </w:tc>
      </w:tr>
      <w:tr w14:paraId="3B0E4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53DE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25411A4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5504FA0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公共机构节能示范单位影响性</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9BBBB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438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6F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E6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FD07">
            <w:pPr>
              <w:rPr>
                <w:rFonts w:hint="eastAsia" w:ascii="宋体" w:hAnsi="宋体" w:eastAsia="宋体" w:cs="宋体"/>
                <w:i w:val="0"/>
                <w:iCs w:val="0"/>
                <w:color w:val="000000"/>
                <w:sz w:val="18"/>
                <w:szCs w:val="18"/>
                <w:u w:val="none"/>
              </w:rPr>
            </w:pPr>
          </w:p>
        </w:tc>
      </w:tr>
      <w:tr w14:paraId="6B188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DCAA54">
            <w:pPr>
              <w:jc w:val="center"/>
              <w:rPr>
                <w:rFonts w:hint="eastAsia" w:ascii="宋体" w:hAnsi="宋体" w:eastAsia="宋体" w:cs="宋体"/>
                <w:i w:val="0"/>
                <w:iCs w:val="0"/>
                <w:color w:val="333333"/>
                <w:sz w:val="18"/>
                <w:szCs w:val="18"/>
                <w:u w:val="none"/>
              </w:rPr>
            </w:pP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45EF0D2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6FEF64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公共机构节能示范单位建设机制健全性</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80A15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6C184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3D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7F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ECA8">
            <w:pPr>
              <w:rPr>
                <w:rFonts w:hint="eastAsia" w:ascii="宋体" w:hAnsi="宋体" w:eastAsia="宋体" w:cs="宋体"/>
                <w:i w:val="0"/>
                <w:iCs w:val="0"/>
                <w:color w:val="000000"/>
                <w:sz w:val="18"/>
                <w:szCs w:val="18"/>
                <w:u w:val="none"/>
              </w:rPr>
            </w:pPr>
          </w:p>
        </w:tc>
      </w:tr>
      <w:tr w14:paraId="73F6B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CDBE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36"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BFA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29FFB19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节能管理指导单位满意度</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1EBB8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99%</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5F21F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42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6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85549">
            <w:pPr>
              <w:rPr>
                <w:rFonts w:hint="eastAsia" w:ascii="宋体" w:hAnsi="宋体" w:eastAsia="宋体" w:cs="宋体"/>
                <w:i w:val="0"/>
                <w:iCs w:val="0"/>
                <w:color w:val="000000"/>
                <w:sz w:val="18"/>
                <w:szCs w:val="18"/>
                <w:u w:val="none"/>
              </w:rPr>
            </w:pPr>
          </w:p>
        </w:tc>
      </w:tr>
      <w:tr w14:paraId="1B0E4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1920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536"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D7EE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75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65B2B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公共机构节能建设经费控制数</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9B18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2万元</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DC25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1.29万元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E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05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BB8B3">
            <w:pPr>
              <w:rPr>
                <w:rFonts w:hint="eastAsia" w:ascii="宋体" w:hAnsi="宋体" w:eastAsia="宋体" w:cs="宋体"/>
                <w:i w:val="0"/>
                <w:iCs w:val="0"/>
                <w:color w:val="000000"/>
                <w:sz w:val="18"/>
                <w:szCs w:val="18"/>
                <w:u w:val="none"/>
              </w:rPr>
            </w:pPr>
          </w:p>
        </w:tc>
      </w:tr>
    </w:tbl>
    <w:p w14:paraId="3DA4ABEF">
      <w:pPr>
        <w:keepNext w:val="0"/>
        <w:keepLines w:val="0"/>
        <w:widowControl/>
        <w:suppressLineNumbers w:val="0"/>
        <w:jc w:val="center"/>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br w:type="page"/>
      </w:r>
    </w:p>
    <w:tbl>
      <w:tblPr>
        <w:tblStyle w:val="16"/>
        <w:tblW w:w="934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43"/>
        <w:gridCol w:w="1860"/>
        <w:gridCol w:w="1875"/>
        <w:gridCol w:w="1326"/>
        <w:gridCol w:w="1014"/>
        <w:gridCol w:w="780"/>
        <w:gridCol w:w="615"/>
        <w:gridCol w:w="630"/>
      </w:tblGrid>
      <w:tr w14:paraId="5F864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343" w:type="dxa"/>
            <w:gridSpan w:val="8"/>
            <w:tcBorders>
              <w:top w:val="nil"/>
              <w:left w:val="nil"/>
              <w:bottom w:val="nil"/>
              <w:right w:val="nil"/>
            </w:tcBorders>
            <w:shd w:val="clear" w:color="auto" w:fill="auto"/>
            <w:noWrap/>
            <w:vAlign w:val="center"/>
          </w:tcPr>
          <w:p w14:paraId="538E0E9E">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10</w:t>
            </w:r>
          </w:p>
        </w:tc>
      </w:tr>
      <w:tr w14:paraId="16886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876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A8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门户网站运维费</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BD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03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8B0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1BA0D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713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B53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13C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03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22A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五通桥区信息中心</w:t>
            </w:r>
          </w:p>
        </w:tc>
      </w:tr>
      <w:tr w14:paraId="61762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34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C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71F83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03" w:type="dxa"/>
            <w:gridSpan w:val="2"/>
            <w:tcBorders>
              <w:top w:val="single" w:color="000000" w:sz="4" w:space="0"/>
              <w:left w:val="single" w:color="000000" w:sz="4" w:space="0"/>
              <w:bottom w:val="single" w:color="000000" w:sz="4" w:space="0"/>
              <w:right w:val="nil"/>
            </w:tcBorders>
            <w:shd w:val="clear" w:color="auto" w:fill="auto"/>
            <w:noWrap/>
            <w:vAlign w:val="center"/>
          </w:tcPr>
          <w:p w14:paraId="1C9BE03F">
            <w:pPr>
              <w:jc w:val="center"/>
              <w:rPr>
                <w:rFonts w:hint="eastAsia" w:ascii="宋体" w:hAnsi="宋体" w:eastAsia="宋体" w:cs="宋体"/>
                <w:i w:val="0"/>
                <w:iCs w:val="0"/>
                <w:color w:val="000000"/>
                <w:sz w:val="20"/>
                <w:szCs w:val="20"/>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2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DF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5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A43E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7F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7F2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88E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EA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1B7B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B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CB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B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A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F65A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6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63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39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9F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0</w:t>
            </w:r>
          </w:p>
        </w:tc>
      </w:tr>
      <w:tr w14:paraId="4BEB1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62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0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4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03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36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777D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BED21">
            <w:pPr>
              <w:jc w:val="left"/>
              <w:rPr>
                <w:rFonts w:hint="eastAsia" w:ascii="宋体" w:hAnsi="宋体" w:eastAsia="宋体" w:cs="宋体"/>
                <w:i w:val="0"/>
                <w:iCs w:val="0"/>
                <w:color w:val="000000"/>
                <w:sz w:val="20"/>
                <w:szCs w:val="20"/>
                <w:u w:val="none"/>
              </w:rPr>
            </w:pPr>
          </w:p>
        </w:tc>
        <w:tc>
          <w:tcPr>
            <w:tcW w:w="5061" w:type="dxa"/>
            <w:gridSpan w:val="3"/>
            <w:tcBorders>
              <w:top w:val="single" w:color="000000" w:sz="4" w:space="0"/>
              <w:left w:val="single" w:color="000000" w:sz="4" w:space="0"/>
              <w:bottom w:val="nil"/>
              <w:right w:val="single" w:color="000000" w:sz="4" w:space="0"/>
            </w:tcBorders>
            <w:shd w:val="clear" w:color="auto" w:fill="auto"/>
            <w:vAlign w:val="center"/>
          </w:tcPr>
          <w:p w14:paraId="373C52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实现政府门户网站集约化管理，保障门户网站安全高效运行。</w:t>
            </w:r>
          </w:p>
        </w:tc>
        <w:tc>
          <w:tcPr>
            <w:tcW w:w="30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7BFE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实现政府门户网站集约化管理，保障门户网站安全高效运行。</w:t>
            </w:r>
          </w:p>
        </w:tc>
      </w:tr>
      <w:tr w14:paraId="4B3E0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B4C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D4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CD7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67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25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82C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15" w:type="dxa"/>
            <w:tcBorders>
              <w:top w:val="single" w:color="000000" w:sz="4" w:space="0"/>
              <w:left w:val="nil"/>
              <w:bottom w:val="single" w:color="000000" w:sz="4" w:space="0"/>
              <w:right w:val="single" w:color="000000" w:sz="4" w:space="0"/>
            </w:tcBorders>
            <w:shd w:val="clear" w:color="auto" w:fill="auto"/>
            <w:noWrap/>
            <w:vAlign w:val="center"/>
          </w:tcPr>
          <w:p w14:paraId="52D346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D7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46167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31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F7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2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B1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F6221">
            <w:pPr>
              <w:jc w:val="center"/>
              <w:rPr>
                <w:rFonts w:hint="eastAsia" w:ascii="宋体" w:hAnsi="宋体" w:eastAsia="宋体" w:cs="宋体"/>
                <w:i w:val="0"/>
                <w:iCs w:val="0"/>
                <w:color w:val="000000"/>
                <w:sz w:val="18"/>
                <w:szCs w:val="18"/>
                <w:u w:val="none"/>
              </w:rPr>
            </w:pPr>
          </w:p>
        </w:tc>
      </w:tr>
      <w:tr w14:paraId="32AD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78"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5603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6FEAA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3DD36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15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35A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94068">
            <w:pPr>
              <w:rPr>
                <w:rFonts w:hint="eastAsia" w:ascii="宋体" w:hAnsi="宋体" w:eastAsia="宋体" w:cs="宋体"/>
                <w:i w:val="0"/>
                <w:iCs w:val="0"/>
                <w:color w:val="000000"/>
                <w:sz w:val="18"/>
                <w:szCs w:val="18"/>
                <w:u w:val="none"/>
              </w:rPr>
            </w:pPr>
          </w:p>
        </w:tc>
      </w:tr>
      <w:tr w14:paraId="6777B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43"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2A9324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59BD57B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FDA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系统验收合格率</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23E2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9349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9E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E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BA18">
            <w:pPr>
              <w:rPr>
                <w:rFonts w:hint="eastAsia" w:ascii="宋体" w:hAnsi="宋体" w:eastAsia="宋体" w:cs="宋体"/>
                <w:i w:val="0"/>
                <w:iCs w:val="0"/>
                <w:color w:val="000000"/>
                <w:sz w:val="18"/>
                <w:szCs w:val="18"/>
                <w:u w:val="none"/>
              </w:rPr>
            </w:pPr>
          </w:p>
        </w:tc>
      </w:tr>
      <w:tr w14:paraId="32E4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4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04BE4191">
            <w:pPr>
              <w:jc w:val="center"/>
              <w:rPr>
                <w:rFonts w:hint="eastAsia" w:ascii="宋体" w:hAnsi="宋体" w:eastAsia="宋体" w:cs="宋体"/>
                <w:i w:val="0"/>
                <w:iCs w:val="0"/>
                <w:color w:val="333333"/>
                <w:sz w:val="18"/>
                <w:szCs w:val="18"/>
                <w:u w:val="none"/>
              </w:rPr>
            </w:pP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5CEC8A1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9C95B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系统开发数量</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745B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6AA5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5D5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D3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7580">
            <w:pPr>
              <w:rPr>
                <w:rFonts w:hint="eastAsia" w:ascii="宋体" w:hAnsi="宋体" w:eastAsia="宋体" w:cs="宋体"/>
                <w:i w:val="0"/>
                <w:iCs w:val="0"/>
                <w:color w:val="000000"/>
                <w:sz w:val="18"/>
                <w:szCs w:val="18"/>
                <w:u w:val="none"/>
              </w:rPr>
            </w:pPr>
          </w:p>
        </w:tc>
      </w:tr>
      <w:tr w14:paraId="7B3C5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4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0E5C7FE4">
            <w:pPr>
              <w:jc w:val="center"/>
              <w:rPr>
                <w:rFonts w:hint="eastAsia" w:ascii="宋体" w:hAnsi="宋体" w:eastAsia="宋体" w:cs="宋体"/>
                <w:i w:val="0"/>
                <w:iCs w:val="0"/>
                <w:color w:val="333333"/>
                <w:sz w:val="18"/>
                <w:szCs w:val="18"/>
                <w:u w:val="none"/>
              </w:rPr>
            </w:pP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6FA5F58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56CB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系统故障修复及时率</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1D88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D88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C3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E8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8652">
            <w:pPr>
              <w:rPr>
                <w:rFonts w:hint="eastAsia" w:ascii="宋体" w:hAnsi="宋体" w:eastAsia="宋体" w:cs="宋体"/>
                <w:i w:val="0"/>
                <w:iCs w:val="0"/>
                <w:color w:val="000000"/>
                <w:sz w:val="18"/>
                <w:szCs w:val="18"/>
                <w:u w:val="none"/>
              </w:rPr>
            </w:pPr>
          </w:p>
        </w:tc>
      </w:tr>
      <w:tr w14:paraId="5CA9E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4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C141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5667FD2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A55B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系统正常使用年限</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70A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≥5年</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BFD3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21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93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1A4B2">
            <w:pPr>
              <w:rPr>
                <w:rFonts w:hint="eastAsia" w:ascii="宋体" w:hAnsi="宋体" w:eastAsia="宋体" w:cs="宋体"/>
                <w:i w:val="0"/>
                <w:iCs w:val="0"/>
                <w:color w:val="000000"/>
                <w:sz w:val="18"/>
                <w:szCs w:val="18"/>
                <w:u w:val="none"/>
              </w:rPr>
            </w:pPr>
          </w:p>
        </w:tc>
      </w:tr>
      <w:tr w14:paraId="5ED05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D4508">
            <w:pPr>
              <w:jc w:val="center"/>
              <w:rPr>
                <w:rFonts w:hint="eastAsia" w:ascii="宋体" w:hAnsi="宋体" w:eastAsia="宋体" w:cs="宋体"/>
                <w:i w:val="0"/>
                <w:iCs w:val="0"/>
                <w:color w:val="333333"/>
                <w:sz w:val="18"/>
                <w:szCs w:val="18"/>
                <w:u w:val="none"/>
              </w:rPr>
            </w:pP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2F5995A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BBE07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门户网运行情况</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D346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31B6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90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201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A09B">
            <w:pPr>
              <w:rPr>
                <w:rFonts w:hint="eastAsia" w:ascii="宋体" w:hAnsi="宋体" w:eastAsia="宋体" w:cs="宋体"/>
                <w:i w:val="0"/>
                <w:iCs w:val="0"/>
                <w:color w:val="000000"/>
                <w:sz w:val="18"/>
                <w:szCs w:val="18"/>
                <w:u w:val="none"/>
              </w:rPr>
            </w:pPr>
          </w:p>
        </w:tc>
      </w:tr>
      <w:tr w14:paraId="3420C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2D506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10650C5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187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EA9663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使用人员满意度</w:t>
            </w:r>
          </w:p>
        </w:tc>
        <w:tc>
          <w:tcPr>
            <w:tcW w:w="1326"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98CED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9A13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8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A0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1858">
            <w:pPr>
              <w:rPr>
                <w:rFonts w:hint="eastAsia" w:ascii="宋体" w:hAnsi="宋体" w:eastAsia="宋体" w:cs="宋体"/>
                <w:i w:val="0"/>
                <w:iCs w:val="0"/>
                <w:color w:val="000000"/>
                <w:sz w:val="18"/>
                <w:szCs w:val="18"/>
                <w:u w:val="none"/>
              </w:rPr>
            </w:pPr>
          </w:p>
        </w:tc>
      </w:tr>
      <w:tr w14:paraId="2FA42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2335B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860" w:type="dxa"/>
            <w:tcBorders>
              <w:top w:val="single" w:color="000000" w:sz="4" w:space="0"/>
              <w:left w:val="single" w:color="000000" w:sz="4" w:space="0"/>
              <w:bottom w:val="single" w:color="000000" w:sz="4" w:space="0"/>
              <w:right w:val="single" w:color="auto" w:sz="4" w:space="0"/>
            </w:tcBorders>
            <w:shd w:val="clear" w:color="auto" w:fill="FFFFFF"/>
            <w:noWrap/>
            <w:vAlign w:val="center"/>
          </w:tcPr>
          <w:p w14:paraId="3842DFF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1875" w:type="dxa"/>
            <w:tcBorders>
              <w:top w:val="single" w:color="auto" w:sz="4" w:space="0"/>
              <w:left w:val="single" w:color="auto" w:sz="4" w:space="0"/>
              <w:bottom w:val="single" w:color="auto" w:sz="4" w:space="0"/>
              <w:right w:val="single" w:color="000000" w:sz="4" w:space="0"/>
            </w:tcBorders>
            <w:shd w:val="clear" w:color="auto" w:fill="FFFFFF"/>
            <w:noWrap/>
            <w:vAlign w:val="center"/>
          </w:tcPr>
          <w:p w14:paraId="5C73FF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全年费用控制数</w:t>
            </w:r>
          </w:p>
        </w:tc>
        <w:tc>
          <w:tcPr>
            <w:tcW w:w="1326" w:type="dxa"/>
            <w:tcBorders>
              <w:top w:val="single" w:color="auto" w:sz="4" w:space="0"/>
              <w:left w:val="nil"/>
              <w:bottom w:val="single" w:color="auto" w:sz="4" w:space="0"/>
              <w:right w:val="single" w:color="auto" w:sz="4" w:space="0"/>
            </w:tcBorders>
            <w:shd w:val="clear" w:color="auto" w:fill="auto"/>
            <w:noWrap/>
            <w:vAlign w:val="center"/>
          </w:tcPr>
          <w:p w14:paraId="080D00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7.5万元</w:t>
            </w:r>
          </w:p>
        </w:tc>
        <w:tc>
          <w:tcPr>
            <w:tcW w:w="1014" w:type="dxa"/>
            <w:tcBorders>
              <w:top w:val="single" w:color="000000" w:sz="4" w:space="0"/>
              <w:left w:val="single" w:color="auto" w:sz="4" w:space="0"/>
              <w:bottom w:val="single" w:color="000000" w:sz="4" w:space="0"/>
              <w:right w:val="single" w:color="000000" w:sz="4" w:space="0"/>
            </w:tcBorders>
            <w:shd w:val="clear" w:color="auto" w:fill="FFFFFF"/>
            <w:noWrap/>
            <w:vAlign w:val="center"/>
          </w:tcPr>
          <w:p w14:paraId="0B0BE5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7.5万元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168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D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BB78">
            <w:pPr>
              <w:rPr>
                <w:rFonts w:hint="eastAsia" w:ascii="宋体" w:hAnsi="宋体" w:eastAsia="宋体" w:cs="宋体"/>
                <w:i w:val="0"/>
                <w:iCs w:val="0"/>
                <w:color w:val="000000"/>
                <w:sz w:val="18"/>
                <w:szCs w:val="18"/>
                <w:u w:val="none"/>
              </w:rPr>
            </w:pPr>
          </w:p>
        </w:tc>
      </w:tr>
    </w:tbl>
    <w:p w14:paraId="120412EE">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eastAsia="仿宋_GB2312" w:cs="Times New Roman"/>
          <w:kern w:val="2"/>
          <w:sz w:val="32"/>
          <w:szCs w:val="32"/>
          <w:u w:val="none"/>
          <w:lang w:val="zh-CN" w:eastAsia="zh-CN" w:bidi="ar"/>
        </w:rPr>
      </w:pPr>
    </w:p>
    <w:p w14:paraId="2E5D7529">
      <w:pPr>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br w:type="page"/>
      </w:r>
    </w:p>
    <w:tbl>
      <w:tblPr>
        <w:tblStyle w:val="16"/>
        <w:tblW w:w="91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3"/>
        <w:gridCol w:w="135"/>
        <w:gridCol w:w="300"/>
        <w:gridCol w:w="75"/>
        <w:gridCol w:w="345"/>
        <w:gridCol w:w="60"/>
        <w:gridCol w:w="510"/>
        <w:gridCol w:w="210"/>
        <w:gridCol w:w="1350"/>
        <w:gridCol w:w="570"/>
        <w:gridCol w:w="120"/>
        <w:gridCol w:w="780"/>
        <w:gridCol w:w="150"/>
        <w:gridCol w:w="255"/>
        <w:gridCol w:w="105"/>
        <w:gridCol w:w="675"/>
        <w:gridCol w:w="90"/>
        <w:gridCol w:w="945"/>
        <w:gridCol w:w="90"/>
        <w:gridCol w:w="660"/>
        <w:gridCol w:w="45"/>
        <w:gridCol w:w="750"/>
      </w:tblGrid>
      <w:tr w14:paraId="1F021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103" w:type="dxa"/>
            <w:gridSpan w:val="22"/>
            <w:tcBorders>
              <w:top w:val="nil"/>
              <w:left w:val="nil"/>
              <w:bottom w:val="nil"/>
              <w:right w:val="nil"/>
            </w:tcBorders>
            <w:shd w:val="clear" w:color="auto" w:fill="auto"/>
            <w:noWrap/>
            <w:vAlign w:val="center"/>
          </w:tcPr>
          <w:p w14:paraId="78202CAA">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11</w:t>
            </w:r>
          </w:p>
        </w:tc>
      </w:tr>
      <w:tr w14:paraId="3D505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9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3F0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364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门户网站适老化与无障碍改造</w:t>
            </w: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11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36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F48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7A491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9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2A5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85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57D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36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17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五通桥区信息中心</w:t>
            </w:r>
          </w:p>
        </w:tc>
      </w:tr>
      <w:tr w14:paraId="6509E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9103" w:type="dxa"/>
            <w:gridSpan w:val="2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33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3362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738" w:type="dxa"/>
            <w:gridSpan w:val="5"/>
            <w:tcBorders>
              <w:top w:val="single" w:color="000000" w:sz="4" w:space="0"/>
              <w:left w:val="single" w:color="000000" w:sz="4" w:space="0"/>
              <w:bottom w:val="single" w:color="000000" w:sz="4" w:space="0"/>
              <w:right w:val="nil"/>
            </w:tcBorders>
            <w:shd w:val="clear" w:color="auto" w:fill="auto"/>
            <w:noWrap/>
            <w:vAlign w:val="center"/>
          </w:tcPr>
          <w:p w14:paraId="65007053">
            <w:pPr>
              <w:jc w:val="center"/>
              <w:rPr>
                <w:rFonts w:hint="eastAsia" w:ascii="宋体" w:hAnsi="宋体" w:eastAsia="宋体" w:cs="宋体"/>
                <w:i w:val="0"/>
                <w:iCs w:val="0"/>
                <w:color w:val="000000"/>
                <w:sz w:val="20"/>
                <w:szCs w:val="20"/>
                <w:u w:val="none"/>
              </w:rPr>
            </w:pP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40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7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A8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F9F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73459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3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B5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4E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17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CB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4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E6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F54A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3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91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4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17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3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4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0A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852B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3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7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4C1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7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9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A7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1C71B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09C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20"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FE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7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B8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1477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A4016">
            <w:pPr>
              <w:jc w:val="left"/>
              <w:rPr>
                <w:rFonts w:hint="eastAsia" w:ascii="宋体" w:hAnsi="宋体" w:eastAsia="宋体" w:cs="宋体"/>
                <w:i w:val="0"/>
                <w:iCs w:val="0"/>
                <w:color w:val="000000"/>
                <w:sz w:val="20"/>
                <w:szCs w:val="20"/>
                <w:u w:val="none"/>
              </w:rPr>
            </w:pPr>
          </w:p>
        </w:tc>
        <w:tc>
          <w:tcPr>
            <w:tcW w:w="4320" w:type="dxa"/>
            <w:gridSpan w:val="10"/>
            <w:tcBorders>
              <w:top w:val="single" w:color="000000" w:sz="4" w:space="0"/>
              <w:left w:val="single" w:color="000000" w:sz="4" w:space="0"/>
              <w:bottom w:val="nil"/>
              <w:right w:val="single" w:color="000000" w:sz="4" w:space="0"/>
            </w:tcBorders>
            <w:shd w:val="clear" w:color="auto" w:fill="auto"/>
            <w:vAlign w:val="center"/>
          </w:tcPr>
          <w:p w14:paraId="31FF3D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预计投入7.6万元，开展门户网站适老化与无障碍改造，提升政府门户网站的可用性、易用性、友好性；满足老年人、障碍人士等不同群体差异化要求。</w:t>
            </w:r>
          </w:p>
        </w:tc>
        <w:tc>
          <w:tcPr>
            <w:tcW w:w="37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A6B5C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本年投入6.8万元，完成门户网站适老化与无障碍改造，提升政府门户网站的可用性、易用性、友好性；满足老年人、障碍人士等不同群体差异化要求。</w:t>
            </w:r>
          </w:p>
        </w:tc>
      </w:tr>
      <w:tr w14:paraId="72201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6" w:hRule="atLeast"/>
        </w:trPr>
        <w:tc>
          <w:tcPr>
            <w:tcW w:w="10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97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285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FB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897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773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5D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E61F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60" w:type="dxa"/>
            <w:tcBorders>
              <w:top w:val="single" w:color="000000" w:sz="4" w:space="0"/>
              <w:left w:val="nil"/>
              <w:bottom w:val="single" w:color="000000" w:sz="4" w:space="0"/>
              <w:right w:val="single" w:color="000000" w:sz="4" w:space="0"/>
            </w:tcBorders>
            <w:shd w:val="clear" w:color="auto" w:fill="auto"/>
            <w:noWrap/>
            <w:vAlign w:val="center"/>
          </w:tcPr>
          <w:p w14:paraId="631CB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C9FB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25F2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613" w:type="dxa"/>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D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C1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04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AE40C">
            <w:pPr>
              <w:jc w:val="center"/>
              <w:rPr>
                <w:rFonts w:hint="eastAsia" w:ascii="宋体" w:hAnsi="宋体" w:eastAsia="宋体" w:cs="宋体"/>
                <w:i w:val="0"/>
                <w:iCs w:val="0"/>
                <w:color w:val="000000"/>
                <w:sz w:val="18"/>
                <w:szCs w:val="18"/>
                <w:u w:val="none"/>
              </w:rPr>
            </w:pPr>
          </w:p>
        </w:tc>
      </w:tr>
      <w:tr w14:paraId="0F97D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438"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79083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7A12B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6083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96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CFF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A8C72">
            <w:pPr>
              <w:rPr>
                <w:rFonts w:hint="eastAsia" w:ascii="宋体" w:hAnsi="宋体" w:eastAsia="宋体" w:cs="宋体"/>
                <w:i w:val="0"/>
                <w:iCs w:val="0"/>
                <w:color w:val="000000"/>
                <w:sz w:val="18"/>
                <w:szCs w:val="18"/>
                <w:u w:val="none"/>
              </w:rPr>
            </w:pPr>
          </w:p>
        </w:tc>
      </w:tr>
      <w:tr w14:paraId="68745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8" w:type="dxa"/>
            <w:gridSpan w:val="2"/>
            <w:vMerge w:val="restart"/>
            <w:tcBorders>
              <w:top w:val="single" w:color="000000" w:sz="4" w:space="0"/>
              <w:left w:val="single" w:color="000000" w:sz="4" w:space="0"/>
              <w:bottom w:val="nil"/>
              <w:right w:val="single" w:color="000000" w:sz="4" w:space="0"/>
            </w:tcBorders>
            <w:shd w:val="clear" w:color="auto" w:fill="FFFFFF"/>
            <w:noWrap/>
            <w:vAlign w:val="center"/>
          </w:tcPr>
          <w:p w14:paraId="44EE24C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69F22C8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E534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改造完成及时率</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4A08C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56A53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A7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05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F3B15">
            <w:pPr>
              <w:rPr>
                <w:rFonts w:hint="eastAsia" w:ascii="宋体" w:hAnsi="宋体" w:eastAsia="宋体" w:cs="宋体"/>
                <w:i w:val="0"/>
                <w:iCs w:val="0"/>
                <w:color w:val="000000"/>
                <w:sz w:val="18"/>
                <w:szCs w:val="18"/>
                <w:u w:val="none"/>
              </w:rPr>
            </w:pPr>
          </w:p>
        </w:tc>
      </w:tr>
      <w:tr w14:paraId="62C80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8" w:type="dxa"/>
            <w:gridSpan w:val="2"/>
            <w:vMerge w:val="continue"/>
            <w:tcBorders>
              <w:top w:val="single" w:color="000000" w:sz="4" w:space="0"/>
              <w:left w:val="single" w:color="000000" w:sz="4" w:space="0"/>
              <w:bottom w:val="nil"/>
              <w:right w:val="single" w:color="000000" w:sz="4" w:space="0"/>
            </w:tcBorders>
            <w:shd w:val="clear" w:color="auto" w:fill="FFFFFF"/>
            <w:noWrap/>
            <w:vAlign w:val="center"/>
          </w:tcPr>
          <w:p w14:paraId="45542193">
            <w:pPr>
              <w:jc w:val="center"/>
              <w:rPr>
                <w:rFonts w:hint="eastAsia" w:ascii="宋体" w:hAnsi="宋体" w:eastAsia="宋体" w:cs="宋体"/>
                <w:i w:val="0"/>
                <w:iCs w:val="0"/>
                <w:color w:val="333333"/>
                <w:sz w:val="18"/>
                <w:szCs w:val="18"/>
                <w:u w:val="none"/>
              </w:rPr>
            </w:pP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33616E8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B6E6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改造验收合格率</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082A0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A787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A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EF6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BA62D">
            <w:pPr>
              <w:rPr>
                <w:rFonts w:hint="eastAsia" w:ascii="宋体" w:hAnsi="宋体" w:eastAsia="宋体" w:cs="宋体"/>
                <w:i w:val="0"/>
                <w:iCs w:val="0"/>
                <w:color w:val="000000"/>
                <w:sz w:val="18"/>
                <w:szCs w:val="18"/>
                <w:u w:val="none"/>
              </w:rPr>
            </w:pPr>
          </w:p>
        </w:tc>
      </w:tr>
      <w:tr w14:paraId="48095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8" w:type="dxa"/>
            <w:gridSpan w:val="2"/>
            <w:vMerge w:val="continue"/>
            <w:tcBorders>
              <w:top w:val="single" w:color="000000" w:sz="4" w:space="0"/>
              <w:left w:val="single" w:color="000000" w:sz="4" w:space="0"/>
              <w:bottom w:val="nil"/>
              <w:right w:val="single" w:color="000000" w:sz="4" w:space="0"/>
            </w:tcBorders>
            <w:shd w:val="clear" w:color="auto" w:fill="FFFFFF"/>
            <w:noWrap/>
            <w:vAlign w:val="center"/>
          </w:tcPr>
          <w:p w14:paraId="187A18D9">
            <w:pPr>
              <w:jc w:val="center"/>
              <w:rPr>
                <w:rFonts w:hint="eastAsia" w:ascii="宋体" w:hAnsi="宋体" w:eastAsia="宋体" w:cs="宋体"/>
                <w:i w:val="0"/>
                <w:iCs w:val="0"/>
                <w:color w:val="333333"/>
                <w:sz w:val="18"/>
                <w:szCs w:val="18"/>
                <w:u w:val="none"/>
              </w:rPr>
            </w:pP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202E349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167B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无障碍标识测评数</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FBE44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1套</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036F4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1套</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1A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334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D2415">
            <w:pPr>
              <w:rPr>
                <w:rFonts w:hint="eastAsia" w:ascii="宋体" w:hAnsi="宋体" w:eastAsia="宋体" w:cs="宋体"/>
                <w:i w:val="0"/>
                <w:iCs w:val="0"/>
                <w:color w:val="000000"/>
                <w:sz w:val="18"/>
                <w:szCs w:val="18"/>
                <w:u w:val="none"/>
              </w:rPr>
            </w:pPr>
          </w:p>
        </w:tc>
      </w:tr>
      <w:tr w14:paraId="73515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8" w:type="dxa"/>
            <w:gridSpan w:val="2"/>
            <w:vMerge w:val="continue"/>
            <w:tcBorders>
              <w:top w:val="single" w:color="000000" w:sz="4" w:space="0"/>
              <w:left w:val="single" w:color="000000" w:sz="4" w:space="0"/>
              <w:bottom w:val="nil"/>
              <w:right w:val="single" w:color="000000" w:sz="4" w:space="0"/>
            </w:tcBorders>
            <w:shd w:val="clear" w:color="auto" w:fill="FFFFFF"/>
            <w:noWrap/>
            <w:vAlign w:val="center"/>
          </w:tcPr>
          <w:p w14:paraId="41765921">
            <w:pPr>
              <w:jc w:val="center"/>
              <w:rPr>
                <w:rFonts w:hint="eastAsia" w:ascii="宋体" w:hAnsi="宋体" w:eastAsia="宋体" w:cs="宋体"/>
                <w:i w:val="0"/>
                <w:iCs w:val="0"/>
                <w:color w:val="333333"/>
                <w:sz w:val="18"/>
                <w:szCs w:val="18"/>
                <w:u w:val="none"/>
              </w:rPr>
            </w:pP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79217B8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13A4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适老化与无障碍改造数系统数</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CDF3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1套</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6F32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1套</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DD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12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B4817">
            <w:pPr>
              <w:rPr>
                <w:rFonts w:hint="eastAsia" w:ascii="宋体" w:hAnsi="宋体" w:eastAsia="宋体" w:cs="宋体"/>
                <w:i w:val="0"/>
                <w:iCs w:val="0"/>
                <w:color w:val="000000"/>
                <w:sz w:val="18"/>
                <w:szCs w:val="18"/>
                <w:u w:val="none"/>
              </w:rPr>
            </w:pPr>
          </w:p>
        </w:tc>
      </w:tr>
      <w:tr w14:paraId="25CC4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8"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0A23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46FB875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36BB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门户网站使用广泛性</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7E26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CB49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6A9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AA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A938A">
            <w:pPr>
              <w:rPr>
                <w:rFonts w:hint="eastAsia" w:ascii="宋体" w:hAnsi="宋体" w:eastAsia="宋体" w:cs="宋体"/>
                <w:i w:val="0"/>
                <w:iCs w:val="0"/>
                <w:color w:val="000000"/>
                <w:sz w:val="18"/>
                <w:szCs w:val="18"/>
                <w:u w:val="none"/>
              </w:rPr>
            </w:pPr>
          </w:p>
        </w:tc>
      </w:tr>
      <w:tr w14:paraId="4BBDA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BE803">
            <w:pPr>
              <w:jc w:val="center"/>
              <w:rPr>
                <w:rFonts w:hint="eastAsia" w:ascii="宋体" w:hAnsi="宋体" w:eastAsia="宋体" w:cs="宋体"/>
                <w:i w:val="0"/>
                <w:iCs w:val="0"/>
                <w:color w:val="333333"/>
                <w:sz w:val="18"/>
                <w:szCs w:val="18"/>
                <w:u w:val="none"/>
              </w:rPr>
            </w:pP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7993D6F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BE90CB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 </w:t>
            </w:r>
            <w:r>
              <w:rPr>
                <w:rFonts w:hint="eastAsia" w:ascii="宋体" w:hAnsi="宋体" w:eastAsia="宋体" w:cs="宋体"/>
                <w:i w:val="0"/>
                <w:iCs w:val="0"/>
                <w:color w:val="333333"/>
                <w:kern w:val="0"/>
                <w:sz w:val="18"/>
                <w:szCs w:val="18"/>
                <w:u w:val="none"/>
                <w:lang w:val="en-US" w:eastAsia="zh-CN" w:bidi="ar"/>
              </w:rPr>
              <w:br w:type="textWrapping"/>
            </w:r>
            <w:r>
              <w:rPr>
                <w:rFonts w:hint="eastAsia" w:ascii="宋体" w:hAnsi="宋体" w:eastAsia="宋体" w:cs="宋体"/>
                <w:i w:val="0"/>
                <w:iCs w:val="0"/>
                <w:color w:val="333333"/>
                <w:kern w:val="0"/>
                <w:sz w:val="18"/>
                <w:szCs w:val="18"/>
                <w:u w:val="none"/>
                <w:lang w:val="en-US" w:eastAsia="zh-CN" w:bidi="ar"/>
              </w:rPr>
              <w:t>系统正常使用情况</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71EE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881A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D1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E91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CAFF0">
            <w:pPr>
              <w:rPr>
                <w:rFonts w:hint="eastAsia" w:ascii="宋体" w:hAnsi="宋体" w:eastAsia="宋体" w:cs="宋体"/>
                <w:i w:val="0"/>
                <w:iCs w:val="0"/>
                <w:color w:val="000000"/>
                <w:sz w:val="18"/>
                <w:szCs w:val="18"/>
                <w:u w:val="none"/>
              </w:rPr>
            </w:pPr>
          </w:p>
        </w:tc>
      </w:tr>
      <w:tr w14:paraId="21F89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D23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0044DEB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C874A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 </w:t>
            </w:r>
            <w:r>
              <w:rPr>
                <w:rFonts w:hint="eastAsia" w:ascii="宋体" w:hAnsi="宋体" w:eastAsia="宋体" w:cs="宋体"/>
                <w:i w:val="0"/>
                <w:iCs w:val="0"/>
                <w:color w:val="333333"/>
                <w:kern w:val="0"/>
                <w:sz w:val="18"/>
                <w:szCs w:val="18"/>
                <w:u w:val="none"/>
                <w:lang w:val="en-US" w:eastAsia="zh-CN" w:bidi="ar"/>
              </w:rPr>
              <w:br w:type="textWrapping"/>
            </w:r>
            <w:r>
              <w:rPr>
                <w:rFonts w:hint="eastAsia" w:ascii="宋体" w:hAnsi="宋体" w:eastAsia="宋体" w:cs="宋体"/>
                <w:i w:val="0"/>
                <w:iCs w:val="0"/>
                <w:color w:val="333333"/>
                <w:kern w:val="0"/>
                <w:sz w:val="18"/>
                <w:szCs w:val="18"/>
                <w:u w:val="none"/>
                <w:lang w:val="en-US" w:eastAsia="zh-CN" w:bidi="ar"/>
              </w:rPr>
              <w:t>网站使用用对象满意度</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4B83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90%</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59FC0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74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F88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B838C">
            <w:pPr>
              <w:rPr>
                <w:rFonts w:hint="eastAsia" w:ascii="宋体" w:hAnsi="宋体" w:eastAsia="宋体" w:cs="宋体"/>
                <w:i w:val="0"/>
                <w:iCs w:val="0"/>
                <w:color w:val="000000"/>
                <w:sz w:val="18"/>
                <w:szCs w:val="18"/>
                <w:u w:val="none"/>
              </w:rPr>
            </w:pPr>
          </w:p>
        </w:tc>
      </w:tr>
      <w:tr w14:paraId="669E8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669A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023624C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C7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改造费用控制数</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4A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7.6万元</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D477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6.8万元</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BD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A9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C2BBC5">
            <w:pPr>
              <w:jc w:val="center"/>
              <w:rPr>
                <w:rFonts w:hint="eastAsia" w:ascii="宋体" w:hAnsi="宋体" w:eastAsia="宋体" w:cs="宋体"/>
                <w:i w:val="0"/>
                <w:iCs w:val="0"/>
                <w:color w:val="000000"/>
                <w:sz w:val="18"/>
                <w:szCs w:val="18"/>
                <w:u w:val="none"/>
              </w:rPr>
            </w:pPr>
          </w:p>
        </w:tc>
      </w:tr>
      <w:tr w14:paraId="0022D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103" w:type="dxa"/>
            <w:gridSpan w:val="22"/>
            <w:tcBorders>
              <w:top w:val="nil"/>
              <w:left w:val="nil"/>
              <w:bottom w:val="nil"/>
              <w:right w:val="nil"/>
            </w:tcBorders>
            <w:shd w:val="clear" w:color="auto" w:fill="auto"/>
            <w:noWrap/>
            <w:vAlign w:val="center"/>
          </w:tcPr>
          <w:p w14:paraId="1D4BF4B5">
            <w:pPr>
              <w:keepNext w:val="0"/>
              <w:keepLines w:val="0"/>
              <w:widowControl/>
              <w:suppressLineNumbers w:val="0"/>
              <w:jc w:val="center"/>
              <w:textAlignment w:val="center"/>
              <w:rPr>
                <w:rFonts w:hint="eastAsia" w:ascii="宋体" w:hAnsi="宋体" w:eastAsia="宋体" w:cs="宋体"/>
                <w:b/>
                <w:bCs/>
                <w:i w:val="0"/>
                <w:iCs w:val="0"/>
                <w:color w:val="000000"/>
                <w:kern w:val="0"/>
                <w:sz w:val="36"/>
                <w:szCs w:val="36"/>
                <w:u w:val="none"/>
                <w:lang w:val="en-US" w:eastAsia="zh-CN" w:bidi="ar"/>
              </w:rPr>
            </w:pPr>
          </w:p>
          <w:p w14:paraId="37921430">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12</w:t>
            </w:r>
          </w:p>
        </w:tc>
      </w:tr>
      <w:tr w14:paraId="56760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9F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5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BD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平台运行及信息维护</w:t>
            </w:r>
          </w:p>
        </w:tc>
        <w:tc>
          <w:tcPr>
            <w:tcW w:w="198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C5A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C9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FE91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BC9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5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54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98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BF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81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五通桥区信息中心</w:t>
            </w:r>
          </w:p>
        </w:tc>
      </w:tr>
      <w:tr w14:paraId="6871F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103" w:type="dxa"/>
            <w:gridSpan w:val="2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EA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E5BC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98" w:type="dxa"/>
            <w:gridSpan w:val="6"/>
            <w:tcBorders>
              <w:top w:val="single" w:color="000000" w:sz="4" w:space="0"/>
              <w:left w:val="single" w:color="000000" w:sz="4" w:space="0"/>
              <w:bottom w:val="single" w:color="000000" w:sz="4" w:space="0"/>
              <w:right w:val="nil"/>
            </w:tcBorders>
            <w:shd w:val="clear" w:color="auto" w:fill="auto"/>
            <w:noWrap/>
            <w:vAlign w:val="center"/>
          </w:tcPr>
          <w:p w14:paraId="34F33E55">
            <w:pPr>
              <w:jc w:val="center"/>
              <w:rPr>
                <w:rFonts w:hint="eastAsia" w:ascii="宋体" w:hAnsi="宋体" w:eastAsia="宋体" w:cs="宋体"/>
                <w:i w:val="0"/>
                <w:iCs w:val="0"/>
                <w:color w:val="000000"/>
                <w:sz w:val="20"/>
                <w:szCs w:val="20"/>
                <w:u w:val="none"/>
              </w:rPr>
            </w:pPr>
          </w:p>
        </w:tc>
        <w:tc>
          <w:tcPr>
            <w:tcW w:w="27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5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4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8F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53D43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9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9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7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E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12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6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4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1E43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9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32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7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5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12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34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6F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2796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9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9F3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0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3E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98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02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FF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0E9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27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67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C3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54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30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65DB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3CAE">
            <w:pPr>
              <w:jc w:val="left"/>
              <w:rPr>
                <w:rFonts w:hint="eastAsia" w:ascii="宋体" w:hAnsi="宋体" w:eastAsia="宋体" w:cs="宋体"/>
                <w:i w:val="0"/>
                <w:iCs w:val="0"/>
                <w:color w:val="000000"/>
                <w:sz w:val="20"/>
                <w:szCs w:val="20"/>
                <w:u w:val="none"/>
              </w:rPr>
            </w:pPr>
          </w:p>
        </w:tc>
        <w:tc>
          <w:tcPr>
            <w:tcW w:w="3675" w:type="dxa"/>
            <w:gridSpan w:val="10"/>
            <w:tcBorders>
              <w:top w:val="single" w:color="000000" w:sz="4" w:space="0"/>
              <w:left w:val="single" w:color="000000" w:sz="4" w:space="0"/>
              <w:bottom w:val="nil"/>
              <w:right w:val="single" w:color="000000" w:sz="4" w:space="0"/>
            </w:tcBorders>
            <w:shd w:val="clear" w:color="auto" w:fill="auto"/>
            <w:vAlign w:val="center"/>
          </w:tcPr>
          <w:p w14:paraId="5823D6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筑牢网站、网络安全防线，提升信息公开和新型政务信息化建设水平。</w:t>
            </w:r>
          </w:p>
        </w:tc>
        <w:tc>
          <w:tcPr>
            <w:tcW w:w="45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D7E33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投入2.46万元，及时做好网站平台维护、网络安全防线，提升信息公开和新型政务信息化建设水平。</w:t>
            </w:r>
          </w:p>
        </w:tc>
      </w:tr>
      <w:tr w14:paraId="01716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C7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2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D9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3C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0D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AA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C5B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795" w:type="dxa"/>
            <w:gridSpan w:val="3"/>
            <w:tcBorders>
              <w:top w:val="single" w:color="000000" w:sz="4" w:space="0"/>
              <w:left w:val="nil"/>
              <w:bottom w:val="single" w:color="000000" w:sz="4" w:space="0"/>
              <w:right w:val="single" w:color="000000" w:sz="4" w:space="0"/>
            </w:tcBorders>
            <w:shd w:val="clear" w:color="auto" w:fill="auto"/>
            <w:noWrap/>
            <w:vAlign w:val="center"/>
          </w:tcPr>
          <w:p w14:paraId="307F4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8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2F2A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23" w:type="dxa"/>
            <w:gridSpan w:val="1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63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26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6D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25A89">
            <w:pPr>
              <w:jc w:val="center"/>
              <w:rPr>
                <w:rFonts w:hint="eastAsia" w:ascii="宋体" w:hAnsi="宋体" w:eastAsia="宋体" w:cs="宋体"/>
                <w:i w:val="0"/>
                <w:iCs w:val="0"/>
                <w:color w:val="000000"/>
                <w:sz w:val="18"/>
                <w:szCs w:val="18"/>
                <w:u w:val="none"/>
              </w:rPr>
            </w:pPr>
          </w:p>
        </w:tc>
      </w:tr>
      <w:tr w14:paraId="0A927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438"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C9EC4">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预算执行率（10分）</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166979">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015DE6">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5B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A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811E">
            <w:pPr>
              <w:rPr>
                <w:rFonts w:hint="eastAsia" w:ascii="宋体" w:hAnsi="宋体" w:eastAsia="宋体" w:cs="宋体"/>
                <w:i w:val="0"/>
                <w:iCs w:val="0"/>
                <w:color w:val="000000"/>
                <w:sz w:val="18"/>
                <w:szCs w:val="18"/>
                <w:u w:val="none"/>
              </w:rPr>
            </w:pPr>
          </w:p>
        </w:tc>
      </w:tr>
      <w:tr w14:paraId="73FC7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3"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28D60D80">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2F250225">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2B98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技术人员技术服务及时率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89E3F">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852E77">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EE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5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1DEE">
            <w:pPr>
              <w:rPr>
                <w:rFonts w:hint="eastAsia" w:ascii="宋体" w:hAnsi="宋体" w:eastAsia="宋体" w:cs="宋体"/>
                <w:i w:val="0"/>
                <w:iCs w:val="0"/>
                <w:color w:val="000000"/>
                <w:sz w:val="18"/>
                <w:szCs w:val="18"/>
                <w:u w:val="none"/>
              </w:rPr>
            </w:pPr>
          </w:p>
        </w:tc>
      </w:tr>
      <w:tr w14:paraId="0323D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88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2A538870">
            <w:pPr>
              <w:jc w:val="center"/>
              <w:rPr>
                <w:rFonts w:hint="eastAsia" w:ascii="宋体" w:hAnsi="宋体" w:eastAsia="宋体" w:cs="宋体"/>
                <w:i w:val="0"/>
                <w:iCs w:val="0"/>
                <w:color w:val="333333"/>
                <w:sz w:val="20"/>
                <w:szCs w:val="20"/>
                <w:u w:val="none"/>
              </w:rPr>
            </w:pP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3A91D28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D0DAB9">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技术人员技术服务次数</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9566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≥12次</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3EAE71">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14次</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3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CD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359C5">
            <w:pPr>
              <w:rPr>
                <w:rFonts w:hint="eastAsia" w:ascii="宋体" w:hAnsi="宋体" w:eastAsia="宋体" w:cs="宋体"/>
                <w:i w:val="0"/>
                <w:iCs w:val="0"/>
                <w:color w:val="000000"/>
                <w:sz w:val="18"/>
                <w:szCs w:val="18"/>
                <w:u w:val="none"/>
              </w:rPr>
            </w:pPr>
          </w:p>
        </w:tc>
      </w:tr>
      <w:tr w14:paraId="005EC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198EAF0B">
            <w:pPr>
              <w:jc w:val="center"/>
              <w:rPr>
                <w:rFonts w:hint="eastAsia" w:ascii="宋体" w:hAnsi="宋体" w:eastAsia="宋体" w:cs="宋体"/>
                <w:i w:val="0"/>
                <w:iCs w:val="0"/>
                <w:color w:val="333333"/>
                <w:sz w:val="20"/>
                <w:szCs w:val="20"/>
                <w:u w:val="none"/>
              </w:rPr>
            </w:pP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4C4E887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78CE6">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耗材质量合格率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0DD25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EF66E">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BF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728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4AC62">
            <w:pPr>
              <w:rPr>
                <w:rFonts w:hint="eastAsia" w:ascii="宋体" w:hAnsi="宋体" w:eastAsia="宋体" w:cs="宋体"/>
                <w:i w:val="0"/>
                <w:iCs w:val="0"/>
                <w:color w:val="000000"/>
                <w:sz w:val="18"/>
                <w:szCs w:val="18"/>
                <w:u w:val="none"/>
              </w:rPr>
            </w:pPr>
          </w:p>
        </w:tc>
      </w:tr>
      <w:tr w14:paraId="10CB4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86BB7">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3BE94C8F">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可持续发展指标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6E897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耗材正常使用年限</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12E2C">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≥1年</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72385">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1年</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9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E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2D10">
            <w:pPr>
              <w:rPr>
                <w:rFonts w:hint="eastAsia" w:ascii="宋体" w:hAnsi="宋体" w:eastAsia="宋体" w:cs="宋体"/>
                <w:i w:val="0"/>
                <w:iCs w:val="0"/>
                <w:color w:val="000000"/>
                <w:sz w:val="18"/>
                <w:szCs w:val="18"/>
                <w:u w:val="none"/>
              </w:rPr>
            </w:pPr>
          </w:p>
        </w:tc>
      </w:tr>
      <w:tr w14:paraId="1583F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CA4FE">
            <w:pPr>
              <w:jc w:val="center"/>
              <w:rPr>
                <w:rFonts w:hint="eastAsia" w:ascii="宋体" w:hAnsi="宋体" w:eastAsia="宋体" w:cs="宋体"/>
                <w:i w:val="0"/>
                <w:iCs w:val="0"/>
                <w:color w:val="333333"/>
                <w:sz w:val="20"/>
                <w:szCs w:val="20"/>
                <w:u w:val="none"/>
              </w:rPr>
            </w:pP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4F37B156">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E9C83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安全防护能力提升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EA492">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好</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721F7">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好</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018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DF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213D">
            <w:pPr>
              <w:rPr>
                <w:rFonts w:hint="eastAsia" w:ascii="宋体" w:hAnsi="宋体" w:eastAsia="宋体" w:cs="宋体"/>
                <w:i w:val="0"/>
                <w:iCs w:val="0"/>
                <w:color w:val="000000"/>
                <w:sz w:val="18"/>
                <w:szCs w:val="18"/>
                <w:u w:val="none"/>
              </w:rPr>
            </w:pPr>
          </w:p>
        </w:tc>
      </w:tr>
      <w:tr w14:paraId="27AB2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5"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C90B13">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425" w:type="dxa"/>
            <w:gridSpan w:val="6"/>
            <w:tcBorders>
              <w:top w:val="single" w:color="000000" w:sz="4" w:space="0"/>
              <w:left w:val="single" w:color="000000" w:sz="4" w:space="0"/>
              <w:bottom w:val="single" w:color="auto" w:sz="4" w:space="0"/>
              <w:right w:val="nil"/>
            </w:tcBorders>
            <w:shd w:val="clear" w:color="auto" w:fill="FFFFFF"/>
            <w:noWrap/>
            <w:vAlign w:val="center"/>
          </w:tcPr>
          <w:p w14:paraId="5E87A761">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服务对象满意度指标</w:t>
            </w:r>
          </w:p>
        </w:tc>
        <w:tc>
          <w:tcPr>
            <w:tcW w:w="2130" w:type="dxa"/>
            <w:gridSpan w:val="3"/>
            <w:tcBorders>
              <w:top w:val="single" w:color="000000" w:sz="4" w:space="0"/>
              <w:left w:val="single" w:color="000000" w:sz="4" w:space="0"/>
              <w:bottom w:val="single" w:color="auto" w:sz="4" w:space="0"/>
              <w:right w:val="single" w:color="000000" w:sz="4" w:space="0"/>
            </w:tcBorders>
            <w:shd w:val="clear" w:color="auto" w:fill="FFFFFF"/>
            <w:noWrap/>
            <w:vAlign w:val="center"/>
          </w:tcPr>
          <w:p w14:paraId="12FBF84D">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网站平台使用人员满意度</w:t>
            </w:r>
          </w:p>
        </w:tc>
        <w:tc>
          <w:tcPr>
            <w:tcW w:w="1050" w:type="dxa"/>
            <w:gridSpan w:val="3"/>
            <w:tcBorders>
              <w:top w:val="single" w:color="000000" w:sz="4" w:space="0"/>
              <w:left w:val="single" w:color="000000" w:sz="4" w:space="0"/>
              <w:bottom w:val="single" w:color="auto" w:sz="4" w:space="0"/>
              <w:right w:val="single" w:color="000000" w:sz="4" w:space="0"/>
            </w:tcBorders>
            <w:shd w:val="clear" w:color="auto" w:fill="FFFFFF"/>
            <w:noWrap/>
            <w:vAlign w:val="center"/>
          </w:tcPr>
          <w:p w14:paraId="5B6AA04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99%</w:t>
            </w:r>
          </w:p>
        </w:tc>
        <w:tc>
          <w:tcPr>
            <w:tcW w:w="1035" w:type="dxa"/>
            <w:gridSpan w:val="3"/>
            <w:tcBorders>
              <w:top w:val="single" w:color="000000" w:sz="4" w:space="0"/>
              <w:left w:val="single" w:color="000000" w:sz="4" w:space="0"/>
              <w:bottom w:val="single" w:color="auto" w:sz="4" w:space="0"/>
              <w:right w:val="single" w:color="000000" w:sz="4" w:space="0"/>
            </w:tcBorders>
            <w:shd w:val="clear" w:color="auto" w:fill="FFFFFF"/>
            <w:noWrap/>
            <w:vAlign w:val="center"/>
          </w:tcPr>
          <w:p w14:paraId="660094CE">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99%</w:t>
            </w:r>
          </w:p>
        </w:tc>
        <w:tc>
          <w:tcPr>
            <w:tcW w:w="1035"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614A4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auto" w:sz="4" w:space="0"/>
              <w:right w:val="single" w:color="000000" w:sz="4" w:space="0"/>
            </w:tcBorders>
            <w:shd w:val="clear" w:color="auto" w:fill="auto"/>
            <w:noWrap/>
            <w:vAlign w:val="center"/>
          </w:tcPr>
          <w:p w14:paraId="55DC8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002CF">
            <w:pPr>
              <w:rPr>
                <w:rFonts w:hint="eastAsia" w:ascii="宋体" w:hAnsi="宋体" w:eastAsia="宋体" w:cs="宋体"/>
                <w:i w:val="0"/>
                <w:iCs w:val="0"/>
                <w:color w:val="000000"/>
                <w:sz w:val="18"/>
                <w:szCs w:val="18"/>
                <w:u w:val="none"/>
              </w:rPr>
            </w:pPr>
          </w:p>
        </w:tc>
      </w:tr>
      <w:tr w14:paraId="5A352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83" w:type="dxa"/>
            <w:tcBorders>
              <w:top w:val="single" w:color="000000" w:sz="4" w:space="0"/>
              <w:left w:val="single" w:color="000000" w:sz="4" w:space="0"/>
              <w:bottom w:val="single" w:color="000000" w:sz="4" w:space="0"/>
              <w:right w:val="single" w:color="auto" w:sz="4" w:space="0"/>
            </w:tcBorders>
            <w:shd w:val="clear" w:color="auto" w:fill="FFFFFF"/>
            <w:noWrap/>
            <w:vAlign w:val="center"/>
          </w:tcPr>
          <w:p w14:paraId="204B6E0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1425" w:type="dxa"/>
            <w:gridSpan w:val="6"/>
            <w:tcBorders>
              <w:top w:val="single" w:color="auto" w:sz="4" w:space="0"/>
              <w:left w:val="single" w:color="auto" w:sz="4" w:space="0"/>
              <w:bottom w:val="single" w:color="auto" w:sz="4" w:space="0"/>
              <w:right w:val="nil"/>
            </w:tcBorders>
            <w:shd w:val="clear" w:color="auto" w:fill="FFFFFF"/>
            <w:noWrap/>
            <w:vAlign w:val="center"/>
          </w:tcPr>
          <w:p w14:paraId="3D1FD16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经济成本指标</w:t>
            </w:r>
          </w:p>
        </w:tc>
        <w:tc>
          <w:tcPr>
            <w:tcW w:w="2130" w:type="dxa"/>
            <w:gridSpan w:val="3"/>
            <w:tcBorders>
              <w:top w:val="single" w:color="auto" w:sz="4" w:space="0"/>
              <w:left w:val="single" w:color="000000" w:sz="4" w:space="0"/>
              <w:bottom w:val="single" w:color="auto" w:sz="4" w:space="0"/>
              <w:right w:val="single" w:color="000000" w:sz="4" w:space="0"/>
            </w:tcBorders>
            <w:shd w:val="clear" w:color="auto" w:fill="FFFFFF"/>
            <w:noWrap/>
            <w:vAlign w:val="center"/>
          </w:tcPr>
          <w:p w14:paraId="6AE4136F">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费用控制数</w:t>
            </w:r>
          </w:p>
        </w:tc>
        <w:tc>
          <w:tcPr>
            <w:tcW w:w="1050" w:type="dxa"/>
            <w:gridSpan w:val="3"/>
            <w:tcBorders>
              <w:top w:val="single" w:color="auto" w:sz="4" w:space="0"/>
              <w:left w:val="nil"/>
              <w:bottom w:val="single" w:color="auto" w:sz="4" w:space="0"/>
              <w:right w:val="nil"/>
            </w:tcBorders>
            <w:shd w:val="clear" w:color="auto" w:fill="auto"/>
            <w:noWrap/>
            <w:vAlign w:val="center"/>
          </w:tcPr>
          <w:p w14:paraId="6B814057">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≦10万元</w:t>
            </w:r>
          </w:p>
        </w:tc>
        <w:tc>
          <w:tcPr>
            <w:tcW w:w="1035" w:type="dxa"/>
            <w:gridSpan w:val="3"/>
            <w:tcBorders>
              <w:top w:val="single" w:color="auto" w:sz="4" w:space="0"/>
              <w:left w:val="single" w:color="000000" w:sz="4" w:space="0"/>
              <w:bottom w:val="single" w:color="auto" w:sz="4" w:space="0"/>
              <w:right w:val="single" w:color="000000" w:sz="4" w:space="0"/>
            </w:tcBorders>
            <w:shd w:val="clear" w:color="auto" w:fill="FFFFFF"/>
            <w:noWrap/>
            <w:vAlign w:val="center"/>
          </w:tcPr>
          <w:p w14:paraId="0B7964E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2.46万元</w:t>
            </w:r>
          </w:p>
        </w:tc>
        <w:tc>
          <w:tcPr>
            <w:tcW w:w="1035" w:type="dxa"/>
            <w:gridSpan w:val="2"/>
            <w:tcBorders>
              <w:top w:val="single" w:color="auto" w:sz="4" w:space="0"/>
              <w:left w:val="single" w:color="000000" w:sz="4" w:space="0"/>
              <w:bottom w:val="single" w:color="auto" w:sz="4" w:space="0"/>
              <w:right w:val="single" w:color="000000" w:sz="4" w:space="0"/>
            </w:tcBorders>
            <w:shd w:val="clear" w:color="auto" w:fill="auto"/>
            <w:noWrap/>
            <w:vAlign w:val="center"/>
          </w:tcPr>
          <w:p w14:paraId="53220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auto" w:sz="4" w:space="0"/>
              <w:left w:val="single" w:color="000000" w:sz="4" w:space="0"/>
              <w:bottom w:val="single" w:color="auto" w:sz="4" w:space="0"/>
              <w:right w:val="single" w:color="auto" w:sz="4" w:space="0"/>
            </w:tcBorders>
            <w:shd w:val="clear" w:color="auto" w:fill="auto"/>
            <w:noWrap/>
            <w:vAlign w:val="center"/>
          </w:tcPr>
          <w:p w14:paraId="6991F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auto" w:sz="4" w:space="0"/>
              <w:bottom w:val="single" w:color="000000" w:sz="4" w:space="0"/>
              <w:right w:val="single" w:color="000000" w:sz="4" w:space="0"/>
            </w:tcBorders>
            <w:shd w:val="clear" w:color="auto" w:fill="auto"/>
            <w:vAlign w:val="center"/>
          </w:tcPr>
          <w:p w14:paraId="1C5FEA5B">
            <w:pPr>
              <w:rPr>
                <w:rFonts w:hint="eastAsia" w:ascii="宋体" w:hAnsi="宋体" w:eastAsia="宋体" w:cs="宋体"/>
                <w:i w:val="0"/>
                <w:iCs w:val="0"/>
                <w:color w:val="000000"/>
                <w:sz w:val="18"/>
                <w:szCs w:val="18"/>
                <w:u w:val="none"/>
              </w:rPr>
            </w:pPr>
          </w:p>
        </w:tc>
      </w:tr>
    </w:tbl>
    <w:p w14:paraId="46BA6DA1">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14:paraId="044B698E">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tbl>
      <w:tblPr>
        <w:tblStyle w:val="16"/>
        <w:tblW w:w="9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3"/>
        <w:gridCol w:w="578"/>
        <w:gridCol w:w="615"/>
        <w:gridCol w:w="1509"/>
        <w:gridCol w:w="1445"/>
        <w:gridCol w:w="165"/>
        <w:gridCol w:w="840"/>
        <w:gridCol w:w="1080"/>
        <w:gridCol w:w="915"/>
        <w:gridCol w:w="735"/>
      </w:tblGrid>
      <w:tr w14:paraId="728FB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065" w:type="dxa"/>
            <w:gridSpan w:val="10"/>
            <w:tcBorders>
              <w:top w:val="nil"/>
              <w:left w:val="nil"/>
              <w:bottom w:val="nil"/>
              <w:right w:val="nil"/>
            </w:tcBorders>
            <w:shd w:val="clear" w:color="auto" w:fill="auto"/>
            <w:noWrap/>
            <w:vAlign w:val="center"/>
          </w:tcPr>
          <w:p w14:paraId="641A3141">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13</w:t>
            </w:r>
          </w:p>
        </w:tc>
      </w:tr>
      <w:tr w14:paraId="170E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8A4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7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E55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信息化维护及光纤租用</w:t>
            </w:r>
          </w:p>
        </w:tc>
        <w:tc>
          <w:tcPr>
            <w:tcW w:w="1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7C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73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265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750B2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1E6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7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755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75A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73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EA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五通桥区信息中心</w:t>
            </w:r>
          </w:p>
        </w:tc>
      </w:tr>
      <w:tr w14:paraId="3A31F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0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5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4AC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761" w:type="dxa"/>
            <w:gridSpan w:val="2"/>
            <w:tcBorders>
              <w:top w:val="single" w:color="000000" w:sz="4" w:space="0"/>
              <w:left w:val="single" w:color="000000" w:sz="4" w:space="0"/>
              <w:bottom w:val="single" w:color="000000" w:sz="4" w:space="0"/>
              <w:right w:val="nil"/>
            </w:tcBorders>
            <w:shd w:val="clear" w:color="auto" w:fill="auto"/>
            <w:noWrap/>
            <w:vAlign w:val="center"/>
          </w:tcPr>
          <w:p w14:paraId="331B639D">
            <w:pPr>
              <w:jc w:val="center"/>
              <w:rPr>
                <w:rFonts w:hint="eastAsia" w:ascii="宋体" w:hAnsi="宋体" w:eastAsia="宋体" w:cs="宋体"/>
                <w:i w:val="0"/>
                <w:iCs w:val="0"/>
                <w:color w:val="000000"/>
                <w:sz w:val="20"/>
                <w:szCs w:val="20"/>
                <w:u w:val="none"/>
              </w:rPr>
            </w:pP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AC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4C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0D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5A74A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23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A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3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77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E150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2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87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0C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CBC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73440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F0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73031">
            <w:pPr>
              <w:jc w:val="center"/>
              <w:rPr>
                <w:rFonts w:hint="eastAsia" w:ascii="宋体" w:hAnsi="宋体" w:eastAsia="宋体" w:cs="宋体"/>
                <w:i w:val="0"/>
                <w:iCs w:val="0"/>
                <w:color w:val="000000"/>
                <w:sz w:val="20"/>
                <w:szCs w:val="20"/>
                <w:u w:val="none"/>
              </w:rPr>
            </w:pPr>
          </w:p>
        </w:tc>
        <w:tc>
          <w:tcPr>
            <w:tcW w:w="2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1E69">
            <w:pPr>
              <w:jc w:val="center"/>
              <w:rPr>
                <w:rFonts w:hint="eastAsia" w:ascii="宋体" w:hAnsi="宋体" w:eastAsia="宋体" w:cs="宋体"/>
                <w:i w:val="0"/>
                <w:iCs w:val="0"/>
                <w:color w:val="000000"/>
                <w:sz w:val="20"/>
                <w:szCs w:val="20"/>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EDFB">
            <w:pPr>
              <w:jc w:val="center"/>
              <w:rPr>
                <w:rFonts w:hint="eastAsia" w:ascii="宋体" w:hAnsi="宋体" w:eastAsia="宋体" w:cs="宋体"/>
                <w:i w:val="0"/>
                <w:iCs w:val="0"/>
                <w:color w:val="000000"/>
                <w:sz w:val="20"/>
                <w:szCs w:val="20"/>
                <w:u w:val="none"/>
              </w:rPr>
            </w:pPr>
          </w:p>
        </w:tc>
      </w:tr>
      <w:tr w14:paraId="074B3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953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1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DD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57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F6A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0320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B742">
            <w:pPr>
              <w:jc w:val="left"/>
              <w:rPr>
                <w:rFonts w:hint="eastAsia" w:ascii="宋体" w:hAnsi="宋体" w:eastAsia="宋体" w:cs="宋体"/>
                <w:i w:val="0"/>
                <w:iCs w:val="0"/>
                <w:color w:val="000000"/>
                <w:sz w:val="20"/>
                <w:szCs w:val="20"/>
                <w:u w:val="none"/>
              </w:rPr>
            </w:pPr>
          </w:p>
        </w:tc>
        <w:tc>
          <w:tcPr>
            <w:tcW w:w="4312" w:type="dxa"/>
            <w:gridSpan w:val="5"/>
            <w:tcBorders>
              <w:top w:val="single" w:color="000000" w:sz="4" w:space="0"/>
              <w:left w:val="single" w:color="000000" w:sz="4" w:space="0"/>
              <w:bottom w:val="nil"/>
              <w:right w:val="single" w:color="000000" w:sz="4" w:space="0"/>
            </w:tcBorders>
            <w:shd w:val="clear" w:color="auto" w:fill="auto"/>
            <w:vAlign w:val="center"/>
          </w:tcPr>
          <w:p w14:paraId="28DAAD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预计安排使用财政资金6.6万元，用于支付通信公司政府门户网站云堤光纤、财政大平台光纤租用费，保障区政府门户网站、财政大平台正常运行。</w:t>
            </w:r>
          </w:p>
        </w:tc>
        <w:tc>
          <w:tcPr>
            <w:tcW w:w="35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026D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完成投入6.6万元，保障区政府门户网站、财政大平台正常运行。</w:t>
            </w:r>
          </w:p>
        </w:tc>
      </w:tr>
      <w:tr w14:paraId="764A1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5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212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CA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62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95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3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915" w:type="dxa"/>
            <w:tcBorders>
              <w:top w:val="single" w:color="000000" w:sz="4" w:space="0"/>
              <w:left w:val="nil"/>
              <w:bottom w:val="single" w:color="000000" w:sz="4" w:space="0"/>
              <w:right w:val="single" w:color="000000" w:sz="4" w:space="0"/>
            </w:tcBorders>
            <w:shd w:val="clear" w:color="auto" w:fill="auto"/>
            <w:noWrap/>
            <w:vAlign w:val="center"/>
          </w:tcPr>
          <w:p w14:paraId="521EF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9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E108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633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A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5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16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2BA01">
            <w:pPr>
              <w:jc w:val="center"/>
              <w:rPr>
                <w:rFonts w:hint="eastAsia" w:ascii="宋体" w:hAnsi="宋体" w:eastAsia="宋体" w:cs="宋体"/>
                <w:i w:val="0"/>
                <w:iCs w:val="0"/>
                <w:color w:val="000000"/>
                <w:sz w:val="18"/>
                <w:szCs w:val="18"/>
                <w:u w:val="none"/>
              </w:rPr>
            </w:pPr>
          </w:p>
        </w:tc>
      </w:tr>
      <w:tr w14:paraId="22E50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88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1079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4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5880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D8A07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99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E0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FFEC">
            <w:pPr>
              <w:rPr>
                <w:rFonts w:hint="eastAsia" w:ascii="宋体" w:hAnsi="宋体" w:eastAsia="宋体" w:cs="宋体"/>
                <w:i w:val="0"/>
                <w:iCs w:val="0"/>
                <w:color w:val="000000"/>
                <w:sz w:val="18"/>
                <w:szCs w:val="18"/>
                <w:u w:val="none"/>
              </w:rPr>
            </w:pPr>
          </w:p>
        </w:tc>
      </w:tr>
      <w:tr w14:paraId="68D9B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183" w:type="dxa"/>
            <w:vMerge w:val="restart"/>
            <w:tcBorders>
              <w:top w:val="single" w:color="000000" w:sz="4" w:space="0"/>
              <w:left w:val="single" w:color="000000" w:sz="4" w:space="0"/>
              <w:bottom w:val="nil"/>
              <w:right w:val="single" w:color="000000" w:sz="4" w:space="0"/>
            </w:tcBorders>
            <w:shd w:val="clear" w:color="auto" w:fill="FFFFFF"/>
            <w:vAlign w:val="center"/>
          </w:tcPr>
          <w:p w14:paraId="550A8A8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193" w:type="dxa"/>
            <w:gridSpan w:val="2"/>
            <w:tcBorders>
              <w:top w:val="single" w:color="000000" w:sz="4" w:space="0"/>
              <w:left w:val="single" w:color="000000" w:sz="4" w:space="0"/>
              <w:bottom w:val="single" w:color="000000" w:sz="4" w:space="0"/>
              <w:right w:val="nil"/>
            </w:tcBorders>
            <w:shd w:val="clear" w:color="auto" w:fill="FFFFFF"/>
            <w:noWrap/>
            <w:vAlign w:val="center"/>
          </w:tcPr>
          <w:p w14:paraId="406E4AB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5C4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光纤租用数</w:t>
            </w:r>
          </w:p>
        </w:tc>
        <w:tc>
          <w:tcPr>
            <w:tcW w:w="14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401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2条</w:t>
            </w:r>
          </w:p>
        </w:tc>
        <w:tc>
          <w:tcPr>
            <w:tcW w:w="1005" w:type="dxa"/>
            <w:gridSpan w:val="2"/>
            <w:tcBorders>
              <w:top w:val="nil"/>
              <w:left w:val="nil"/>
              <w:bottom w:val="nil"/>
              <w:right w:val="nil"/>
            </w:tcBorders>
            <w:shd w:val="clear" w:color="auto" w:fill="auto"/>
            <w:vAlign w:val="center"/>
          </w:tcPr>
          <w:p w14:paraId="4A0CC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2条</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B1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6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EB125">
            <w:pPr>
              <w:rPr>
                <w:rFonts w:hint="eastAsia" w:ascii="宋体" w:hAnsi="宋体" w:eastAsia="宋体" w:cs="宋体"/>
                <w:i w:val="0"/>
                <w:iCs w:val="0"/>
                <w:color w:val="000000"/>
                <w:sz w:val="18"/>
                <w:szCs w:val="18"/>
                <w:u w:val="none"/>
              </w:rPr>
            </w:pPr>
          </w:p>
        </w:tc>
      </w:tr>
      <w:tr w14:paraId="44A97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183" w:type="dxa"/>
            <w:vMerge w:val="continue"/>
            <w:tcBorders>
              <w:top w:val="single" w:color="000000" w:sz="4" w:space="0"/>
              <w:left w:val="single" w:color="000000" w:sz="4" w:space="0"/>
              <w:bottom w:val="nil"/>
              <w:right w:val="single" w:color="000000" w:sz="4" w:space="0"/>
            </w:tcBorders>
            <w:shd w:val="clear" w:color="auto" w:fill="FFFFFF"/>
            <w:vAlign w:val="center"/>
          </w:tcPr>
          <w:p w14:paraId="133315F9">
            <w:pPr>
              <w:jc w:val="center"/>
              <w:rPr>
                <w:rFonts w:hint="eastAsia" w:ascii="宋体" w:hAnsi="宋体" w:eastAsia="宋体" w:cs="宋体"/>
                <w:i w:val="0"/>
                <w:iCs w:val="0"/>
                <w:color w:val="333333"/>
                <w:sz w:val="18"/>
                <w:szCs w:val="18"/>
                <w:u w:val="none"/>
              </w:rPr>
            </w:pPr>
          </w:p>
        </w:tc>
        <w:tc>
          <w:tcPr>
            <w:tcW w:w="1193" w:type="dxa"/>
            <w:gridSpan w:val="2"/>
            <w:tcBorders>
              <w:top w:val="single" w:color="000000" w:sz="4" w:space="0"/>
              <w:left w:val="single" w:color="000000" w:sz="4" w:space="0"/>
              <w:bottom w:val="single" w:color="000000" w:sz="4" w:space="0"/>
              <w:right w:val="nil"/>
            </w:tcBorders>
            <w:shd w:val="clear" w:color="auto" w:fill="FFFFFF"/>
            <w:noWrap/>
            <w:vAlign w:val="center"/>
          </w:tcPr>
          <w:p w14:paraId="7777620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9622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费用支付准确率</w:t>
            </w:r>
          </w:p>
        </w:tc>
        <w:tc>
          <w:tcPr>
            <w:tcW w:w="14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32EF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065D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3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FC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0F1F">
            <w:pPr>
              <w:rPr>
                <w:rFonts w:hint="eastAsia" w:ascii="宋体" w:hAnsi="宋体" w:eastAsia="宋体" w:cs="宋体"/>
                <w:i w:val="0"/>
                <w:iCs w:val="0"/>
                <w:color w:val="000000"/>
                <w:sz w:val="18"/>
                <w:szCs w:val="18"/>
                <w:u w:val="none"/>
              </w:rPr>
            </w:pPr>
          </w:p>
        </w:tc>
      </w:tr>
      <w:tr w14:paraId="7F48C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83" w:type="dxa"/>
            <w:vMerge w:val="continue"/>
            <w:tcBorders>
              <w:top w:val="single" w:color="000000" w:sz="4" w:space="0"/>
              <w:left w:val="single" w:color="000000" w:sz="4" w:space="0"/>
              <w:bottom w:val="nil"/>
              <w:right w:val="single" w:color="000000" w:sz="4" w:space="0"/>
            </w:tcBorders>
            <w:shd w:val="clear" w:color="auto" w:fill="FFFFFF"/>
            <w:vAlign w:val="center"/>
          </w:tcPr>
          <w:p w14:paraId="3F7FD2A2">
            <w:pPr>
              <w:jc w:val="center"/>
              <w:rPr>
                <w:rFonts w:hint="eastAsia" w:ascii="宋体" w:hAnsi="宋体" w:eastAsia="宋体" w:cs="宋体"/>
                <w:i w:val="0"/>
                <w:iCs w:val="0"/>
                <w:color w:val="333333"/>
                <w:sz w:val="18"/>
                <w:szCs w:val="18"/>
                <w:u w:val="none"/>
              </w:rPr>
            </w:pPr>
          </w:p>
        </w:tc>
        <w:tc>
          <w:tcPr>
            <w:tcW w:w="1193" w:type="dxa"/>
            <w:gridSpan w:val="2"/>
            <w:tcBorders>
              <w:top w:val="single" w:color="000000" w:sz="4" w:space="0"/>
              <w:left w:val="single" w:color="000000" w:sz="4" w:space="0"/>
              <w:bottom w:val="single" w:color="000000" w:sz="4" w:space="0"/>
              <w:right w:val="nil"/>
            </w:tcBorders>
            <w:shd w:val="clear" w:color="auto" w:fill="FFFFFF"/>
            <w:noWrap/>
            <w:vAlign w:val="center"/>
          </w:tcPr>
          <w:p w14:paraId="59C3251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E02F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费用支付及时率</w:t>
            </w:r>
          </w:p>
        </w:tc>
        <w:tc>
          <w:tcPr>
            <w:tcW w:w="14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30325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8E8C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7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4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54A30">
            <w:pPr>
              <w:rPr>
                <w:rFonts w:hint="eastAsia" w:ascii="宋体" w:hAnsi="宋体" w:eastAsia="宋体" w:cs="宋体"/>
                <w:i w:val="0"/>
                <w:iCs w:val="0"/>
                <w:color w:val="000000"/>
                <w:sz w:val="18"/>
                <w:szCs w:val="18"/>
                <w:u w:val="none"/>
              </w:rPr>
            </w:pPr>
          </w:p>
        </w:tc>
      </w:tr>
      <w:tr w14:paraId="74CA8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18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F79FE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193" w:type="dxa"/>
            <w:gridSpan w:val="2"/>
            <w:tcBorders>
              <w:top w:val="single" w:color="000000" w:sz="4" w:space="0"/>
              <w:left w:val="single" w:color="000000" w:sz="4" w:space="0"/>
              <w:bottom w:val="single" w:color="000000" w:sz="4" w:space="0"/>
              <w:right w:val="nil"/>
            </w:tcBorders>
            <w:shd w:val="clear" w:color="auto" w:fill="FFFFFF"/>
            <w:noWrap/>
            <w:vAlign w:val="center"/>
          </w:tcPr>
          <w:p w14:paraId="1EE56923">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487C1">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政府门户网站、大平台正常使用率</w:t>
            </w:r>
          </w:p>
        </w:tc>
        <w:tc>
          <w:tcPr>
            <w:tcW w:w="14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E0D9D4">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100%</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D83C78">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32BEE">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C45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2028">
            <w:pPr>
              <w:rPr>
                <w:rFonts w:hint="eastAsia" w:ascii="宋体" w:hAnsi="宋体" w:eastAsia="宋体" w:cs="宋体"/>
                <w:i w:val="0"/>
                <w:iCs w:val="0"/>
                <w:color w:val="000000"/>
                <w:sz w:val="18"/>
                <w:szCs w:val="18"/>
                <w:u w:val="none"/>
              </w:rPr>
            </w:pPr>
          </w:p>
        </w:tc>
      </w:tr>
      <w:tr w14:paraId="6D862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CCB42">
            <w:pPr>
              <w:jc w:val="center"/>
              <w:rPr>
                <w:rFonts w:hint="eastAsia" w:ascii="宋体" w:hAnsi="宋体" w:eastAsia="宋体" w:cs="宋体"/>
                <w:i w:val="0"/>
                <w:iCs w:val="0"/>
                <w:color w:val="333333"/>
                <w:sz w:val="18"/>
                <w:szCs w:val="18"/>
                <w:u w:val="none"/>
              </w:rPr>
            </w:pPr>
          </w:p>
        </w:tc>
        <w:tc>
          <w:tcPr>
            <w:tcW w:w="1193" w:type="dxa"/>
            <w:gridSpan w:val="2"/>
            <w:tcBorders>
              <w:top w:val="single" w:color="000000" w:sz="4" w:space="0"/>
              <w:left w:val="single" w:color="000000" w:sz="4" w:space="0"/>
              <w:bottom w:val="single" w:color="auto" w:sz="4" w:space="0"/>
              <w:right w:val="nil"/>
            </w:tcBorders>
            <w:shd w:val="clear" w:color="auto" w:fill="FFFFFF"/>
            <w:noWrap/>
            <w:vAlign w:val="center"/>
          </w:tcPr>
          <w:p w14:paraId="56A32433">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可持续影响指标</w:t>
            </w:r>
          </w:p>
        </w:tc>
        <w:tc>
          <w:tcPr>
            <w:tcW w:w="1509"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CBA3B20">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信息化维护工作机制健全性</w:t>
            </w:r>
          </w:p>
        </w:tc>
        <w:tc>
          <w:tcPr>
            <w:tcW w:w="144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3F6B6B68">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好</w:t>
            </w:r>
          </w:p>
        </w:tc>
        <w:tc>
          <w:tcPr>
            <w:tcW w:w="1005" w:type="dxa"/>
            <w:gridSpan w:val="2"/>
            <w:tcBorders>
              <w:top w:val="single" w:color="000000" w:sz="4" w:space="0"/>
              <w:left w:val="single" w:color="000000" w:sz="4" w:space="0"/>
              <w:bottom w:val="single" w:color="auto" w:sz="4" w:space="0"/>
              <w:right w:val="single" w:color="000000" w:sz="4" w:space="0"/>
            </w:tcBorders>
            <w:shd w:val="clear" w:color="auto" w:fill="FFFFFF"/>
            <w:noWrap/>
            <w:vAlign w:val="center"/>
          </w:tcPr>
          <w:p w14:paraId="7D88C8A3">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好</w:t>
            </w:r>
          </w:p>
        </w:tc>
        <w:tc>
          <w:tcPr>
            <w:tcW w:w="108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8E5006C">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4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5793">
            <w:pPr>
              <w:rPr>
                <w:rFonts w:hint="eastAsia" w:ascii="宋体" w:hAnsi="宋体" w:eastAsia="宋体" w:cs="宋体"/>
                <w:i w:val="0"/>
                <w:iCs w:val="0"/>
                <w:color w:val="000000"/>
                <w:sz w:val="18"/>
                <w:szCs w:val="18"/>
                <w:u w:val="none"/>
              </w:rPr>
            </w:pPr>
          </w:p>
        </w:tc>
      </w:tr>
      <w:tr w14:paraId="436B5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183" w:type="dxa"/>
            <w:tcBorders>
              <w:top w:val="single" w:color="000000" w:sz="4" w:space="0"/>
              <w:left w:val="single" w:color="000000" w:sz="4" w:space="0"/>
              <w:bottom w:val="single" w:color="000000" w:sz="4" w:space="0"/>
              <w:right w:val="single" w:color="auto" w:sz="4" w:space="0"/>
            </w:tcBorders>
            <w:shd w:val="clear" w:color="auto" w:fill="FFFFFF"/>
            <w:noWrap/>
            <w:vAlign w:val="center"/>
          </w:tcPr>
          <w:p w14:paraId="2221F00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193" w:type="dxa"/>
            <w:gridSpan w:val="2"/>
            <w:tcBorders>
              <w:top w:val="single" w:color="auto" w:sz="4" w:space="0"/>
              <w:left w:val="single" w:color="auto" w:sz="4" w:space="0"/>
              <w:bottom w:val="single" w:color="000000" w:sz="4" w:space="0"/>
              <w:right w:val="nil"/>
            </w:tcBorders>
            <w:shd w:val="clear" w:color="auto" w:fill="FFFFFF"/>
            <w:noWrap/>
            <w:vAlign w:val="center"/>
          </w:tcPr>
          <w:p w14:paraId="5E2A8403">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满意度指标</w:t>
            </w:r>
          </w:p>
        </w:tc>
        <w:tc>
          <w:tcPr>
            <w:tcW w:w="1509"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F9C39BD">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区政府门户网访问人员及财政大平台使用满意度</w:t>
            </w:r>
          </w:p>
        </w:tc>
        <w:tc>
          <w:tcPr>
            <w:tcW w:w="1445"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3ACB3C6A">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95%</w:t>
            </w:r>
            <w:bookmarkStart w:id="61" w:name="_GoBack"/>
            <w:bookmarkEnd w:id="61"/>
          </w:p>
        </w:tc>
        <w:tc>
          <w:tcPr>
            <w:tcW w:w="1005" w:type="dxa"/>
            <w:gridSpan w:val="2"/>
            <w:tcBorders>
              <w:top w:val="single" w:color="auto" w:sz="4" w:space="0"/>
              <w:left w:val="single" w:color="000000" w:sz="4" w:space="0"/>
              <w:bottom w:val="single" w:color="000000" w:sz="4" w:space="0"/>
              <w:right w:val="single" w:color="000000" w:sz="4" w:space="0"/>
            </w:tcBorders>
            <w:shd w:val="clear" w:color="auto" w:fill="FFFFFF"/>
            <w:noWrap/>
            <w:vAlign w:val="center"/>
          </w:tcPr>
          <w:p w14:paraId="06E59251">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95%</w:t>
            </w:r>
          </w:p>
        </w:tc>
        <w:tc>
          <w:tcPr>
            <w:tcW w:w="1080"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5A303A1E">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10</w:t>
            </w:r>
          </w:p>
        </w:tc>
        <w:tc>
          <w:tcPr>
            <w:tcW w:w="91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E64B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5157">
            <w:pPr>
              <w:rPr>
                <w:rFonts w:hint="eastAsia" w:ascii="宋体" w:hAnsi="宋体" w:eastAsia="宋体" w:cs="宋体"/>
                <w:i w:val="0"/>
                <w:iCs w:val="0"/>
                <w:color w:val="000000"/>
                <w:sz w:val="18"/>
                <w:szCs w:val="18"/>
                <w:u w:val="none"/>
              </w:rPr>
            </w:pPr>
          </w:p>
        </w:tc>
      </w:tr>
      <w:tr w14:paraId="5639E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183" w:type="dxa"/>
            <w:tcBorders>
              <w:top w:val="single" w:color="000000" w:sz="4" w:space="0"/>
              <w:left w:val="single" w:color="000000" w:sz="4" w:space="0"/>
              <w:bottom w:val="single" w:color="000000" w:sz="4" w:space="0"/>
              <w:right w:val="single" w:color="auto" w:sz="4" w:space="0"/>
            </w:tcBorders>
            <w:shd w:val="clear" w:color="auto" w:fill="FFFFFF"/>
            <w:noWrap/>
            <w:vAlign w:val="center"/>
          </w:tcPr>
          <w:p w14:paraId="6DD644F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193" w:type="dxa"/>
            <w:gridSpan w:val="2"/>
            <w:tcBorders>
              <w:top w:val="single" w:color="000000" w:sz="4" w:space="0"/>
              <w:left w:val="single" w:color="auto" w:sz="4" w:space="0"/>
              <w:bottom w:val="single" w:color="auto" w:sz="4" w:space="0"/>
              <w:right w:val="nil"/>
            </w:tcBorders>
            <w:shd w:val="clear" w:color="auto" w:fill="FFFFFF"/>
            <w:noWrap/>
            <w:vAlign w:val="center"/>
          </w:tcPr>
          <w:p w14:paraId="37C444DB">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经济成本指标</w:t>
            </w:r>
          </w:p>
        </w:tc>
        <w:tc>
          <w:tcPr>
            <w:tcW w:w="1509"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5977A57">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光纤租用费标准</w:t>
            </w:r>
          </w:p>
        </w:tc>
        <w:tc>
          <w:tcPr>
            <w:tcW w:w="1445" w:type="dxa"/>
            <w:tcBorders>
              <w:top w:val="nil"/>
              <w:left w:val="nil"/>
              <w:bottom w:val="single" w:color="auto" w:sz="4" w:space="0"/>
              <w:right w:val="nil"/>
            </w:tcBorders>
            <w:shd w:val="clear" w:color="auto" w:fill="auto"/>
            <w:noWrap/>
            <w:vAlign w:val="center"/>
          </w:tcPr>
          <w:p w14:paraId="6AC7D3BB">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6.6万元</w:t>
            </w:r>
          </w:p>
        </w:tc>
        <w:tc>
          <w:tcPr>
            <w:tcW w:w="1005" w:type="dxa"/>
            <w:gridSpan w:val="2"/>
            <w:tcBorders>
              <w:top w:val="single" w:color="000000" w:sz="4" w:space="0"/>
              <w:left w:val="single" w:color="000000" w:sz="4" w:space="0"/>
              <w:bottom w:val="single" w:color="auto" w:sz="4" w:space="0"/>
              <w:right w:val="single" w:color="000000" w:sz="4" w:space="0"/>
            </w:tcBorders>
            <w:shd w:val="clear" w:color="auto" w:fill="FFFFFF"/>
            <w:noWrap/>
            <w:vAlign w:val="center"/>
          </w:tcPr>
          <w:p w14:paraId="26EB53C1">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6.6万元</w:t>
            </w:r>
          </w:p>
        </w:tc>
        <w:tc>
          <w:tcPr>
            <w:tcW w:w="1080"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30A49F85">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10</w:t>
            </w:r>
          </w:p>
        </w:tc>
        <w:tc>
          <w:tcPr>
            <w:tcW w:w="91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CD9DF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36CF">
            <w:pPr>
              <w:rPr>
                <w:rFonts w:hint="eastAsia" w:ascii="宋体" w:hAnsi="宋体" w:eastAsia="宋体" w:cs="宋体"/>
                <w:i w:val="0"/>
                <w:iCs w:val="0"/>
                <w:color w:val="000000"/>
                <w:sz w:val="18"/>
                <w:szCs w:val="18"/>
                <w:u w:val="none"/>
              </w:rPr>
            </w:pPr>
          </w:p>
        </w:tc>
      </w:tr>
    </w:tbl>
    <w:p w14:paraId="28DFCFD6">
      <w:pPr>
        <w:rPr>
          <w:rFonts w:hint="eastAsia" w:ascii="Times New Roman" w:hAnsi="Times New Roman" w:eastAsia="黑体"/>
          <w:color w:val="auto"/>
          <w:sz w:val="44"/>
          <w:szCs w:val="44"/>
          <w:highlight w:val="none"/>
        </w:rPr>
      </w:pPr>
    </w:p>
    <w:p w14:paraId="474D732F">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46"/>
      <w:bookmarkEnd w:id="47"/>
      <w:bookmarkStart w:id="48" w:name="_Toc15396619"/>
    </w:p>
    <w:p w14:paraId="40708FE7">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11BC73EE">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48"/>
    </w:p>
    <w:p w14:paraId="2EBF4AC0">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9" w:name="_Toc15396620"/>
      <w:r>
        <w:rPr>
          <w:rFonts w:hint="eastAsia" w:ascii="Times New Roman" w:hAnsi="Times New Roman" w:eastAsia="仿宋_GB2312" w:cs="仿宋_GB2312"/>
          <w:color w:val="auto"/>
          <w:sz w:val="32"/>
          <w:szCs w:val="32"/>
          <w:highlight w:val="none"/>
        </w:rPr>
        <w:t>二、收入决算表</w:t>
      </w:r>
      <w:bookmarkEnd w:id="49"/>
    </w:p>
    <w:p w14:paraId="3C3E369C">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0" w:name="_Toc15396621"/>
      <w:r>
        <w:rPr>
          <w:rFonts w:hint="eastAsia" w:ascii="Times New Roman" w:hAnsi="Times New Roman" w:eastAsia="仿宋_GB2312" w:cs="仿宋_GB2312"/>
          <w:color w:val="auto"/>
          <w:sz w:val="32"/>
          <w:szCs w:val="32"/>
          <w:highlight w:val="none"/>
        </w:rPr>
        <w:t>三、支出决算表</w:t>
      </w:r>
      <w:bookmarkEnd w:id="50"/>
    </w:p>
    <w:p w14:paraId="03548DCF">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1" w:name="_Toc15396622"/>
      <w:r>
        <w:rPr>
          <w:rFonts w:hint="eastAsia" w:ascii="Times New Roman" w:hAnsi="Times New Roman" w:eastAsia="仿宋_GB2312" w:cs="仿宋_GB2312"/>
          <w:color w:val="auto"/>
          <w:sz w:val="32"/>
          <w:szCs w:val="32"/>
          <w:highlight w:val="none"/>
        </w:rPr>
        <w:t>四、财政拨款收入支出决算总表</w:t>
      </w:r>
      <w:bookmarkEnd w:id="51"/>
    </w:p>
    <w:p w14:paraId="1A76B14F">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2" w:name="_Toc15396623"/>
      <w:r>
        <w:rPr>
          <w:rFonts w:hint="eastAsia" w:ascii="Times New Roman" w:hAnsi="Times New Roman" w:eastAsia="仿宋_GB2312" w:cs="仿宋_GB2312"/>
          <w:color w:val="auto"/>
          <w:sz w:val="32"/>
          <w:szCs w:val="32"/>
          <w:highlight w:val="none"/>
        </w:rPr>
        <w:t>五、财政拨款支出决算明细表</w:t>
      </w:r>
      <w:bookmarkEnd w:id="52"/>
      <w:bookmarkStart w:id="53" w:name="_Toc15396624"/>
    </w:p>
    <w:p w14:paraId="2A73268B">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3"/>
    </w:p>
    <w:p w14:paraId="75EAEDE5">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5"/>
      <w:r>
        <w:rPr>
          <w:rFonts w:hint="eastAsia" w:ascii="Times New Roman" w:hAnsi="Times New Roman" w:eastAsia="仿宋_GB2312" w:cs="仿宋_GB2312"/>
          <w:color w:val="auto"/>
          <w:sz w:val="32"/>
          <w:szCs w:val="32"/>
          <w:highlight w:val="none"/>
        </w:rPr>
        <w:t>七、一般公共预算财政拨款支出决算明细表</w:t>
      </w:r>
      <w:bookmarkEnd w:id="54"/>
    </w:p>
    <w:p w14:paraId="5E9A7CF4">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6"/>
      <w:r>
        <w:rPr>
          <w:rFonts w:hint="eastAsia" w:ascii="Times New Roman" w:hAnsi="Times New Roman" w:eastAsia="仿宋_GB2312" w:cs="仿宋_GB2312"/>
          <w:color w:val="auto"/>
          <w:sz w:val="32"/>
          <w:szCs w:val="32"/>
          <w:highlight w:val="none"/>
        </w:rPr>
        <w:t>八、一般公共预算财政拨款基本支出决算表</w:t>
      </w:r>
      <w:bookmarkEnd w:id="55"/>
    </w:p>
    <w:p w14:paraId="1BCA71A0">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7"/>
      <w:r>
        <w:rPr>
          <w:rFonts w:hint="eastAsia" w:ascii="Times New Roman" w:hAnsi="Times New Roman" w:eastAsia="仿宋_GB2312" w:cs="仿宋_GB2312"/>
          <w:color w:val="auto"/>
          <w:sz w:val="32"/>
          <w:szCs w:val="32"/>
          <w:highlight w:val="none"/>
        </w:rPr>
        <w:t>九、一般公共预算财政拨款项目支出决算表</w:t>
      </w:r>
      <w:bookmarkEnd w:id="56"/>
    </w:p>
    <w:p w14:paraId="76971C5C">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8"/>
      <w:r>
        <w:rPr>
          <w:rFonts w:hint="eastAsia" w:ascii="Times New Roman" w:hAnsi="Times New Roman" w:eastAsia="仿宋_GB2312" w:cs="仿宋_GB2312"/>
          <w:color w:val="auto"/>
          <w:sz w:val="32"/>
          <w:szCs w:val="32"/>
          <w:highlight w:val="none"/>
        </w:rPr>
        <w:t>十、</w:t>
      </w:r>
      <w:bookmarkEnd w:id="57"/>
      <w:r>
        <w:rPr>
          <w:rFonts w:hint="eastAsia" w:ascii="Times New Roman" w:hAnsi="Times New Roman" w:eastAsia="仿宋_GB2312" w:cs="仿宋_GB2312"/>
          <w:color w:val="auto"/>
          <w:sz w:val="32"/>
          <w:szCs w:val="32"/>
          <w:highlight w:val="none"/>
        </w:rPr>
        <w:t>政府性基金预算财政拨款收入支出决算表</w:t>
      </w:r>
    </w:p>
    <w:p w14:paraId="32B4EEE8">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9"/>
      <w:r>
        <w:rPr>
          <w:rFonts w:hint="eastAsia" w:ascii="Times New Roman" w:hAnsi="Times New Roman" w:eastAsia="仿宋_GB2312" w:cs="仿宋_GB2312"/>
          <w:color w:val="auto"/>
          <w:sz w:val="32"/>
          <w:szCs w:val="32"/>
          <w:highlight w:val="none"/>
        </w:rPr>
        <w:t>十一、</w:t>
      </w:r>
      <w:bookmarkEnd w:id="58"/>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522EA6E2">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30"/>
      <w:r>
        <w:rPr>
          <w:rFonts w:hint="eastAsia" w:ascii="Times New Roman" w:hAnsi="Times New Roman" w:eastAsia="仿宋_GB2312" w:cs="仿宋_GB2312"/>
          <w:color w:val="auto"/>
          <w:sz w:val="32"/>
          <w:szCs w:val="32"/>
          <w:highlight w:val="none"/>
        </w:rPr>
        <w:t>十二、</w:t>
      </w:r>
      <w:bookmarkEnd w:id="59"/>
      <w:r>
        <w:rPr>
          <w:rFonts w:hint="eastAsia" w:ascii="Times New Roman" w:hAnsi="Times New Roman" w:eastAsia="仿宋_GB2312" w:cs="仿宋_GB2312"/>
          <w:color w:val="auto"/>
          <w:sz w:val="32"/>
          <w:szCs w:val="32"/>
          <w:highlight w:val="none"/>
          <w:lang w:eastAsia="zh-CN"/>
        </w:rPr>
        <w:t>国有资本经营预算财政拨款支出决算表</w:t>
      </w:r>
    </w:p>
    <w:p w14:paraId="1CE94E12">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0" w:name="_Toc15396631"/>
      <w:r>
        <w:rPr>
          <w:rFonts w:hint="eastAsia" w:ascii="Times New Roman" w:hAnsi="Times New Roman" w:eastAsia="仿宋_GB2312" w:cs="仿宋_GB2312"/>
          <w:color w:val="auto"/>
          <w:sz w:val="32"/>
          <w:szCs w:val="32"/>
          <w:highlight w:val="none"/>
        </w:rPr>
        <w:t>十三、</w:t>
      </w:r>
      <w:bookmarkEnd w:id="60"/>
      <w:r>
        <w:rPr>
          <w:rFonts w:hint="eastAsia" w:ascii="Times New Roman" w:hAnsi="Times New Roman" w:eastAsia="仿宋_GB2312" w:cs="仿宋_GB2312"/>
          <w:color w:val="auto"/>
          <w:sz w:val="32"/>
          <w:szCs w:val="32"/>
          <w:highlight w:val="none"/>
          <w:lang w:eastAsia="zh-CN"/>
        </w:rPr>
        <w:t>财政拨款“三公”经费支出决算表</w:t>
      </w:r>
    </w:p>
    <w:p w14:paraId="5E7F0242">
      <w:pPr>
        <w:rPr>
          <w:rFonts w:hint="eastAsia" w:ascii="Times New Roman" w:hAnsi="Times New Roman"/>
          <w:lang w:eastAsia="zh-CN"/>
        </w:rPr>
      </w:pPr>
    </w:p>
    <w:sectPr>
      <w:footerReference r:id="rId9" w:type="first"/>
      <w:headerReference r:id="rId7" w:type="default"/>
      <w:footerReference r:id="rId8" w:type="default"/>
      <w:pgSz w:w="11906" w:h="16838"/>
      <w:pgMar w:top="1440" w:right="1463" w:bottom="1440" w:left="1463"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7BA57">
    <w:pPr>
      <w:pStyle w:val="11"/>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370B46">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1370B46">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14:paraId="3FA9558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BDBF3">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08B29E">
                          <w:pPr>
                            <w:pStyle w:val="11"/>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908B29E">
                    <w:pPr>
                      <w:pStyle w:val="11"/>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04E39">
    <w:pPr>
      <w:pStyle w:val="11"/>
      <w:jc w:val="both"/>
    </w:pPr>
  </w:p>
  <w:p w14:paraId="77421569">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68D4E">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2D6D27">
                          <w:pPr>
                            <w:pStyle w:val="11"/>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92D6D27">
                    <w:pPr>
                      <w:pStyle w:val="11"/>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C6F28">
    <w:pPr>
      <w:pStyle w:val="11"/>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D68307">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D68307">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14:paraId="328827F0">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AEA3A">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AE5ED1">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9AE5ED1">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073E9">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F85EAF"/>
    <w:multiLevelType w:val="multilevel"/>
    <w:tmpl w:val="34F85EAF"/>
    <w:lvl w:ilvl="0" w:tentative="0">
      <w:start w:val="1"/>
      <w:numFmt w:val="chineseCountingThousand"/>
      <w:pStyle w:val="38"/>
      <w:suff w:val="nothing"/>
      <w:lvlText w:val="%1、"/>
      <w:lvlJc w:val="left"/>
      <w:pPr>
        <w:ind w:left="115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1">
    <w:nsid w:val="434F7B04"/>
    <w:multiLevelType w:val="multilevel"/>
    <w:tmpl w:val="434F7B04"/>
    <w:lvl w:ilvl="0" w:tentative="0">
      <w:start w:val="1"/>
      <w:numFmt w:val="chineseCountingThousand"/>
      <w:pStyle w:val="40"/>
      <w:suff w:val="nothing"/>
      <w:lvlText w:val="（%1）"/>
      <w:lvlJc w:val="left"/>
      <w:pPr>
        <w:ind w:left="0" w:firstLine="63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52B56C0"/>
    <w:multiLevelType w:val="singleLevel"/>
    <w:tmpl w:val="652B56C0"/>
    <w:lvl w:ilvl="0" w:tentative="0">
      <w:start w:val="1"/>
      <w:numFmt w:val="chineseCounting"/>
      <w:suff w:val="nothing"/>
      <w:lvlText w:val="%1、"/>
      <w:lvlJc w:val="left"/>
      <w:rPr>
        <w:rFonts w:hint="eastAsia" w:ascii="黑体" w:hAnsi="黑体" w:eastAsia="黑体" w:cs="黑体"/>
      </w:rPr>
    </w:lvl>
  </w:abstractNum>
  <w:abstractNum w:abstractNumId="3">
    <w:nsid w:val="71F09122"/>
    <w:multiLevelType w:val="singleLevel"/>
    <w:tmpl w:val="71F09122"/>
    <w:lvl w:ilvl="0" w:tentative="0">
      <w:start w:val="2"/>
      <w:numFmt w:val="decimal"/>
      <w:suff w:val="nothing"/>
      <w:lvlText w:val="（%1）"/>
      <w:lvlJc w:val="left"/>
    </w:lvl>
  </w:abstractNum>
  <w:num w:numId="1">
    <w:abstractNumId w:val="0"/>
    <w:lvlOverride w:ilvl="0">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1E6F"/>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8886E00"/>
    <w:rsid w:val="09867E8F"/>
    <w:rsid w:val="0A2032A3"/>
    <w:rsid w:val="0CA8290A"/>
    <w:rsid w:val="0D35B1ED"/>
    <w:rsid w:val="0E254B6B"/>
    <w:rsid w:val="0F1C5D09"/>
    <w:rsid w:val="0F98263C"/>
    <w:rsid w:val="101860EC"/>
    <w:rsid w:val="101F47CC"/>
    <w:rsid w:val="10C055FF"/>
    <w:rsid w:val="11694EBD"/>
    <w:rsid w:val="11772AA4"/>
    <w:rsid w:val="118107EC"/>
    <w:rsid w:val="12E24EE2"/>
    <w:rsid w:val="13202F4C"/>
    <w:rsid w:val="13D50BC4"/>
    <w:rsid w:val="14B17F78"/>
    <w:rsid w:val="15354C7D"/>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2D2288"/>
    <w:rsid w:val="26896D9D"/>
    <w:rsid w:val="26970054"/>
    <w:rsid w:val="281408E2"/>
    <w:rsid w:val="29FD04D3"/>
    <w:rsid w:val="2BFF7BC6"/>
    <w:rsid w:val="2C8A61B5"/>
    <w:rsid w:val="2DF04E50"/>
    <w:rsid w:val="2E586DFA"/>
    <w:rsid w:val="2F040D46"/>
    <w:rsid w:val="2F1C1826"/>
    <w:rsid w:val="2F6B035B"/>
    <w:rsid w:val="2FAE5751"/>
    <w:rsid w:val="2FB1A395"/>
    <w:rsid w:val="2FD9A7D8"/>
    <w:rsid w:val="2FDBF714"/>
    <w:rsid w:val="30AB6865"/>
    <w:rsid w:val="319F7F4E"/>
    <w:rsid w:val="3213107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9E62AF"/>
    <w:rsid w:val="3DEE7CF3"/>
    <w:rsid w:val="3E740A63"/>
    <w:rsid w:val="3E78745D"/>
    <w:rsid w:val="3EE17838"/>
    <w:rsid w:val="3F55381A"/>
    <w:rsid w:val="3F7F7599"/>
    <w:rsid w:val="3FF4CAE0"/>
    <w:rsid w:val="3FF7B227"/>
    <w:rsid w:val="4224250E"/>
    <w:rsid w:val="43492B50"/>
    <w:rsid w:val="44E268DA"/>
    <w:rsid w:val="450D13D7"/>
    <w:rsid w:val="45506656"/>
    <w:rsid w:val="486A6C7A"/>
    <w:rsid w:val="4A627F82"/>
    <w:rsid w:val="4B0E749A"/>
    <w:rsid w:val="4B2477C4"/>
    <w:rsid w:val="4B4F25DA"/>
    <w:rsid w:val="4BA73C0D"/>
    <w:rsid w:val="4BE068DB"/>
    <w:rsid w:val="4C2D7FFC"/>
    <w:rsid w:val="4D577224"/>
    <w:rsid w:val="4DBF1CEB"/>
    <w:rsid w:val="4DDD0584"/>
    <w:rsid w:val="4DF0007C"/>
    <w:rsid w:val="4EAB630A"/>
    <w:rsid w:val="4ECE2238"/>
    <w:rsid w:val="4F833267"/>
    <w:rsid w:val="4F856BC1"/>
    <w:rsid w:val="4FE9BD67"/>
    <w:rsid w:val="4FFB052F"/>
    <w:rsid w:val="50F9756B"/>
    <w:rsid w:val="537E6D0A"/>
    <w:rsid w:val="53F74C96"/>
    <w:rsid w:val="55170BA8"/>
    <w:rsid w:val="553218C9"/>
    <w:rsid w:val="567E1AA5"/>
    <w:rsid w:val="56E47B74"/>
    <w:rsid w:val="57175D52"/>
    <w:rsid w:val="57BD3DD4"/>
    <w:rsid w:val="598C6A94"/>
    <w:rsid w:val="5AF92295"/>
    <w:rsid w:val="5B250254"/>
    <w:rsid w:val="5BDD79E6"/>
    <w:rsid w:val="5BF561CA"/>
    <w:rsid w:val="5BFF5DFC"/>
    <w:rsid w:val="5CD71FC4"/>
    <w:rsid w:val="5D1F11B5"/>
    <w:rsid w:val="5D695134"/>
    <w:rsid w:val="5D6D1229"/>
    <w:rsid w:val="5DAE1B18"/>
    <w:rsid w:val="5DE7D9E5"/>
    <w:rsid w:val="5ECEC941"/>
    <w:rsid w:val="5FBF9FF3"/>
    <w:rsid w:val="5FCD4E2C"/>
    <w:rsid w:val="5FEF394A"/>
    <w:rsid w:val="5FF67715"/>
    <w:rsid w:val="60E50D3F"/>
    <w:rsid w:val="62BF3928"/>
    <w:rsid w:val="63B3701E"/>
    <w:rsid w:val="63C91E35"/>
    <w:rsid w:val="63D9340A"/>
    <w:rsid w:val="647F5392"/>
    <w:rsid w:val="65E66580"/>
    <w:rsid w:val="664B1D71"/>
    <w:rsid w:val="664B4E8E"/>
    <w:rsid w:val="67277B67"/>
    <w:rsid w:val="67AA3209"/>
    <w:rsid w:val="690F7871"/>
    <w:rsid w:val="698429CD"/>
    <w:rsid w:val="698D0931"/>
    <w:rsid w:val="6A7FE5F3"/>
    <w:rsid w:val="6B053271"/>
    <w:rsid w:val="6B34261C"/>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0180E"/>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C4AAD"/>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next w:val="1"/>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Plain Text"/>
    <w:basedOn w:val="1"/>
    <w:qFormat/>
    <w:uiPriority w:val="0"/>
    <w:rPr>
      <w:rFonts w:ascii="宋体" w:hAnsi="Courier New" w:cs="Courier New"/>
      <w:szCs w:val="21"/>
    </w:r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7"/>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6">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7">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38">
    <w:name w:val="〖B01〗一级标题"/>
    <w:basedOn w:val="1"/>
    <w:next w:val="1"/>
    <w:qFormat/>
    <w:uiPriority w:val="0"/>
    <w:pPr>
      <w:numPr>
        <w:ilvl w:val="0"/>
        <w:numId w:val="1"/>
      </w:numPr>
      <w:topLinePunct/>
      <w:spacing w:line="600" w:lineRule="exact"/>
      <w:outlineLvl w:val="0"/>
    </w:pPr>
    <w:rPr>
      <w:rFonts w:ascii="黑体" w:hAnsi="Calibri" w:eastAsia="黑体"/>
      <w:sz w:val="32"/>
      <w:szCs w:val="32"/>
    </w:rPr>
  </w:style>
  <w:style w:type="character" w:customStyle="1" w:styleId="39">
    <w:name w:val="font71"/>
    <w:basedOn w:val="17"/>
    <w:qFormat/>
    <w:uiPriority w:val="0"/>
    <w:rPr>
      <w:rFonts w:hint="default" w:ascii="Times New Roman" w:hAnsi="Times New Roman" w:eastAsia="楷体_GB2312" w:cs="Times New Roman"/>
      <w:sz w:val="28"/>
      <w:szCs w:val="24"/>
    </w:rPr>
  </w:style>
  <w:style w:type="paragraph" w:customStyle="1" w:styleId="40">
    <w:name w:val="〖B02〗二级标题"/>
    <w:next w:val="1"/>
    <w:qFormat/>
    <w:uiPriority w:val="0"/>
    <w:pPr>
      <w:widowControl w:val="0"/>
      <w:numPr>
        <w:ilvl w:val="0"/>
        <w:numId w:val="2"/>
      </w:numPr>
      <w:spacing w:line="600" w:lineRule="exact"/>
      <w:outlineLvl w:val="1"/>
    </w:pPr>
    <w:rPr>
      <w:rFonts w:ascii="楷体_GB2312" w:hAnsi="Calibri" w:eastAsia="楷体_GB2312" w:cs="Times New Roman"/>
      <w:kern w:val="2"/>
      <w:sz w:val="32"/>
      <w:szCs w:val="21"/>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7.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mn-lt"/>
                <a:ea typeface="+mn-ea"/>
                <a:cs typeface="+mn-cs"/>
              </a:defRPr>
            </a:pPr>
            <a:r>
              <a:rPr lang="zh-CN" altLang="en-US" sz="1600"/>
              <a:t>收支决算总计变动（</a:t>
            </a:r>
            <a:r>
              <a:rPr lang="zh-CN" altLang="en-US" sz="1200"/>
              <a:t>单位：万元</a:t>
            </a:r>
            <a:r>
              <a:rPr lang="zh-CN" altLang="en-US" sz="1600"/>
              <a:t>）</a:t>
            </a:r>
            <a:endParaRPr lang="zh-CN" altLang="en-US" sz="1600"/>
          </a:p>
        </c:rich>
      </c:tx>
      <c:layout>
        <c:manualLayout>
          <c:xMode val="edge"/>
          <c:yMode val="edge"/>
          <c:x val="0.248989898989899"/>
          <c:y val="0.0323886639676113"/>
        </c:manualLayout>
      </c:layout>
      <c:overlay val="0"/>
      <c:spPr>
        <a:noFill/>
        <a:ln>
          <a:noFill/>
        </a:ln>
        <a:effectLst/>
      </c:spPr>
    </c:title>
    <c:autoTitleDeleted val="0"/>
    <c:plotArea>
      <c:layout>
        <c:manualLayout>
          <c:layoutTarget val="inner"/>
          <c:xMode val="edge"/>
          <c:yMode val="edge"/>
          <c:x val="0.0432659932659933"/>
          <c:y val="0.35114709851552"/>
          <c:w val="0.925925925925926"/>
          <c:h val="0.506882591093117"/>
        </c:manualLayout>
      </c:layout>
      <c:barChart>
        <c:barDir val="col"/>
        <c:grouping val="stacked"/>
        <c:varyColors val="0"/>
        <c:ser>
          <c:idx val="0"/>
          <c:order val="0"/>
          <c:tx>
            <c:strRef>
              <c:f>Sheet1!$B$1</c:f>
              <c:strCache>
                <c:ptCount val="1"/>
                <c:pt idx="0">
                  <c:v>收支总计</c:v>
                </c:pt>
              </c:strCache>
            </c:strRef>
          </c:tx>
          <c:spPr>
            <a:solidFill>
              <a:schemeClr val="accent1"/>
            </a:solidFill>
            <a:ln>
              <a:noFill/>
            </a:ln>
            <a:effectLst/>
          </c:spPr>
          <c:invertIfNegative val="0"/>
          <c:dLbls>
            <c:dLbl>
              <c:idx val="0"/>
              <c:layout>
                <c:manualLayout>
                  <c:x val="0.00783176214648296"/>
                  <c:y val="-0.283091787439614"/>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37781000725163"/>
                  <c:y val="-0.279951690821256"/>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shade val="95000"/>
                          <a:satMod val="105000"/>
                        </a:schemeClr>
                      </a:solidFill>
                      <a:prstDash val="solid"/>
                      <a:round/>
                    </a:ln>
                    <a:effectLst/>
                  </c:spPr>
                </c15:leaderLines>
              </c:ext>
            </c:extLst>
          </c:dLbls>
          <c:cat>
            <c:numRef>
              <c:f>Sheet1!$A$2:$A$5</c:f>
              <c:numCache>
                <c:formatCode>General</c:formatCode>
                <c:ptCount val="4"/>
                <c:pt idx="0">
                  <c:v>2023</c:v>
                </c:pt>
                <c:pt idx="1">
                  <c:v>2024</c:v>
                </c:pt>
              </c:numCache>
            </c:numRef>
          </c:cat>
          <c:val>
            <c:numRef>
              <c:f>Sheet1!$B$2:$B$5</c:f>
              <c:numCache>
                <c:formatCode>General</c:formatCode>
                <c:ptCount val="4"/>
                <c:pt idx="0">
                  <c:v>1901.64</c:v>
                </c:pt>
                <c:pt idx="1">
                  <c:v>1661.04</c:v>
                </c:pt>
              </c:numCache>
            </c:numRef>
          </c:val>
        </c:ser>
        <c:ser>
          <c:idx val="1"/>
          <c:order val="1"/>
          <c:tx>
            <c:strRef>
              <c:f>Sheet1!$C$1</c:f>
              <c:strCache>
                <c:ptCount val="1"/>
                <c:pt idx="0">
                  <c:v>列1</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shade val="95000"/>
                          <a:satMod val="105000"/>
                        </a:schemeClr>
                      </a:solidFill>
                      <a:prstDash val="solid"/>
                      <a:round/>
                    </a:ln>
                    <a:effectLst/>
                  </c:spPr>
                </c15:leaderLines>
              </c:ext>
            </c:extLst>
          </c:dLbls>
          <c:cat>
            <c:numRef>
              <c:f>Sheet1!$A$2:$A$5</c:f>
              <c:numCache>
                <c:formatCode>General</c:formatCode>
                <c:ptCount val="4"/>
                <c:pt idx="0">
                  <c:v>2023</c:v>
                </c:pt>
                <c:pt idx="1">
                  <c:v>2024</c:v>
                </c:pt>
              </c:numCache>
            </c:numRef>
          </c:cat>
          <c:val>
            <c:numRef>
              <c:f>Sheet1!$C$2:$C$5</c:f>
              <c:numCache>
                <c:formatCode>General</c:formatCode>
                <c:ptCount val="4"/>
              </c:numCache>
            </c:numRef>
          </c:val>
        </c:ser>
        <c:ser>
          <c:idx val="2"/>
          <c:order val="2"/>
          <c:tx>
            <c:strRef>
              <c:f>Sheet1!$D$1</c:f>
              <c:strCache>
                <c:ptCount val="1"/>
                <c:pt idx="0">
                  <c:v>列2</c:v>
                </c:pt>
              </c:strCache>
            </c:strRef>
          </c:tx>
          <c:spPr>
            <a:solidFill>
              <a:schemeClr val="accent3"/>
            </a:solidFill>
            <a:ln>
              <a:noFill/>
            </a:ln>
            <a:effectLst/>
          </c:spPr>
          <c:invertIfNegative val="0"/>
          <c:dLbls>
            <c:delete val="1"/>
          </c:dLbls>
          <c:cat>
            <c:numRef>
              <c:f>Sheet1!$A$2:$A$5</c:f>
              <c:numCache>
                <c:formatCode>General</c:formatCode>
                <c:ptCount val="4"/>
                <c:pt idx="0">
                  <c:v>2023</c:v>
                </c:pt>
                <c:pt idx="1">
                  <c:v>2024</c:v>
                </c:pt>
              </c:numCache>
            </c:numRef>
          </c:cat>
          <c:val>
            <c:numRef>
              <c:f>Sheet1!$D$2:$D$5</c:f>
              <c:numCache>
                <c:formatCode>General</c:formatCode>
                <c:ptCount val="4"/>
                <c:pt idx="3">
                  <c:v>0</c:v>
                </c:pt>
              </c:numCache>
            </c:numRef>
          </c:val>
        </c:ser>
        <c:dLbls>
          <c:showLegendKey val="0"/>
          <c:showVal val="0"/>
          <c:showCatName val="0"/>
          <c:showSerName val="0"/>
          <c:showPercent val="0"/>
          <c:showBubbleSize val="0"/>
        </c:dLbls>
        <c:gapWidth val="150"/>
        <c:overlap val="100"/>
        <c:axId val="324195456"/>
        <c:axId val="324196992"/>
      </c:barChart>
      <c:catAx>
        <c:axId val="324195456"/>
        <c:scaling>
          <c:orientation val="minMax"/>
        </c:scaling>
        <c:delete val="0"/>
        <c:axPos val="b"/>
        <c:numFmt formatCode="General" sourceLinked="1"/>
        <c:majorTickMark val="none"/>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24196992"/>
        <c:crosses val="autoZero"/>
        <c:auto val="1"/>
        <c:lblAlgn val="ctr"/>
        <c:lblOffset val="100"/>
        <c:noMultiLvlLbl val="0"/>
      </c:catAx>
      <c:valAx>
        <c:axId val="324196992"/>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24195456"/>
        <c:crosses val="autoZero"/>
        <c:crossBetween val="between"/>
      </c:valAx>
      <c:spPr>
        <a:solidFill>
          <a:schemeClr val="bg1"/>
        </a:solidFill>
        <a:ln>
          <a:noFill/>
        </a:ln>
        <a:effectLst/>
      </c:spPr>
    </c:plotArea>
    <c:legend>
      <c:legendPos val="t"/>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6895b395-aec0-4faf-babf-ee488e013f5f}"/>
      </c:ext>
    </c:extLst>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本年收入</c:v>
                </c:pt>
              </c:strCache>
            </c:strRef>
          </c:tx>
          <c:spPr/>
          <c:explosion val="0"/>
          <c:dPt>
            <c:idx val="0"/>
            <c:bubble3D val="0"/>
            <c:spPr>
              <a:solidFill>
                <a:schemeClr val="accent1"/>
              </a:solidFill>
              <a:ln>
                <a:noFill/>
              </a:ln>
              <a:effectLst/>
            </c:spPr>
          </c:dPt>
          <c:dLbls>
            <c:dLbl>
              <c:idx val="0"/>
              <c:layout>
                <c:manualLayout>
                  <c:x val="0.124148445587728"/>
                  <c:y val="-0.02647108197769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d955b38-35c6-45f3-b39a-29347e3256af}"/>
      </c:ext>
    </c:extLst>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本年支出</c:v>
                </c:pt>
              </c:strCache>
            </c:strRef>
          </c:tx>
          <c:explosion val="0"/>
          <c:dPt>
            <c:idx val="0"/>
            <c:bubble3D val="0"/>
          </c:dPt>
          <c:dPt>
            <c:idx val="1"/>
            <c:bubble3D val="0"/>
          </c:dPt>
          <c:dLbls>
            <c:dLbl>
              <c:idx val="0"/>
              <c:layout>
                <c:manualLayout>
                  <c:x val="-0.110455145226665"/>
                  <c:y val="0.00130858038894718"/>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75.58%</a:t>
                    </a:r>
                    <a:endParaRPr lang="en-US" altLang="en-US"/>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107060831134875"/>
                  <c:y val="-0.00677162448846199"/>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2442%</a:t>
                    </a:r>
                    <a:endParaRPr lang="en-US" altLang="en-US"/>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0.00_ </c:formatCode>
                <c:ptCount val="2"/>
                <c:pt idx="0">
                  <c:v>1255.48</c:v>
                </c:pt>
                <c:pt idx="1" c:formatCode="General">
                  <c:v>405.56</c:v>
                </c:pt>
              </c:numCache>
            </c:numRef>
          </c:val>
        </c:ser>
        <c:dLbls>
          <c:showLegendKey val="0"/>
          <c:showVal val="0"/>
          <c:showCatName val="0"/>
          <c:showSerName val="0"/>
          <c:showPercent val="1"/>
          <c:showBubbleSize val="0"/>
          <c:showLeaderLines val="1"/>
        </c:dLbls>
        <c:firstSliceAng val="0"/>
      </c:pieChart>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7065765e-bb1a-4866-bf93-8f534cd46df5}"/>
      </c:ext>
    </c:extLst>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manualLayout>
          <c:layoutTarget val="inner"/>
          <c:xMode val="edge"/>
          <c:yMode val="edge"/>
          <c:x val="0.0353083017568033"/>
          <c:y val="0.350571725571726"/>
          <c:w val="0.924216327936617"/>
          <c:h val="0.512733887733888"/>
        </c:manualLayout>
      </c:layout>
      <c:barChart>
        <c:barDir val="col"/>
        <c:grouping val="clustered"/>
        <c:varyColors val="0"/>
        <c:ser>
          <c:idx val="0"/>
          <c:order val="0"/>
          <c:tx>
            <c:strRef>
              <c:f>Sheet1!$B$1</c:f>
              <c:strCache>
                <c:ptCount val="1"/>
                <c:pt idx="0">
                  <c:v>财政拨款收支决算</c:v>
                </c:pt>
              </c:strCache>
            </c:strRef>
          </c:tx>
          <c:invertIfNegative val="0"/>
          <c:dLbls>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单位：万元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2023</c:v>
                </c:pt>
                <c:pt idx="1">
                  <c:v>2024</c:v>
                </c:pt>
              </c:numCache>
            </c:numRef>
          </c:cat>
          <c:val>
            <c:numRef>
              <c:f>Sheet1!$B$2:$B$4</c:f>
              <c:numCache>
                <c:formatCode>General</c:formatCode>
                <c:ptCount val="3"/>
                <c:pt idx="0">
                  <c:v>1901.64</c:v>
                </c:pt>
                <c:pt idx="1">
                  <c:v>1661.04</c:v>
                </c:pt>
                <c:pt idx="2">
                  <c:v>0</c:v>
                </c:pt>
              </c:numCache>
            </c:numRef>
          </c:val>
        </c:ser>
        <c:dLbls>
          <c:showLegendKey val="0"/>
          <c:showVal val="1"/>
          <c:showCatName val="0"/>
          <c:showSerName val="0"/>
          <c:showPercent val="0"/>
          <c:showBubbleSize val="0"/>
        </c:dLbls>
        <c:gapWidth val="150"/>
        <c:overlap val="-25"/>
        <c:axId val="285192576"/>
        <c:axId val="285194112"/>
      </c:barChart>
      <c:catAx>
        <c:axId val="285192576"/>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5194112"/>
        <c:crosses val="autoZero"/>
        <c:auto val="1"/>
        <c:lblAlgn val="ctr"/>
        <c:lblOffset val="100"/>
        <c:noMultiLvlLbl val="0"/>
      </c:catAx>
      <c:valAx>
        <c:axId val="285194112"/>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85192576"/>
        <c:crosses val="autoZero"/>
        <c:crossBetween val="between"/>
      </c:valAx>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6ef8a60-0e7a-4188-93f3-4e19eb6d0c2b}"/>
      </c:ext>
    </c:extLst>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zh-CN" sz="1200"/>
              <a:t>一般公共预算财政拨款支出决算变动</a:t>
            </a:r>
            <a:endParaRPr lang="zh-CN" sz="1200"/>
          </a:p>
        </c:rich>
      </c:tx>
      <c:layout>
        <c:manualLayout>
          <c:xMode val="edge"/>
          <c:yMode val="edge"/>
          <c:x val="0.23118978921961"/>
          <c:y val="0.0493827160493831"/>
        </c:manualLayout>
      </c:layout>
      <c:overlay val="0"/>
    </c:title>
    <c:autoTitleDeleted val="0"/>
    <c:plotArea>
      <c:layout/>
      <c:barChart>
        <c:barDir val="col"/>
        <c:grouping val="clustered"/>
        <c:varyColors val="0"/>
        <c:ser>
          <c:idx val="0"/>
          <c:order val="0"/>
          <c:tx>
            <c:strRef>
              <c:f>Sheet1!$B$1</c:f>
              <c:strCache>
                <c:ptCount val="1"/>
                <c:pt idx="0">
                  <c:v>财政拨款收支决算</c:v>
                </c:pt>
              </c:strCache>
            </c:strRef>
          </c:tx>
          <c:invertIfNegative val="0"/>
          <c:dLbls>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单位：万元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2023</c:v>
                </c:pt>
                <c:pt idx="1">
                  <c:v>2024</c:v>
                </c:pt>
              </c:numCache>
            </c:numRef>
          </c:cat>
          <c:val>
            <c:numRef>
              <c:f>Sheet1!$B$2:$B$4</c:f>
              <c:numCache>
                <c:formatCode>General</c:formatCode>
                <c:ptCount val="3"/>
                <c:pt idx="0">
                  <c:v>1901.64</c:v>
                </c:pt>
                <c:pt idx="1">
                  <c:v>1661.04</c:v>
                </c:pt>
                <c:pt idx="2">
                  <c:v>0</c:v>
                </c:pt>
              </c:numCache>
            </c:numRef>
          </c:val>
        </c:ser>
        <c:dLbls>
          <c:showLegendKey val="0"/>
          <c:showVal val="1"/>
          <c:showCatName val="0"/>
          <c:showSerName val="0"/>
          <c:showPercent val="0"/>
          <c:showBubbleSize val="0"/>
        </c:dLbls>
        <c:gapWidth val="150"/>
        <c:overlap val="-25"/>
        <c:axId val="331331456"/>
        <c:axId val="331332992"/>
      </c:barChart>
      <c:catAx>
        <c:axId val="331331456"/>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31332992"/>
        <c:crosses val="autoZero"/>
        <c:auto val="1"/>
        <c:lblAlgn val="ctr"/>
        <c:lblOffset val="100"/>
        <c:noMultiLvlLbl val="0"/>
      </c:catAx>
      <c:valAx>
        <c:axId val="331332992"/>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31331456"/>
        <c:crosses val="autoZero"/>
        <c:crossBetween val="between"/>
      </c:valAx>
    </c:plotArea>
    <c:plotVisOnly val="1"/>
    <c:dispBlanksAs val="gap"/>
    <c:showDLblsOverMax val="0"/>
    <c:extLst>
      <c:ext uri="{0b15fc19-7d7d-44ad-8c2d-2c3a37ce22c3}">
        <chartProps xmlns="https://web.wps.cn/et/2018/main" chartId="{3e6a505c-8d9a-4d96-b986-a94d7cdff012}"/>
      </c:ext>
    </c:extLst>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a:t>
            </a:r>
          </a:p>
        </c:rich>
      </c:tx>
      <c:layout>
        <c:manualLayout>
          <c:xMode val="edge"/>
          <c:yMode val="edge"/>
          <c:x val="0.211139113952889"/>
          <c:y val="0.00589506779327962"/>
        </c:manualLayout>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241304031436472"/>
          <c:y val="0.204801038062284"/>
          <c:w val="0.609081647504002"/>
          <c:h val="0.650086505190311"/>
        </c:manualLayout>
      </c:layout>
      <c:pie3DChart>
        <c:varyColors val="1"/>
        <c:ser>
          <c:idx val="0"/>
          <c:order val="0"/>
          <c:tx>
            <c:strRef>
              <c:f>Sheet1!$B$1</c:f>
              <c:strCache>
                <c:ptCount val="1"/>
                <c:pt idx="0">
                  <c:v>一般公共预算财政拨款支出决算</c:v>
                </c:pt>
              </c:strCache>
            </c:strRef>
          </c:tx>
          <c:spPr>
            <a:scene3d>
              <a:camera prst="orthographicFront"/>
              <a:lightRig rig="threePt" dir="t"/>
            </a:scene3d>
            <a:sp3d contourW="9525"/>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1" i="0" u="none" strike="noStrike" kern="1200" spc="0" baseline="0">
                        <a:solidFill>
                          <a:schemeClr val="accent1"/>
                        </a:solidFill>
                        <a:latin typeface="+mn-lt"/>
                        <a:ea typeface="+mn-ea"/>
                        <a:cs typeface="+mn-cs"/>
                      </a:defRPr>
                    </a:pPr>
                    <a:r>
                      <a:t>一般公共服务（类）支出</a:t>
                    </a:r>
                  </a:p>
                  <a:p>
                    <a:pPr defTabSz="914400">
                      <a:defRPr lang="zh-CN" sz="1000" b="1" i="0" u="none" strike="noStrike" kern="1200" spc="0" baseline="0">
                        <a:solidFill>
                          <a:schemeClr val="accent1"/>
                        </a:solidFill>
                        <a:latin typeface="+mn-lt"/>
                        <a:ea typeface="+mn-ea"/>
                        <a:cs typeface="+mn-cs"/>
                      </a:defRPr>
                    </a:pPr>
                    <a:r>
                      <a:t>84%</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manualLayout>
                  <c:x val="-0.0429984233911423"/>
                  <c:y val="0.061898211829436"/>
                </c:manualLayout>
              </c:layout>
              <c:tx>
                <c:rich>
                  <a:bodyPr rot="0" spcFirstLastPara="0" vertOverflow="ellipsis" vert="horz" wrap="square" lIns="38100" tIns="19050" rIns="38100" bIns="19050" anchor="ctr" anchorCtr="1"/>
                  <a:lstStyle/>
                  <a:p>
                    <a:pPr defTabSz="914400">
                      <a:defRPr lang="zh-CN" sz="1000" b="1" i="0" u="none" strike="noStrike" kern="1200" spc="0" baseline="0">
                        <a:solidFill>
                          <a:schemeClr val="accent2"/>
                        </a:solidFill>
                        <a:latin typeface="+mn-lt"/>
                        <a:ea typeface="+mn-ea"/>
                        <a:cs typeface="+mn-cs"/>
                      </a:defRPr>
                    </a:pPr>
                    <a:r>
                      <a:t>社会保障和就业（类）支出</a:t>
                    </a:r>
                  </a:p>
                  <a:p>
                    <a:pPr defTabSz="914400">
                      <a:defRPr lang="zh-CN" sz="1000" b="1" i="0" u="none" strike="noStrike" kern="1200" spc="0" baseline="0">
                        <a:solidFill>
                          <a:schemeClr val="accent2"/>
                        </a:solidFill>
                        <a:latin typeface="+mn-lt"/>
                        <a:ea typeface="+mn-ea"/>
                        <a:cs typeface="+mn-cs"/>
                      </a:defRPr>
                    </a:pPr>
                    <a:r>
                      <a:t>10.57%</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0560969534449918"/>
                  <c:y val="-0.0545708108471967"/>
                </c:manualLayout>
              </c:layout>
              <c:tx>
                <c:rich>
                  <a:bodyPr rot="0" spcFirstLastPara="0" vertOverflow="ellipsis" vert="horz" wrap="square" lIns="38100" tIns="19050" rIns="38100" bIns="19050" anchor="ctr" anchorCtr="1"/>
                  <a:lstStyle/>
                  <a:p>
                    <a:pPr defTabSz="914400">
                      <a:defRPr lang="zh-CN" sz="1000" b="1" i="0" u="none" strike="noStrike" kern="1200" spc="0" baseline="0">
                        <a:solidFill>
                          <a:schemeClr val="accent3"/>
                        </a:solidFill>
                        <a:latin typeface="+mn-lt"/>
                        <a:ea typeface="+mn-ea"/>
                        <a:cs typeface="+mn-cs"/>
                      </a:defRPr>
                    </a:pPr>
                    <a:r>
                      <a:t>卫生健康支出</a:t>
                    </a:r>
                  </a:p>
                  <a:p>
                    <a:pPr defTabSz="914400">
                      <a:defRPr lang="zh-CN" sz="1000" b="1" i="0" u="none" strike="noStrike" kern="1200" spc="0" baseline="0">
                        <a:solidFill>
                          <a:schemeClr val="accent3"/>
                        </a:solidFill>
                        <a:latin typeface="+mn-lt"/>
                        <a:ea typeface="+mn-ea"/>
                        <a:cs typeface="+mn-cs"/>
                      </a:defRPr>
                    </a:pPr>
                    <a:r>
                      <a:t>1.61%</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3"/>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0859968467822847"/>
                  <c:y val="0.00294753389663981"/>
                </c:manualLayout>
              </c:layout>
              <c:tx>
                <c:rich>
                  <a:bodyPr rot="0" spcFirstLastPara="0" vertOverflow="ellipsis" vert="horz" wrap="square" lIns="38100" tIns="19050" rIns="38100" bIns="19050" anchor="ctr" anchorCtr="1"/>
                  <a:lstStyle/>
                  <a:p>
                    <a:pPr defTabSz="914400">
                      <a:defRPr lang="zh-CN" sz="1000" b="1" i="0" u="none" strike="noStrike" kern="1200" spc="0" baseline="0">
                        <a:solidFill>
                          <a:schemeClr val="accent4"/>
                        </a:solidFill>
                        <a:latin typeface="+mn-lt"/>
                        <a:ea typeface="+mn-ea"/>
                        <a:cs typeface="+mn-cs"/>
                      </a:defRPr>
                    </a:pPr>
                    <a:r>
                      <a:t>住房保障支出</a:t>
                    </a:r>
                  </a:p>
                  <a:p>
                    <a:pPr defTabSz="914400">
                      <a:defRPr lang="zh-CN" sz="1000" b="1" i="0" u="none" strike="noStrike" kern="1200" spc="0" baseline="0">
                        <a:solidFill>
                          <a:schemeClr val="accent4"/>
                        </a:solidFill>
                        <a:latin typeface="+mn-lt"/>
                        <a:ea typeface="+mn-ea"/>
                        <a:cs typeface="+mn-cs"/>
                      </a:defRPr>
                    </a:pPr>
                    <a:r>
                      <a:t>3.82%</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4"/>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Sheet1!$B$2:$B$5</c:f>
              <c:numCache>
                <c:formatCode>General</c:formatCode>
                <c:ptCount val="4"/>
                <c:pt idx="0">
                  <c:v>84</c:v>
                </c:pt>
                <c:pt idx="1">
                  <c:v>10.57</c:v>
                </c:pt>
                <c:pt idx="2">
                  <c:v>1.61</c:v>
                </c:pt>
                <c:pt idx="3">
                  <c:v>3.82</c:v>
                </c:pt>
              </c:numCache>
            </c:numRef>
          </c:val>
        </c:ser>
        <c:dLbls>
          <c:showLegendKey val="0"/>
          <c:showVal val="0"/>
          <c:showCatName val="0"/>
          <c:showSerName val="0"/>
          <c:showPercent val="1"/>
          <c:showBubbleSize val="0"/>
        </c:dLbls>
      </c:pie3DChart>
      <c:spPr>
        <a:noFill/>
        <a:ln>
          <a:noFill/>
        </a:ln>
        <a:effectLst/>
      </c:spPr>
    </c:plotArea>
    <c:plotVisOnly val="1"/>
    <c:dispBlanksAs val="gap"/>
    <c:showDLblsOverMax val="0"/>
    <c:extLst>
      <c:ext uri="{0b15fc19-7d7d-44ad-8c2d-2c3a37ce22c3}">
        <chartProps xmlns="https://web.wps.cn/et/2018/main" chartId="{fbd4fddd-e3d6-4db6-ba51-0e016bd3840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view3D>
      <c:rotX val="30"/>
      <c:rotY val="0"/>
      <c:depthPercent val="100"/>
      <c:rAngAx val="0"/>
      <c:perspective val="3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tx>
            <c:strRef>
              <c:f>Sheet1!$B$1</c:f>
              <c:strCache>
                <c:ptCount val="1"/>
                <c:pt idx="0">
                  <c:v>三公经费财政拨款支出</c:v>
                </c:pt>
              </c:strCache>
            </c:strRef>
          </c:tx>
          <c:spPr>
            <a:scene3d>
              <a:camera prst="orthographicFront"/>
              <a:lightRig rig="threePt" dir="t"/>
            </a:scene3d>
            <a:sp3d contourW="9525"/>
          </c:spPr>
          <c:explosion val="0"/>
          <c:dPt>
            <c:idx val="0"/>
            <c:bubble3D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c:spPr>
          </c:dPt>
          <c:dPt>
            <c:idx val="1"/>
            <c:bubble3D val="0"/>
            <c:spPr>
              <a:gradFill>
                <a:gsLst>
                  <a:gs pos="0">
                    <a:schemeClr val="accent2">
                      <a:lumMod val="40000"/>
                      <a:lumOff val="60000"/>
                    </a:schemeClr>
                  </a:gs>
                  <a:gs pos="90000">
                    <a:schemeClr val="accent2"/>
                  </a:gs>
                </a:gsLst>
                <a:lin ang="5400000" scaled="0"/>
              </a:gradFill>
              <a:ln>
                <a:gradFill>
                  <a:gsLst>
                    <a:gs pos="0">
                      <a:schemeClr val="accent2"/>
                    </a:gs>
                    <a:gs pos="100000">
                      <a:schemeClr val="accent2">
                        <a:lumMod val="75000"/>
                      </a:schemeClr>
                    </a:gs>
                  </a:gsLst>
                  <a:lin ang="5400000" scaled="1"/>
                </a:gradFill>
              </a:ln>
              <a:effectLst/>
            </c:spPr>
          </c:dPt>
          <c:dPt>
            <c:idx val="2"/>
            <c:bubble3D val="0"/>
            <c:spPr>
              <a:gradFill>
                <a:gsLst>
                  <a:gs pos="0">
                    <a:schemeClr val="accent3">
                      <a:lumMod val="40000"/>
                      <a:lumOff val="60000"/>
                    </a:schemeClr>
                  </a:gs>
                  <a:gs pos="90000">
                    <a:schemeClr val="accent3"/>
                  </a:gs>
                </a:gsLst>
                <a:lin ang="5400000" scaled="0"/>
              </a:gradFill>
              <a:ln>
                <a:gradFill>
                  <a:gsLst>
                    <a:gs pos="0">
                      <a:schemeClr val="accent3"/>
                    </a:gs>
                    <a:gs pos="100000">
                      <a:schemeClr val="accent3">
                        <a:lumMod val="75000"/>
                      </a:schemeClr>
                    </a:gs>
                  </a:gsLst>
                  <a:lin ang="5400000" scaled="1"/>
                </a:gra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0%</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t>96.64%</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t>3.36%</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c:v>
                </c:pt>
                <c:pt idx="2">
                  <c:v>公务接待费支出</c:v>
                </c:pt>
              </c:strCache>
            </c:strRef>
          </c:cat>
          <c:val>
            <c:numRef>
              <c:f>Sheet1!$B$2:$B$4</c:f>
              <c:numCache>
                <c:formatCode>General</c:formatCode>
                <c:ptCount val="3"/>
                <c:pt idx="0">
                  <c:v>0</c:v>
                </c:pt>
                <c:pt idx="1">
                  <c:v>96.36</c:v>
                </c:pt>
                <c:pt idx="2">
                  <c:v>3.64</c:v>
                </c:pt>
              </c:numCache>
            </c:numRef>
          </c:val>
        </c:ser>
        <c:dLbls>
          <c:showLegendKey val="0"/>
          <c:showVal val="0"/>
          <c:showCatName val="0"/>
          <c:showSerName val="0"/>
          <c:showPercent val="1"/>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bd3ca4c-a2b1-4f2d-9f5c-d9ede76c2b9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09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styleClr val="auto"/>
    </cs:lnRef>
    <cs:fillRef idx="1">
      <cs:styleClr val="auto"/>
    </cs:fillRef>
    <cs:effectRef idx="0"/>
    <cs:fontRef idx="minor">
      <a:schemeClr val="dk1"/>
    </cs:fontRef>
    <cs:spPr>
      <a:ln>
        <a:solidFill>
          <a:schemeClr val="bg1"/>
        </a:solidFill>
      </a:ln>
      <a:effectLst/>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9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styleClr val="auto"/>
    </cs:lnRef>
    <cs:fillRef idx="0">
      <cs:styleClr val="auto"/>
    </cs:fillRef>
    <cs:effectRef idx="0"/>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38</Pages>
  <Words>1299</Words>
  <Characters>7410</Characters>
  <Lines>61</Lines>
  <Paragraphs>17</Paragraphs>
  <TotalTime>57</TotalTime>
  <ScaleCrop>false</ScaleCrop>
  <LinksUpToDate>false</LinksUpToDate>
  <CharactersWithSpaces>8692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Administrator</cp:lastModifiedBy>
  <cp:lastPrinted>2025-10-28T08:02:50Z</cp:lastPrinted>
  <dcterms:modified xsi:type="dcterms:W3CDTF">2025-10-28T08:03:58Z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B62A04A280734181AB6443720D9B6D41_13</vt:lpwstr>
  </property>
  <property fmtid="{D5CDD505-2E9C-101B-9397-08002B2CF9AE}" pid="4" name="KSOTemplateDocerSaveRecord">
    <vt:lpwstr>eyJoZGlkIjoiMzc3MTk0ZGI5NDRmNGE4NjdkMDg5ODZiMDMyOTNjNWIifQ==</vt:lpwstr>
  </property>
</Properties>
</file>