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160270">
      <w:pPr>
        <w:pStyle w:val="2"/>
        <w:rPr>
          <w:rFonts w:hint="eastAsia" w:ascii="Times New Roman" w:hAnsi="Times New Roman" w:eastAsia="方正小标宋简体" w:cs="Times New Roman"/>
          <w:color w:val="auto"/>
          <w:kern w:val="2"/>
          <w:sz w:val="72"/>
          <w:szCs w:val="72"/>
          <w:highlight w:val="none"/>
          <w:lang w:val="en-US" w:eastAsia="zh-CN" w:bidi="ar-SA"/>
        </w:rPr>
      </w:pPr>
      <w:bookmarkStart w:id="0" w:name="_Toc15306267"/>
      <w:bookmarkStart w:id="1" w:name="_Toc15396475"/>
      <w:bookmarkStart w:id="2" w:name="_Toc15378441"/>
      <w:bookmarkStart w:id="3" w:name="_Toc15377425"/>
      <w:bookmarkStart w:id="4" w:name="_Toc15396597"/>
      <w:bookmarkStart w:id="5" w:name="_Toc15377193"/>
    </w:p>
    <w:p w14:paraId="61B40589">
      <w:pPr>
        <w:pStyle w:val="2"/>
        <w:rPr>
          <w:rFonts w:hint="eastAsia" w:ascii="Times New Roman" w:hAnsi="Times New Roman" w:eastAsia="方正小标宋简体" w:cs="Times New Roman"/>
          <w:color w:val="auto"/>
          <w:kern w:val="2"/>
          <w:sz w:val="72"/>
          <w:szCs w:val="72"/>
          <w:highlight w:val="none"/>
          <w:lang w:val="en-US" w:eastAsia="zh-CN" w:bidi="ar-SA"/>
        </w:rPr>
      </w:pPr>
    </w:p>
    <w:p w14:paraId="22E4EF58">
      <w:pPr>
        <w:pStyle w:val="2"/>
        <w:rPr>
          <w:rFonts w:hint="eastAsia" w:ascii="Times New Roman" w:hAnsi="Times New Roman" w:eastAsia="方正小标宋简体" w:cs="Times New Roman"/>
          <w:color w:val="auto"/>
          <w:kern w:val="2"/>
          <w:sz w:val="72"/>
          <w:szCs w:val="72"/>
          <w:highlight w:val="none"/>
          <w:lang w:val="en-US" w:eastAsia="zh-CN" w:bidi="ar-SA"/>
        </w:rPr>
      </w:pPr>
    </w:p>
    <w:p w14:paraId="7B5D939B">
      <w:pPr>
        <w:adjustRightInd w:val="0"/>
        <w:snapToGrid w:val="0"/>
        <w:spacing w:line="360" w:lineRule="auto"/>
        <w:jc w:val="center"/>
        <w:outlineLvl w:val="0"/>
        <w:rPr>
          <w:rFonts w:hint="eastAsia" w:ascii="方正小标宋简体" w:hAnsi="方正小标宋简体" w:eastAsia="方正小标宋简体" w:cs="方正小标宋简体"/>
          <w:spacing w:val="-20"/>
          <w:sz w:val="52"/>
          <w:szCs w:val="52"/>
          <w:lang w:val="en-US" w:eastAsia="zh-CN"/>
        </w:rPr>
      </w:pPr>
      <w:r>
        <w:rPr>
          <w:rFonts w:hint="eastAsia" w:ascii="方正小标宋简体" w:hAnsi="方正小标宋简体" w:eastAsia="方正小标宋简体" w:cs="方正小标宋简体"/>
          <w:spacing w:val="-20"/>
          <w:sz w:val="52"/>
          <w:szCs w:val="52"/>
          <w:lang w:val="en-US" w:eastAsia="zh-CN"/>
        </w:rPr>
        <w:t>2024年度</w:t>
      </w:r>
    </w:p>
    <w:p w14:paraId="0AA774BF">
      <w:pPr>
        <w:adjustRightInd w:val="0"/>
        <w:snapToGrid w:val="0"/>
        <w:spacing w:line="360" w:lineRule="auto"/>
        <w:jc w:val="center"/>
        <w:outlineLvl w:val="0"/>
        <w:rPr>
          <w:rFonts w:hint="eastAsia" w:ascii="方正小标宋简体" w:hAnsi="方正小标宋简体" w:eastAsia="方正小标宋简体" w:cs="方正小标宋简体"/>
          <w:spacing w:val="-20"/>
          <w:sz w:val="52"/>
          <w:szCs w:val="52"/>
        </w:rPr>
      </w:pPr>
      <w:r>
        <w:rPr>
          <w:rFonts w:hint="eastAsia" w:ascii="方正小标宋简体" w:hAnsi="方正小标宋简体" w:eastAsia="方正小标宋简体" w:cs="方正小标宋简体"/>
          <w:spacing w:val="-20"/>
          <w:sz w:val="52"/>
          <w:szCs w:val="52"/>
        </w:rPr>
        <w:t>乐山市五通桥区人民政府办公室（本级）</w:t>
      </w:r>
    </w:p>
    <w:p w14:paraId="70687D18">
      <w:pPr>
        <w:adjustRightInd w:val="0"/>
        <w:snapToGrid w:val="0"/>
        <w:spacing w:line="360" w:lineRule="auto"/>
        <w:jc w:val="center"/>
        <w:outlineLvl w:val="0"/>
        <w:rPr>
          <w:rFonts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单位决算</w:t>
      </w:r>
    </w:p>
    <w:p w14:paraId="575F7BB5">
      <w:pPr>
        <w:pStyle w:val="2"/>
        <w:jc w:val="center"/>
        <w:rPr>
          <w:rFonts w:hint="default" w:ascii="Times New Roman" w:hAnsi="Times New Roman" w:eastAsia="方正小标宋简体" w:cs="Times New Roman"/>
          <w:color w:val="auto"/>
          <w:kern w:val="2"/>
          <w:sz w:val="44"/>
          <w:szCs w:val="44"/>
          <w:highlight w:val="none"/>
          <w:lang w:val="en-US" w:eastAsia="zh-CN" w:bidi="ar-SA"/>
        </w:rPr>
      </w:pPr>
    </w:p>
    <w:p w14:paraId="4E596DBB">
      <w:pPr>
        <w:spacing w:line="600" w:lineRule="exact"/>
        <w:jc w:val="center"/>
        <w:outlineLvl w:val="0"/>
        <w:rPr>
          <w:rFonts w:ascii="Times New Roman" w:hAnsi="Times New Roman" w:eastAsia="方正小标宋简体"/>
          <w:color w:val="auto"/>
          <w:sz w:val="72"/>
          <w:szCs w:val="72"/>
          <w:highlight w:val="none"/>
        </w:rPr>
      </w:pPr>
    </w:p>
    <w:p w14:paraId="38161782">
      <w:pPr>
        <w:pStyle w:val="20"/>
        <w:rPr>
          <w:rFonts w:ascii="Times New Roman" w:hAnsi="Times New Roman"/>
        </w:rPr>
        <w:sectPr>
          <w:footerReference r:id="rId5" w:type="first"/>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p>
    <w:p w14:paraId="6B85A3F7">
      <w:pPr>
        <w:rPr>
          <w:rFonts w:ascii="Times New Roman" w:hAnsi="Times New Roman"/>
        </w:rPr>
      </w:pPr>
    </w:p>
    <w:bookmarkEnd w:id="0"/>
    <w:bookmarkEnd w:id="1"/>
    <w:bookmarkEnd w:id="2"/>
    <w:bookmarkEnd w:id="3"/>
    <w:bookmarkEnd w:id="4"/>
    <w:bookmarkEnd w:id="5"/>
    <w:p w14:paraId="2F5C9D43">
      <w:pPr>
        <w:widowControl/>
        <w:jc w:val="center"/>
        <w:rPr>
          <w:rFonts w:ascii="Times New Roman" w:hAnsi="Times New Roman" w:eastAsia="黑体"/>
          <w:color w:val="auto"/>
          <w:sz w:val="48"/>
          <w:szCs w:val="48"/>
          <w:highlight w:val="none"/>
        </w:rPr>
      </w:pPr>
      <w:r>
        <w:rPr>
          <w:rFonts w:hint="eastAsia" w:ascii="Times New Roman" w:hAnsi="Times New Roman" w:eastAsia="黑体"/>
          <w:color w:val="auto"/>
          <w:sz w:val="48"/>
          <w:szCs w:val="48"/>
          <w:highlight w:val="none"/>
        </w:rPr>
        <w:t>目录</w:t>
      </w:r>
    </w:p>
    <w:p w14:paraId="5AC99CA4">
      <w:pPr>
        <w:pStyle w:val="1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公开时间：20</w:t>
      </w:r>
      <w:r>
        <w:rPr>
          <w:rFonts w:hint="eastAsia" w:ascii="Times New Roman" w:hAnsi="Times New Roman" w:eastAsia="仿宋_GB2312" w:cs="仿宋_GB2312"/>
          <w:color w:val="auto"/>
          <w:sz w:val="32"/>
          <w:szCs w:val="32"/>
          <w:highlight w:val="none"/>
          <w:lang w:val="en-US" w:eastAsia="zh-CN"/>
        </w:rPr>
        <w:t>24</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val="en-US" w:eastAsia="zh-CN"/>
        </w:rPr>
        <w:t xml:space="preserve"> 10 </w:t>
      </w:r>
      <w:r>
        <w:rPr>
          <w:rFonts w:hint="eastAsia" w:ascii="Times New Roman" w:hAnsi="Times New Roman" w:eastAsia="仿宋_GB2312" w:cs="仿宋_GB2312"/>
          <w:color w:val="auto"/>
          <w:sz w:val="32"/>
          <w:szCs w:val="32"/>
          <w:highlight w:val="none"/>
        </w:rPr>
        <w:t>月</w:t>
      </w:r>
      <w:r>
        <w:rPr>
          <w:rFonts w:hint="eastAsia" w:ascii="Times New Roman" w:hAnsi="Times New Roman" w:eastAsia="仿宋_GB2312" w:cs="仿宋_GB2312"/>
          <w:color w:val="auto"/>
          <w:sz w:val="32"/>
          <w:szCs w:val="32"/>
          <w:highlight w:val="none"/>
          <w:lang w:val="en-US" w:eastAsia="zh-CN"/>
        </w:rPr>
        <w:t xml:space="preserve">28 </w:t>
      </w:r>
      <w:r>
        <w:rPr>
          <w:rFonts w:hint="eastAsia" w:ascii="Times New Roman" w:hAnsi="Times New Roman" w:eastAsia="仿宋_GB2312" w:cs="仿宋_GB2312"/>
          <w:color w:val="auto"/>
          <w:sz w:val="32"/>
          <w:szCs w:val="32"/>
          <w:highlight w:val="none"/>
        </w:rPr>
        <w:t>日</w:t>
      </w:r>
    </w:p>
    <w:p w14:paraId="045755A2">
      <w:pPr>
        <w:rPr>
          <w:rFonts w:ascii="Times New Roman" w:hAnsi="Times New Roman"/>
          <w:color w:val="auto"/>
          <w:highlight w:val="none"/>
        </w:rPr>
      </w:pPr>
    </w:p>
    <w:p w14:paraId="2036FB05">
      <w:pPr>
        <w:pStyle w:val="13"/>
        <w:keepNext w:val="0"/>
        <w:keepLines w:val="0"/>
        <w:pageBreakBefore w:val="0"/>
        <w:widowControl w:val="0"/>
        <w:kinsoku/>
        <w:wordWrap/>
        <w:overflowPunct/>
        <w:topLinePunct w:val="0"/>
        <w:autoSpaceDE/>
        <w:autoSpaceDN/>
        <w:bidi w:val="0"/>
        <w:adjustRightInd w:val="0"/>
        <w:snapToGrid w:val="0"/>
        <w:spacing w:before="0" w:line="400" w:lineRule="exact"/>
        <w:jc w:val="left"/>
        <w:textAlignment w:val="auto"/>
        <w:rPr>
          <w:rFonts w:hint="eastAsia" w:asciiTheme="minorEastAsia" w:hAnsiTheme="minorEastAsia" w:eastAsiaTheme="minorEastAsia" w:cstheme="minorEastAsia"/>
          <w:kern w:val="2"/>
          <w:sz w:val="24"/>
          <w:szCs w:val="24"/>
          <w:lang w:val="en-US" w:eastAsia="zh-CN" w:bidi="ar-SA"/>
        </w:rPr>
      </w:pPr>
      <w:bookmarkStart w:id="6" w:name="_Toc15377196"/>
      <w:bookmarkStart w:id="7" w:name="_Toc15396599"/>
      <w:r>
        <w:rPr>
          <w:rFonts w:hint="eastAsia" w:ascii="黑体" w:hAnsi="黑体" w:eastAsia="黑体" w:cs="黑体"/>
          <w:b w:val="0"/>
          <w:bCs w:val="0"/>
          <w:kern w:val="2"/>
          <w:sz w:val="24"/>
          <w:szCs w:val="24"/>
          <w:lang w:val="en-US" w:eastAsia="zh-CN" w:bidi="ar-SA"/>
        </w:rPr>
        <w:t>第一部分 单位概况</w:t>
      </w:r>
      <w:r>
        <w:rPr>
          <w:rFonts w:hint="eastAsia" w:asciiTheme="minorEastAsia" w:hAnsiTheme="minorEastAsia" w:eastAsiaTheme="minorEastAsia" w:cstheme="minorEastAsia"/>
          <w:kern w:val="2"/>
          <w:sz w:val="24"/>
          <w:szCs w:val="24"/>
          <w:lang w:val="en-US" w:eastAsia="zh-CN" w:bidi="ar-SA"/>
        </w:rPr>
        <w:tab/>
      </w:r>
      <w:r>
        <w:rPr>
          <w:rFonts w:hint="eastAsia" w:asciiTheme="minorEastAsia" w:hAnsiTheme="minorEastAsia" w:eastAsiaTheme="minorEastAsia" w:cstheme="minorEastAsia"/>
          <w:kern w:val="2"/>
          <w:sz w:val="24"/>
          <w:szCs w:val="24"/>
          <w:lang w:val="en-US" w:eastAsia="zh-CN" w:bidi="ar-SA"/>
        </w:rPr>
        <w:t xml:space="preserve">1 </w:t>
      </w:r>
    </w:p>
    <w:p w14:paraId="0F88C917">
      <w:pPr>
        <w:pStyle w:val="13"/>
        <w:keepNext w:val="0"/>
        <w:keepLines w:val="0"/>
        <w:pageBreakBefore w:val="0"/>
        <w:widowControl w:val="0"/>
        <w:kinsoku/>
        <w:wordWrap/>
        <w:overflowPunct/>
        <w:topLinePunct w:val="0"/>
        <w:autoSpaceDE/>
        <w:autoSpaceDN/>
        <w:bidi w:val="0"/>
        <w:adjustRightInd w:val="0"/>
        <w:snapToGrid w:val="0"/>
        <w:spacing w:before="0"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kern w:val="2"/>
          <w:sz w:val="24"/>
          <w:szCs w:val="24"/>
          <w:lang w:val="en-US" w:eastAsia="zh-CN" w:bidi="ar-SA"/>
        </w:rPr>
        <w:t xml:space="preserve">一、主要职责 </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 xml:space="preserve">1                                                                                                </w:t>
      </w:r>
    </w:p>
    <w:p w14:paraId="2FA13029">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二、机构设置</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 xml:space="preserve">2                                                       </w:t>
      </w:r>
    </w:p>
    <w:p w14:paraId="57BE2BFD">
      <w:pPr>
        <w:pStyle w:val="13"/>
        <w:keepNext w:val="0"/>
        <w:keepLines w:val="0"/>
        <w:pageBreakBefore w:val="0"/>
        <w:widowControl w:val="0"/>
        <w:kinsoku/>
        <w:wordWrap/>
        <w:overflowPunct/>
        <w:topLinePunct w:val="0"/>
        <w:autoSpaceDE/>
        <w:autoSpaceDN/>
        <w:bidi w:val="0"/>
        <w:adjustRightInd w:val="0"/>
        <w:snapToGrid w:val="0"/>
        <w:spacing w:before="0" w:line="400" w:lineRule="exact"/>
        <w:jc w:val="left"/>
        <w:textAlignment w:val="auto"/>
        <w:rPr>
          <w:rFonts w:hint="eastAsia" w:asciiTheme="minorEastAsia" w:hAnsiTheme="minorEastAsia" w:eastAsiaTheme="minorEastAsia" w:cstheme="minorEastAsia"/>
          <w:sz w:val="24"/>
          <w:szCs w:val="24"/>
        </w:rPr>
      </w:pPr>
      <w:r>
        <w:rPr>
          <w:rFonts w:hint="eastAsia" w:ascii="黑体" w:hAnsi="黑体" w:eastAsia="黑体" w:cs="黑体"/>
          <w:b w:val="0"/>
          <w:bCs w:val="0"/>
          <w:kern w:val="2"/>
          <w:sz w:val="24"/>
          <w:szCs w:val="24"/>
          <w:lang w:val="en-US" w:eastAsia="zh-CN" w:bidi="ar-SA"/>
        </w:rPr>
        <w:t>第二部分 2024年度部门决算情况说明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3</w:t>
      </w:r>
    </w:p>
    <w:p w14:paraId="6D9DD99B">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一、收入支出决算总体情况说明</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 xml:space="preserve">3                                          </w:t>
      </w:r>
    </w:p>
    <w:p w14:paraId="2846C661">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二、收入决算情况说明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 xml:space="preserve">3 </w:t>
      </w:r>
    </w:p>
    <w:p w14:paraId="41C7197D">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4</w:t>
      </w:r>
    </w:p>
    <w:p w14:paraId="387DC4A5">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四、财政拨款收入支出决算总体情况说明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 xml:space="preserve">4  </w:t>
      </w:r>
    </w:p>
    <w:p w14:paraId="37337F73">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五、一般公共预算财政拨款支出决算情况说明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5</w:t>
      </w:r>
    </w:p>
    <w:p w14:paraId="4A7DB97A">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六、一般公共预算财政拨款基本支出决算情况说明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7</w:t>
      </w:r>
    </w:p>
    <w:p w14:paraId="5AD8CA06">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七、财政拨款“三公”经费支出决算情况说明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 xml:space="preserve">8 </w:t>
      </w:r>
    </w:p>
    <w:p w14:paraId="3EAF99E2">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八、政府性基金预算支出决算情况说明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9</w:t>
      </w:r>
    </w:p>
    <w:p w14:paraId="06057404">
      <w:pPr>
        <w:pStyle w:val="15"/>
        <w:keepNext w:val="0"/>
        <w:keepLines w:val="0"/>
        <w:pageBreakBefore w:val="0"/>
        <w:widowControl w:val="0"/>
        <w:kinsoku/>
        <w:wordWrap/>
        <w:overflowPunct/>
        <w:topLinePunct w:val="0"/>
        <w:autoSpaceDE/>
        <w:autoSpaceDN/>
        <w:bidi w:val="0"/>
        <w:adjustRightInd w:val="0"/>
        <w:snapToGrid w:val="0"/>
        <w:spacing w:line="400" w:lineRule="exact"/>
        <w:ind w:leftChars="0"/>
        <w:jc w:val="left"/>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九、国有资本经营预算支出决算情况说明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10</w:t>
      </w:r>
    </w:p>
    <w:p w14:paraId="71082DC6">
      <w:pPr>
        <w:pStyle w:val="15"/>
        <w:keepNext w:val="0"/>
        <w:keepLines w:val="0"/>
        <w:pageBreakBefore w:val="0"/>
        <w:widowControl w:val="0"/>
        <w:kinsoku/>
        <w:wordWrap/>
        <w:overflowPunct/>
        <w:topLinePunct w:val="0"/>
        <w:autoSpaceDE/>
        <w:autoSpaceDN/>
        <w:bidi w:val="0"/>
        <w:adjustRightInd w:val="0"/>
        <w:snapToGrid w:val="0"/>
        <w:spacing w:line="400" w:lineRule="exact"/>
        <w:ind w:leftChars="0"/>
        <w:jc w:val="left"/>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十、其他重要事项的情况说明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10</w:t>
      </w:r>
    </w:p>
    <w:p w14:paraId="118FCC0A">
      <w:pPr>
        <w:pStyle w:val="15"/>
        <w:keepNext w:val="0"/>
        <w:keepLines w:val="0"/>
        <w:pageBreakBefore w:val="0"/>
        <w:widowControl w:val="0"/>
        <w:kinsoku/>
        <w:wordWrap/>
        <w:overflowPunct/>
        <w:topLinePunct w:val="0"/>
        <w:autoSpaceDE/>
        <w:autoSpaceDN/>
        <w:bidi w:val="0"/>
        <w:adjustRightInd w:val="0"/>
        <w:snapToGrid w:val="0"/>
        <w:spacing w:line="400" w:lineRule="exact"/>
        <w:ind w:left="0" w:leftChars="0" w:firstLine="0" w:firstLineChars="0"/>
        <w:jc w:val="left"/>
        <w:textAlignment w:val="auto"/>
        <w:rPr>
          <w:rFonts w:hint="default" w:asciiTheme="minorEastAsia" w:hAnsiTheme="minorEastAsia" w:eastAsiaTheme="minorEastAsia" w:cstheme="minorEastAsia"/>
          <w:sz w:val="24"/>
          <w:szCs w:val="24"/>
          <w:lang w:val="en-US"/>
        </w:rPr>
      </w:pPr>
      <w:r>
        <w:rPr>
          <w:rFonts w:hint="eastAsia" w:ascii="黑体" w:hAnsi="黑体" w:eastAsia="黑体" w:cs="黑体"/>
          <w:sz w:val="24"/>
          <w:szCs w:val="24"/>
        </w:rPr>
        <w:t>第三部分 名词解释</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12</w:t>
      </w:r>
    </w:p>
    <w:p w14:paraId="17C030E9">
      <w:pPr>
        <w:pStyle w:val="15"/>
        <w:keepNext w:val="0"/>
        <w:keepLines w:val="0"/>
        <w:pageBreakBefore w:val="0"/>
        <w:widowControl w:val="0"/>
        <w:kinsoku/>
        <w:wordWrap/>
        <w:overflowPunct/>
        <w:topLinePunct w:val="0"/>
        <w:autoSpaceDE/>
        <w:autoSpaceDN/>
        <w:bidi w:val="0"/>
        <w:adjustRightInd w:val="0"/>
        <w:snapToGrid w:val="0"/>
        <w:spacing w:line="400" w:lineRule="exact"/>
        <w:ind w:left="0" w:leftChars="0" w:firstLine="0" w:firstLineChars="0"/>
        <w:jc w:val="left"/>
        <w:textAlignment w:val="auto"/>
        <w:rPr>
          <w:rFonts w:hint="default" w:asciiTheme="minorEastAsia" w:hAnsiTheme="minorEastAsia" w:eastAsiaTheme="minorEastAsia" w:cstheme="minorEastAsia"/>
          <w:sz w:val="24"/>
          <w:szCs w:val="24"/>
          <w:lang w:val="en-US"/>
        </w:rPr>
      </w:pPr>
      <w:r>
        <w:rPr>
          <w:rFonts w:hint="eastAsia" w:ascii="黑体" w:hAnsi="黑体" w:eastAsia="黑体" w:cs="黑体"/>
          <w:sz w:val="24"/>
          <w:szCs w:val="24"/>
        </w:rPr>
        <w:t>第四部分 附件</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 xml:space="preserve"> 15</w:t>
      </w:r>
    </w:p>
    <w:p w14:paraId="518DEA7C">
      <w:pPr>
        <w:pStyle w:val="15"/>
        <w:keepNext w:val="0"/>
        <w:keepLines w:val="0"/>
        <w:pageBreakBefore w:val="0"/>
        <w:widowControl w:val="0"/>
        <w:kinsoku/>
        <w:wordWrap/>
        <w:overflowPunct/>
        <w:topLinePunct w:val="0"/>
        <w:autoSpaceDE/>
        <w:autoSpaceDN/>
        <w:bidi w:val="0"/>
        <w:adjustRightInd w:val="0"/>
        <w:snapToGrid w:val="0"/>
        <w:spacing w:line="400" w:lineRule="exact"/>
        <w:ind w:left="0" w:leftChars="0" w:firstLine="0" w:firstLineChars="0"/>
        <w:jc w:val="left"/>
        <w:textAlignment w:val="auto"/>
        <w:rPr>
          <w:rFonts w:hint="default" w:asciiTheme="minorEastAsia" w:hAnsiTheme="minorEastAsia" w:eastAsiaTheme="minorEastAsia" w:cstheme="minorEastAsia"/>
          <w:sz w:val="24"/>
          <w:szCs w:val="24"/>
          <w:lang w:val="en-US"/>
        </w:rPr>
      </w:pPr>
      <w:r>
        <w:rPr>
          <w:rFonts w:hint="eastAsia" w:ascii="黑体" w:hAnsi="黑体" w:eastAsia="黑体" w:cs="黑体"/>
          <w:sz w:val="24"/>
          <w:szCs w:val="24"/>
        </w:rPr>
        <w:t>第五部分 附表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18</w:t>
      </w:r>
    </w:p>
    <w:p w14:paraId="1E833C8D">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一、收入支出决算总表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18</w:t>
      </w:r>
    </w:p>
    <w:p w14:paraId="3060C1DE">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二、收入决算表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18</w:t>
      </w:r>
    </w:p>
    <w:p w14:paraId="0F697E8A">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三、支出决算表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18</w:t>
      </w:r>
    </w:p>
    <w:p w14:paraId="407A68E5">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四、财政拨款收入支出决算总表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18</w:t>
      </w:r>
    </w:p>
    <w:p w14:paraId="1D829C33">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五、财政拨款支出决算明细表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18</w:t>
      </w:r>
    </w:p>
    <w:p w14:paraId="605BD63D">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六、一般公共预算财政拨款支出决算表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18</w:t>
      </w:r>
    </w:p>
    <w:p w14:paraId="79D8E223">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七、一般公共预算财政拨款支出决算明细表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18</w:t>
      </w:r>
    </w:p>
    <w:p w14:paraId="641E4430">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八、一般公共预算财政拨款基本支出决算明细表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18</w:t>
      </w:r>
    </w:p>
    <w:p w14:paraId="31B56EA3">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九、一般公共预算财政拨款项目支出决算表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18</w:t>
      </w:r>
    </w:p>
    <w:p w14:paraId="3E162A7B">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十、政府性基金预算财政拨款收入支出决算表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18</w:t>
      </w:r>
    </w:p>
    <w:p w14:paraId="36CF9787">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十一、国有资本经营预算财政拨款收入支出决算表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18</w:t>
      </w:r>
    </w:p>
    <w:p w14:paraId="787524B8">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十二、国有资本经营预算财政拨款支出决算表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18</w:t>
      </w:r>
    </w:p>
    <w:p w14:paraId="790D13AC">
      <w:pPr>
        <w:pStyle w:val="3"/>
        <w:jc w:val="center"/>
        <w:rPr>
          <w:rFonts w:hint="eastAsia" w:ascii="Times New Roman" w:hAnsi="Times New Roman" w:eastAsia="方正小标宋简体" w:cs="方正小标宋简体"/>
          <w:b w:val="0"/>
          <w:color w:val="auto"/>
          <w:highlight w:val="none"/>
        </w:rPr>
        <w:sectPr>
          <w:footerReference r:id="rId7" w:type="first"/>
          <w:footerReference r:id="rId6" w:type="default"/>
          <w:pgSz w:w="11906" w:h="16838"/>
          <w:pgMar w:top="1327" w:right="1179" w:bottom="1270" w:left="1179" w:header="851" w:footer="992" w:gutter="0"/>
          <w:pgNumType w:fmt="numberInDash" w:start="1"/>
          <w:cols w:space="0" w:num="1"/>
          <w:titlePg/>
          <w:rtlGutter w:val="0"/>
          <w:docGrid w:type="lines" w:linePitch="312" w:charSpace="0"/>
        </w:sectPr>
      </w:pPr>
    </w:p>
    <w:p w14:paraId="0F547766">
      <w:pPr>
        <w:pStyle w:val="3"/>
        <w:jc w:val="center"/>
        <w:rPr>
          <w:rFonts w:ascii="Times New Roman" w:hAnsi="Times New Roman" w:eastAsia="黑体"/>
          <w:color w:val="auto"/>
          <w:sz w:val="32"/>
          <w:szCs w:val="32"/>
          <w:highlight w:val="none"/>
        </w:rPr>
      </w:pPr>
      <w:r>
        <w:rPr>
          <w:rFonts w:hint="eastAsia" w:ascii="Times New Roman" w:hAnsi="Times New Roman" w:eastAsia="方正小标宋简体" w:cs="方正小标宋简体"/>
          <w:b w:val="0"/>
          <w:color w:val="auto"/>
          <w:highlight w:val="none"/>
        </w:rPr>
        <w:t>第一部分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eastAsia="方正小标宋简体" w:cs="方正小标宋简体"/>
          <w:b w:val="0"/>
          <w:color w:val="auto"/>
          <w:highlight w:val="none"/>
          <w:lang w:eastAsia="zh-CN"/>
        </w:rPr>
        <w:t>单位</w:t>
      </w:r>
      <w:r>
        <w:rPr>
          <w:rStyle w:val="29"/>
          <w:rFonts w:hint="eastAsia" w:ascii="Times New Roman" w:hAnsi="Times New Roman" w:eastAsia="方正小标宋简体" w:cs="方正小标宋简体"/>
          <w:b w:val="0"/>
          <w:bCs w:val="0"/>
          <w:color w:val="auto"/>
          <w:highlight w:val="none"/>
        </w:rPr>
        <w:t>概况</w:t>
      </w:r>
      <w:bookmarkEnd w:id="6"/>
      <w:bookmarkEnd w:id="7"/>
    </w:p>
    <w:p w14:paraId="78DDBA87">
      <w:pPr>
        <w:pStyle w:val="36"/>
        <w:numPr>
          <w:ilvl w:val="0"/>
          <w:numId w:val="1"/>
        </w:numPr>
        <w:spacing w:line="580" w:lineRule="exact"/>
        <w:rPr>
          <w:rStyle w:val="37"/>
          <w:rFonts w:hint="eastAsia" w:ascii="黑体" w:hAnsi="黑体" w:eastAsia="黑体"/>
          <w:b w:val="0"/>
          <w:bCs w:val="0"/>
        </w:rPr>
      </w:pPr>
      <w:bookmarkStart w:id="8" w:name="_Toc15377197"/>
      <w:bookmarkStart w:id="9" w:name="_Toc15396600"/>
      <w:r>
        <w:rPr>
          <w:rStyle w:val="37"/>
          <w:rFonts w:hint="eastAsia" w:ascii="黑体" w:hAnsi="黑体" w:eastAsia="黑体"/>
          <w:b w:val="0"/>
          <w:bCs w:val="0"/>
        </w:rPr>
        <w:t>主要职责</w:t>
      </w:r>
    </w:p>
    <w:p w14:paraId="7972413E">
      <w:pPr>
        <w:pStyle w:val="36"/>
        <w:numPr>
          <w:ilvl w:val="0"/>
          <w:numId w:val="0"/>
        </w:numPr>
        <w:spacing w:line="580" w:lineRule="exact"/>
        <w:ind w:firstLine="640" w:firstLineChars="200"/>
      </w:pPr>
      <w:r>
        <w:rPr>
          <w:rFonts w:hint="eastAsia"/>
        </w:rPr>
        <w:t>乐山市五通桥区人民政府办公室（简称区政府办公室）是乐山市五通桥区人民政府工作部门。</w:t>
      </w:r>
    </w:p>
    <w:p w14:paraId="65EE8340">
      <w:pPr>
        <w:pStyle w:val="36"/>
        <w:spacing w:line="580" w:lineRule="exact"/>
      </w:pPr>
      <w:r>
        <w:t>区政府办公室是协助区政府领导同志处理区政府日常工作的机构</w:t>
      </w:r>
      <w:r>
        <w:rPr>
          <w:rFonts w:hint="eastAsia"/>
        </w:rPr>
        <w:t>。主要职责是：</w:t>
      </w:r>
    </w:p>
    <w:p w14:paraId="57DCB526">
      <w:pPr>
        <w:pStyle w:val="36"/>
        <w:spacing w:line="580" w:lineRule="exact"/>
      </w:pPr>
      <w:r>
        <w:rPr>
          <w:rFonts w:hint="eastAsia"/>
        </w:rPr>
        <w:t>（一）协助区政府领导组织起草或审核以区政府、区政府办公室名义发布的公文。办理市政府、市政府办公室及市政府各部门发送区政府的文电。指导全区行政机关公文处理工作。</w:t>
      </w:r>
    </w:p>
    <w:p w14:paraId="3DD9EA79">
      <w:pPr>
        <w:pStyle w:val="36"/>
        <w:spacing w:line="580" w:lineRule="exact"/>
      </w:pPr>
      <w:r>
        <w:rPr>
          <w:rFonts w:hint="eastAsia"/>
        </w:rPr>
        <w:t>（二）协助区政府领导研究区政府部门和镇人民政府请示、报告区政府的事项。</w:t>
      </w:r>
    </w:p>
    <w:p w14:paraId="51930E92">
      <w:pPr>
        <w:pStyle w:val="36"/>
        <w:spacing w:line="580" w:lineRule="exact"/>
      </w:pPr>
      <w:r>
        <w:rPr>
          <w:rFonts w:hint="eastAsia"/>
        </w:rPr>
        <w:t>（三）组织和协助做好区政府有关会议的会务工作，协助区政府领导组织实施会议决定事项。</w:t>
      </w:r>
    </w:p>
    <w:p w14:paraId="42EA7CC9">
      <w:pPr>
        <w:pStyle w:val="9"/>
        <w:spacing w:line="580" w:lineRule="exact"/>
        <w:ind w:firstLine="640" w:firstLineChars="200"/>
        <w:rPr>
          <w:rFonts w:ascii="Times New Roman" w:hAnsi="Times New Roman" w:eastAsia="仿宋_GB2312" w:cs="Times New Roman"/>
          <w:color w:val="000000"/>
          <w:sz w:val="32"/>
        </w:rPr>
      </w:pPr>
      <w:r>
        <w:rPr>
          <w:rFonts w:hint="eastAsia" w:ascii="Times New Roman" w:hAnsi="Times New Roman" w:eastAsia="仿宋_GB2312" w:cs="Times New Roman"/>
          <w:color w:val="000000"/>
          <w:sz w:val="32"/>
        </w:rPr>
        <w:t>（四）督促区政府部门和镇人民政府正确履行工作职责，贯彻执行上级各项决定和部署，协调区政府部门和镇人民政府开展工作。</w:t>
      </w:r>
    </w:p>
    <w:p w14:paraId="232B3790">
      <w:pPr>
        <w:pStyle w:val="9"/>
        <w:spacing w:line="580" w:lineRule="exact"/>
        <w:ind w:firstLine="640" w:firstLineChars="200"/>
        <w:rPr>
          <w:rFonts w:ascii="Times New Roman" w:hAnsi="Times New Roman" w:eastAsia="仿宋_GB2312" w:cs="Times New Roman"/>
          <w:color w:val="000000"/>
          <w:sz w:val="32"/>
        </w:rPr>
      </w:pPr>
      <w:r>
        <w:rPr>
          <w:rFonts w:hint="eastAsia" w:ascii="Times New Roman" w:hAnsi="Times New Roman" w:eastAsia="仿宋_GB2312" w:cs="Times New Roman"/>
          <w:color w:val="000000"/>
          <w:sz w:val="32"/>
        </w:rPr>
        <w:t>（五）</w:t>
      </w:r>
      <w:r>
        <w:rPr>
          <w:rFonts w:hint="eastAsia" w:eastAsia="仿宋_GB2312"/>
          <w:color w:val="000000"/>
          <w:sz w:val="32"/>
        </w:rPr>
        <w:t>组织开展调查研究，负责起草区政府重要综合文稿、会议讲话和汇报材料，</w:t>
      </w:r>
      <w:r>
        <w:rPr>
          <w:rFonts w:hint="eastAsia" w:ascii="Times New Roman" w:hAnsi="Times New Roman" w:eastAsia="仿宋_GB2312" w:cs="Times New Roman"/>
          <w:color w:val="000000"/>
          <w:sz w:val="32"/>
        </w:rPr>
        <w:t>为区政府决策提供服务。</w:t>
      </w:r>
    </w:p>
    <w:p w14:paraId="54E4D304">
      <w:pPr>
        <w:pStyle w:val="9"/>
        <w:spacing w:line="580" w:lineRule="exact"/>
        <w:ind w:firstLine="640" w:firstLineChars="200"/>
        <w:rPr>
          <w:rFonts w:ascii="Times New Roman" w:hAnsi="Times New Roman" w:eastAsia="仿宋_GB2312" w:cs="Times New Roman"/>
          <w:color w:val="000000"/>
          <w:sz w:val="32"/>
        </w:rPr>
      </w:pPr>
      <w:r>
        <w:rPr>
          <w:rFonts w:hint="eastAsia" w:ascii="Times New Roman" w:hAnsi="Times New Roman" w:eastAsia="仿宋_GB2312" w:cs="Times New Roman"/>
          <w:color w:val="000000"/>
          <w:sz w:val="32"/>
        </w:rPr>
        <w:t>（六）负责联系区人大常委会、区政协的有关日常工作和提案、议案、建议、意见的办理工作。</w:t>
      </w:r>
    </w:p>
    <w:p w14:paraId="1EBDFA9C">
      <w:pPr>
        <w:pStyle w:val="9"/>
        <w:spacing w:line="580" w:lineRule="exact"/>
        <w:ind w:firstLine="640" w:firstLineChars="200"/>
        <w:rPr>
          <w:rFonts w:eastAsia="仿宋_GB2312"/>
          <w:color w:val="000000"/>
          <w:sz w:val="32"/>
        </w:rPr>
      </w:pPr>
      <w:r>
        <w:rPr>
          <w:rFonts w:hint="eastAsia" w:ascii="Times New Roman" w:hAnsi="Times New Roman" w:eastAsia="仿宋_GB2312" w:cs="Times New Roman"/>
          <w:color w:val="000000"/>
          <w:sz w:val="32"/>
        </w:rPr>
        <w:t>（七）</w:t>
      </w:r>
      <w:r>
        <w:rPr>
          <w:rFonts w:hint="eastAsia" w:eastAsia="仿宋_GB2312"/>
          <w:color w:val="000000"/>
          <w:sz w:val="32"/>
        </w:rPr>
        <w:t>负责区政府值班工作，做好心连心服务热线工作。</w:t>
      </w:r>
    </w:p>
    <w:p w14:paraId="05F7B070">
      <w:pPr>
        <w:spacing w:line="580" w:lineRule="exact"/>
        <w:ind w:firstLine="640" w:firstLineChars="200"/>
        <w:rPr>
          <w:rFonts w:eastAsia="仿宋_GB2312"/>
          <w:color w:val="000000"/>
          <w:sz w:val="32"/>
        </w:rPr>
      </w:pPr>
      <w:r>
        <w:rPr>
          <w:rFonts w:hint="eastAsia" w:eastAsia="仿宋_GB2312"/>
          <w:color w:val="000000"/>
          <w:sz w:val="32"/>
        </w:rPr>
        <w:t>（八）负责统筹协调全区机关事务管理工作。</w:t>
      </w:r>
    </w:p>
    <w:p w14:paraId="3C16B18C">
      <w:pPr>
        <w:pStyle w:val="9"/>
        <w:spacing w:line="580" w:lineRule="exact"/>
        <w:ind w:firstLine="640" w:firstLineChars="200"/>
        <w:rPr>
          <w:rFonts w:eastAsia="仿宋_GB2312"/>
          <w:color w:val="000000"/>
          <w:sz w:val="32"/>
        </w:rPr>
      </w:pPr>
      <w:r>
        <w:rPr>
          <w:rFonts w:hint="eastAsia" w:ascii="Times New Roman" w:hAnsi="Times New Roman" w:eastAsia="仿宋_GB2312" w:cs="Times New Roman"/>
          <w:color w:val="000000"/>
          <w:sz w:val="32"/>
        </w:rPr>
        <w:t>（九）</w:t>
      </w:r>
      <w:r>
        <w:rPr>
          <w:rFonts w:hint="eastAsia" w:eastAsia="仿宋_GB2312"/>
          <w:color w:val="000000"/>
          <w:sz w:val="32"/>
        </w:rPr>
        <w:t>指导、监督全区政府信息公开工作</w:t>
      </w:r>
      <w:r>
        <w:rPr>
          <w:rFonts w:hint="eastAsia" w:ascii="Times New Roman" w:hAnsi="Times New Roman" w:eastAsia="仿宋_GB2312" w:cs="Times New Roman"/>
          <w:color w:val="000000"/>
          <w:sz w:val="32"/>
        </w:rPr>
        <w:t>。</w:t>
      </w:r>
    </w:p>
    <w:p w14:paraId="3F0D6A96">
      <w:pPr>
        <w:widowControl/>
        <w:snapToGrid w:val="0"/>
        <w:spacing w:line="580" w:lineRule="exact"/>
        <w:ind w:firstLine="640"/>
        <w:jc w:val="left"/>
        <w:rPr>
          <w:rFonts w:ascii="仿宋_GB2312" w:hAnsi="仿宋_GB2312" w:eastAsia="仿宋_GB2312"/>
          <w:sz w:val="32"/>
        </w:rPr>
      </w:pPr>
      <w:r>
        <w:rPr>
          <w:rFonts w:hint="eastAsia" w:ascii="仿宋_GB2312" w:hAnsi="仿宋_GB2312" w:eastAsia="仿宋_GB2312"/>
          <w:sz w:val="32"/>
        </w:rPr>
        <w:t>（十）负责职责范围内的安全生产和职业健康、生态环境保护等工作。</w:t>
      </w:r>
    </w:p>
    <w:p w14:paraId="54596B93">
      <w:pPr>
        <w:widowControl/>
        <w:snapToGrid w:val="0"/>
        <w:spacing w:line="580" w:lineRule="exact"/>
        <w:ind w:firstLine="640"/>
        <w:jc w:val="left"/>
        <w:rPr>
          <w:rFonts w:ascii="仿宋_GB2312" w:eastAsia="仿宋_GB2312"/>
          <w:sz w:val="32"/>
          <w:szCs w:val="32"/>
        </w:rPr>
      </w:pPr>
      <w:r>
        <w:rPr>
          <w:rFonts w:hint="eastAsia" w:ascii="仿宋_GB2312" w:hAnsi="仿宋_GB2312" w:eastAsia="仿宋_GB2312"/>
          <w:sz w:val="32"/>
        </w:rPr>
        <w:t>（十一）完成区委、区政府交办的其他工作。</w:t>
      </w:r>
    </w:p>
    <w:bookmarkEnd w:id="8"/>
    <w:bookmarkEnd w:id="9"/>
    <w:p w14:paraId="3537D0E5">
      <w:pPr>
        <w:pStyle w:val="2"/>
        <w:numPr>
          <w:ilvl w:val="0"/>
          <w:numId w:val="2"/>
        </w:numPr>
        <w:adjustRightInd w:val="0"/>
        <w:snapToGrid w:val="0"/>
        <w:spacing w:before="93" w:line="560" w:lineRule="exact"/>
        <w:ind w:firstLine="630"/>
        <w:rPr>
          <w:rFonts w:ascii="黑体" w:hAnsi="黑体" w:eastAsia="黑体" w:cs="黑体"/>
          <w:sz w:val="32"/>
          <w:szCs w:val="32"/>
        </w:rPr>
      </w:pPr>
      <w:bookmarkStart w:id="10" w:name="_Toc15377200"/>
      <w:bookmarkStart w:id="11" w:name="_Toc15396601"/>
      <w:r>
        <w:rPr>
          <w:rFonts w:hint="eastAsia" w:ascii="黑体" w:hAnsi="黑体" w:eastAsia="黑体" w:cs="黑体"/>
          <w:sz w:val="32"/>
          <w:szCs w:val="32"/>
        </w:rPr>
        <w:t>机构设置</w:t>
      </w:r>
      <w:bookmarkEnd w:id="10"/>
      <w:bookmarkEnd w:id="11"/>
    </w:p>
    <w:p w14:paraId="664F6F73">
      <w:pPr>
        <w:widowControl/>
        <w:ind w:firstLine="64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乐山市五通桥区人民政府办公室(本级)属于乐山市五通桥区人民政府办公室部门下属的二级预算单位，下设独立编制机构1个，其中行政机构1个，参照公务员法管理的事业机构0个，其他事业机构0个，内设7个股室。</w:t>
      </w:r>
    </w:p>
    <w:p w14:paraId="1D9539A9">
      <w:pPr>
        <w:widowControl/>
        <w:ind w:firstLine="64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纳入202</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年单位决算编制范围的独立编制机构包括：</w:t>
      </w:r>
    </w:p>
    <w:p w14:paraId="56F67A8B">
      <w:pPr>
        <w:widowControl/>
        <w:ind w:firstLine="640"/>
        <w:jc w:val="left"/>
        <w:rPr>
          <w:rFonts w:hint="default" w:ascii="Times New Roman" w:hAnsi="Times New Roman" w:eastAsia="仿宋_GB2312" w:cs="Times New Roman"/>
          <w:kern w:val="0"/>
          <w:sz w:val="32"/>
          <w:szCs w:val="32"/>
        </w:rPr>
      </w:pPr>
      <w:r>
        <w:rPr>
          <w:rFonts w:hint="default" w:ascii="Times New Roman" w:hAnsi="Times New Roman" w:eastAsia="仿宋_GB2312" w:cs="Times New Roman"/>
          <w:sz w:val="32"/>
          <w:szCs w:val="32"/>
        </w:rPr>
        <w:t>1.乐山市五通桥区人民政府办公室（本级）</w:t>
      </w:r>
    </w:p>
    <w:p w14:paraId="5A919962">
      <w:pPr>
        <w:widowControl/>
        <w:jc w:val="left"/>
        <w:rPr>
          <w:rFonts w:ascii="仿宋" w:hAnsi="仿宋" w:eastAsia="仿宋"/>
          <w:kern w:val="0"/>
          <w:sz w:val="32"/>
          <w:szCs w:val="32"/>
        </w:rPr>
      </w:pPr>
      <w:r>
        <w:rPr>
          <w:rFonts w:ascii="仿宋" w:hAnsi="仿宋" w:eastAsia="仿宋"/>
          <w:sz w:val="32"/>
          <w:szCs w:val="32"/>
        </w:rPr>
        <w:br w:type="page"/>
      </w:r>
    </w:p>
    <w:p w14:paraId="579FEB3C">
      <w:pPr>
        <w:pStyle w:val="3"/>
        <w:jc w:val="center"/>
        <w:rPr>
          <w:rFonts w:hint="eastAsia" w:ascii="Times New Roman" w:hAnsi="Times New Roman" w:eastAsia="方正小标宋简体" w:cs="方正小标宋简体"/>
          <w:b w:val="0"/>
          <w:color w:val="auto"/>
          <w:highlight w:val="none"/>
        </w:rPr>
      </w:pPr>
      <w:bookmarkStart w:id="12" w:name="_Toc15377204"/>
      <w:bookmarkStart w:id="13" w:name="_Toc15396602"/>
      <w:r>
        <w:rPr>
          <w:rFonts w:hint="eastAsia" w:ascii="Times New Roman" w:hAnsi="Times New Roman" w:eastAsia="方正小标宋简体" w:cs="方正小标宋简体"/>
          <w:b w:val="0"/>
          <w:color w:val="auto"/>
          <w:highlight w:val="none"/>
        </w:rPr>
        <w:t>第二部分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ascii="Times New Roman" w:hAnsi="Times New Roman" w:eastAsia="方正小标宋简体" w:cs="方正小标宋简体"/>
          <w:b w:val="0"/>
          <w:color w:val="auto"/>
          <w:highlight w:val="none"/>
          <w:lang w:val="en-US" w:eastAsia="zh-CN"/>
        </w:rPr>
        <w:t>2024年度</w:t>
      </w:r>
      <w:r>
        <w:rPr>
          <w:rFonts w:hint="eastAsia" w:ascii="Times New Roman" w:hAnsi="Times New Roman" w:eastAsia="方正小标宋简体" w:cs="方正小标宋简体"/>
          <w:b w:val="0"/>
          <w:color w:val="auto"/>
          <w:highlight w:val="none"/>
        </w:rPr>
        <w:t>部门决算情况说明</w:t>
      </w:r>
      <w:bookmarkEnd w:id="12"/>
      <w:bookmarkEnd w:id="13"/>
    </w:p>
    <w:p w14:paraId="2D549FA9">
      <w:pPr>
        <w:rPr>
          <w:rFonts w:ascii="Times New Roman" w:hAnsi="Times New Roman"/>
          <w:color w:val="auto"/>
          <w:highlight w:val="none"/>
        </w:rPr>
      </w:pPr>
    </w:p>
    <w:p w14:paraId="712E5D7B">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0"/>
          <w:rFonts w:hint="eastAsia" w:ascii="Times New Roman" w:hAnsi="Times New Roman" w:eastAsia="黑体"/>
          <w:b w:val="0"/>
          <w:color w:val="auto"/>
          <w:highlight w:val="none"/>
        </w:rPr>
      </w:pPr>
      <w:bookmarkStart w:id="14" w:name="_Toc15377205"/>
      <w:bookmarkStart w:id="15" w:name="_Toc15396603"/>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收</w:t>
      </w:r>
      <w:r>
        <w:rPr>
          <w:rStyle w:val="30"/>
          <w:rFonts w:hint="eastAsia" w:ascii="Times New Roman" w:hAnsi="Times New Roman" w:eastAsia="黑体"/>
          <w:b w:val="0"/>
          <w:color w:val="auto"/>
          <w:highlight w:val="none"/>
        </w:rPr>
        <w:t>入支出决算总体情况说明</w:t>
      </w:r>
      <w:bookmarkEnd w:id="14"/>
      <w:bookmarkEnd w:id="15"/>
    </w:p>
    <w:p w14:paraId="46B70E9D">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2024年度收入、支出总计均为1207.66万元。与202</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年度相比，收入、支出总计各减少</w:t>
      </w:r>
      <w:r>
        <w:rPr>
          <w:rFonts w:hint="default" w:ascii="Times New Roman" w:hAnsi="Times New Roman" w:eastAsia="仿宋_GB2312" w:cs="Times New Roman"/>
          <w:color w:val="auto"/>
          <w:sz w:val="32"/>
          <w:szCs w:val="32"/>
          <w:highlight w:val="none"/>
          <w:lang w:val="en-US" w:eastAsia="zh-CN"/>
        </w:rPr>
        <w:t>282.87</w:t>
      </w:r>
      <w:r>
        <w:rPr>
          <w:rFonts w:hint="default" w:ascii="Times New Roman" w:hAnsi="Times New Roman" w:eastAsia="仿宋_GB2312" w:cs="Times New Roman"/>
          <w:color w:val="auto"/>
          <w:sz w:val="32"/>
          <w:szCs w:val="32"/>
          <w:highlight w:val="none"/>
          <w:lang w:eastAsia="zh-CN"/>
        </w:rPr>
        <w:t>万元，减少</w:t>
      </w:r>
      <w:r>
        <w:rPr>
          <w:rFonts w:hint="default" w:ascii="Times New Roman" w:hAnsi="Times New Roman" w:eastAsia="仿宋_GB2312" w:cs="Times New Roman"/>
          <w:color w:val="auto"/>
          <w:sz w:val="32"/>
          <w:szCs w:val="32"/>
          <w:highlight w:val="none"/>
          <w:lang w:val="en-US" w:eastAsia="zh-CN"/>
        </w:rPr>
        <w:t>18.98%</w:t>
      </w:r>
      <w:r>
        <w:rPr>
          <w:rFonts w:hint="default" w:ascii="Times New Roman" w:hAnsi="Times New Roman" w:eastAsia="仿宋_GB2312" w:cs="Times New Roman"/>
          <w:color w:val="auto"/>
          <w:sz w:val="32"/>
          <w:szCs w:val="32"/>
          <w:highlight w:val="none"/>
          <w:lang w:eastAsia="zh-CN"/>
        </w:rPr>
        <w:t>。主要原因是阶段性项目较上年减少6个，未新购置公务用车。</w:t>
      </w:r>
    </w:p>
    <w:p w14:paraId="21BA6D2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（图1：</w:t>
      </w:r>
      <w:r>
        <w:rPr>
          <w:rFonts w:hint="default" w:ascii="Times New Roman" w:hAnsi="Times New Roman" w:eastAsia="仿宋_GB2312" w:cs="Times New Roman"/>
          <w:color w:val="auto"/>
          <w:sz w:val="32"/>
          <w:szCs w:val="32"/>
          <w:highlight w:val="none"/>
          <w:lang w:eastAsia="zh-CN"/>
        </w:rPr>
        <w:t>收入</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支出</w:t>
      </w:r>
      <w:r>
        <w:rPr>
          <w:rFonts w:hint="default" w:ascii="Times New Roman" w:hAnsi="Times New Roman" w:eastAsia="仿宋_GB2312" w:cs="Times New Roman"/>
          <w:color w:val="auto"/>
          <w:sz w:val="32"/>
          <w:szCs w:val="32"/>
          <w:highlight w:val="none"/>
        </w:rPr>
        <w:t>决算总计变动情况图）（柱状图）</w:t>
      </w:r>
    </w:p>
    <w:p w14:paraId="67F2B845">
      <w:pPr>
        <w:pStyle w:val="2"/>
        <w:jc w:val="center"/>
        <w:rPr>
          <w:rFonts w:hint="eastAsia" w:ascii="Times New Roman" w:hAnsi="Times New Roman" w:eastAsia="仿宋_GB2312" w:cs="仿宋_GB2312"/>
          <w:color w:val="auto"/>
          <w:sz w:val="32"/>
          <w:szCs w:val="32"/>
          <w:highlight w:val="none"/>
        </w:rPr>
      </w:pPr>
      <w:r>
        <w:rPr>
          <w:rFonts w:hint="eastAsia"/>
          <w:sz w:val="32"/>
          <w:szCs w:val="32"/>
        </w:rPr>
        <w:drawing>
          <wp:inline distT="0" distB="0" distL="0" distR="0">
            <wp:extent cx="3754755" cy="2480310"/>
            <wp:effectExtent l="4445" t="4445" r="12700" b="1079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335BA4B">
      <w:pPr>
        <w:rPr>
          <w:rFonts w:hint="eastAsia"/>
        </w:rPr>
      </w:pPr>
    </w:p>
    <w:p w14:paraId="3F111659">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olor w:val="auto"/>
          <w:sz w:val="32"/>
          <w:szCs w:val="32"/>
          <w:highlight w:val="none"/>
          <w:lang w:eastAsia="zh-CN"/>
        </w:rPr>
      </w:pPr>
      <w:bookmarkStart w:id="16" w:name="_Toc15377206"/>
      <w:bookmarkStart w:id="17" w:name="_Toc15396604"/>
      <w:r>
        <w:rPr>
          <w:rFonts w:hint="eastAsia" w:ascii="Times New Roman" w:hAnsi="Times New Roman" w:eastAsia="黑体"/>
          <w:color w:val="auto"/>
          <w:sz w:val="32"/>
          <w:szCs w:val="32"/>
          <w:highlight w:val="none"/>
          <w:lang w:eastAsia="zh-CN"/>
        </w:rPr>
        <w:t>二、收入决算情况说明</w:t>
      </w:r>
      <w:bookmarkEnd w:id="16"/>
      <w:bookmarkEnd w:id="17"/>
    </w:p>
    <w:p w14:paraId="741010EC">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2024年度本年收入合计1207.66万元，其中：一般公共预算财政拨款收入1207.66万元，占100%；政府性基金预算财政拨款收入0万元，占0%；国有资本经营预算财政拨款收入0万元，占0%；上级补助收入0万元，占0%；事业收入0万元，占0%；经营收入0万元，占0%；附属单位上缴收入0万元，占0%；其他收入0万元，占0%。</w:t>
      </w:r>
    </w:p>
    <w:p w14:paraId="787C1721">
      <w:pPr>
        <w:ind w:firstLine="800" w:firstLineChars="2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（图2：收入决算结构图）（饼状图）</w:t>
      </w:r>
    </w:p>
    <w:p w14:paraId="2E453234">
      <w:pPr>
        <w:ind w:firstLine="800" w:firstLineChars="250"/>
        <w:jc w:val="center"/>
        <w:rPr>
          <w:rFonts w:hint="eastAsia" w:ascii="Times New Roman" w:hAnsi="Times New Roman" w:eastAsia="仿宋_GB2312" w:cs="仿宋_GB2312"/>
          <w:color w:val="auto"/>
          <w:sz w:val="32"/>
          <w:szCs w:val="32"/>
          <w:highlight w:val="none"/>
          <w:lang w:eastAsia="zh-CN"/>
        </w:rPr>
      </w:pPr>
      <w:r>
        <w:rPr>
          <w:rFonts w:hint="eastAsia"/>
          <w:sz w:val="32"/>
          <w:szCs w:val="32"/>
        </w:rPr>
        <w:drawing>
          <wp:inline distT="0" distB="0" distL="0" distR="0">
            <wp:extent cx="3503930" cy="2133600"/>
            <wp:effectExtent l="4445" t="4445" r="15875" b="1460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91442FC">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0"/>
          <w:rFonts w:hint="eastAsia" w:ascii="Times New Roman" w:hAnsi="Times New Roman" w:eastAsia="黑体"/>
          <w:b w:val="0"/>
          <w:color w:val="auto"/>
          <w:highlight w:val="none"/>
        </w:rPr>
      </w:pPr>
      <w:bookmarkStart w:id="18" w:name="_Toc15377207"/>
      <w:bookmarkStart w:id="19" w:name="_Toc15396605"/>
      <w:r>
        <w:rPr>
          <w:rFonts w:hint="eastAsia" w:ascii="Times New Roman" w:hAnsi="Times New Roman" w:eastAsia="黑体"/>
          <w:color w:val="auto"/>
          <w:sz w:val="32"/>
          <w:szCs w:val="32"/>
          <w:highlight w:val="none"/>
          <w:lang w:eastAsia="zh-CN"/>
        </w:rPr>
        <w:t>三、</w:t>
      </w:r>
      <w:r>
        <w:rPr>
          <w:rFonts w:hint="eastAsia" w:ascii="Times New Roman" w:hAnsi="Times New Roman" w:eastAsia="黑体"/>
          <w:color w:val="auto"/>
          <w:sz w:val="32"/>
          <w:szCs w:val="32"/>
          <w:highlight w:val="none"/>
        </w:rPr>
        <w:t>支</w:t>
      </w:r>
      <w:r>
        <w:rPr>
          <w:rStyle w:val="30"/>
          <w:rFonts w:hint="eastAsia" w:ascii="Times New Roman" w:hAnsi="Times New Roman" w:eastAsia="黑体"/>
          <w:b w:val="0"/>
          <w:color w:val="auto"/>
          <w:highlight w:val="none"/>
        </w:rPr>
        <w:t>出决算情况说明</w:t>
      </w:r>
      <w:bookmarkEnd w:id="18"/>
      <w:bookmarkEnd w:id="19"/>
    </w:p>
    <w:p w14:paraId="6B271A88">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2024年度本年支出合计1207.66万元，其中：基本支出1033.06万元，占85.54%；项目支出174.6万元，占14.46%；上缴上级支出0万元，占0%；经营支出0万元，占0%；对附属单位补助支出0万元，占0%%。</w:t>
      </w:r>
    </w:p>
    <w:p w14:paraId="165CCF9F">
      <w:pPr>
        <w:ind w:firstLine="800" w:firstLineChars="2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（图3：支出决算结构图）（饼状图）</w:t>
      </w:r>
    </w:p>
    <w:p w14:paraId="2E7BE0CA">
      <w:pPr>
        <w:jc w:val="center"/>
        <w:rPr>
          <w:rFonts w:hint="eastAsia" w:ascii="Times New Roman" w:hAnsi="Times New Roman" w:eastAsia="仿宋_GB2312" w:cs="仿宋_GB2312"/>
          <w:color w:val="auto"/>
          <w:sz w:val="32"/>
          <w:szCs w:val="32"/>
          <w:highlight w:val="none"/>
          <w:lang w:eastAsia="zh-CN"/>
        </w:rPr>
      </w:pPr>
      <w:r>
        <w:rPr>
          <w:rFonts w:hint="eastAsia"/>
          <w:sz w:val="32"/>
          <w:szCs w:val="32"/>
        </w:rPr>
        <w:drawing>
          <wp:inline distT="0" distB="0" distL="114300" distR="114300">
            <wp:extent cx="4239260" cy="2621280"/>
            <wp:effectExtent l="4445" t="4445" r="23495" b="2222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D86D635">
      <w:pPr>
        <w:spacing w:line="600" w:lineRule="exact"/>
        <w:ind w:firstLine="640" w:firstLineChars="200"/>
        <w:outlineLvl w:val="1"/>
        <w:rPr>
          <w:rStyle w:val="30"/>
          <w:rFonts w:ascii="Times New Roman" w:hAnsi="Times New Roman" w:eastAsia="黑体"/>
          <w:b w:val="0"/>
          <w:color w:val="auto"/>
          <w:highlight w:val="none"/>
        </w:rPr>
      </w:pPr>
      <w:bookmarkStart w:id="20" w:name="_Toc15396606"/>
      <w:bookmarkStart w:id="21" w:name="_Toc15377208"/>
      <w:r>
        <w:rPr>
          <w:rFonts w:hint="eastAsia" w:ascii="Times New Roman" w:hAnsi="Times New Roman" w:eastAsia="黑体"/>
          <w:color w:val="auto"/>
          <w:sz w:val="32"/>
          <w:szCs w:val="32"/>
          <w:highlight w:val="none"/>
        </w:rPr>
        <w:t>四、财</w:t>
      </w:r>
      <w:r>
        <w:rPr>
          <w:rStyle w:val="30"/>
          <w:rFonts w:hint="eastAsia" w:ascii="Times New Roman" w:hAnsi="Times New Roman" w:eastAsia="黑体"/>
          <w:b w:val="0"/>
          <w:color w:val="auto"/>
          <w:highlight w:val="none"/>
        </w:rPr>
        <w:t>政拨款收入支出决算总体情况说明</w:t>
      </w:r>
      <w:bookmarkEnd w:id="20"/>
      <w:bookmarkEnd w:id="21"/>
    </w:p>
    <w:p w14:paraId="58BA630E">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Times New Roman"/>
          <w:color w:val="auto"/>
          <w:sz w:val="32"/>
          <w:szCs w:val="32"/>
          <w:highlight w:val="none"/>
          <w:lang w:val="en-US" w:eastAsia="zh-CN"/>
        </w:rPr>
        <w:t>2024年度财政拨款收入、支出总计均为1207.66万元。与2023年度相比，财政拨款收入总计、支出总计各</w:t>
      </w:r>
      <w:r>
        <w:rPr>
          <w:rFonts w:hint="default" w:ascii="Times New Roman" w:hAnsi="Times New Roman" w:eastAsia="仿宋_GB2312" w:cs="Times New Roman"/>
          <w:color w:val="auto"/>
          <w:sz w:val="32"/>
          <w:szCs w:val="32"/>
          <w:highlight w:val="none"/>
          <w:lang w:val="en-US" w:eastAsia="zh-CN"/>
        </w:rPr>
        <w:t>减少282.87万元，减少18.98%。主要原因是阶段性项目较上年减</w:t>
      </w:r>
      <w:r>
        <w:rPr>
          <w:rFonts w:hint="default" w:ascii="Times New Roman" w:hAnsi="Times New Roman" w:eastAsia="仿宋_GB2312" w:cs="Times New Roman"/>
          <w:color w:val="auto"/>
          <w:sz w:val="32"/>
          <w:szCs w:val="32"/>
          <w:highlight w:val="none"/>
          <w:lang w:eastAsia="zh-CN"/>
        </w:rPr>
        <w:t>少6个，未新购置公务用车。</w:t>
      </w:r>
    </w:p>
    <w:p w14:paraId="7F0D6BB2">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（图4：财政拨款收、支决算总计变动情况）（柱状图）</w:t>
      </w:r>
    </w:p>
    <w:p w14:paraId="0E523346">
      <w:pPr>
        <w:pStyle w:val="2"/>
        <w:jc w:val="center"/>
        <w:rPr>
          <w:rFonts w:hint="eastAsia"/>
          <w:lang w:val="en-US" w:eastAsia="zh-CN"/>
        </w:rPr>
      </w:pPr>
      <w:r>
        <w:rPr>
          <w:rFonts w:hint="eastAsia"/>
          <w:sz w:val="32"/>
          <w:szCs w:val="32"/>
        </w:rPr>
        <w:drawing>
          <wp:inline distT="0" distB="0" distL="0" distR="0">
            <wp:extent cx="3743325" cy="2759710"/>
            <wp:effectExtent l="4445" t="5080" r="5080" b="1651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F1306F9">
      <w:pPr>
        <w:spacing w:line="600" w:lineRule="exact"/>
        <w:ind w:firstLine="640" w:firstLineChars="200"/>
        <w:outlineLvl w:val="1"/>
        <w:rPr>
          <w:rStyle w:val="30"/>
          <w:rFonts w:ascii="Times New Roman" w:hAnsi="Times New Roman" w:eastAsia="黑体"/>
          <w:b w:val="0"/>
          <w:color w:val="auto"/>
          <w:highlight w:val="none"/>
        </w:rPr>
      </w:pPr>
      <w:bookmarkStart w:id="22" w:name="_Toc15377209"/>
      <w:bookmarkStart w:id="23" w:name="_Toc15396607"/>
      <w:r>
        <w:rPr>
          <w:rFonts w:hint="eastAsia" w:ascii="Times New Roman" w:hAnsi="Times New Roman" w:eastAsia="黑体"/>
          <w:color w:val="auto"/>
          <w:sz w:val="32"/>
          <w:szCs w:val="32"/>
          <w:highlight w:val="none"/>
        </w:rPr>
        <w:t>五、</w:t>
      </w:r>
      <w:r>
        <w:rPr>
          <w:rFonts w:hint="eastAsia" w:ascii="Times New Roman" w:hAnsi="Times New Roman" w:eastAsia="黑体"/>
          <w:b/>
          <w:color w:val="auto"/>
          <w:sz w:val="32"/>
          <w:szCs w:val="32"/>
          <w:highlight w:val="none"/>
        </w:rPr>
        <w:t>一</w:t>
      </w:r>
      <w:r>
        <w:rPr>
          <w:rStyle w:val="30"/>
          <w:rFonts w:hint="eastAsia" w:ascii="Times New Roman" w:hAnsi="Times New Roman" w:eastAsia="黑体"/>
          <w:b w:val="0"/>
          <w:color w:val="auto"/>
          <w:highlight w:val="none"/>
        </w:rPr>
        <w:t>般公共预算财政拨款支出决算情况说明</w:t>
      </w:r>
      <w:bookmarkEnd w:id="22"/>
      <w:bookmarkEnd w:id="23"/>
    </w:p>
    <w:p w14:paraId="4FAA838E">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24" w:name="_Toc15377210"/>
      <w:r>
        <w:rPr>
          <w:rFonts w:hint="eastAsia" w:ascii="Times New Roman" w:hAnsi="Times New Roman" w:eastAsia="楷体_GB2312" w:cs="楷体_GB2312"/>
          <w:b/>
          <w:color w:val="auto"/>
          <w:sz w:val="32"/>
          <w:szCs w:val="32"/>
          <w:highlight w:val="none"/>
        </w:rPr>
        <w:t>（一）一般公共预算财政拨款支出决算总体情况</w:t>
      </w:r>
      <w:bookmarkEnd w:id="24"/>
    </w:p>
    <w:p w14:paraId="0E622CFD">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Times New Roman"/>
          <w:color w:val="auto"/>
          <w:sz w:val="32"/>
          <w:szCs w:val="32"/>
          <w:highlight w:val="none"/>
          <w:lang w:val="en-US" w:eastAsia="zh-CN"/>
        </w:rPr>
        <w:t>2024年度一般公共预算财政拨款支出</w:t>
      </w:r>
      <w:r>
        <w:rPr>
          <w:rFonts w:hint="eastAsia" w:ascii="Times New Roman" w:hAnsi="Times New Roman" w:eastAsia="仿宋_GB2312" w:cs="Times New Roman"/>
          <w:color w:val="auto"/>
          <w:sz w:val="32"/>
          <w:szCs w:val="32"/>
          <w:highlight w:val="none"/>
          <w:lang w:eastAsia="zh-CN"/>
        </w:rPr>
        <w:t>1207.66</w:t>
      </w:r>
      <w:r>
        <w:rPr>
          <w:rFonts w:hint="eastAsia" w:ascii="Times New Roman" w:hAnsi="Times New Roman" w:eastAsia="仿宋_GB2312" w:cs="Times New Roman"/>
          <w:color w:val="auto"/>
          <w:sz w:val="32"/>
          <w:szCs w:val="32"/>
          <w:highlight w:val="none"/>
          <w:lang w:val="en-US" w:eastAsia="zh-CN"/>
        </w:rPr>
        <w:t>万元，占本年支出合计的</w:t>
      </w:r>
      <w:r>
        <w:rPr>
          <w:rFonts w:hint="eastAsia" w:ascii="Times New Roman" w:hAnsi="Times New Roman" w:eastAsia="仿宋_GB2312" w:cs="Times New Roman"/>
          <w:color w:val="auto"/>
          <w:sz w:val="32"/>
          <w:szCs w:val="32"/>
          <w:highlight w:val="none"/>
          <w:lang w:eastAsia="zh-CN"/>
        </w:rPr>
        <w:t>100</w:t>
      </w:r>
      <w:r>
        <w:rPr>
          <w:rFonts w:hint="eastAsia" w:ascii="Times New Roman" w:hAnsi="Times New Roman" w:eastAsia="仿宋_GB2312" w:cs="Times New Roman"/>
          <w:color w:val="auto"/>
          <w:sz w:val="32"/>
          <w:szCs w:val="32"/>
          <w:highlight w:val="none"/>
          <w:lang w:val="en-US" w:eastAsia="zh-CN"/>
        </w:rPr>
        <w:t>%。与2023年度相比，一般公共预算财政拨款支出</w:t>
      </w:r>
      <w:r>
        <w:rPr>
          <w:rFonts w:hint="default" w:ascii="Times New Roman" w:hAnsi="Times New Roman" w:eastAsia="仿宋_GB2312" w:cs="Times New Roman"/>
          <w:color w:val="auto"/>
          <w:sz w:val="32"/>
          <w:szCs w:val="32"/>
          <w:highlight w:val="none"/>
          <w:lang w:eastAsia="zh-CN"/>
        </w:rPr>
        <w:t>减少</w:t>
      </w:r>
      <w:r>
        <w:rPr>
          <w:rFonts w:hint="default" w:ascii="Times New Roman" w:hAnsi="Times New Roman" w:eastAsia="仿宋_GB2312" w:cs="Times New Roman"/>
          <w:color w:val="auto"/>
          <w:sz w:val="32"/>
          <w:szCs w:val="32"/>
          <w:highlight w:val="none"/>
          <w:lang w:val="en-US" w:eastAsia="zh-CN"/>
        </w:rPr>
        <w:t>282.87</w:t>
      </w:r>
      <w:r>
        <w:rPr>
          <w:rFonts w:hint="default" w:ascii="Times New Roman" w:hAnsi="Times New Roman" w:eastAsia="仿宋_GB2312" w:cs="Times New Roman"/>
          <w:color w:val="auto"/>
          <w:sz w:val="32"/>
          <w:szCs w:val="32"/>
          <w:highlight w:val="none"/>
          <w:lang w:eastAsia="zh-CN"/>
        </w:rPr>
        <w:t>万元，减少</w:t>
      </w:r>
      <w:r>
        <w:rPr>
          <w:rFonts w:hint="default" w:ascii="Times New Roman" w:hAnsi="Times New Roman" w:eastAsia="仿宋_GB2312" w:cs="Times New Roman"/>
          <w:color w:val="auto"/>
          <w:sz w:val="32"/>
          <w:szCs w:val="32"/>
          <w:highlight w:val="none"/>
          <w:lang w:val="en-US" w:eastAsia="zh-CN"/>
        </w:rPr>
        <w:t>18.98%</w:t>
      </w:r>
      <w:r>
        <w:rPr>
          <w:rFonts w:hint="default" w:ascii="Times New Roman" w:hAnsi="Times New Roman" w:eastAsia="仿宋_GB2312" w:cs="Times New Roman"/>
          <w:color w:val="auto"/>
          <w:sz w:val="32"/>
          <w:szCs w:val="32"/>
          <w:highlight w:val="none"/>
          <w:lang w:eastAsia="zh-CN"/>
        </w:rPr>
        <w:t>。主要原因是阶段性项目较上年减少6个，未新购置公务用车。</w:t>
      </w:r>
    </w:p>
    <w:p w14:paraId="013EA107">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（图5：一般公共预算财政拨款支出决算变动情况）（柱状图）</w:t>
      </w:r>
    </w:p>
    <w:p w14:paraId="1BEF64F9">
      <w:pPr>
        <w:jc w:val="center"/>
        <w:rPr>
          <w:rFonts w:hint="eastAsia" w:ascii="Times New Roman" w:hAnsi="Times New Roman" w:eastAsia="仿宋_GB2312" w:cs="仿宋_GB2312"/>
          <w:color w:val="auto"/>
          <w:kern w:val="2"/>
          <w:sz w:val="32"/>
          <w:szCs w:val="32"/>
          <w:highlight w:val="none"/>
          <w:lang w:val="en-US" w:eastAsia="zh-CN" w:bidi="ar-SA"/>
        </w:rPr>
      </w:pPr>
      <w:r>
        <w:rPr>
          <w:rFonts w:hint="eastAsia"/>
          <w:sz w:val="32"/>
          <w:szCs w:val="32"/>
        </w:rPr>
        <w:drawing>
          <wp:inline distT="0" distB="0" distL="0" distR="0">
            <wp:extent cx="4526280" cy="2272665"/>
            <wp:effectExtent l="4445" t="4445" r="22225" b="8890"/>
            <wp:docPr id="7"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E6969A9">
      <w:pPr>
        <w:rPr>
          <w:rFonts w:hint="eastAsia"/>
          <w:lang w:val="en-US" w:eastAsia="zh-CN"/>
        </w:rPr>
      </w:pPr>
    </w:p>
    <w:p w14:paraId="77EE0FFD">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25" w:name="_Toc15377211"/>
      <w:r>
        <w:rPr>
          <w:rFonts w:hint="eastAsia" w:ascii="Times New Roman" w:hAnsi="Times New Roman" w:eastAsia="楷体_GB2312" w:cs="楷体_GB2312"/>
          <w:b/>
          <w:color w:val="auto"/>
          <w:sz w:val="32"/>
          <w:szCs w:val="32"/>
          <w:highlight w:val="none"/>
        </w:rPr>
        <w:t>（二）一般公共预算财政拨款支出决算结构情况</w:t>
      </w:r>
      <w:bookmarkEnd w:id="25"/>
    </w:p>
    <w:p w14:paraId="12D290DD">
      <w:pPr>
        <w:spacing w:line="600" w:lineRule="exact"/>
        <w:ind w:firstLine="640" w:firstLineChars="200"/>
        <w:outlineLvl w:val="1"/>
        <w:rPr>
          <w:rFonts w:ascii="仿宋" w:hAnsi="仿宋" w:eastAsia="仿宋"/>
          <w:sz w:val="32"/>
          <w:szCs w:val="32"/>
        </w:rPr>
      </w:pPr>
      <w:r>
        <w:rPr>
          <w:rFonts w:hint="eastAsia" w:ascii="Times New Roman" w:hAnsi="Times New Roman" w:eastAsia="仿宋" w:cs="Times New Roman"/>
          <w:b w:val="0"/>
          <w:bCs w:val="0"/>
          <w:sz w:val="32"/>
          <w:szCs w:val="32"/>
        </w:rPr>
        <w:t>202</w:t>
      </w:r>
      <w:r>
        <w:rPr>
          <w:rFonts w:hint="eastAsia" w:ascii="Times New Roman" w:hAnsi="Times New Roman" w:eastAsia="仿宋" w:cs="Times New Roman"/>
          <w:b w:val="0"/>
          <w:bCs w:val="0"/>
          <w:sz w:val="32"/>
          <w:szCs w:val="32"/>
          <w:lang w:val="en-US" w:eastAsia="zh-CN"/>
        </w:rPr>
        <w:t>4</w:t>
      </w:r>
      <w:r>
        <w:rPr>
          <w:rFonts w:hint="eastAsia" w:ascii="Times New Roman" w:hAnsi="Times New Roman" w:eastAsia="仿宋" w:cs="Times New Roman"/>
          <w:b w:val="0"/>
          <w:bCs w:val="0"/>
          <w:sz w:val="32"/>
          <w:szCs w:val="32"/>
        </w:rPr>
        <w:t>年度</w:t>
      </w:r>
      <w:r>
        <w:rPr>
          <w:rFonts w:hint="eastAsia" w:eastAsia="仿宋"/>
          <w:sz w:val="32"/>
          <w:szCs w:val="32"/>
        </w:rPr>
        <w:t>一般公共预算财政拨款支出</w:t>
      </w:r>
      <w:r>
        <w:rPr>
          <w:rFonts w:hint="eastAsia" w:eastAsia="仿宋"/>
          <w:sz w:val="32"/>
          <w:szCs w:val="32"/>
          <w:lang w:val="en-US" w:eastAsia="zh-CN"/>
        </w:rPr>
        <w:t>1207.66</w:t>
      </w:r>
      <w:r>
        <w:rPr>
          <w:rFonts w:hint="eastAsia" w:eastAsia="仿宋"/>
          <w:sz w:val="32"/>
          <w:szCs w:val="32"/>
        </w:rPr>
        <w:t>万元，主要用于以下方面:</w:t>
      </w:r>
      <w:r>
        <w:rPr>
          <w:rFonts w:hint="eastAsia" w:eastAsia="仿宋"/>
          <w:b/>
          <w:bCs/>
          <w:sz w:val="32"/>
          <w:szCs w:val="32"/>
        </w:rPr>
        <w:t>一般公共服务支出</w:t>
      </w:r>
      <w:r>
        <w:rPr>
          <w:rFonts w:hint="eastAsia" w:eastAsia="仿宋"/>
          <w:sz w:val="32"/>
          <w:szCs w:val="32"/>
          <w:lang w:val="en-US" w:eastAsia="zh-CN"/>
        </w:rPr>
        <w:t>993.79</w:t>
      </w:r>
      <w:r>
        <w:rPr>
          <w:rFonts w:hint="eastAsia" w:eastAsia="仿宋"/>
          <w:sz w:val="32"/>
          <w:szCs w:val="32"/>
        </w:rPr>
        <w:t>万元，占</w:t>
      </w:r>
      <w:r>
        <w:rPr>
          <w:rFonts w:hint="eastAsia" w:eastAsia="仿宋"/>
          <w:sz w:val="32"/>
          <w:szCs w:val="32"/>
          <w:lang w:val="en-US" w:eastAsia="zh-CN"/>
        </w:rPr>
        <w:t>82.29</w:t>
      </w:r>
      <w:r>
        <w:rPr>
          <w:rFonts w:hint="eastAsia" w:eastAsia="仿宋"/>
          <w:sz w:val="32"/>
          <w:szCs w:val="32"/>
        </w:rPr>
        <w:t>%；</w:t>
      </w:r>
      <w:r>
        <w:rPr>
          <w:rFonts w:hint="eastAsia" w:eastAsia="仿宋"/>
          <w:b/>
          <w:bCs/>
          <w:sz w:val="32"/>
          <w:szCs w:val="32"/>
        </w:rPr>
        <w:t>社会保障和就业支出</w:t>
      </w:r>
      <w:r>
        <w:rPr>
          <w:rFonts w:hint="eastAsia" w:eastAsia="仿宋"/>
          <w:sz w:val="32"/>
          <w:szCs w:val="32"/>
          <w:lang w:val="en-US" w:eastAsia="zh-CN"/>
        </w:rPr>
        <w:t xml:space="preserve"> 146.64</w:t>
      </w:r>
      <w:r>
        <w:rPr>
          <w:rFonts w:hint="eastAsia" w:eastAsia="仿宋"/>
          <w:sz w:val="32"/>
          <w:szCs w:val="32"/>
        </w:rPr>
        <w:t>万元，占</w:t>
      </w:r>
      <w:r>
        <w:rPr>
          <w:rFonts w:hint="eastAsia" w:eastAsia="仿宋"/>
          <w:sz w:val="32"/>
          <w:szCs w:val="32"/>
          <w:lang w:val="en-US" w:eastAsia="zh-CN"/>
        </w:rPr>
        <w:t>12.14</w:t>
      </w:r>
      <w:r>
        <w:rPr>
          <w:rFonts w:hint="eastAsia" w:eastAsia="仿宋"/>
          <w:sz w:val="32"/>
          <w:szCs w:val="32"/>
        </w:rPr>
        <w:t>%；</w:t>
      </w:r>
      <w:r>
        <w:rPr>
          <w:rFonts w:hint="eastAsia" w:eastAsia="仿宋"/>
          <w:b/>
          <w:bCs/>
          <w:sz w:val="32"/>
          <w:szCs w:val="32"/>
        </w:rPr>
        <w:t>卫生健康支出</w:t>
      </w:r>
      <w:r>
        <w:rPr>
          <w:rFonts w:hint="eastAsia" w:eastAsia="仿宋"/>
          <w:sz w:val="32"/>
          <w:szCs w:val="32"/>
          <w:lang w:val="en-US" w:eastAsia="zh-CN"/>
        </w:rPr>
        <w:t xml:space="preserve"> 19.88</w:t>
      </w:r>
      <w:r>
        <w:rPr>
          <w:rFonts w:hint="eastAsia" w:eastAsia="仿宋"/>
          <w:sz w:val="32"/>
          <w:szCs w:val="32"/>
        </w:rPr>
        <w:t>万元，占</w:t>
      </w:r>
      <w:r>
        <w:rPr>
          <w:rFonts w:hint="eastAsia" w:eastAsia="仿宋"/>
          <w:sz w:val="32"/>
          <w:szCs w:val="32"/>
          <w:lang w:val="en-US" w:eastAsia="zh-CN"/>
        </w:rPr>
        <w:t>1.65</w:t>
      </w:r>
      <w:r>
        <w:rPr>
          <w:rFonts w:hint="eastAsia" w:eastAsia="仿宋"/>
          <w:sz w:val="32"/>
          <w:szCs w:val="32"/>
        </w:rPr>
        <w:t>%；</w:t>
      </w:r>
      <w:r>
        <w:rPr>
          <w:rFonts w:hint="eastAsia" w:eastAsia="仿宋"/>
          <w:b/>
          <w:bCs/>
          <w:sz w:val="32"/>
          <w:szCs w:val="32"/>
        </w:rPr>
        <w:t>住房保障支出</w:t>
      </w:r>
      <w:r>
        <w:rPr>
          <w:rFonts w:hint="eastAsia" w:eastAsia="仿宋"/>
          <w:sz w:val="32"/>
          <w:szCs w:val="32"/>
          <w:lang w:val="en-US" w:eastAsia="zh-CN"/>
        </w:rPr>
        <w:t>47.35</w:t>
      </w:r>
      <w:r>
        <w:rPr>
          <w:rFonts w:hint="eastAsia" w:eastAsia="仿宋"/>
          <w:sz w:val="32"/>
          <w:szCs w:val="32"/>
        </w:rPr>
        <w:t>万元，占</w:t>
      </w:r>
      <w:r>
        <w:rPr>
          <w:rFonts w:hint="eastAsia" w:eastAsia="仿宋"/>
          <w:sz w:val="32"/>
          <w:szCs w:val="32"/>
          <w:lang w:val="en-US" w:eastAsia="zh-CN"/>
        </w:rPr>
        <w:t>3.92</w:t>
      </w:r>
      <w:r>
        <w:rPr>
          <w:rFonts w:hint="eastAsia" w:eastAsia="仿宋"/>
          <w:sz w:val="32"/>
          <w:szCs w:val="32"/>
        </w:rPr>
        <w:t>%。</w:t>
      </w:r>
    </w:p>
    <w:p w14:paraId="1ECF0BB2">
      <w:pPr>
        <w:spacing w:line="600" w:lineRule="exact"/>
        <w:ind w:firstLine="640"/>
        <w:jc w:val="center"/>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（图6：一般公共预算财政拨款支出决算结构）（饼状图）</w:t>
      </w:r>
    </w:p>
    <w:p w14:paraId="2A0E21BA">
      <w:pPr>
        <w:jc w:val="center"/>
        <w:rPr>
          <w:rFonts w:hint="eastAsia" w:ascii="Times New Roman" w:hAnsi="Times New Roman" w:eastAsia="仿宋_GB2312" w:cs="仿宋_GB2312"/>
          <w:color w:val="auto"/>
          <w:kern w:val="2"/>
          <w:sz w:val="32"/>
          <w:szCs w:val="32"/>
          <w:highlight w:val="none"/>
          <w:lang w:val="en-US" w:eastAsia="zh-CN" w:bidi="ar-SA"/>
        </w:rPr>
      </w:pPr>
      <w:r>
        <w:rPr>
          <w:rFonts w:hint="eastAsia" w:ascii="仿宋" w:hAnsi="仿宋" w:eastAsia="仿宋"/>
          <w:sz w:val="32"/>
          <w:szCs w:val="32"/>
        </w:rPr>
        <w:drawing>
          <wp:inline distT="0" distB="0" distL="114300" distR="114300">
            <wp:extent cx="4424680" cy="2947670"/>
            <wp:effectExtent l="4445" t="4445" r="9525" b="1968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AE60E0E">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26" w:name="_Toc15377212"/>
      <w:r>
        <w:rPr>
          <w:rFonts w:hint="eastAsia" w:ascii="Times New Roman" w:hAnsi="Times New Roman" w:eastAsia="楷体_GB2312" w:cs="楷体_GB2312"/>
          <w:b/>
          <w:color w:val="auto"/>
          <w:sz w:val="32"/>
          <w:szCs w:val="32"/>
          <w:highlight w:val="none"/>
        </w:rPr>
        <w:t>（三）一般公共预算财政拨款支出决算具体情况</w:t>
      </w:r>
      <w:bookmarkEnd w:id="26"/>
    </w:p>
    <w:p w14:paraId="0C11A8E4">
      <w:pPr>
        <w:spacing w:line="600" w:lineRule="exact"/>
        <w:ind w:firstLine="640" w:firstLineChars="200"/>
        <w:outlineLvl w:val="1"/>
        <w:rPr>
          <w:rFonts w:hint="eastAsia" w:ascii="Times New Roman" w:hAnsi="Times New Roman" w:eastAsia="仿宋" w:cs="Times New Roman"/>
          <w:sz w:val="32"/>
          <w:szCs w:val="32"/>
          <w:lang w:val="en-US" w:eastAsia="zh-CN"/>
        </w:rPr>
      </w:pPr>
      <w:bookmarkStart w:id="27" w:name="_Toc15377444"/>
      <w:bookmarkStart w:id="28" w:name="_Toc15378460"/>
      <w:bookmarkStart w:id="29" w:name="_Toc15377213"/>
      <w:r>
        <w:rPr>
          <w:rFonts w:hint="eastAsia" w:ascii="Times New Roman" w:hAnsi="Times New Roman" w:eastAsia="仿宋" w:cs="Times New Roman"/>
          <w:sz w:val="32"/>
          <w:szCs w:val="32"/>
          <w:lang w:val="en-US" w:eastAsia="zh-CN"/>
        </w:rPr>
        <w:t>2024年度一般公共预算财政拨款支出决算数为1207.66万元，完成预算100%。其中：</w:t>
      </w:r>
      <w:bookmarkEnd w:id="27"/>
      <w:bookmarkEnd w:id="28"/>
      <w:bookmarkEnd w:id="29"/>
    </w:p>
    <w:p w14:paraId="013F61C5">
      <w:pPr>
        <w:numPr>
          <w:ilvl w:val="0"/>
          <w:numId w:val="0"/>
        </w:numPr>
        <w:spacing w:line="600" w:lineRule="exact"/>
        <w:ind w:firstLine="640" w:firstLineChars="200"/>
        <w:rPr>
          <w:rFonts w:eastAsia="仿宋_GB2312"/>
          <w:color w:val="000000"/>
          <w:sz w:val="32"/>
          <w:szCs w:val="32"/>
        </w:rPr>
      </w:pPr>
      <w:bookmarkStart w:id="30" w:name="_Toc15396608"/>
      <w:bookmarkStart w:id="31" w:name="_Toc15377214"/>
      <w:r>
        <w:rPr>
          <w:rFonts w:hint="eastAsia" w:eastAsia="仿宋_GB2312"/>
          <w:color w:val="000000"/>
          <w:sz w:val="32"/>
          <w:szCs w:val="32"/>
          <w:lang w:val="en-US" w:eastAsia="zh-CN"/>
        </w:rPr>
        <w:t>1.</w:t>
      </w:r>
      <w:r>
        <w:rPr>
          <w:rFonts w:eastAsia="仿宋_GB2312"/>
          <w:color w:val="000000"/>
          <w:sz w:val="32"/>
          <w:szCs w:val="32"/>
        </w:rPr>
        <w:t>一般公共服务—政府办公厅（室）及相关机构事务—行政运行:支出决算</w:t>
      </w:r>
      <w:r>
        <w:rPr>
          <w:rFonts w:hint="eastAsia" w:eastAsia="仿宋_GB2312"/>
          <w:color w:val="000000"/>
          <w:sz w:val="32"/>
          <w:szCs w:val="32"/>
          <w:lang w:val="en-US" w:eastAsia="zh-CN"/>
        </w:rPr>
        <w:t>677.59</w:t>
      </w:r>
      <w:r>
        <w:rPr>
          <w:rFonts w:hint="eastAsia" w:eastAsia="仿宋_GB2312"/>
          <w:color w:val="000000"/>
          <w:sz w:val="32"/>
          <w:szCs w:val="32"/>
        </w:rPr>
        <w:t>万</w:t>
      </w:r>
      <w:r>
        <w:rPr>
          <w:rFonts w:eastAsia="仿宋_GB2312"/>
          <w:color w:val="000000"/>
          <w:sz w:val="32"/>
          <w:szCs w:val="32"/>
        </w:rPr>
        <w:t>元，完成预算</w:t>
      </w:r>
      <w:r>
        <w:rPr>
          <w:rFonts w:hint="eastAsia" w:eastAsia="仿宋_GB2312"/>
          <w:color w:val="000000"/>
          <w:sz w:val="32"/>
          <w:szCs w:val="32"/>
          <w:lang w:val="en-US" w:eastAsia="zh-CN"/>
        </w:rPr>
        <w:t>100</w:t>
      </w:r>
      <w:r>
        <w:rPr>
          <w:rFonts w:eastAsia="仿宋_GB2312"/>
          <w:color w:val="000000"/>
          <w:sz w:val="32"/>
          <w:szCs w:val="32"/>
        </w:rPr>
        <w:t>%。</w:t>
      </w:r>
    </w:p>
    <w:p w14:paraId="79B51FC4">
      <w:pPr>
        <w:spacing w:line="600" w:lineRule="exact"/>
        <w:ind w:firstLine="640"/>
        <w:rPr>
          <w:rFonts w:hint="eastAsia" w:eastAsia="仿宋_GB2312"/>
          <w:color w:val="auto"/>
          <w:sz w:val="32"/>
          <w:szCs w:val="32"/>
          <w:lang w:val="en-US" w:eastAsia="zh-CN"/>
        </w:rPr>
      </w:pPr>
      <w:r>
        <w:rPr>
          <w:rFonts w:eastAsia="仿宋_GB2312"/>
          <w:color w:val="000000"/>
          <w:sz w:val="32"/>
          <w:szCs w:val="32"/>
        </w:rPr>
        <w:t>一般公共服务—政府办公厅（室）及相关机构事务</w:t>
      </w:r>
      <w:r>
        <w:rPr>
          <w:rFonts w:hint="eastAsia" w:eastAsia="仿宋_GB2312"/>
          <w:color w:val="000000"/>
          <w:sz w:val="32"/>
          <w:szCs w:val="32"/>
        </w:rPr>
        <w:t>—其他政府办公厅（室）及相关机构事务支出</w:t>
      </w:r>
      <w:r>
        <w:rPr>
          <w:rFonts w:hint="eastAsia" w:eastAsia="仿宋_GB2312"/>
          <w:color w:val="000000"/>
          <w:sz w:val="32"/>
          <w:szCs w:val="32"/>
          <w:lang w:eastAsia="zh-CN"/>
        </w:rPr>
        <w:t>：</w:t>
      </w:r>
      <w:r>
        <w:rPr>
          <w:rFonts w:eastAsia="仿宋_GB2312"/>
          <w:color w:val="000000"/>
          <w:sz w:val="32"/>
          <w:szCs w:val="32"/>
        </w:rPr>
        <w:t>支出决算数</w:t>
      </w:r>
      <w:r>
        <w:rPr>
          <w:rFonts w:hint="eastAsia" w:eastAsia="仿宋_GB2312"/>
          <w:color w:val="auto"/>
          <w:sz w:val="32"/>
          <w:szCs w:val="32"/>
          <w:lang w:val="en-US" w:eastAsia="zh-CN"/>
        </w:rPr>
        <w:t>316.21</w:t>
      </w:r>
      <w:r>
        <w:rPr>
          <w:rFonts w:hint="eastAsia" w:eastAsia="仿宋_GB2312"/>
          <w:color w:val="auto"/>
          <w:sz w:val="32"/>
          <w:szCs w:val="32"/>
        </w:rPr>
        <w:t>万元，</w:t>
      </w:r>
      <w:r>
        <w:rPr>
          <w:rFonts w:hint="eastAsia" w:eastAsia="仿宋_GB2312"/>
          <w:color w:val="auto"/>
          <w:sz w:val="32"/>
          <w:szCs w:val="32"/>
          <w:lang w:eastAsia="zh-CN"/>
        </w:rPr>
        <w:t>完成预算</w:t>
      </w:r>
      <w:r>
        <w:rPr>
          <w:rFonts w:hint="eastAsia" w:eastAsia="仿宋_GB2312"/>
          <w:color w:val="auto"/>
          <w:sz w:val="32"/>
          <w:szCs w:val="32"/>
          <w:lang w:val="en-US" w:eastAsia="zh-CN"/>
        </w:rPr>
        <w:t>100%。</w:t>
      </w:r>
    </w:p>
    <w:p w14:paraId="45C61F21">
      <w:pPr>
        <w:spacing w:line="600" w:lineRule="exact"/>
        <w:ind w:firstLine="640"/>
        <w:rPr>
          <w:rFonts w:eastAsia="仿宋_GB2312"/>
          <w:color w:val="000000"/>
          <w:sz w:val="32"/>
          <w:szCs w:val="32"/>
        </w:rPr>
      </w:pPr>
      <w:r>
        <w:rPr>
          <w:rFonts w:eastAsia="仿宋_GB2312"/>
          <w:color w:val="000000"/>
          <w:sz w:val="32"/>
          <w:szCs w:val="32"/>
        </w:rPr>
        <w:t>2.社会保障和就业—行政事业单位</w:t>
      </w:r>
      <w:r>
        <w:rPr>
          <w:rFonts w:hint="eastAsia" w:eastAsia="仿宋_GB2312"/>
          <w:color w:val="000000"/>
          <w:sz w:val="32"/>
          <w:szCs w:val="32"/>
        </w:rPr>
        <w:t>养老支出</w:t>
      </w:r>
      <w:r>
        <w:rPr>
          <w:rFonts w:eastAsia="仿宋_GB2312"/>
          <w:color w:val="000000"/>
          <w:sz w:val="32"/>
          <w:szCs w:val="32"/>
        </w:rPr>
        <w:t>—机关事业单位基本养老保险缴费支出: 支出决算数为</w:t>
      </w:r>
      <w:r>
        <w:rPr>
          <w:rFonts w:hint="eastAsia" w:eastAsia="仿宋_GB2312"/>
          <w:color w:val="000000"/>
          <w:sz w:val="32"/>
          <w:szCs w:val="32"/>
          <w:lang w:val="en-US" w:eastAsia="zh-CN"/>
        </w:rPr>
        <w:t>53.78</w:t>
      </w:r>
      <w:r>
        <w:rPr>
          <w:rFonts w:eastAsia="仿宋_GB2312"/>
          <w:color w:val="000000"/>
          <w:sz w:val="32"/>
          <w:szCs w:val="32"/>
        </w:rPr>
        <w:t>万元，完成预算100%。</w:t>
      </w:r>
    </w:p>
    <w:p w14:paraId="1AE10EB7">
      <w:pPr>
        <w:spacing w:line="600" w:lineRule="exact"/>
        <w:ind w:firstLine="640"/>
        <w:rPr>
          <w:rFonts w:eastAsia="仿宋_GB2312"/>
          <w:color w:val="000000"/>
          <w:sz w:val="32"/>
          <w:szCs w:val="32"/>
        </w:rPr>
      </w:pPr>
      <w:r>
        <w:rPr>
          <w:rFonts w:eastAsia="仿宋_GB2312"/>
          <w:color w:val="000000"/>
          <w:sz w:val="32"/>
          <w:szCs w:val="32"/>
        </w:rPr>
        <w:t>社会保障和就业—行政事业单位</w:t>
      </w:r>
      <w:r>
        <w:rPr>
          <w:rFonts w:hint="eastAsia" w:eastAsia="仿宋_GB2312"/>
          <w:color w:val="000000"/>
          <w:sz w:val="32"/>
          <w:szCs w:val="32"/>
        </w:rPr>
        <w:t>养老支出</w:t>
      </w:r>
      <w:r>
        <w:rPr>
          <w:rFonts w:eastAsia="仿宋_GB2312"/>
          <w:color w:val="000000"/>
          <w:sz w:val="32"/>
          <w:szCs w:val="32"/>
        </w:rPr>
        <w:t>—机关事业单位职业年金</w:t>
      </w:r>
      <w:r>
        <w:rPr>
          <w:rFonts w:hint="eastAsia" w:eastAsia="仿宋_GB2312"/>
          <w:color w:val="000000"/>
          <w:sz w:val="32"/>
          <w:szCs w:val="32"/>
        </w:rPr>
        <w:t>缴费</w:t>
      </w:r>
      <w:r>
        <w:rPr>
          <w:rFonts w:eastAsia="仿宋_GB2312"/>
          <w:color w:val="000000"/>
          <w:sz w:val="32"/>
          <w:szCs w:val="32"/>
        </w:rPr>
        <w:t>支出: 支出决算数为</w:t>
      </w:r>
      <w:r>
        <w:rPr>
          <w:rFonts w:hint="eastAsia" w:eastAsia="仿宋_GB2312"/>
          <w:color w:val="000000"/>
          <w:sz w:val="32"/>
          <w:szCs w:val="32"/>
          <w:lang w:val="en-US" w:eastAsia="zh-CN"/>
        </w:rPr>
        <w:t>30.69</w:t>
      </w:r>
      <w:r>
        <w:rPr>
          <w:rFonts w:eastAsia="仿宋_GB2312"/>
          <w:color w:val="000000"/>
          <w:sz w:val="32"/>
          <w:szCs w:val="32"/>
        </w:rPr>
        <w:t>万元，完成预算100%。</w:t>
      </w:r>
    </w:p>
    <w:p w14:paraId="45F43CF6">
      <w:pPr>
        <w:spacing w:line="600" w:lineRule="exact"/>
        <w:ind w:firstLine="640"/>
        <w:rPr>
          <w:rFonts w:eastAsia="仿宋_GB2312"/>
          <w:color w:val="000000"/>
          <w:sz w:val="32"/>
          <w:szCs w:val="32"/>
        </w:rPr>
      </w:pPr>
      <w:r>
        <w:rPr>
          <w:rFonts w:eastAsia="仿宋_GB2312"/>
          <w:color w:val="000000"/>
          <w:sz w:val="32"/>
          <w:szCs w:val="32"/>
        </w:rPr>
        <w:t>社会保障和就业—行政事业单位</w:t>
      </w:r>
      <w:r>
        <w:rPr>
          <w:rFonts w:hint="eastAsia" w:eastAsia="仿宋_GB2312"/>
          <w:color w:val="000000"/>
          <w:sz w:val="32"/>
          <w:szCs w:val="32"/>
        </w:rPr>
        <w:t>养老支出</w:t>
      </w:r>
      <w:r>
        <w:rPr>
          <w:rFonts w:eastAsia="仿宋_GB2312"/>
          <w:color w:val="000000"/>
          <w:sz w:val="32"/>
          <w:szCs w:val="32"/>
        </w:rPr>
        <w:t>—其他行政事业单位</w:t>
      </w:r>
      <w:r>
        <w:rPr>
          <w:rFonts w:hint="eastAsia" w:eastAsia="仿宋_GB2312"/>
          <w:color w:val="000000"/>
          <w:sz w:val="32"/>
          <w:szCs w:val="32"/>
        </w:rPr>
        <w:t>养老支出</w:t>
      </w:r>
      <w:r>
        <w:rPr>
          <w:rFonts w:eastAsia="仿宋_GB2312"/>
          <w:color w:val="000000"/>
          <w:sz w:val="32"/>
          <w:szCs w:val="32"/>
        </w:rPr>
        <w:t>: 支出决算数</w:t>
      </w:r>
      <w:r>
        <w:rPr>
          <w:rFonts w:hint="eastAsia" w:eastAsia="仿宋_GB2312"/>
          <w:color w:val="000000"/>
          <w:sz w:val="32"/>
          <w:szCs w:val="32"/>
          <w:lang w:val="en-US" w:eastAsia="zh-CN"/>
        </w:rPr>
        <w:t>35.58</w:t>
      </w:r>
      <w:r>
        <w:rPr>
          <w:rFonts w:eastAsia="仿宋_GB2312"/>
          <w:color w:val="000000"/>
          <w:sz w:val="32"/>
          <w:szCs w:val="32"/>
        </w:rPr>
        <w:t>万元，完成预算100%。</w:t>
      </w:r>
    </w:p>
    <w:p w14:paraId="1C928960">
      <w:pPr>
        <w:spacing w:line="600" w:lineRule="exact"/>
        <w:ind w:firstLine="64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社会保障和就业—</w:t>
      </w:r>
      <w:r>
        <w:rPr>
          <w:rFonts w:hint="eastAsia" w:ascii="Times New Roman" w:hAnsi="Times New Roman" w:eastAsia="仿宋_GB2312" w:cs="Times New Roman"/>
          <w:color w:val="000000"/>
          <w:sz w:val="32"/>
          <w:szCs w:val="32"/>
          <w:lang w:eastAsia="zh-CN"/>
        </w:rPr>
        <w:t>抚恤</w:t>
      </w:r>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lang w:eastAsia="zh-CN"/>
        </w:rPr>
        <w:t>死亡抚恤：</w:t>
      </w:r>
      <w:r>
        <w:rPr>
          <w:rFonts w:ascii="Times New Roman" w:hAnsi="Times New Roman" w:eastAsia="仿宋_GB2312" w:cs="Times New Roman"/>
          <w:color w:val="000000"/>
          <w:sz w:val="32"/>
          <w:szCs w:val="32"/>
        </w:rPr>
        <w:t>支出决算数</w:t>
      </w:r>
      <w:r>
        <w:rPr>
          <w:rFonts w:hint="eastAsia" w:ascii="Times New Roman" w:hAnsi="Times New Roman" w:eastAsia="仿宋_GB2312" w:cs="Times New Roman"/>
          <w:color w:val="000000"/>
          <w:sz w:val="32"/>
          <w:szCs w:val="32"/>
          <w:lang w:val="en-US" w:eastAsia="zh-CN"/>
        </w:rPr>
        <w:t>22.52</w:t>
      </w:r>
      <w:r>
        <w:rPr>
          <w:rFonts w:ascii="Times New Roman" w:hAnsi="Times New Roman" w:eastAsia="仿宋_GB2312" w:cs="Times New Roman"/>
          <w:color w:val="000000"/>
          <w:sz w:val="32"/>
          <w:szCs w:val="32"/>
        </w:rPr>
        <w:t>万元，完成预算100%。</w:t>
      </w:r>
    </w:p>
    <w:p w14:paraId="04F26B6F">
      <w:pPr>
        <w:spacing w:line="600" w:lineRule="exact"/>
        <w:ind w:firstLine="640"/>
      </w:pPr>
      <w:r>
        <w:rPr>
          <w:rFonts w:ascii="Times New Roman" w:hAnsi="Times New Roman" w:eastAsia="仿宋_GB2312" w:cs="Times New Roman"/>
          <w:color w:val="000000"/>
          <w:sz w:val="32"/>
          <w:szCs w:val="32"/>
        </w:rPr>
        <w:t>社会保障和就业</w:t>
      </w:r>
      <w:r>
        <w:rPr>
          <w:rFonts w:hint="eastAsia" w:ascii="Times New Roman" w:hAnsi="Times New Roman" w:eastAsia="仿宋_GB2312" w:cs="Times New Roman"/>
          <w:color w:val="000000"/>
          <w:sz w:val="32"/>
          <w:szCs w:val="32"/>
          <w:lang w:eastAsia="zh-CN"/>
        </w:rPr>
        <w:t>—其他社会保障和就业支出—其他社会保障和就业支出：</w:t>
      </w:r>
      <w:r>
        <w:rPr>
          <w:rFonts w:ascii="Times New Roman" w:hAnsi="Times New Roman" w:eastAsia="仿宋_GB2312" w:cs="Times New Roman"/>
          <w:color w:val="000000"/>
          <w:sz w:val="32"/>
          <w:szCs w:val="32"/>
        </w:rPr>
        <w:t>支出决算数</w:t>
      </w:r>
      <w:r>
        <w:rPr>
          <w:rFonts w:hint="eastAsia" w:eastAsia="仿宋_GB2312" w:cs="Times New Roman"/>
          <w:color w:val="000000"/>
          <w:sz w:val="32"/>
          <w:szCs w:val="32"/>
          <w:lang w:val="en-US" w:eastAsia="zh-CN"/>
        </w:rPr>
        <w:t>4.07</w:t>
      </w:r>
      <w:r>
        <w:rPr>
          <w:rFonts w:ascii="Times New Roman" w:hAnsi="Times New Roman" w:eastAsia="仿宋_GB2312" w:cs="Times New Roman"/>
          <w:color w:val="000000"/>
          <w:sz w:val="32"/>
          <w:szCs w:val="32"/>
        </w:rPr>
        <w:t>万元，完成预算100%。</w:t>
      </w:r>
    </w:p>
    <w:p w14:paraId="4AF458FB">
      <w:pPr>
        <w:numPr>
          <w:ilvl w:val="0"/>
          <w:numId w:val="0"/>
        </w:numPr>
        <w:spacing w:line="600" w:lineRule="exact"/>
        <w:rPr>
          <w:rFonts w:eastAsia="仿宋_GB2312"/>
          <w:color w:val="000000"/>
          <w:sz w:val="32"/>
          <w:szCs w:val="32"/>
        </w:rPr>
      </w:pPr>
      <w:r>
        <w:rPr>
          <w:rFonts w:hint="eastAsia" w:eastAsia="仿宋_GB2312"/>
          <w:color w:val="000000"/>
          <w:sz w:val="32"/>
          <w:szCs w:val="32"/>
          <w:lang w:val="en-US" w:eastAsia="zh-CN"/>
        </w:rPr>
        <w:t xml:space="preserve">    3.</w:t>
      </w:r>
      <w:r>
        <w:rPr>
          <w:rFonts w:hint="eastAsia" w:eastAsia="仿宋_GB2312"/>
          <w:color w:val="000000"/>
          <w:sz w:val="32"/>
          <w:szCs w:val="32"/>
        </w:rPr>
        <w:t>卫生健康支出</w:t>
      </w:r>
      <w:r>
        <w:rPr>
          <w:rFonts w:eastAsia="仿宋_GB2312"/>
          <w:color w:val="000000"/>
          <w:sz w:val="32"/>
          <w:szCs w:val="32"/>
        </w:rPr>
        <w:t>—行政事业单位医疗—行政单位医疗: 支出决算数</w:t>
      </w:r>
      <w:r>
        <w:rPr>
          <w:rFonts w:hint="eastAsia" w:eastAsia="仿宋_GB2312"/>
          <w:color w:val="000000"/>
          <w:sz w:val="32"/>
          <w:szCs w:val="32"/>
          <w:lang w:val="en-US" w:eastAsia="zh-CN"/>
        </w:rPr>
        <w:t>14.98</w:t>
      </w:r>
      <w:r>
        <w:rPr>
          <w:rFonts w:eastAsia="仿宋_GB2312"/>
          <w:color w:val="000000"/>
          <w:sz w:val="32"/>
          <w:szCs w:val="32"/>
        </w:rPr>
        <w:t>万元，完成预算100%。</w:t>
      </w:r>
    </w:p>
    <w:p w14:paraId="77BF9E2E">
      <w:pPr>
        <w:numPr>
          <w:ilvl w:val="0"/>
          <w:numId w:val="0"/>
        </w:numPr>
        <w:spacing w:line="600" w:lineRule="exact"/>
        <w:ind w:firstLine="640" w:firstLineChars="200"/>
        <w:rPr>
          <w:rFonts w:eastAsia="仿宋_GB2312"/>
          <w:color w:val="000000"/>
          <w:sz w:val="32"/>
          <w:szCs w:val="32"/>
        </w:rPr>
      </w:pPr>
      <w:r>
        <w:rPr>
          <w:rFonts w:hint="eastAsia" w:eastAsia="仿宋_GB2312"/>
          <w:color w:val="000000"/>
          <w:sz w:val="32"/>
          <w:szCs w:val="32"/>
        </w:rPr>
        <w:t>卫生健康支出</w:t>
      </w:r>
      <w:r>
        <w:rPr>
          <w:rFonts w:eastAsia="仿宋_GB2312"/>
          <w:color w:val="000000"/>
          <w:sz w:val="32"/>
          <w:szCs w:val="32"/>
        </w:rPr>
        <w:t>—行政事业单位医疗—</w:t>
      </w:r>
      <w:r>
        <w:rPr>
          <w:rFonts w:hint="eastAsia" w:eastAsia="仿宋_GB2312"/>
          <w:color w:val="000000"/>
          <w:sz w:val="32"/>
          <w:szCs w:val="32"/>
          <w:lang w:eastAsia="zh-CN"/>
        </w:rPr>
        <w:t>公务员医疗补助</w:t>
      </w:r>
      <w:r>
        <w:rPr>
          <w:rFonts w:eastAsia="仿宋_GB2312"/>
          <w:color w:val="000000"/>
          <w:sz w:val="32"/>
          <w:szCs w:val="32"/>
        </w:rPr>
        <w:t>: 支出决算数</w:t>
      </w:r>
      <w:r>
        <w:rPr>
          <w:rFonts w:hint="eastAsia" w:eastAsia="仿宋_GB2312"/>
          <w:color w:val="000000"/>
          <w:sz w:val="32"/>
          <w:szCs w:val="32"/>
          <w:lang w:val="en-US" w:eastAsia="zh-CN"/>
        </w:rPr>
        <w:t>4.9</w:t>
      </w:r>
      <w:r>
        <w:rPr>
          <w:rFonts w:eastAsia="仿宋_GB2312"/>
          <w:color w:val="000000"/>
          <w:sz w:val="32"/>
          <w:szCs w:val="32"/>
        </w:rPr>
        <w:t>万元，完成预算100%。</w:t>
      </w:r>
    </w:p>
    <w:p w14:paraId="1F55C044">
      <w:pPr>
        <w:spacing w:line="600" w:lineRule="exact"/>
        <w:ind w:firstLine="640"/>
        <w:rPr>
          <w:rFonts w:eastAsia="仿宋_GB2312"/>
          <w:color w:val="000000"/>
          <w:sz w:val="32"/>
          <w:szCs w:val="32"/>
        </w:rPr>
      </w:pPr>
      <w:r>
        <w:rPr>
          <w:rFonts w:eastAsia="仿宋_GB2312"/>
          <w:color w:val="000000"/>
          <w:sz w:val="32"/>
          <w:szCs w:val="32"/>
        </w:rPr>
        <w:t>4. 住房保障支出—住房改革支出—住房公积金：支出决算数为</w:t>
      </w:r>
      <w:r>
        <w:rPr>
          <w:rFonts w:hint="eastAsia" w:eastAsia="仿宋_GB2312"/>
          <w:color w:val="000000"/>
          <w:sz w:val="32"/>
          <w:szCs w:val="32"/>
          <w:lang w:val="en-US" w:eastAsia="zh-CN"/>
        </w:rPr>
        <w:t>47.35</w:t>
      </w:r>
      <w:r>
        <w:rPr>
          <w:rFonts w:eastAsia="仿宋_GB2312"/>
          <w:color w:val="000000"/>
          <w:sz w:val="32"/>
          <w:szCs w:val="32"/>
        </w:rPr>
        <w:t>万元，完成预算100%。</w:t>
      </w:r>
    </w:p>
    <w:p w14:paraId="6029CAF1">
      <w:pPr>
        <w:tabs>
          <w:tab w:val="right" w:pos="8306"/>
        </w:tabs>
        <w:spacing w:line="600" w:lineRule="exact"/>
        <w:ind w:firstLine="640"/>
        <w:outlineLvl w:val="1"/>
        <w:rPr>
          <w:rStyle w:val="30"/>
          <w:rFonts w:ascii="Times New Roman" w:hAnsi="Times New Roman"/>
          <w:color w:val="auto"/>
          <w:highlight w:val="none"/>
        </w:rPr>
      </w:pPr>
      <w:r>
        <w:rPr>
          <w:rFonts w:hint="eastAsia" w:ascii="Times New Roman" w:hAnsi="Times New Roman" w:eastAsia="黑体"/>
          <w:color w:val="auto"/>
          <w:sz w:val="32"/>
          <w:szCs w:val="32"/>
          <w:highlight w:val="none"/>
        </w:rPr>
        <w:t>六</w:t>
      </w:r>
      <w:r>
        <w:rPr>
          <w:rFonts w:hint="eastAsia" w:ascii="Times New Roman" w:hAnsi="Times New Roman" w:eastAsia="黑体"/>
          <w:b/>
          <w:color w:val="auto"/>
          <w:sz w:val="32"/>
          <w:szCs w:val="32"/>
          <w:highlight w:val="none"/>
        </w:rPr>
        <w:t>、一</w:t>
      </w:r>
      <w:r>
        <w:rPr>
          <w:rStyle w:val="30"/>
          <w:rFonts w:hint="eastAsia" w:ascii="Times New Roman" w:hAnsi="Times New Roman" w:eastAsia="黑体"/>
          <w:b w:val="0"/>
          <w:color w:val="auto"/>
          <w:highlight w:val="none"/>
        </w:rPr>
        <w:t>般公共预算财政拨款基本支出决算情况说明</w:t>
      </w:r>
      <w:bookmarkEnd w:id="30"/>
      <w:bookmarkEnd w:id="31"/>
      <w:r>
        <w:rPr>
          <w:rStyle w:val="30"/>
          <w:rFonts w:ascii="Times New Roman" w:hAnsi="Times New Roman" w:eastAsia="黑体"/>
          <w:b w:val="0"/>
          <w:color w:val="auto"/>
          <w:highlight w:val="none"/>
        </w:rPr>
        <w:tab/>
      </w:r>
    </w:p>
    <w:p w14:paraId="3BC27E46">
      <w:pPr>
        <w:spacing w:line="600" w:lineRule="exact"/>
        <w:ind w:firstLine="640"/>
        <w:rPr>
          <w:rFonts w:hint="eastAsia" w:eastAsia="仿宋_GB2312"/>
          <w:color w:val="000000"/>
          <w:sz w:val="32"/>
          <w:szCs w:val="32"/>
          <w:lang w:val="en-US" w:eastAsia="zh-CN"/>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2024年度一般公共预算财政拨款基本支</w:t>
      </w:r>
      <w:r>
        <w:rPr>
          <w:rFonts w:hint="eastAsia" w:eastAsia="仿宋_GB2312"/>
          <w:color w:val="000000"/>
          <w:sz w:val="32"/>
          <w:szCs w:val="32"/>
          <w:lang w:val="en-US" w:eastAsia="zh-CN"/>
        </w:rPr>
        <w:t>出</w:t>
      </w:r>
      <w:r>
        <w:rPr>
          <w:rFonts w:hint="eastAsia" w:eastAsia="仿宋_GB2312"/>
          <w:color w:val="000000"/>
          <w:sz w:val="32"/>
          <w:szCs w:val="32"/>
        </w:rPr>
        <w:t>1033.06</w:t>
      </w:r>
      <w:r>
        <w:rPr>
          <w:rFonts w:hint="eastAsia" w:eastAsia="仿宋_GB2312"/>
          <w:color w:val="000000"/>
          <w:sz w:val="32"/>
          <w:szCs w:val="32"/>
          <w:lang w:val="en-US" w:eastAsia="zh-CN"/>
        </w:rPr>
        <w:t>万元，其中：</w:t>
      </w:r>
    </w:p>
    <w:p w14:paraId="0DBC83B9">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olor w:val="000000"/>
          <w:sz w:val="32"/>
          <w:szCs w:val="32"/>
          <w:lang w:val="en-US" w:eastAsia="zh-CN"/>
        </w:rPr>
        <w:t>人员经费</w:t>
      </w:r>
      <w:r>
        <w:rPr>
          <w:rFonts w:hint="eastAsia" w:eastAsia="仿宋_GB2312"/>
          <w:color w:val="000000"/>
          <w:sz w:val="32"/>
          <w:szCs w:val="32"/>
        </w:rPr>
        <w:t>794.42</w:t>
      </w:r>
      <w:r>
        <w:rPr>
          <w:rFonts w:hint="eastAsia" w:eastAsia="仿宋_GB2312"/>
          <w:color w:val="000000"/>
          <w:sz w:val="32"/>
          <w:szCs w:val="32"/>
          <w:lang w:val="en-US" w:eastAsia="zh-CN"/>
        </w:rPr>
        <w:t>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hint="eastAsia" w:eastAsia="仿宋_GB2312"/>
          <w:color w:val="000000"/>
          <w:sz w:val="32"/>
          <w:szCs w:val="32"/>
          <w:lang w:val="en-US" w:eastAsia="zh-CN"/>
        </w:rPr>
        <w:br w:type="textWrapping"/>
      </w:r>
      <w:r>
        <w:rPr>
          <w:rFonts w:hint="eastAsia" w:eastAsia="仿宋_GB2312"/>
          <w:color w:val="000000"/>
          <w:sz w:val="32"/>
          <w:szCs w:val="32"/>
          <w:lang w:val="en-US" w:eastAsia="zh-CN"/>
        </w:rPr>
        <w:t>　　公用经费238.64万元，主要包括：办公费、印刷费、咨询费、手续费、水费、电费、邮电费、物业管理费、差旅费、维修（护）费、租赁费、会议费、培训费、公务接待费、劳务费、委托业务费、工会经费、福利费、公</w:t>
      </w:r>
      <w:r>
        <w:rPr>
          <w:rFonts w:hint="eastAsia" w:ascii="Times New Roman" w:hAnsi="Times New Roman" w:eastAsia="仿宋_GB2312" w:cs="仿宋_GB2312"/>
          <w:color w:val="auto"/>
          <w:kern w:val="2"/>
          <w:sz w:val="32"/>
          <w:szCs w:val="32"/>
          <w:highlight w:val="none"/>
          <w:lang w:val="en-US" w:eastAsia="zh-CN" w:bidi="ar-SA"/>
        </w:rPr>
        <w:t>务用车运行维护费、其他交通费、其他商品和服务支出、办公设备购置、其他资本性支出等。</w:t>
      </w:r>
    </w:p>
    <w:p w14:paraId="26C526E5">
      <w:pPr>
        <w:spacing w:line="600" w:lineRule="exact"/>
        <w:ind w:firstLine="640"/>
        <w:outlineLvl w:val="1"/>
        <w:rPr>
          <w:rStyle w:val="30"/>
          <w:rFonts w:ascii="Times New Roman" w:hAnsi="Times New Roman" w:eastAsia="黑体"/>
          <w:b w:val="0"/>
          <w:color w:val="auto"/>
          <w:highlight w:val="none"/>
        </w:rPr>
      </w:pPr>
      <w:bookmarkStart w:id="32" w:name="_Toc15396609"/>
      <w:bookmarkStart w:id="33" w:name="_Toc15377215"/>
      <w:r>
        <w:rPr>
          <w:rFonts w:hint="eastAsia" w:ascii="Times New Roman" w:hAnsi="Times New Roman" w:eastAsia="黑体"/>
          <w:color w:val="auto"/>
          <w:sz w:val="32"/>
          <w:szCs w:val="32"/>
          <w:highlight w:val="none"/>
        </w:rPr>
        <w:t>七、</w:t>
      </w:r>
      <w:r>
        <w:rPr>
          <w:rStyle w:val="30"/>
          <w:rFonts w:hint="eastAsia" w:ascii="Times New Roman" w:hAnsi="Times New Roman" w:eastAsia="黑体"/>
          <w:b w:val="0"/>
          <w:color w:val="auto"/>
          <w:highlight w:val="none"/>
        </w:rPr>
        <w:t>财政拨款</w:t>
      </w:r>
      <w:r>
        <w:rPr>
          <w:rStyle w:val="30"/>
          <w:rFonts w:hint="eastAsia" w:ascii="Times New Roman" w:hAnsi="Times New Roman" w:eastAsia="黑体"/>
          <w:color w:val="auto"/>
          <w:highlight w:val="none"/>
        </w:rPr>
        <w:t>“</w:t>
      </w:r>
      <w:r>
        <w:rPr>
          <w:rStyle w:val="30"/>
          <w:rFonts w:hint="eastAsia" w:ascii="Times New Roman" w:hAnsi="Times New Roman" w:eastAsia="黑体"/>
          <w:b w:val="0"/>
          <w:color w:val="auto"/>
          <w:highlight w:val="none"/>
        </w:rPr>
        <w:t>三公”经费支出决算情况说明</w:t>
      </w:r>
      <w:bookmarkEnd w:id="32"/>
      <w:bookmarkEnd w:id="33"/>
    </w:p>
    <w:p w14:paraId="5D9432D1">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34" w:name="_Toc15377216"/>
      <w:r>
        <w:rPr>
          <w:rFonts w:hint="eastAsia" w:ascii="Times New Roman" w:hAnsi="Times New Roman" w:eastAsia="楷体_GB2312" w:cs="楷体_GB2312"/>
          <w:b/>
          <w:color w:val="auto"/>
          <w:sz w:val="32"/>
          <w:szCs w:val="32"/>
          <w:highlight w:val="none"/>
        </w:rPr>
        <w:t>（一）“三公”经费财政拨款支出决算总体情况说明</w:t>
      </w:r>
      <w:bookmarkEnd w:id="34"/>
    </w:p>
    <w:p w14:paraId="77A8C5CB">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olor w:val="000000"/>
          <w:sz w:val="32"/>
          <w:szCs w:val="32"/>
          <w:lang w:val="en-US" w:eastAsia="zh-CN"/>
        </w:rPr>
        <w:t>2024年度“三公”经费财政拨款支出决算为141.94万元，完成预算100%，较上年度减少81.14万元，下降36.37%。</w:t>
      </w:r>
    </w:p>
    <w:p w14:paraId="5D894EAE">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35" w:name="_Toc15377217"/>
      <w:r>
        <w:rPr>
          <w:rFonts w:hint="eastAsia" w:ascii="Times New Roman" w:hAnsi="Times New Roman" w:eastAsia="楷体_GB2312" w:cs="楷体_GB2312"/>
          <w:b/>
          <w:color w:val="auto"/>
          <w:sz w:val="32"/>
          <w:szCs w:val="32"/>
          <w:highlight w:val="none"/>
        </w:rPr>
        <w:t>（二）“三公”经费财政拨款支出决算具体情况说明</w:t>
      </w:r>
      <w:bookmarkEnd w:id="35"/>
    </w:p>
    <w:p w14:paraId="574930EE">
      <w:pPr>
        <w:spacing w:line="600" w:lineRule="exact"/>
        <w:ind w:firstLine="640"/>
        <w:rPr>
          <w:rFonts w:hint="eastAsia" w:eastAsia="仿宋_GB2312"/>
          <w:color w:val="000000"/>
          <w:sz w:val="32"/>
          <w:szCs w:val="32"/>
          <w:lang w:val="en-US" w:eastAsia="zh-CN"/>
        </w:rPr>
      </w:pPr>
      <w:r>
        <w:rPr>
          <w:rFonts w:hint="eastAsia" w:eastAsia="仿宋_GB2312"/>
          <w:color w:val="000000"/>
          <w:sz w:val="32"/>
          <w:szCs w:val="32"/>
          <w:lang w:val="en-US" w:eastAsia="zh-CN"/>
        </w:rPr>
        <w:t>2024年度“三公”经费财政拨款支出决算中，因公出国（境）费支出决算0万元，占0%；公务用车购置及运行维护费支出决算141.6万元，占99.76%；公务接待费支出决算0.34万元，占0.24%。具体情况如下：</w:t>
      </w:r>
    </w:p>
    <w:p w14:paraId="7F3F45D9">
      <w:pPr>
        <w:spacing w:line="600" w:lineRule="exact"/>
        <w:ind w:firstLine="640"/>
        <w:rPr>
          <w:rFonts w:hint="eastAsia" w:eastAsia="仿宋_GB2312"/>
          <w:color w:val="000000"/>
          <w:sz w:val="32"/>
          <w:szCs w:val="32"/>
          <w:lang w:val="en-US" w:eastAsia="zh-CN"/>
        </w:rPr>
      </w:pPr>
      <w:r>
        <w:rPr>
          <w:rFonts w:hint="eastAsia" w:eastAsia="仿宋_GB2312"/>
          <w:color w:val="000000"/>
          <w:sz w:val="32"/>
          <w:szCs w:val="32"/>
          <w:lang w:val="en-US" w:eastAsia="zh-CN"/>
        </w:rPr>
        <w:t>（图7：“三公”经费财政拨款支出结构）（饼状图）</w:t>
      </w:r>
    </w:p>
    <w:p w14:paraId="05A2E67B">
      <w:pPr>
        <w:pStyle w:val="2"/>
        <w:jc w:val="center"/>
        <w:rPr>
          <w:rFonts w:hint="eastAsia" w:eastAsia="仿宋_GB2312"/>
          <w:color w:val="000000"/>
          <w:sz w:val="32"/>
          <w:szCs w:val="32"/>
          <w:lang w:val="en-US" w:eastAsia="zh-CN"/>
        </w:rPr>
      </w:pPr>
      <w:r>
        <w:rPr>
          <w:rFonts w:hint="eastAsia"/>
          <w:sz w:val="32"/>
          <w:szCs w:val="32"/>
        </w:rPr>
        <w:drawing>
          <wp:inline distT="0" distB="0" distL="0" distR="0">
            <wp:extent cx="4246245" cy="2171700"/>
            <wp:effectExtent l="4445" t="4445" r="16510" b="1460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FEDAAFF">
      <w:pPr>
        <w:numPr>
          <w:ilvl w:val="0"/>
          <w:numId w:val="0"/>
        </w:numPr>
        <w:spacing w:line="600" w:lineRule="exact"/>
        <w:ind w:firstLine="643" w:firstLineChars="200"/>
        <w:rPr>
          <w:rFonts w:hint="eastAsia" w:eastAsia="仿宋_GB2312" w:cs="仿宋_GB2312"/>
          <w:color w:val="auto"/>
          <w:kern w:val="2"/>
          <w:sz w:val="32"/>
          <w:szCs w:val="32"/>
          <w:highlight w:val="none"/>
          <w:lang w:val="en-US" w:eastAsia="zh-CN" w:bidi="ar-SA"/>
        </w:rPr>
      </w:pPr>
      <w:r>
        <w:rPr>
          <w:rFonts w:hint="eastAsia" w:eastAsia="仿宋_GB2312"/>
          <w:b/>
          <w:bCs/>
          <w:color w:val="000000"/>
          <w:sz w:val="32"/>
          <w:szCs w:val="32"/>
          <w:lang w:val="en-US" w:eastAsia="zh-CN"/>
        </w:rPr>
        <w:t>1.因</w:t>
      </w:r>
      <w:r>
        <w:rPr>
          <w:rFonts w:hint="eastAsia" w:eastAsia="仿宋_GB2312" w:cs="仿宋_GB2312"/>
          <w:b/>
          <w:bCs/>
          <w:color w:val="auto"/>
          <w:kern w:val="2"/>
          <w:sz w:val="32"/>
          <w:szCs w:val="32"/>
          <w:highlight w:val="none"/>
          <w:lang w:val="en-US" w:eastAsia="zh-CN" w:bidi="ar-SA"/>
        </w:rPr>
        <w:t>公出国（境）经费支出0万元，完成预算0%。</w:t>
      </w:r>
      <w:r>
        <w:rPr>
          <w:rFonts w:hint="eastAsia" w:eastAsia="仿宋_GB2312" w:cs="仿宋_GB2312"/>
          <w:color w:val="auto"/>
          <w:kern w:val="2"/>
          <w:sz w:val="32"/>
          <w:szCs w:val="32"/>
          <w:highlight w:val="none"/>
          <w:lang w:val="en-US" w:eastAsia="zh-CN" w:bidi="ar-SA"/>
        </w:rPr>
        <w:t>全年安排因公出国（境）团组0次，出国（境）0人。因公出国（境）支出决算与2023年持平。</w:t>
      </w:r>
    </w:p>
    <w:p w14:paraId="1851525B">
      <w:pPr>
        <w:numPr>
          <w:ilvl w:val="0"/>
          <w:numId w:val="0"/>
        </w:numPr>
        <w:spacing w:line="600" w:lineRule="exact"/>
        <w:ind w:firstLine="643"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b/>
          <w:bCs/>
          <w:color w:val="auto"/>
          <w:kern w:val="2"/>
          <w:sz w:val="32"/>
          <w:szCs w:val="32"/>
          <w:highlight w:val="none"/>
          <w:lang w:val="en-US" w:eastAsia="zh-CN" w:bidi="ar-SA"/>
        </w:rPr>
        <w:t>2.公务用车购置及运行维护费支出141.6万元，完成预算100%。</w:t>
      </w:r>
      <w:r>
        <w:rPr>
          <w:rFonts w:hint="eastAsia" w:eastAsia="仿宋_GB2312" w:cs="仿宋_GB2312"/>
          <w:color w:val="auto"/>
          <w:kern w:val="2"/>
          <w:sz w:val="32"/>
          <w:szCs w:val="32"/>
          <w:highlight w:val="none"/>
          <w:lang w:val="en-US" w:eastAsia="zh-CN" w:bidi="ar-SA"/>
        </w:rPr>
        <w:t>公务用车购置及运行维护费支出决算比2023年度减少79.63万元，下降35.99%。主要原因是2024年度未新购置公务用车。</w:t>
      </w:r>
    </w:p>
    <w:p w14:paraId="49A3B953">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其中：公务用车购置支</w:t>
      </w:r>
      <w:r>
        <w:rPr>
          <w:rFonts w:hint="eastAsia" w:ascii="仿宋_GB2312" w:hAnsi="仿宋_GB2312" w:eastAsia="仿宋_GB2312" w:cs="仿宋_GB2312"/>
          <w:b/>
          <w:bCs/>
          <w:color w:val="auto"/>
          <w:kern w:val="2"/>
          <w:sz w:val="32"/>
          <w:szCs w:val="32"/>
          <w:highlight w:val="none"/>
          <w:lang w:val="en-US" w:eastAsia="zh-CN" w:bidi="ar-SA"/>
        </w:rPr>
        <w:t>出</w:t>
      </w:r>
      <w:r>
        <w:rPr>
          <w:rFonts w:hint="eastAsia" w:ascii="仿宋_GB2312" w:hAnsi="仿宋_GB2312" w:eastAsia="仿宋_GB2312" w:cs="仿宋_GB2312"/>
          <w:b/>
          <w:bCs/>
          <w:sz w:val="32"/>
          <w:szCs w:val="32"/>
        </w:rPr>
        <w:t>0</w:t>
      </w:r>
      <w:r>
        <w:rPr>
          <w:rFonts w:hint="eastAsia" w:ascii="Times New Roman" w:hAnsi="Times New Roman" w:eastAsia="仿宋_GB2312" w:cs="仿宋_GB2312"/>
          <w:b/>
          <w:bCs/>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全年按规定更新购置公务用车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辆，其中：轿车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辆、金额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万元，越野车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辆、金额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万元，载客汽车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辆、金额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万元。截至2024年12月31日，单位共有公务用车</w:t>
      </w:r>
      <w:r>
        <w:rPr>
          <w:rFonts w:hint="eastAsia" w:eastAsia="仿宋_GB2312" w:cs="仿宋_GB2312"/>
          <w:color w:val="auto"/>
          <w:kern w:val="2"/>
          <w:sz w:val="32"/>
          <w:szCs w:val="32"/>
          <w:highlight w:val="none"/>
          <w:lang w:val="en-US" w:eastAsia="zh-CN" w:bidi="ar-SA"/>
        </w:rPr>
        <w:t>36</w:t>
      </w:r>
      <w:r>
        <w:rPr>
          <w:rFonts w:hint="eastAsia" w:ascii="Times New Roman" w:hAnsi="Times New Roman" w:eastAsia="仿宋_GB2312" w:cs="仿宋_GB2312"/>
          <w:color w:val="auto"/>
          <w:kern w:val="2"/>
          <w:sz w:val="32"/>
          <w:szCs w:val="32"/>
          <w:highlight w:val="none"/>
          <w:lang w:val="en-US" w:eastAsia="zh-CN" w:bidi="ar-SA"/>
        </w:rPr>
        <w:t>辆，其中：轿车</w:t>
      </w:r>
      <w:r>
        <w:rPr>
          <w:rFonts w:hint="eastAsia" w:eastAsia="仿宋_GB2312" w:cs="仿宋_GB2312"/>
          <w:color w:val="auto"/>
          <w:kern w:val="2"/>
          <w:sz w:val="32"/>
          <w:szCs w:val="32"/>
          <w:highlight w:val="none"/>
          <w:lang w:val="en-US" w:eastAsia="zh-CN" w:bidi="ar-SA"/>
        </w:rPr>
        <w:t>31</w:t>
      </w:r>
      <w:r>
        <w:rPr>
          <w:rFonts w:hint="eastAsia" w:ascii="Times New Roman" w:hAnsi="Times New Roman" w:eastAsia="仿宋_GB2312" w:cs="仿宋_GB2312"/>
          <w:color w:val="auto"/>
          <w:kern w:val="2"/>
          <w:sz w:val="32"/>
          <w:szCs w:val="32"/>
          <w:highlight w:val="none"/>
          <w:lang w:val="en-US" w:eastAsia="zh-CN" w:bidi="ar-SA"/>
        </w:rPr>
        <w:t>辆、越野车</w:t>
      </w:r>
      <w:r>
        <w:rPr>
          <w:rFonts w:hint="eastAsia"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en-US" w:eastAsia="zh-CN" w:bidi="ar-SA"/>
        </w:rPr>
        <w:t>辆、载客汽车</w:t>
      </w:r>
      <w:r>
        <w:rPr>
          <w:rFonts w:hint="eastAsia"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en-US" w:eastAsia="zh-CN" w:bidi="ar-SA"/>
        </w:rPr>
        <w:t>辆。</w:t>
      </w:r>
    </w:p>
    <w:p w14:paraId="452A8692">
      <w:pPr>
        <w:spacing w:line="600" w:lineRule="exact"/>
        <w:ind w:firstLine="640"/>
        <w:rPr>
          <w:rFonts w:hint="eastAsia" w:eastAsia="仿宋_GB2312"/>
          <w:color w:val="000000"/>
          <w:sz w:val="32"/>
          <w:szCs w:val="32"/>
          <w:lang w:val="en-US" w:eastAsia="zh-CN"/>
        </w:rPr>
      </w:pPr>
      <w:r>
        <w:rPr>
          <w:rFonts w:hint="eastAsia" w:ascii="Times New Roman" w:hAnsi="Times New Roman" w:eastAsia="仿宋_GB2312" w:cs="仿宋_GB2312"/>
          <w:b/>
          <w:bCs/>
          <w:color w:val="auto"/>
          <w:kern w:val="2"/>
          <w:sz w:val="32"/>
          <w:szCs w:val="32"/>
          <w:highlight w:val="none"/>
          <w:lang w:val="en-US" w:eastAsia="zh-CN" w:bidi="ar-SA"/>
        </w:rPr>
        <w:t>公务用车运行维护费支</w:t>
      </w:r>
      <w:r>
        <w:rPr>
          <w:rFonts w:hint="eastAsia" w:ascii="仿宋_GB2312" w:hAnsi="仿宋_GB2312" w:eastAsia="仿宋_GB2312" w:cs="仿宋_GB2312"/>
          <w:b/>
          <w:bCs/>
          <w:color w:val="auto"/>
          <w:kern w:val="2"/>
          <w:sz w:val="32"/>
          <w:szCs w:val="32"/>
          <w:highlight w:val="none"/>
          <w:lang w:val="en-US" w:eastAsia="zh-CN" w:bidi="ar-SA"/>
        </w:rPr>
        <w:t>出</w:t>
      </w:r>
      <w:r>
        <w:rPr>
          <w:rFonts w:hint="eastAsia" w:ascii="仿宋_GB2312" w:hAnsi="仿宋_GB2312" w:eastAsia="仿宋_GB2312" w:cs="仿宋_GB2312"/>
          <w:b/>
          <w:bCs/>
          <w:sz w:val="32"/>
          <w:szCs w:val="32"/>
        </w:rPr>
        <w:t>141.6</w:t>
      </w:r>
      <w:r>
        <w:rPr>
          <w:rFonts w:hint="eastAsia" w:ascii="Times New Roman" w:hAnsi="Times New Roman" w:eastAsia="仿宋_GB2312" w:cs="仿宋_GB2312"/>
          <w:b/>
          <w:bCs/>
          <w:color w:val="auto"/>
          <w:kern w:val="2"/>
          <w:sz w:val="32"/>
          <w:szCs w:val="32"/>
          <w:highlight w:val="none"/>
          <w:lang w:val="en-US" w:eastAsia="zh-CN" w:bidi="ar-SA"/>
        </w:rPr>
        <w:t>万元。</w:t>
      </w:r>
      <w:r>
        <w:rPr>
          <w:rFonts w:eastAsia="仿宋_GB2312"/>
          <w:color w:val="000000"/>
          <w:sz w:val="32"/>
          <w:szCs w:val="32"/>
        </w:rPr>
        <w:t>主</w:t>
      </w:r>
      <w:r>
        <w:rPr>
          <w:rFonts w:hint="eastAsia" w:eastAsia="仿宋_GB2312"/>
          <w:color w:val="000000"/>
          <w:sz w:val="32"/>
          <w:szCs w:val="32"/>
          <w:lang w:val="en-US" w:eastAsia="zh-CN"/>
        </w:rPr>
        <w:t>要用于全区统筹管理应急保障公务用车及实物保障车辆会议、出差、工作检查、调研及开展日常工作等所需的公务用车燃料费、维修费、过路过桥费、保险费等支出。</w:t>
      </w:r>
    </w:p>
    <w:p w14:paraId="078E9200">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3.公务接待费支出</w:t>
      </w:r>
      <w:r>
        <w:rPr>
          <w:rFonts w:hint="eastAsia" w:ascii="仿宋_GB2312" w:hAnsi="仿宋_GB2312" w:eastAsia="仿宋_GB2312" w:cs="仿宋_GB2312"/>
          <w:b/>
          <w:bCs/>
          <w:color w:val="auto"/>
          <w:kern w:val="2"/>
          <w:sz w:val="32"/>
          <w:szCs w:val="32"/>
          <w:highlight w:val="none"/>
          <w:lang w:val="en-US" w:eastAsia="zh-CN" w:bidi="ar-SA"/>
        </w:rPr>
        <w:t>0.34万</w:t>
      </w:r>
      <w:r>
        <w:rPr>
          <w:rFonts w:hint="eastAsia" w:ascii="Times New Roman" w:hAnsi="Times New Roman" w:eastAsia="仿宋_GB2312" w:cs="仿宋_GB2312"/>
          <w:b/>
          <w:bCs/>
          <w:color w:val="auto"/>
          <w:kern w:val="2"/>
          <w:sz w:val="32"/>
          <w:szCs w:val="32"/>
          <w:highlight w:val="none"/>
          <w:lang w:val="en-US" w:eastAsia="zh-CN" w:bidi="ar-SA"/>
        </w:rPr>
        <w:t>元，完成预算</w:t>
      </w:r>
      <w:r>
        <w:rPr>
          <w:rFonts w:hint="eastAsia" w:eastAsia="仿宋_GB2312" w:cs="仿宋_GB2312"/>
          <w:b/>
          <w:bCs/>
          <w:color w:val="auto"/>
          <w:kern w:val="2"/>
          <w:sz w:val="32"/>
          <w:szCs w:val="32"/>
          <w:highlight w:val="none"/>
          <w:lang w:val="en-US" w:eastAsia="zh-CN" w:bidi="ar-SA"/>
        </w:rPr>
        <w:t>100</w:t>
      </w:r>
      <w:r>
        <w:rPr>
          <w:rFonts w:hint="eastAsia" w:ascii="Times New Roman" w:hAnsi="Times New Roman"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公务接待费支出决算比2023年度减少</w:t>
      </w:r>
      <w:r>
        <w:rPr>
          <w:rFonts w:hint="eastAsia" w:eastAsia="仿宋_GB2312" w:cs="仿宋_GB2312"/>
          <w:color w:val="auto"/>
          <w:kern w:val="2"/>
          <w:sz w:val="32"/>
          <w:szCs w:val="32"/>
          <w:highlight w:val="none"/>
          <w:lang w:val="en-US" w:eastAsia="zh-CN" w:bidi="ar-SA"/>
        </w:rPr>
        <w:t>1.51</w:t>
      </w:r>
      <w:r>
        <w:rPr>
          <w:rFonts w:hint="eastAsia" w:ascii="Times New Roman" w:hAnsi="Times New Roman" w:eastAsia="仿宋_GB2312" w:cs="仿宋_GB2312"/>
          <w:color w:val="auto"/>
          <w:kern w:val="2"/>
          <w:sz w:val="32"/>
          <w:szCs w:val="32"/>
          <w:highlight w:val="none"/>
          <w:lang w:val="en-US" w:eastAsia="zh-CN" w:bidi="ar-SA"/>
        </w:rPr>
        <w:t>万元，下降</w:t>
      </w:r>
      <w:r>
        <w:rPr>
          <w:rFonts w:hint="eastAsia" w:eastAsia="仿宋_GB2312" w:cs="仿宋_GB2312"/>
          <w:color w:val="auto"/>
          <w:kern w:val="2"/>
          <w:sz w:val="32"/>
          <w:szCs w:val="32"/>
          <w:highlight w:val="none"/>
          <w:lang w:val="en-US" w:eastAsia="zh-CN" w:bidi="ar-SA"/>
        </w:rPr>
        <w:t>81.62</w:t>
      </w:r>
      <w:r>
        <w:rPr>
          <w:rFonts w:hint="eastAsia" w:ascii="Times New Roman" w:hAnsi="Times New Roman" w:eastAsia="仿宋_GB2312" w:cs="仿宋_GB2312"/>
          <w:color w:val="auto"/>
          <w:kern w:val="2"/>
          <w:sz w:val="32"/>
          <w:szCs w:val="32"/>
          <w:highlight w:val="none"/>
          <w:lang w:val="en-US" w:eastAsia="zh-CN" w:bidi="ar-SA"/>
        </w:rPr>
        <w:t>%。主要原因是加强管理，厉行节约。其中：</w:t>
      </w:r>
    </w:p>
    <w:p w14:paraId="616B3459">
      <w:pPr>
        <w:spacing w:line="600" w:lineRule="exact"/>
        <w:ind w:firstLine="640"/>
        <w:rPr>
          <w:rFonts w:hint="eastAsia" w:eastAsia="仿宋_GB2312"/>
          <w:color w:val="000000"/>
          <w:sz w:val="32"/>
          <w:szCs w:val="32"/>
          <w:lang w:val="en-US" w:eastAsia="zh-CN"/>
        </w:rPr>
      </w:pPr>
      <w:r>
        <w:rPr>
          <w:rFonts w:hint="eastAsia" w:ascii="Times New Roman" w:hAnsi="Times New Roman" w:eastAsia="仿宋_GB2312" w:cs="仿宋_GB2312"/>
          <w:color w:val="auto"/>
          <w:kern w:val="2"/>
          <w:sz w:val="32"/>
          <w:szCs w:val="32"/>
          <w:highlight w:val="none"/>
          <w:lang w:val="en-US" w:eastAsia="zh-CN" w:bidi="ar-SA"/>
        </w:rPr>
        <w:t>国内公务接待支出0.34万元，主要用于</w:t>
      </w:r>
      <w:r>
        <w:rPr>
          <w:rFonts w:hint="eastAsia" w:eastAsia="仿宋_GB2312"/>
          <w:color w:val="000000"/>
          <w:sz w:val="32"/>
          <w:szCs w:val="32"/>
          <w:lang w:val="en-US" w:eastAsia="zh-CN"/>
        </w:rPr>
        <w:t>执行公务、开展业务活动开支的交通费、住宿费、用餐费等。</w:t>
      </w:r>
      <w:r>
        <w:rPr>
          <w:rFonts w:hint="eastAsia" w:ascii="Times New Roman" w:hAnsi="Times New Roman" w:eastAsia="仿宋_GB2312" w:cs="仿宋_GB2312"/>
          <w:color w:val="auto"/>
          <w:kern w:val="2"/>
          <w:sz w:val="32"/>
          <w:szCs w:val="32"/>
          <w:highlight w:val="none"/>
          <w:lang w:val="en-US" w:eastAsia="zh-CN" w:bidi="ar-SA"/>
        </w:rPr>
        <w:t>国内公务接待5批次，35人次（不包括陪同人员），共计支出</w:t>
      </w:r>
      <w:r>
        <w:rPr>
          <w:rFonts w:hint="eastAsia" w:eastAsia="仿宋_GB2312" w:cs="仿宋_GB2312"/>
          <w:color w:val="auto"/>
          <w:kern w:val="2"/>
          <w:sz w:val="32"/>
          <w:szCs w:val="32"/>
          <w:highlight w:val="none"/>
          <w:lang w:val="en-US" w:eastAsia="zh-CN" w:bidi="ar-SA"/>
        </w:rPr>
        <w:t>0.34</w:t>
      </w:r>
      <w:r>
        <w:rPr>
          <w:rFonts w:hint="eastAsia" w:ascii="Times New Roman" w:hAnsi="Times New Roman" w:eastAsia="仿宋_GB2312" w:cs="仿宋_GB2312"/>
          <w:color w:val="auto"/>
          <w:kern w:val="2"/>
          <w:sz w:val="32"/>
          <w:szCs w:val="32"/>
          <w:highlight w:val="none"/>
          <w:lang w:val="en-US" w:eastAsia="zh-CN" w:bidi="ar-SA"/>
        </w:rPr>
        <w:t>万元，具体内容包括：</w:t>
      </w:r>
      <w:r>
        <w:rPr>
          <w:rFonts w:hint="eastAsia" w:eastAsia="仿宋_GB2312"/>
          <w:color w:val="000000"/>
          <w:sz w:val="32"/>
          <w:szCs w:val="32"/>
          <w:lang w:val="en-US" w:eastAsia="zh-CN"/>
        </w:rPr>
        <w:t>一是市级部门调研；二是区县交流活动。</w:t>
      </w:r>
    </w:p>
    <w:p w14:paraId="383CCBED">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外事接待支出0万元</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外事接待0批次，0人次，共计支出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w:t>
      </w:r>
      <w:bookmarkStart w:id="36" w:name="_Toc15396610"/>
      <w:bookmarkStart w:id="37" w:name="_Toc15377218"/>
    </w:p>
    <w:p w14:paraId="73DE30C6">
      <w:pPr>
        <w:spacing w:line="600" w:lineRule="exact"/>
        <w:ind w:firstLine="640"/>
        <w:outlineLvl w:val="1"/>
        <w:rPr>
          <w:rStyle w:val="30"/>
          <w:rFonts w:ascii="Times New Roman" w:hAnsi="Times New Roman" w:eastAsia="黑体"/>
          <w:color w:val="auto"/>
          <w:highlight w:val="none"/>
        </w:rPr>
      </w:pPr>
      <w:r>
        <w:rPr>
          <w:rFonts w:hint="eastAsia" w:ascii="Times New Roman" w:hAnsi="Times New Roman" w:eastAsia="黑体"/>
          <w:color w:val="auto"/>
          <w:sz w:val="32"/>
          <w:szCs w:val="32"/>
          <w:highlight w:val="none"/>
        </w:rPr>
        <w:t>八、</w:t>
      </w:r>
      <w:r>
        <w:rPr>
          <w:rStyle w:val="30"/>
          <w:rFonts w:hint="eastAsia" w:ascii="Times New Roman" w:hAnsi="Times New Roman" w:eastAsia="黑体"/>
          <w:b w:val="0"/>
          <w:color w:val="auto"/>
          <w:highlight w:val="none"/>
        </w:rPr>
        <w:t>政府性基金预算支出决算情况说明</w:t>
      </w:r>
      <w:bookmarkEnd w:id="36"/>
      <w:bookmarkEnd w:id="37"/>
    </w:p>
    <w:p w14:paraId="6E1343B9">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2024年度政府性基金预算财政拨款支出0万元，占本年支出合计的0%。与2023年度相比</w:t>
      </w:r>
      <w:r>
        <w:rPr>
          <w:rFonts w:hint="eastAsia" w:eastAsia="仿宋_GB2312" w:cs="仿宋_GB2312"/>
          <w:color w:val="auto"/>
          <w:kern w:val="2"/>
          <w:sz w:val="32"/>
          <w:szCs w:val="32"/>
          <w:highlight w:val="none"/>
          <w:lang w:val="en-US" w:eastAsia="zh-CN" w:bidi="ar-SA"/>
        </w:rPr>
        <w:t>持平。</w:t>
      </w:r>
    </w:p>
    <w:p w14:paraId="49AF988F">
      <w:pPr>
        <w:numPr>
          <w:ilvl w:val="0"/>
          <w:numId w:val="0"/>
        </w:numPr>
        <w:spacing w:line="600" w:lineRule="exact"/>
        <w:ind w:left="630" w:leftChars="0"/>
        <w:outlineLvl w:val="1"/>
        <w:rPr>
          <w:rStyle w:val="30"/>
          <w:rFonts w:ascii="Times New Roman" w:hAnsi="Times New Roman" w:eastAsia="黑体"/>
          <w:b w:val="0"/>
          <w:color w:val="auto"/>
          <w:highlight w:val="none"/>
        </w:rPr>
      </w:pPr>
      <w:bookmarkStart w:id="38" w:name="_Toc15377219"/>
      <w:bookmarkStart w:id="39" w:name="_Toc15396611"/>
      <w:r>
        <w:rPr>
          <w:rStyle w:val="30"/>
          <w:rFonts w:hint="eastAsia" w:ascii="Times New Roman" w:hAnsi="Times New Roman" w:eastAsia="黑体"/>
          <w:b w:val="0"/>
          <w:color w:val="auto"/>
          <w:highlight w:val="none"/>
          <w:lang w:eastAsia="zh-CN"/>
        </w:rPr>
        <w:t>九、</w:t>
      </w:r>
      <w:r>
        <w:rPr>
          <w:rStyle w:val="30"/>
          <w:rFonts w:hint="eastAsia" w:ascii="Times New Roman" w:hAnsi="Times New Roman" w:eastAsia="黑体"/>
          <w:b w:val="0"/>
          <w:color w:val="auto"/>
          <w:highlight w:val="none"/>
        </w:rPr>
        <w:t>国有资本经营预算支出决算情况说明</w:t>
      </w:r>
      <w:bookmarkEnd w:id="38"/>
      <w:bookmarkEnd w:id="39"/>
    </w:p>
    <w:p w14:paraId="23462647">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2024年度国有资本经营预算财政拨款支出0万元，占本年支出合计的0%。与2023年度相比持平。</w:t>
      </w:r>
    </w:p>
    <w:p w14:paraId="6AE0A0C8">
      <w:pPr>
        <w:numPr>
          <w:ilvl w:val="0"/>
          <w:numId w:val="0"/>
        </w:numPr>
        <w:spacing w:line="600" w:lineRule="exact"/>
        <w:ind w:left="630" w:leftChars="0"/>
        <w:outlineLvl w:val="1"/>
        <w:rPr>
          <w:rStyle w:val="30"/>
          <w:rFonts w:hint="eastAsia" w:ascii="Times New Roman" w:hAnsi="Times New Roman" w:eastAsia="黑体"/>
          <w:b w:val="0"/>
          <w:color w:val="auto"/>
          <w:highlight w:val="none"/>
        </w:rPr>
      </w:pPr>
      <w:bookmarkStart w:id="40" w:name="_Toc15396612"/>
      <w:bookmarkStart w:id="41" w:name="_Toc15377221"/>
      <w:r>
        <w:rPr>
          <w:rStyle w:val="30"/>
          <w:rFonts w:hint="eastAsia" w:ascii="Times New Roman" w:hAnsi="Times New Roman" w:eastAsia="黑体"/>
          <w:b w:val="0"/>
          <w:color w:val="auto"/>
          <w:highlight w:val="none"/>
          <w:lang w:eastAsia="zh-CN"/>
        </w:rPr>
        <w:t>十、</w:t>
      </w:r>
      <w:r>
        <w:rPr>
          <w:rStyle w:val="30"/>
          <w:rFonts w:hint="eastAsia" w:ascii="Times New Roman" w:hAnsi="Times New Roman" w:eastAsia="黑体"/>
          <w:b w:val="0"/>
          <w:color w:val="auto"/>
          <w:highlight w:val="none"/>
        </w:rPr>
        <w:t>其他重要事项的情况说明</w:t>
      </w:r>
      <w:bookmarkEnd w:id="40"/>
      <w:bookmarkEnd w:id="41"/>
    </w:p>
    <w:p w14:paraId="217BD5AF">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2" w:name="_Toc15377222"/>
      <w:r>
        <w:rPr>
          <w:rFonts w:hint="eastAsia" w:ascii="Times New Roman" w:hAnsi="Times New Roman" w:eastAsia="楷体_GB2312" w:cs="楷体_GB2312"/>
          <w:b/>
          <w:color w:val="auto"/>
          <w:sz w:val="32"/>
          <w:szCs w:val="32"/>
          <w:highlight w:val="none"/>
        </w:rPr>
        <w:t>（一）机关运行经费支出情况</w:t>
      </w:r>
      <w:bookmarkEnd w:id="42"/>
    </w:p>
    <w:p w14:paraId="5EE6AC6F">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sz w:val="32"/>
          <w:szCs w:val="32"/>
        </w:rPr>
        <w:t>乐山市五通桥区人民政府办公室(本级)</w:t>
      </w:r>
      <w:r>
        <w:rPr>
          <w:rFonts w:hint="eastAsia" w:ascii="仿宋_GB2312" w:hAnsi="仿宋_GB2312" w:eastAsia="仿宋_GB2312" w:cs="仿宋_GB2312"/>
          <w:color w:val="auto"/>
          <w:kern w:val="2"/>
          <w:sz w:val="32"/>
          <w:szCs w:val="32"/>
          <w:highlight w:val="none"/>
          <w:lang w:val="en-US" w:eastAsia="zh-CN" w:bidi="ar-SA"/>
        </w:rPr>
        <w:t>机关运行</w:t>
      </w:r>
      <w:r>
        <w:rPr>
          <w:rFonts w:hint="eastAsia" w:ascii="Times New Roman" w:hAnsi="Times New Roman" w:eastAsia="仿宋_GB2312" w:cs="仿宋_GB2312"/>
          <w:color w:val="auto"/>
          <w:kern w:val="2"/>
          <w:sz w:val="32"/>
          <w:szCs w:val="32"/>
          <w:highlight w:val="none"/>
          <w:lang w:val="en-US" w:eastAsia="zh-CN" w:bidi="ar-SA"/>
        </w:rPr>
        <w:t>经费支出238.64万元，比2023年度减少82.24万元，下降25.63%。主要原因是2024年度未新购</w:t>
      </w:r>
      <w:r>
        <w:rPr>
          <w:rFonts w:hint="eastAsia" w:eastAsia="仿宋_GB2312" w:cs="仿宋_GB2312"/>
          <w:color w:val="auto"/>
          <w:kern w:val="2"/>
          <w:sz w:val="32"/>
          <w:szCs w:val="32"/>
          <w:highlight w:val="none"/>
          <w:lang w:val="en-US" w:eastAsia="zh-CN" w:bidi="ar-SA"/>
        </w:rPr>
        <w:t>公务用车。</w:t>
      </w:r>
    </w:p>
    <w:p w14:paraId="274CAE24">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3" w:name="_Toc15377223"/>
      <w:r>
        <w:rPr>
          <w:rFonts w:hint="eastAsia" w:ascii="Times New Roman" w:hAnsi="Times New Roman" w:eastAsia="楷体_GB2312" w:cs="楷体_GB2312"/>
          <w:b/>
          <w:color w:val="auto"/>
          <w:sz w:val="32"/>
          <w:szCs w:val="32"/>
          <w:highlight w:val="none"/>
        </w:rPr>
        <w:t>（二）政府采购支出情况</w:t>
      </w:r>
      <w:bookmarkEnd w:id="43"/>
    </w:p>
    <w:p w14:paraId="6CA2E793">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2024年度，乐山市五通桥区人民政府办公室(本级)政府采购支出总额2.12万元，其中：政府采购货物支出2.12万元、政府采购工程支出0万元、政府采购服务支出0万元</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主要用于</w:t>
      </w:r>
      <w:r>
        <w:rPr>
          <w:rFonts w:hint="eastAsia" w:eastAsia="仿宋_GB2312" w:cs="仿宋_GB2312"/>
          <w:color w:val="auto"/>
          <w:kern w:val="2"/>
          <w:sz w:val="32"/>
          <w:szCs w:val="32"/>
          <w:highlight w:val="none"/>
          <w:lang w:val="en-US" w:eastAsia="zh-CN" w:bidi="ar-SA"/>
        </w:rPr>
        <w:t>办公设备电脑、打印机采购</w:t>
      </w:r>
      <w:r>
        <w:rPr>
          <w:rFonts w:hint="eastAsia" w:ascii="Times New Roman" w:hAnsi="Times New Roman" w:eastAsia="仿宋_GB2312" w:cs="仿宋_GB2312"/>
          <w:color w:val="auto"/>
          <w:kern w:val="2"/>
          <w:sz w:val="32"/>
          <w:szCs w:val="32"/>
          <w:highlight w:val="none"/>
          <w:lang w:val="en-US" w:eastAsia="zh-CN" w:bidi="ar-SA"/>
        </w:rPr>
        <w:t>。授予中小企业合同金额2.12万元，占政府采购支出总额的100%，其中：授予小微企业合同金额2.12万元，占政府采购支出总额的100%。</w:t>
      </w:r>
    </w:p>
    <w:p w14:paraId="2137D3F0">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4" w:name="_Toc15377224"/>
      <w:r>
        <w:rPr>
          <w:rFonts w:hint="eastAsia" w:ascii="Times New Roman" w:hAnsi="Times New Roman" w:eastAsia="楷体_GB2312" w:cs="楷体_GB2312"/>
          <w:b/>
          <w:color w:val="auto"/>
          <w:sz w:val="32"/>
          <w:szCs w:val="32"/>
          <w:highlight w:val="none"/>
        </w:rPr>
        <w:t>（三）国有资产占有使用情况</w:t>
      </w:r>
      <w:bookmarkEnd w:id="44"/>
    </w:p>
    <w:p w14:paraId="0BF55357">
      <w:pPr>
        <w:autoSpaceDE w:val="0"/>
        <w:autoSpaceDN w:val="0"/>
        <w:adjustRightInd w:val="0"/>
        <w:spacing w:line="600" w:lineRule="exact"/>
        <w:ind w:firstLine="640" w:firstLineChars="200"/>
        <w:jc w:val="left"/>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截至2024年12月31日，乐山市五通桥区人民政府办公室(本级)共有车辆36辆，其中：主要负责人用车1辆、机要通信用车0辆、应急保障用车34辆、其他用车1辆，其他用车主要是用于</w:t>
      </w:r>
      <w:r>
        <w:rPr>
          <w:rFonts w:hint="eastAsia" w:eastAsia="仿宋_GB2312" w:cs="仿宋_GB2312"/>
          <w:color w:val="auto"/>
          <w:kern w:val="2"/>
          <w:sz w:val="32"/>
          <w:szCs w:val="32"/>
          <w:highlight w:val="none"/>
          <w:lang w:val="en-US" w:eastAsia="zh-CN" w:bidi="ar-SA"/>
        </w:rPr>
        <w:t>调研用车</w:t>
      </w:r>
      <w:r>
        <w:rPr>
          <w:rFonts w:hint="eastAsia" w:ascii="Times New Roman" w:hAnsi="Times New Roman" w:eastAsia="仿宋_GB2312" w:cs="仿宋_GB2312"/>
          <w:color w:val="auto"/>
          <w:kern w:val="2"/>
          <w:sz w:val="32"/>
          <w:szCs w:val="32"/>
          <w:highlight w:val="none"/>
          <w:lang w:val="en-US" w:eastAsia="zh-CN" w:bidi="ar-SA"/>
        </w:rPr>
        <w:t>。单价100万元（含）以上设备（不含车辆）0台（套）。</w:t>
      </w:r>
      <w:r>
        <w:rPr>
          <w:rFonts w:hint="eastAsia" w:eastAsia="仿宋"/>
          <w:sz w:val="32"/>
          <w:szCs w:val="32"/>
          <w:lang w:val="en-US" w:eastAsia="zh-CN"/>
        </w:rPr>
        <w:t>区政府办公室统筹管理使用车辆71辆。</w:t>
      </w:r>
    </w:p>
    <w:p w14:paraId="54C7B26D">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r>
        <w:rPr>
          <w:rFonts w:hint="eastAsia" w:ascii="Times New Roman" w:hAnsi="Times New Roman" w:eastAsia="楷体_GB2312" w:cs="楷体_GB2312"/>
          <w:b/>
          <w:color w:val="auto"/>
          <w:sz w:val="32"/>
          <w:szCs w:val="32"/>
          <w:highlight w:val="none"/>
        </w:rPr>
        <w:t>（四）预算绩效管理情况</w:t>
      </w:r>
    </w:p>
    <w:p w14:paraId="1087E39F">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根据预算绩效管理要求，本单位在202</w:t>
      </w:r>
      <w:r>
        <w:rPr>
          <w:rFonts w:hint="eastAsia" w:eastAsia="仿宋_GB2312" w:cs="Times New Roman"/>
          <w:sz w:val="32"/>
          <w:szCs w:val="32"/>
          <w:lang w:val="en-US" w:eastAsia="zh-CN"/>
        </w:rPr>
        <w:t>4</w:t>
      </w:r>
      <w:r>
        <w:rPr>
          <w:rFonts w:hint="default" w:ascii="Times New Roman" w:hAnsi="Times New Roman" w:eastAsia="仿宋_GB2312" w:cs="Times New Roman"/>
          <w:sz w:val="32"/>
          <w:szCs w:val="32"/>
        </w:rPr>
        <w:t>年度预算编制阶段，组织组织对</w:t>
      </w:r>
      <w:r>
        <w:rPr>
          <w:rFonts w:hint="default" w:ascii="Times New Roman" w:hAnsi="Times New Roman" w:eastAsia="仿宋_GB2312" w:cs="Times New Roman"/>
          <w:sz w:val="32"/>
          <w:szCs w:val="32"/>
          <w:lang w:eastAsia="zh-CN"/>
        </w:rPr>
        <w:t>区政府大院专项经费</w:t>
      </w:r>
      <w:r>
        <w:rPr>
          <w:rFonts w:hint="default" w:ascii="Times New Roman" w:hAnsi="Times New Roman" w:eastAsia="仿宋_GB2312" w:cs="Times New Roman"/>
          <w:sz w:val="32"/>
          <w:szCs w:val="32"/>
        </w:rPr>
        <w:t>等</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rPr>
        <w:t>个项目开展了预算事前绩效评估，对</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rPr>
        <w:t>个项目编制了绩效目标，预算执行过程中，选取</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rPr>
        <w:t>个项目开展绩效监控，组织对</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rPr>
        <w:t>个项目开展绩效自评，绩效自评表详见第四部分附件。</w:t>
      </w:r>
    </w:p>
    <w:p w14:paraId="33FA4515">
      <w:pPr>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br w:type="page"/>
      </w:r>
    </w:p>
    <w:p w14:paraId="7DE444A5">
      <w:pPr>
        <w:numPr>
          <w:ilvl w:val="0"/>
          <w:numId w:val="0"/>
        </w:numPr>
        <w:spacing w:line="600" w:lineRule="exact"/>
        <w:jc w:val="center"/>
        <w:outlineLvl w:val="0"/>
        <w:rPr>
          <w:rFonts w:hint="eastAsia" w:ascii="Times New Roman" w:hAnsi="Times New Roman" w:eastAsia="黑体"/>
          <w:color w:val="auto"/>
          <w:sz w:val="44"/>
          <w:szCs w:val="44"/>
          <w:highlight w:val="none"/>
        </w:rPr>
      </w:pPr>
      <w:bookmarkStart w:id="45" w:name="_Toc15377225"/>
      <w:bookmarkStart w:id="46" w:name="_Toc15396613"/>
      <w:r>
        <w:rPr>
          <w:rFonts w:hint="eastAsia" w:ascii="Times New Roman" w:hAnsi="Times New Roman" w:eastAsia="黑体"/>
          <w:color w:val="auto"/>
          <w:sz w:val="44"/>
          <w:szCs w:val="44"/>
          <w:highlight w:val="none"/>
        </w:rPr>
        <w:t>第</w:t>
      </w:r>
      <w:r>
        <w:rPr>
          <w:rFonts w:hint="eastAsia" w:eastAsia="黑体"/>
          <w:color w:val="auto"/>
          <w:sz w:val="44"/>
          <w:szCs w:val="44"/>
          <w:highlight w:val="none"/>
          <w:lang w:eastAsia="zh-CN"/>
        </w:rPr>
        <w:t>三</w:t>
      </w:r>
      <w:r>
        <w:rPr>
          <w:rFonts w:hint="eastAsia" w:ascii="Times New Roman" w:hAnsi="Times New Roman" w:eastAsia="黑体"/>
          <w:color w:val="auto"/>
          <w:sz w:val="44"/>
          <w:szCs w:val="44"/>
          <w:highlight w:val="none"/>
        </w:rPr>
        <w:t>部分</w:t>
      </w:r>
      <w:r>
        <w:rPr>
          <w:rFonts w:hint="eastAsia" w:ascii="Times New Roman" w:hAnsi="Times New Roman" w:eastAsia="黑体"/>
          <w:color w:val="auto"/>
          <w:sz w:val="44"/>
          <w:szCs w:val="44"/>
          <w:highlight w:val="none"/>
          <w:lang w:val="en-US" w:eastAsia="zh-CN"/>
        </w:rPr>
        <w:t xml:space="preserve"> </w:t>
      </w:r>
      <w:r>
        <w:rPr>
          <w:rFonts w:hint="eastAsia"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名词解释</w:t>
      </w:r>
      <w:bookmarkEnd w:id="45"/>
      <w:bookmarkEnd w:id="46"/>
    </w:p>
    <w:p w14:paraId="432E854C">
      <w:pPr>
        <w:spacing w:line="600" w:lineRule="exact"/>
        <w:jc w:val="left"/>
        <w:rPr>
          <w:rFonts w:ascii="Times New Roman" w:hAnsi="Times New Roman"/>
          <w:b/>
          <w:color w:val="auto"/>
          <w:sz w:val="44"/>
          <w:szCs w:val="44"/>
          <w:highlight w:val="none"/>
        </w:rPr>
      </w:pPr>
    </w:p>
    <w:p w14:paraId="603BD142">
      <w:pPr>
        <w:ind w:firstLine="640" w:firstLineChars="200"/>
        <w:rPr>
          <w:rFonts w:hint="eastAsia" w:ascii="仿宋_GB2312" w:eastAsia="仿宋_GB2312"/>
          <w:sz w:val="32"/>
          <w:szCs w:val="32"/>
        </w:rPr>
      </w:pPr>
      <w:bookmarkStart w:id="47" w:name="_Toc15396614"/>
      <w:bookmarkStart w:id="48" w:name="_Toc15377226"/>
      <w:r>
        <w:rPr>
          <w:rFonts w:hint="eastAsia" w:ascii="仿宋_GB2312" w:eastAsia="仿宋_GB2312"/>
          <w:sz w:val="32"/>
          <w:szCs w:val="32"/>
        </w:rPr>
        <w:t>1.财政拨款收入：指单位从同级财政部门取得的财政预算资金。</w:t>
      </w:r>
    </w:p>
    <w:p w14:paraId="1F340D77">
      <w:pPr>
        <w:ind w:firstLine="640" w:firstLineChars="200"/>
        <w:rPr>
          <w:rFonts w:hint="eastAsia" w:ascii="仿宋_GB2312" w:eastAsia="仿宋_GB2312"/>
          <w:sz w:val="32"/>
          <w:szCs w:val="32"/>
        </w:rPr>
      </w:pPr>
      <w:r>
        <w:rPr>
          <w:rFonts w:hint="eastAsia" w:ascii="仿宋_GB2312" w:eastAsia="仿宋_GB2312"/>
          <w:sz w:val="32"/>
          <w:szCs w:val="32"/>
        </w:rPr>
        <w:t>2.事业收入：指事业单位开展专业业务活动及辅助活动取得的收入。</w:t>
      </w:r>
    </w:p>
    <w:p w14:paraId="4B38355D">
      <w:pPr>
        <w:ind w:firstLine="640" w:firstLineChars="200"/>
        <w:rPr>
          <w:rFonts w:hint="eastAsia" w:ascii="仿宋_GB2312" w:eastAsia="仿宋_GB2312"/>
          <w:sz w:val="32"/>
          <w:szCs w:val="32"/>
        </w:rPr>
      </w:pPr>
      <w:r>
        <w:rPr>
          <w:rFonts w:hint="eastAsia" w:ascii="仿宋_GB2312" w:eastAsia="仿宋_GB2312"/>
          <w:sz w:val="32"/>
          <w:szCs w:val="32"/>
        </w:rPr>
        <w:t>3.经营收入：指事业单位在专业业务活动及其辅助活动之外开展非独立核算经营活动取得的收入。</w:t>
      </w:r>
    </w:p>
    <w:p w14:paraId="099B77E1">
      <w:pPr>
        <w:ind w:firstLine="640" w:firstLineChars="200"/>
        <w:rPr>
          <w:rFonts w:hint="eastAsia" w:ascii="仿宋_GB2312" w:eastAsia="仿宋_GB2312"/>
          <w:sz w:val="32"/>
          <w:szCs w:val="32"/>
        </w:rPr>
      </w:pPr>
      <w:r>
        <w:rPr>
          <w:rFonts w:hint="eastAsia" w:ascii="仿宋_GB2312" w:eastAsia="仿宋_GB2312"/>
          <w:sz w:val="32"/>
          <w:szCs w:val="32"/>
        </w:rPr>
        <w:t xml:space="preserve">4.其他收入：指单位取得的除上述收入以外的各项收入。 </w:t>
      </w:r>
    </w:p>
    <w:p w14:paraId="38E6F945">
      <w:pPr>
        <w:ind w:firstLine="640" w:firstLineChars="200"/>
        <w:rPr>
          <w:rFonts w:hint="eastAsia" w:ascii="仿宋_GB2312" w:eastAsia="仿宋_GB2312"/>
          <w:sz w:val="32"/>
          <w:szCs w:val="32"/>
        </w:rPr>
      </w:pPr>
      <w:r>
        <w:rPr>
          <w:rFonts w:hint="eastAsia" w:ascii="仿宋_GB2312" w:eastAsia="仿宋_GB2312"/>
          <w:sz w:val="32"/>
          <w:szCs w:val="32"/>
        </w:rPr>
        <w:t xml:space="preserve">5.使用非财政拨款结余（含专用结余）：指事业单位使用以前年度积累的非财政拨款结余弥补当年收支差额的金额。 </w:t>
      </w:r>
    </w:p>
    <w:p w14:paraId="5EE33E15">
      <w:pPr>
        <w:ind w:firstLine="640" w:firstLineChars="200"/>
        <w:rPr>
          <w:rFonts w:hint="eastAsia" w:ascii="仿宋_GB2312" w:eastAsia="仿宋_GB2312"/>
          <w:sz w:val="32"/>
          <w:szCs w:val="32"/>
        </w:rPr>
      </w:pPr>
      <w:r>
        <w:rPr>
          <w:rFonts w:hint="eastAsia" w:ascii="仿宋_GB2312" w:eastAsia="仿宋_GB2312"/>
          <w:sz w:val="32"/>
          <w:szCs w:val="32"/>
        </w:rPr>
        <w:t xml:space="preserve">6.年初结转和结余：指以前年度尚未完成、结转到本年按有关规定继续使用的资金。 </w:t>
      </w:r>
    </w:p>
    <w:p w14:paraId="2C527B0F">
      <w:pPr>
        <w:ind w:firstLine="640" w:firstLineChars="200"/>
        <w:rPr>
          <w:rFonts w:hint="eastAsia" w:ascii="仿宋_GB2312" w:eastAsia="仿宋_GB2312"/>
          <w:sz w:val="32"/>
          <w:szCs w:val="32"/>
        </w:rPr>
      </w:pPr>
      <w:r>
        <w:rPr>
          <w:rFonts w:hint="eastAsia" w:ascii="仿宋_GB2312" w:eastAsia="仿宋_GB2312"/>
          <w:sz w:val="32"/>
          <w:szCs w:val="32"/>
        </w:rPr>
        <w:t>7.结余分配：指事业单位按照会计制度规定缴纳的所得税、提取的专用结余以及转入非财政拨款结余的金额等。</w:t>
      </w:r>
    </w:p>
    <w:p w14:paraId="3756B09D">
      <w:pPr>
        <w:ind w:firstLine="640" w:firstLineChars="200"/>
        <w:rPr>
          <w:rFonts w:hint="eastAsia" w:ascii="仿宋_GB2312" w:eastAsia="仿宋_GB2312"/>
          <w:sz w:val="32"/>
          <w:szCs w:val="32"/>
        </w:rPr>
      </w:pPr>
      <w:r>
        <w:rPr>
          <w:rFonts w:hint="eastAsia" w:ascii="仿宋_GB2312" w:eastAsia="仿宋_GB2312"/>
          <w:sz w:val="32"/>
          <w:szCs w:val="32"/>
        </w:rPr>
        <w:t>8.年末结转和结余：指单位按有关规定结转到下年或以后年度继续使用的资金。</w:t>
      </w:r>
    </w:p>
    <w:p w14:paraId="74B6163D">
      <w:pPr>
        <w:spacing w:line="580" w:lineRule="exact"/>
        <w:ind w:firstLine="640" w:firstLineChars="200"/>
        <w:rPr>
          <w:rFonts w:hAnsi="仿宋_GB2312" w:eastAsia="仿宋_GB2312"/>
          <w:sz w:val="32"/>
          <w:szCs w:val="32"/>
        </w:rPr>
      </w:pPr>
      <w:r>
        <w:rPr>
          <w:rFonts w:hint="eastAsia" w:ascii="仿宋_GB2312" w:eastAsia="仿宋_GB2312"/>
          <w:sz w:val="32"/>
          <w:szCs w:val="32"/>
        </w:rPr>
        <w:t>9.</w:t>
      </w:r>
      <w:r>
        <w:rPr>
          <w:rFonts w:hAnsi="仿宋_GB2312" w:eastAsia="仿宋_GB2312"/>
          <w:sz w:val="32"/>
          <w:szCs w:val="32"/>
        </w:rPr>
        <w:t>一般公共服</w:t>
      </w:r>
      <w:r>
        <w:rPr>
          <w:rFonts w:hint="eastAsia" w:hAnsi="仿宋_GB2312" w:eastAsia="仿宋_GB2312"/>
          <w:sz w:val="32"/>
          <w:szCs w:val="32"/>
        </w:rPr>
        <w:t>务201</w:t>
      </w:r>
      <w:r>
        <w:rPr>
          <w:rFonts w:hint="eastAsia" w:hAnsi="仿宋_GB2312" w:eastAsia="仿宋_GB2312"/>
          <w:sz w:val="32"/>
          <w:szCs w:val="32"/>
          <w:lang w:eastAsia="zh-CN"/>
        </w:rPr>
        <w:t>（类）</w:t>
      </w:r>
      <w:r>
        <w:rPr>
          <w:rFonts w:hint="eastAsia" w:hAnsi="仿宋_GB2312" w:eastAsia="仿宋_GB2312"/>
          <w:sz w:val="32"/>
          <w:szCs w:val="32"/>
          <w:lang w:val="en-US" w:eastAsia="zh-CN"/>
        </w:rPr>
        <w:t>03（款）01（项）：指行政运行，</w:t>
      </w:r>
      <w:r>
        <w:rPr>
          <w:rFonts w:hint="eastAsia" w:hAnsi="仿宋_GB2312" w:eastAsia="仿宋_GB2312"/>
          <w:sz w:val="32"/>
          <w:szCs w:val="32"/>
          <w:lang w:eastAsia="zh-CN"/>
        </w:rPr>
        <w:t>反映行政单位（包括实行公务员管理的事业单位）的基本支出</w:t>
      </w:r>
      <w:r>
        <w:rPr>
          <w:rFonts w:hint="eastAsia" w:hAnsi="仿宋_GB2312" w:eastAsia="仿宋_GB2312"/>
          <w:sz w:val="32"/>
          <w:szCs w:val="32"/>
        </w:rPr>
        <w:t>；201（类）03（款）02（项）</w:t>
      </w:r>
      <w:r>
        <w:rPr>
          <w:rFonts w:hint="eastAsia" w:hAnsi="仿宋_GB2312" w:eastAsia="仿宋_GB2312"/>
          <w:sz w:val="32"/>
          <w:szCs w:val="32"/>
          <w:lang w:val="en-US" w:eastAsia="zh-CN"/>
        </w:rPr>
        <w:t>：指一</w:t>
      </w:r>
      <w:r>
        <w:rPr>
          <w:rFonts w:hint="eastAsia" w:hAnsi="仿宋_GB2312" w:eastAsia="仿宋_GB2312"/>
          <w:sz w:val="32"/>
          <w:szCs w:val="32"/>
        </w:rPr>
        <w:t>般行政管理事务</w:t>
      </w:r>
      <w:r>
        <w:rPr>
          <w:rFonts w:hint="eastAsia" w:hAnsi="仿宋_GB2312" w:eastAsia="仿宋_GB2312"/>
          <w:sz w:val="32"/>
          <w:szCs w:val="32"/>
          <w:lang w:eastAsia="zh-CN"/>
        </w:rPr>
        <w:t>，反映行政单位（包括实行公务员管理的事业单位）未单独设置项级科目的其他项目支出</w:t>
      </w:r>
      <w:r>
        <w:rPr>
          <w:rFonts w:hint="eastAsia" w:hAnsi="仿宋_GB2312" w:eastAsia="仿宋_GB2312"/>
          <w:sz w:val="32"/>
          <w:szCs w:val="32"/>
        </w:rPr>
        <w:t>；201（类）03（款）99（项）：指其他政府办公厅（室）及相关机构事务支出，反映除上</w:t>
      </w:r>
      <w:r>
        <w:rPr>
          <w:rFonts w:hint="eastAsia" w:hAnsi="仿宋_GB2312" w:eastAsia="仿宋_GB2312"/>
          <w:sz w:val="32"/>
          <w:szCs w:val="32"/>
          <w:lang w:eastAsia="zh-CN"/>
        </w:rPr>
        <w:t>述</w:t>
      </w:r>
      <w:r>
        <w:rPr>
          <w:rFonts w:hint="eastAsia" w:hAnsi="仿宋_GB2312" w:eastAsia="仿宋_GB2312"/>
          <w:sz w:val="32"/>
          <w:szCs w:val="32"/>
        </w:rPr>
        <w:t>项目以</w:t>
      </w:r>
      <w:r>
        <w:rPr>
          <w:rFonts w:hint="eastAsia" w:hAnsi="仿宋_GB2312" w:eastAsia="仿宋_GB2312"/>
          <w:sz w:val="32"/>
          <w:szCs w:val="32"/>
          <w:lang w:eastAsia="zh-CN"/>
        </w:rPr>
        <w:t>外</w:t>
      </w:r>
      <w:r>
        <w:rPr>
          <w:rFonts w:hint="eastAsia" w:hAnsi="仿宋_GB2312" w:eastAsia="仿宋_GB2312"/>
          <w:sz w:val="32"/>
          <w:szCs w:val="32"/>
        </w:rPr>
        <w:t>的其他政府办公厅（室）及相关机构事务支出。</w:t>
      </w:r>
    </w:p>
    <w:p w14:paraId="63C1C1E1">
      <w:pPr>
        <w:spacing w:line="580" w:lineRule="exact"/>
        <w:ind w:firstLine="640" w:firstLineChars="200"/>
        <w:rPr>
          <w:rFonts w:hint="default" w:hAnsi="仿宋_GB2312" w:eastAsia="仿宋_GB2312"/>
          <w:sz w:val="32"/>
          <w:szCs w:val="32"/>
          <w:lang w:val="en-US" w:eastAsia="zh-CN"/>
        </w:rPr>
      </w:pPr>
      <w:r>
        <w:rPr>
          <w:rFonts w:hint="eastAsia" w:hAnsi="仿宋_GB2312" w:eastAsia="仿宋_GB2312"/>
          <w:sz w:val="32"/>
          <w:szCs w:val="32"/>
          <w:lang w:val="en-US" w:eastAsia="zh-CN"/>
        </w:rPr>
        <w:t>10</w:t>
      </w:r>
      <w:r>
        <w:rPr>
          <w:rFonts w:hint="eastAsia" w:hAnsi="仿宋_GB2312" w:eastAsia="仿宋_GB2312"/>
          <w:sz w:val="32"/>
          <w:szCs w:val="32"/>
        </w:rPr>
        <w:t>．社会保障和就业208（类）05（款）05（项）：指机关事业单位基本养老保险缴费支出</w:t>
      </w:r>
      <w:r>
        <w:rPr>
          <w:rFonts w:hint="eastAsia" w:hAnsi="仿宋_GB2312" w:eastAsia="仿宋_GB2312"/>
          <w:sz w:val="32"/>
          <w:szCs w:val="32"/>
          <w:lang w:eastAsia="zh-CN"/>
        </w:rPr>
        <w:t>，反映机关事业单位实施养老保险制度由单位缴纳的基本养老保险费支出</w:t>
      </w:r>
      <w:r>
        <w:rPr>
          <w:rFonts w:hint="eastAsia" w:hAnsi="仿宋_GB2312" w:eastAsia="仿宋_GB2312"/>
          <w:sz w:val="32"/>
          <w:szCs w:val="32"/>
        </w:rPr>
        <w:t>；社会保障和就业208（类）05（款）</w:t>
      </w:r>
      <w:r>
        <w:rPr>
          <w:rFonts w:hint="eastAsia" w:hAnsi="仿宋_GB2312" w:eastAsia="仿宋_GB2312"/>
          <w:sz w:val="32"/>
          <w:szCs w:val="32"/>
          <w:lang w:val="en-US" w:eastAsia="zh-CN"/>
        </w:rPr>
        <w:t>0</w:t>
      </w:r>
      <w:r>
        <w:rPr>
          <w:rFonts w:hint="eastAsia" w:hAnsi="仿宋_GB2312" w:eastAsia="仿宋_GB2312"/>
          <w:sz w:val="32"/>
          <w:szCs w:val="32"/>
        </w:rPr>
        <w:t>6（项）：指机关事业单位职业年金缴费支出</w:t>
      </w:r>
      <w:r>
        <w:rPr>
          <w:rFonts w:hint="eastAsia" w:hAnsi="仿宋_GB2312" w:eastAsia="仿宋_GB2312"/>
          <w:sz w:val="32"/>
          <w:szCs w:val="32"/>
          <w:lang w:eastAsia="zh-CN"/>
        </w:rPr>
        <w:t>，反映机关事业单位实施养老保险制度由单位实际缴纳的职业年金支出</w:t>
      </w:r>
      <w:r>
        <w:rPr>
          <w:rFonts w:hint="eastAsia" w:hAnsi="仿宋_GB2312" w:eastAsia="仿宋_GB2312"/>
          <w:sz w:val="32"/>
          <w:szCs w:val="32"/>
        </w:rPr>
        <w:t>；社会保障和就业208（类）05（款）99（项）：指其他行政事业单位养老支出</w:t>
      </w:r>
      <w:r>
        <w:rPr>
          <w:rFonts w:hint="eastAsia" w:hAnsi="仿宋_GB2312" w:eastAsia="仿宋_GB2312"/>
          <w:sz w:val="32"/>
          <w:szCs w:val="32"/>
          <w:lang w:eastAsia="zh-CN"/>
        </w:rPr>
        <w:t>，反映其他用于</w:t>
      </w:r>
      <w:r>
        <w:rPr>
          <w:rFonts w:hint="eastAsia" w:hAnsi="仿宋_GB2312" w:eastAsia="仿宋_GB2312"/>
          <w:sz w:val="32"/>
          <w:szCs w:val="32"/>
        </w:rPr>
        <w:t>行政事业单位养老</w:t>
      </w:r>
      <w:r>
        <w:rPr>
          <w:rFonts w:hint="eastAsia" w:hAnsi="仿宋_GB2312" w:eastAsia="仿宋_GB2312"/>
          <w:sz w:val="32"/>
          <w:szCs w:val="32"/>
          <w:lang w:eastAsia="zh-CN"/>
        </w:rPr>
        <w:t>方面的</w:t>
      </w:r>
      <w:r>
        <w:rPr>
          <w:rFonts w:hint="eastAsia" w:hAnsi="仿宋_GB2312" w:eastAsia="仿宋_GB2312"/>
          <w:sz w:val="32"/>
          <w:szCs w:val="32"/>
        </w:rPr>
        <w:t>支出</w:t>
      </w:r>
      <w:r>
        <w:rPr>
          <w:rFonts w:hint="eastAsia" w:hAnsi="仿宋_GB2312" w:eastAsia="仿宋_GB2312"/>
          <w:sz w:val="32"/>
          <w:szCs w:val="32"/>
          <w:lang w:eastAsia="zh-CN"/>
        </w:rPr>
        <w:t>；</w:t>
      </w:r>
      <w:r>
        <w:rPr>
          <w:rFonts w:hint="eastAsia" w:hAnsi="仿宋_GB2312" w:eastAsia="仿宋_GB2312"/>
          <w:sz w:val="32"/>
          <w:szCs w:val="32"/>
        </w:rPr>
        <w:t>社会保障和就业208（类）</w:t>
      </w:r>
      <w:r>
        <w:rPr>
          <w:rFonts w:hint="eastAsia" w:hAnsi="仿宋_GB2312" w:eastAsia="仿宋_GB2312"/>
          <w:sz w:val="32"/>
          <w:szCs w:val="32"/>
          <w:lang w:val="en-US" w:eastAsia="zh-CN"/>
        </w:rPr>
        <w:t>08（款）01（项）：指死亡抚恤支出，反映按规定用于烈士和牺牲、病故人员家属的一次性和定期抚恤金、丧葬补助费以及烈士褒扬金。</w:t>
      </w:r>
      <w:r>
        <w:rPr>
          <w:rFonts w:hint="eastAsia" w:hAnsi="仿宋_GB2312" w:eastAsia="仿宋_GB2312"/>
          <w:sz w:val="32"/>
          <w:szCs w:val="32"/>
        </w:rPr>
        <w:t>社会保障和就业208（类）</w:t>
      </w:r>
      <w:r>
        <w:rPr>
          <w:rFonts w:hint="eastAsia" w:hAnsi="仿宋_GB2312" w:eastAsia="仿宋_GB2312"/>
          <w:sz w:val="32"/>
          <w:szCs w:val="32"/>
          <w:lang w:val="en-US" w:eastAsia="zh-CN"/>
        </w:rPr>
        <w:t>99（款）99（项）：指其他社会保障机制和就业支出，反映除上述项目以外其他用于社会保障和就业方面的支出。</w:t>
      </w:r>
    </w:p>
    <w:p w14:paraId="2036CADE">
      <w:pPr>
        <w:spacing w:line="580" w:lineRule="exact"/>
        <w:ind w:firstLine="640" w:firstLineChars="200"/>
        <w:rPr>
          <w:rFonts w:hint="eastAsia" w:hAnsi="仿宋_GB2312" w:eastAsia="仿宋_GB2312"/>
          <w:sz w:val="32"/>
          <w:szCs w:val="32"/>
          <w:lang w:eastAsia="zh-CN"/>
        </w:rPr>
      </w:pPr>
      <w:r>
        <w:rPr>
          <w:rFonts w:hint="eastAsia" w:hAnsi="仿宋_GB2312" w:eastAsia="仿宋_GB2312"/>
          <w:sz w:val="32"/>
          <w:szCs w:val="32"/>
          <w:lang w:val="en-US" w:eastAsia="zh-CN"/>
        </w:rPr>
        <w:t>11</w:t>
      </w:r>
      <w:r>
        <w:rPr>
          <w:rFonts w:hint="eastAsia" w:hAnsi="仿宋_GB2312" w:eastAsia="仿宋_GB2312"/>
          <w:sz w:val="32"/>
          <w:szCs w:val="32"/>
        </w:rPr>
        <w:t>．卫生健康210（类）11（款）01（项）：指行政单位医疗，反映财政部门安排的行政单位</w:t>
      </w:r>
      <w:r>
        <w:rPr>
          <w:rFonts w:hint="eastAsia" w:hAnsi="仿宋_GB2312" w:eastAsia="仿宋_GB2312"/>
          <w:sz w:val="32"/>
          <w:szCs w:val="32"/>
          <w:lang w:eastAsia="zh-CN"/>
        </w:rPr>
        <w:t>（包括实行公务员管理的事业单位）</w:t>
      </w:r>
      <w:r>
        <w:rPr>
          <w:rFonts w:hint="eastAsia" w:hAnsi="仿宋_GB2312" w:eastAsia="仿宋_GB2312"/>
          <w:sz w:val="32"/>
          <w:szCs w:val="32"/>
        </w:rPr>
        <w:t>基本医疗保险缴费经费；210（类）11（款）0</w:t>
      </w:r>
      <w:r>
        <w:rPr>
          <w:rFonts w:hint="eastAsia" w:hAnsi="仿宋_GB2312" w:eastAsia="仿宋_GB2312"/>
          <w:sz w:val="32"/>
          <w:szCs w:val="32"/>
          <w:lang w:val="en-US" w:eastAsia="zh-CN"/>
        </w:rPr>
        <w:t>3</w:t>
      </w:r>
      <w:r>
        <w:rPr>
          <w:rFonts w:hint="eastAsia" w:hAnsi="仿宋_GB2312" w:eastAsia="仿宋_GB2312"/>
          <w:sz w:val="32"/>
          <w:szCs w:val="32"/>
        </w:rPr>
        <w:t>（项）：指</w:t>
      </w:r>
      <w:r>
        <w:rPr>
          <w:rFonts w:hint="eastAsia" w:hAnsi="仿宋_GB2312" w:eastAsia="仿宋_GB2312"/>
          <w:sz w:val="32"/>
          <w:szCs w:val="32"/>
          <w:lang w:eastAsia="zh-CN"/>
        </w:rPr>
        <w:t>公务员医疗补助</w:t>
      </w:r>
      <w:r>
        <w:rPr>
          <w:rFonts w:hint="eastAsia" w:hAnsi="仿宋_GB2312" w:eastAsia="仿宋_GB2312"/>
          <w:sz w:val="32"/>
          <w:szCs w:val="32"/>
        </w:rPr>
        <w:t>，反映财政部门安排的</w:t>
      </w:r>
      <w:r>
        <w:rPr>
          <w:rFonts w:hint="eastAsia" w:hAnsi="仿宋_GB2312" w:eastAsia="仿宋_GB2312"/>
          <w:sz w:val="32"/>
          <w:szCs w:val="32"/>
          <w:lang w:eastAsia="zh-CN"/>
        </w:rPr>
        <w:t>公务员医疗补助</w:t>
      </w:r>
      <w:r>
        <w:rPr>
          <w:rFonts w:hint="eastAsia" w:hAnsi="仿宋_GB2312" w:eastAsia="仿宋_GB2312"/>
          <w:sz w:val="32"/>
          <w:szCs w:val="32"/>
        </w:rPr>
        <w:t>经费</w:t>
      </w:r>
      <w:r>
        <w:rPr>
          <w:rFonts w:hint="eastAsia" w:hAnsi="仿宋_GB2312" w:eastAsia="仿宋_GB2312"/>
          <w:sz w:val="32"/>
          <w:szCs w:val="32"/>
          <w:lang w:eastAsia="zh-CN"/>
        </w:rPr>
        <w:t>。</w:t>
      </w:r>
    </w:p>
    <w:p w14:paraId="1A6237F5">
      <w:pPr>
        <w:spacing w:line="580" w:lineRule="exact"/>
        <w:ind w:firstLine="640" w:firstLineChars="200"/>
        <w:rPr>
          <w:rFonts w:hint="eastAsia" w:hAnsi="仿宋_GB2312" w:eastAsia="仿宋_GB2312"/>
          <w:sz w:val="32"/>
          <w:szCs w:val="32"/>
        </w:rPr>
      </w:pPr>
      <w:r>
        <w:rPr>
          <w:rFonts w:hint="eastAsia" w:hAnsi="仿宋_GB2312" w:eastAsia="仿宋_GB2312"/>
          <w:sz w:val="32"/>
          <w:szCs w:val="32"/>
          <w:lang w:val="en-US" w:eastAsia="zh-CN"/>
        </w:rPr>
        <w:t>12</w:t>
      </w:r>
      <w:r>
        <w:rPr>
          <w:rFonts w:hAnsi="仿宋_GB2312" w:eastAsia="仿宋_GB2312"/>
          <w:sz w:val="32"/>
          <w:szCs w:val="32"/>
        </w:rPr>
        <w:t>．住房保</w:t>
      </w:r>
      <w:r>
        <w:rPr>
          <w:rFonts w:hint="eastAsia" w:hAnsi="仿宋_GB2312" w:eastAsia="仿宋_GB2312"/>
          <w:sz w:val="32"/>
          <w:szCs w:val="32"/>
        </w:rPr>
        <w:t>障221（类）02（款）01（项）：</w:t>
      </w:r>
      <w:r>
        <w:rPr>
          <w:rFonts w:hint="eastAsia" w:hAnsi="仿宋_GB2312" w:eastAsia="仿宋_GB2312"/>
          <w:sz w:val="32"/>
          <w:szCs w:val="32"/>
          <w:lang w:eastAsia="zh-CN"/>
        </w:rPr>
        <w:t>指住房公积金，</w:t>
      </w:r>
      <w:r>
        <w:rPr>
          <w:rFonts w:hint="eastAsia" w:hAnsi="仿宋_GB2312" w:eastAsia="仿宋_GB2312"/>
          <w:sz w:val="32"/>
          <w:szCs w:val="32"/>
        </w:rPr>
        <w:t>反映行政事业单位按人力资源和社会保障部、财政部规定的基本工资和津贴补贴以及规定比例为职工缴纳的住房公积金。</w:t>
      </w:r>
    </w:p>
    <w:p w14:paraId="1149CF25">
      <w:pPr>
        <w:ind w:firstLine="640" w:firstLineChars="200"/>
        <w:rPr>
          <w:rFonts w:ascii="仿宋_GB2312" w:eastAsia="仿宋_GB2312"/>
          <w:sz w:val="32"/>
          <w:szCs w:val="32"/>
        </w:rPr>
      </w:pPr>
      <w:r>
        <w:rPr>
          <w:rFonts w:hint="eastAsia" w:ascii="仿宋_GB2312" w:eastAsia="仿宋_GB2312"/>
          <w:sz w:val="32"/>
          <w:szCs w:val="32"/>
          <w:lang w:val="en-US" w:eastAsia="zh-CN"/>
        </w:rPr>
        <w:t>13</w:t>
      </w:r>
      <w:r>
        <w:rPr>
          <w:rFonts w:hint="eastAsia" w:ascii="仿宋_GB2312" w:eastAsia="仿宋_GB2312"/>
          <w:sz w:val="32"/>
          <w:szCs w:val="32"/>
        </w:rPr>
        <w:t>.基本支出：指为保障机构正常运转、完成日常工作任务而发生的人员支出和公用支出。</w:t>
      </w:r>
    </w:p>
    <w:p w14:paraId="58897830">
      <w:pPr>
        <w:ind w:firstLine="640" w:firstLineChars="200"/>
        <w:rPr>
          <w:rFonts w:ascii="仿宋_GB2312" w:eastAsia="仿宋_GB2312"/>
          <w:sz w:val="32"/>
          <w:szCs w:val="32"/>
        </w:rPr>
      </w:pPr>
      <w:r>
        <w:rPr>
          <w:rFonts w:hint="eastAsia" w:ascii="仿宋_GB2312" w:eastAsia="仿宋_GB2312"/>
          <w:sz w:val="32"/>
          <w:szCs w:val="32"/>
          <w:lang w:val="en-US" w:eastAsia="zh-CN"/>
        </w:rPr>
        <w:t>14</w:t>
      </w:r>
      <w:r>
        <w:rPr>
          <w:rFonts w:hint="eastAsia" w:ascii="仿宋_GB2312" w:eastAsia="仿宋_GB2312"/>
          <w:sz w:val="32"/>
          <w:szCs w:val="32"/>
        </w:rPr>
        <w:t xml:space="preserve">.项目支出：指在基本支出之外为完成特定行政任务和事业发展目标所发生的支出。 </w:t>
      </w:r>
    </w:p>
    <w:p w14:paraId="265163DE">
      <w:pPr>
        <w:ind w:firstLine="640" w:firstLineChars="200"/>
        <w:rPr>
          <w:rFonts w:ascii="仿宋_GB2312" w:eastAsia="仿宋_GB2312"/>
          <w:sz w:val="32"/>
          <w:szCs w:val="32"/>
        </w:rPr>
      </w:pPr>
      <w:r>
        <w:rPr>
          <w:rFonts w:hint="eastAsia" w:ascii="仿宋_GB2312" w:eastAsia="仿宋_GB2312"/>
          <w:sz w:val="32"/>
          <w:szCs w:val="32"/>
          <w:lang w:val="en-US" w:eastAsia="zh-CN"/>
        </w:rPr>
        <w:t>15</w:t>
      </w:r>
      <w:r>
        <w:rPr>
          <w:rFonts w:hint="eastAsia" w:ascii="仿宋_GB2312" w:eastAsia="仿宋_GB2312"/>
          <w:sz w:val="32"/>
          <w:szCs w:val="32"/>
        </w:rPr>
        <w:t>.经营支出：指事业单位在专业业务活动及其辅助活动之外开展非独立核算经营活动发生的支出。</w:t>
      </w:r>
    </w:p>
    <w:p w14:paraId="4F2A1062">
      <w:pPr>
        <w:ind w:firstLine="640" w:firstLineChars="200"/>
        <w:rPr>
          <w:rFonts w:ascii="仿宋_GB2312" w:eastAsia="仿宋_GB2312"/>
          <w:sz w:val="32"/>
          <w:szCs w:val="32"/>
        </w:rPr>
      </w:pPr>
      <w:r>
        <w:rPr>
          <w:rFonts w:hint="eastAsia" w:ascii="仿宋_GB2312" w:eastAsia="仿宋_GB2312"/>
          <w:sz w:val="32"/>
          <w:szCs w:val="32"/>
          <w:lang w:val="en-US" w:eastAsia="zh-CN"/>
        </w:rPr>
        <w:t>16</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6CF468B3">
      <w:pPr>
        <w:ind w:firstLine="640" w:firstLineChars="200"/>
        <w:rPr>
          <w:rFonts w:ascii="仿宋_GB2312" w:eastAsia="仿宋_GB2312"/>
          <w:sz w:val="32"/>
          <w:szCs w:val="32"/>
        </w:rPr>
      </w:pPr>
      <w:r>
        <w:rPr>
          <w:rFonts w:hint="eastAsia" w:ascii="仿宋_GB2312" w:eastAsia="仿宋_GB2312"/>
          <w:sz w:val="32"/>
          <w:szCs w:val="32"/>
          <w:lang w:val="en-US" w:eastAsia="zh-CN"/>
        </w:rPr>
        <w:t>17</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6C3ED84">
      <w:pPr>
        <w:rPr>
          <w:rFonts w:hint="eastAsia" w:ascii="Times New Roman" w:hAnsi="Times New Roman" w:eastAsia="黑体"/>
          <w:color w:val="auto"/>
          <w:sz w:val="44"/>
          <w:szCs w:val="44"/>
          <w:highlight w:val="none"/>
        </w:rPr>
      </w:pPr>
      <w:r>
        <w:rPr>
          <w:rFonts w:hint="eastAsia" w:ascii="Times New Roman" w:hAnsi="Times New Roman" w:eastAsia="黑体"/>
          <w:color w:val="auto"/>
          <w:sz w:val="44"/>
          <w:szCs w:val="44"/>
          <w:highlight w:val="none"/>
        </w:rPr>
        <w:br w:type="page"/>
      </w:r>
    </w:p>
    <w:p w14:paraId="09AF5A7E">
      <w:pPr>
        <w:numPr>
          <w:ilvl w:val="0"/>
          <w:numId w:val="3"/>
        </w:numPr>
        <w:spacing w:line="600" w:lineRule="exact"/>
        <w:jc w:val="center"/>
        <w:rPr>
          <w:rFonts w:hint="eastAsia" w:ascii="Times New Roman" w:hAnsi="Times New Roman" w:eastAsia="黑体"/>
          <w:color w:val="auto"/>
          <w:sz w:val="44"/>
          <w:szCs w:val="44"/>
          <w:highlight w:val="none"/>
        </w:rPr>
      </w:pPr>
      <w:bookmarkStart w:id="63" w:name="_GoBack"/>
      <w:bookmarkEnd w:id="63"/>
      <w:r>
        <w:rPr>
          <w:rFonts w:hint="eastAsia" w:ascii="Times New Roman" w:hAnsi="Times New Roman" w:eastAsia="黑体"/>
          <w:color w:val="auto"/>
          <w:sz w:val="44"/>
          <w:szCs w:val="44"/>
          <w:highlight w:val="none"/>
        </w:rPr>
        <w:t xml:space="preserve"> 附件</w:t>
      </w:r>
      <w:bookmarkEnd w:id="47"/>
    </w:p>
    <w:p w14:paraId="475BCA74">
      <w:pPr>
        <w:spacing w:line="600" w:lineRule="exact"/>
        <w:jc w:val="both"/>
        <w:outlineLvl w:val="0"/>
        <w:rPr>
          <w:rFonts w:hint="eastAsia" w:ascii="黑体" w:hAnsi="黑体" w:eastAsia="黑体"/>
          <w:color w:val="FF0000"/>
          <w:sz w:val="44"/>
          <w:szCs w:val="44"/>
          <w:highlight w:val="none"/>
        </w:rPr>
      </w:pPr>
      <w:r>
        <w:rPr>
          <w:rFonts w:hint="eastAsia" w:hAnsi="Times New Roman" w:cs="Times New Roman"/>
          <w:sz w:val="32"/>
          <w:szCs w:val="32"/>
          <w:highlight w:val="none"/>
          <w:lang w:val="en-US" w:eastAsia="zh-CN"/>
        </w:rPr>
        <w:t>部门预算项目支出绩效自评表（2024年度）</w:t>
      </w:r>
    </w:p>
    <w:tbl>
      <w:tblPr>
        <w:tblStyle w:val="16"/>
        <w:tblW w:w="10733" w:type="dxa"/>
        <w:tblInd w:w="-56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85"/>
        <w:gridCol w:w="1590"/>
        <w:gridCol w:w="2918"/>
        <w:gridCol w:w="1346"/>
        <w:gridCol w:w="1161"/>
        <w:gridCol w:w="868"/>
        <w:gridCol w:w="600"/>
        <w:gridCol w:w="765"/>
      </w:tblGrid>
      <w:tr w14:paraId="3EE4B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733" w:type="dxa"/>
            <w:gridSpan w:val="8"/>
            <w:tcBorders>
              <w:top w:val="nil"/>
              <w:left w:val="nil"/>
              <w:bottom w:val="nil"/>
              <w:right w:val="nil"/>
            </w:tcBorders>
            <w:shd w:val="clear" w:color="auto" w:fill="auto"/>
            <w:noWrap/>
            <w:vAlign w:val="center"/>
          </w:tcPr>
          <w:p w14:paraId="5AFC7864">
            <w:pPr>
              <w:keepNext w:val="0"/>
              <w:keepLines w:val="0"/>
              <w:widowControl/>
              <w:suppressLineNumbers w:val="0"/>
              <w:jc w:val="center"/>
              <w:textAlignment w:val="center"/>
              <w:rPr>
                <w:rFonts w:hint="default" w:ascii="宋体" w:hAnsi="宋体" w:eastAsia="宋体" w:cs="宋体"/>
                <w:b/>
                <w:bCs/>
                <w:i w:val="0"/>
                <w:iCs w:val="0"/>
                <w:color w:val="000000"/>
                <w:sz w:val="36"/>
                <w:szCs w:val="36"/>
                <w:u w:val="none"/>
                <w:lang w:val="en-US"/>
              </w:rPr>
            </w:pPr>
            <w:bookmarkStart w:id="49" w:name="_Toc15396618"/>
            <w:r>
              <w:rPr>
                <w:rFonts w:hint="eastAsia" w:ascii="宋体" w:hAnsi="宋体" w:eastAsia="宋体" w:cs="宋体"/>
                <w:b/>
                <w:bCs/>
                <w:i w:val="0"/>
                <w:iCs w:val="0"/>
                <w:color w:val="000000"/>
                <w:kern w:val="0"/>
                <w:sz w:val="32"/>
                <w:szCs w:val="32"/>
                <w:u w:val="none"/>
                <w:lang w:val="en-US" w:eastAsia="zh-CN" w:bidi="ar"/>
              </w:rPr>
              <w:t>区级项目支出绩效自评表1</w:t>
            </w:r>
          </w:p>
        </w:tc>
      </w:tr>
      <w:tr w14:paraId="64B61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3" w:hRule="atLeast"/>
        </w:trPr>
        <w:tc>
          <w:tcPr>
            <w:tcW w:w="14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03F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45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AA6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区政府大院运行专项经费</w:t>
            </w:r>
          </w:p>
        </w:tc>
        <w:tc>
          <w:tcPr>
            <w:tcW w:w="13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846D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339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9C9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3D5B9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4" w:hRule="atLeast"/>
        </w:trPr>
        <w:tc>
          <w:tcPr>
            <w:tcW w:w="14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EA3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45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6EFF1">
            <w:pPr>
              <w:jc w:val="left"/>
              <w:rPr>
                <w:rFonts w:hint="eastAsia" w:ascii="宋体" w:hAnsi="宋体" w:eastAsia="宋体" w:cs="宋体"/>
                <w:i w:val="0"/>
                <w:iCs w:val="0"/>
                <w:color w:val="000000"/>
                <w:sz w:val="20"/>
                <w:szCs w:val="20"/>
                <w:u w:val="none"/>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A4D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339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4CD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五通桥区人民政府办公室机关</w:t>
            </w:r>
          </w:p>
        </w:tc>
      </w:tr>
      <w:tr w14:paraId="2314F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10733"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088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380650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3075" w:type="dxa"/>
            <w:gridSpan w:val="2"/>
            <w:tcBorders>
              <w:top w:val="single" w:color="000000" w:sz="4" w:space="0"/>
              <w:left w:val="single" w:color="000000" w:sz="4" w:space="0"/>
              <w:bottom w:val="single" w:color="000000" w:sz="4" w:space="0"/>
              <w:right w:val="nil"/>
            </w:tcBorders>
            <w:shd w:val="clear" w:color="auto" w:fill="auto"/>
            <w:noWrap/>
            <w:vAlign w:val="center"/>
          </w:tcPr>
          <w:p w14:paraId="246C1146">
            <w:pPr>
              <w:jc w:val="center"/>
              <w:rPr>
                <w:rFonts w:hint="eastAsia" w:ascii="宋体" w:hAnsi="宋体" w:eastAsia="宋体" w:cs="宋体"/>
                <w:i w:val="0"/>
                <w:iCs w:val="0"/>
                <w:color w:val="000000"/>
                <w:sz w:val="20"/>
                <w:szCs w:val="20"/>
                <w:u w:val="none"/>
              </w:rPr>
            </w:pPr>
          </w:p>
        </w:tc>
        <w:tc>
          <w:tcPr>
            <w:tcW w:w="2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140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5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BFE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223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BF2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2F5C3F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8" w:hRule="atLeast"/>
        </w:trPr>
        <w:tc>
          <w:tcPr>
            <w:tcW w:w="30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529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2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FAC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120.76</w:t>
            </w:r>
          </w:p>
        </w:tc>
        <w:tc>
          <w:tcPr>
            <w:tcW w:w="25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08A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120.76</w:t>
            </w:r>
          </w:p>
        </w:tc>
        <w:tc>
          <w:tcPr>
            <w:tcW w:w="223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7D4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53AB5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8" w:hRule="atLeast"/>
        </w:trPr>
        <w:tc>
          <w:tcPr>
            <w:tcW w:w="30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51C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2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50C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120.76</w:t>
            </w:r>
          </w:p>
        </w:tc>
        <w:tc>
          <w:tcPr>
            <w:tcW w:w="25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9DD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120.76</w:t>
            </w:r>
          </w:p>
        </w:tc>
        <w:tc>
          <w:tcPr>
            <w:tcW w:w="223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EDD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2C7B0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0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639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2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8F696">
            <w:pPr>
              <w:jc w:val="center"/>
              <w:rPr>
                <w:rFonts w:hint="eastAsia" w:ascii="宋体" w:hAnsi="宋体" w:eastAsia="宋体" w:cs="宋体"/>
                <w:i w:val="0"/>
                <w:iCs w:val="0"/>
                <w:color w:val="000000"/>
                <w:sz w:val="20"/>
                <w:szCs w:val="20"/>
                <w:u w:val="none"/>
              </w:rPr>
            </w:pPr>
          </w:p>
        </w:tc>
        <w:tc>
          <w:tcPr>
            <w:tcW w:w="25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16855">
            <w:pPr>
              <w:jc w:val="center"/>
              <w:rPr>
                <w:rFonts w:hint="eastAsia" w:ascii="宋体" w:hAnsi="宋体" w:eastAsia="宋体" w:cs="宋体"/>
                <w:i w:val="0"/>
                <w:iCs w:val="0"/>
                <w:color w:val="000000"/>
                <w:sz w:val="20"/>
                <w:szCs w:val="20"/>
                <w:u w:val="none"/>
              </w:rPr>
            </w:pPr>
          </w:p>
        </w:tc>
        <w:tc>
          <w:tcPr>
            <w:tcW w:w="223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4F29C">
            <w:pPr>
              <w:jc w:val="center"/>
              <w:rPr>
                <w:rFonts w:hint="eastAsia" w:ascii="宋体" w:hAnsi="宋体" w:eastAsia="宋体" w:cs="宋体"/>
                <w:i w:val="0"/>
                <w:iCs w:val="0"/>
                <w:color w:val="000000"/>
                <w:sz w:val="20"/>
                <w:szCs w:val="20"/>
                <w:u w:val="none"/>
              </w:rPr>
            </w:pPr>
          </w:p>
        </w:tc>
      </w:tr>
      <w:tr w14:paraId="6625C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3" w:hRule="atLeast"/>
        </w:trPr>
        <w:tc>
          <w:tcPr>
            <w:tcW w:w="148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AD8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45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36B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474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773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39D9D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F6376">
            <w:pPr>
              <w:jc w:val="left"/>
              <w:rPr>
                <w:rFonts w:hint="eastAsia" w:ascii="宋体" w:hAnsi="宋体" w:eastAsia="宋体" w:cs="宋体"/>
                <w:i w:val="0"/>
                <w:iCs w:val="0"/>
                <w:color w:val="000000"/>
                <w:sz w:val="20"/>
                <w:szCs w:val="20"/>
                <w:u w:val="none"/>
              </w:rPr>
            </w:pPr>
          </w:p>
        </w:tc>
        <w:tc>
          <w:tcPr>
            <w:tcW w:w="4508" w:type="dxa"/>
            <w:gridSpan w:val="2"/>
            <w:tcBorders>
              <w:top w:val="single" w:color="000000" w:sz="4" w:space="0"/>
              <w:left w:val="single" w:color="000000" w:sz="4" w:space="0"/>
              <w:bottom w:val="nil"/>
              <w:right w:val="single" w:color="000000" w:sz="4" w:space="0"/>
            </w:tcBorders>
            <w:shd w:val="clear" w:color="auto" w:fill="auto"/>
            <w:vAlign w:val="center"/>
          </w:tcPr>
          <w:p w14:paraId="7FD94D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年预计投入160万元，做好区政府大院管理维修维护，值班周转房租赁及管理，心连心运行服务、区政府各类会议保障服务，各项电子政务专网运行，区政府咨询顾问及挂职干部专项服务工作。</w:t>
            </w:r>
          </w:p>
        </w:tc>
        <w:tc>
          <w:tcPr>
            <w:tcW w:w="4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4A765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实际投入120.76万元，做好区政府大院管理维修维护，值班周转房租赁及管理，心连心运行服务，区政府各类会议保障服务，各项电子政务专网运行，区政府决策咨询顾问及挂职干部专项服务工作。</w:t>
            </w:r>
          </w:p>
        </w:tc>
      </w:tr>
      <w:tr w14:paraId="3C094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8" w:hRule="atLeast"/>
        </w:trPr>
        <w:tc>
          <w:tcPr>
            <w:tcW w:w="14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A58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3F0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C4E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3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7CE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2E2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56D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600" w:type="dxa"/>
            <w:tcBorders>
              <w:top w:val="single" w:color="000000" w:sz="4" w:space="0"/>
              <w:left w:val="nil"/>
              <w:bottom w:val="single" w:color="000000" w:sz="4" w:space="0"/>
              <w:right w:val="single" w:color="000000" w:sz="4" w:space="0"/>
            </w:tcBorders>
            <w:shd w:val="clear" w:color="auto" w:fill="auto"/>
            <w:noWrap/>
            <w:vAlign w:val="center"/>
          </w:tcPr>
          <w:p w14:paraId="7B3442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4ED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3E0F7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3" w:hRule="atLeast"/>
        </w:trPr>
        <w:tc>
          <w:tcPr>
            <w:tcW w:w="850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DBF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A81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66A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9E990">
            <w:pPr>
              <w:jc w:val="center"/>
              <w:rPr>
                <w:rFonts w:hint="eastAsia" w:ascii="宋体" w:hAnsi="宋体" w:eastAsia="宋体" w:cs="宋体"/>
                <w:i w:val="0"/>
                <w:iCs w:val="0"/>
                <w:color w:val="000000"/>
                <w:sz w:val="18"/>
                <w:szCs w:val="18"/>
                <w:u w:val="none"/>
              </w:rPr>
            </w:pPr>
          </w:p>
        </w:tc>
      </w:tr>
      <w:tr w14:paraId="28B89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993"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BC2D4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13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0378F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C72C2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7E0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00" w:type="dxa"/>
            <w:tcBorders>
              <w:top w:val="single" w:color="000000" w:sz="4" w:space="0"/>
              <w:left w:val="nil"/>
              <w:bottom w:val="single" w:color="000000" w:sz="4" w:space="0"/>
              <w:right w:val="single" w:color="000000" w:sz="4" w:space="0"/>
            </w:tcBorders>
            <w:shd w:val="clear" w:color="auto" w:fill="auto"/>
            <w:noWrap/>
            <w:vAlign w:val="center"/>
          </w:tcPr>
          <w:p w14:paraId="24B525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BAACC">
            <w:pPr>
              <w:rPr>
                <w:rFonts w:hint="eastAsia" w:ascii="宋体" w:hAnsi="宋体" w:eastAsia="宋体" w:cs="宋体"/>
                <w:i w:val="0"/>
                <w:iCs w:val="0"/>
                <w:color w:val="000000"/>
                <w:sz w:val="18"/>
                <w:szCs w:val="18"/>
                <w:u w:val="none"/>
              </w:rPr>
            </w:pPr>
          </w:p>
        </w:tc>
      </w:tr>
      <w:tr w14:paraId="78FE6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485" w:type="dxa"/>
            <w:vMerge w:val="restart"/>
            <w:tcBorders>
              <w:top w:val="single" w:color="000000" w:sz="4" w:space="0"/>
              <w:left w:val="single" w:color="000000" w:sz="4" w:space="0"/>
              <w:bottom w:val="nil"/>
              <w:right w:val="single" w:color="000000" w:sz="4" w:space="0"/>
            </w:tcBorders>
            <w:shd w:val="clear" w:color="auto" w:fill="FFFFFF"/>
            <w:vAlign w:val="center"/>
          </w:tcPr>
          <w:p w14:paraId="6BEF36B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1590" w:type="dxa"/>
            <w:tcBorders>
              <w:top w:val="single" w:color="000000" w:sz="4" w:space="0"/>
              <w:left w:val="single" w:color="000000" w:sz="4" w:space="0"/>
              <w:bottom w:val="single" w:color="000000" w:sz="4" w:space="0"/>
              <w:right w:val="nil"/>
            </w:tcBorders>
            <w:shd w:val="clear" w:color="auto" w:fill="FFFFFF"/>
            <w:noWrap/>
            <w:vAlign w:val="center"/>
          </w:tcPr>
          <w:p w14:paraId="09D16DF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29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ECF03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会议室会议物资购买批次</w:t>
            </w:r>
          </w:p>
        </w:tc>
        <w:tc>
          <w:tcPr>
            <w:tcW w:w="13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3318AF">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12批次</w:t>
            </w:r>
          </w:p>
        </w:tc>
        <w:tc>
          <w:tcPr>
            <w:tcW w:w="1161" w:type="dxa"/>
            <w:tcBorders>
              <w:top w:val="nil"/>
              <w:left w:val="nil"/>
              <w:bottom w:val="nil"/>
              <w:right w:val="nil"/>
            </w:tcBorders>
            <w:shd w:val="clear" w:color="auto" w:fill="auto"/>
            <w:vAlign w:val="center"/>
          </w:tcPr>
          <w:p w14:paraId="01BA54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14次</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EE1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00" w:type="dxa"/>
            <w:tcBorders>
              <w:top w:val="single" w:color="000000" w:sz="4" w:space="0"/>
              <w:left w:val="nil"/>
              <w:bottom w:val="single" w:color="000000" w:sz="4" w:space="0"/>
              <w:right w:val="single" w:color="000000" w:sz="4" w:space="0"/>
            </w:tcBorders>
            <w:shd w:val="clear" w:color="auto" w:fill="auto"/>
            <w:noWrap/>
            <w:vAlign w:val="center"/>
          </w:tcPr>
          <w:p w14:paraId="3B0B06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7B70F">
            <w:pPr>
              <w:rPr>
                <w:rFonts w:hint="eastAsia" w:ascii="宋体" w:hAnsi="宋体" w:eastAsia="宋体" w:cs="宋体"/>
                <w:i w:val="0"/>
                <w:iCs w:val="0"/>
                <w:color w:val="000000"/>
                <w:sz w:val="18"/>
                <w:szCs w:val="18"/>
                <w:u w:val="none"/>
              </w:rPr>
            </w:pPr>
          </w:p>
        </w:tc>
      </w:tr>
      <w:tr w14:paraId="36C44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1485" w:type="dxa"/>
            <w:vMerge w:val="continue"/>
            <w:tcBorders>
              <w:top w:val="single" w:color="000000" w:sz="4" w:space="0"/>
              <w:left w:val="single" w:color="000000" w:sz="4" w:space="0"/>
              <w:bottom w:val="nil"/>
              <w:right w:val="single" w:color="000000" w:sz="4" w:space="0"/>
            </w:tcBorders>
            <w:shd w:val="clear" w:color="auto" w:fill="FFFFFF"/>
            <w:vAlign w:val="center"/>
          </w:tcPr>
          <w:p w14:paraId="4080E0DC">
            <w:pPr>
              <w:jc w:val="center"/>
              <w:rPr>
                <w:rFonts w:hint="eastAsia" w:ascii="宋体" w:hAnsi="宋体" w:eastAsia="宋体" w:cs="宋体"/>
                <w:i w:val="0"/>
                <w:iCs w:val="0"/>
                <w:color w:val="333333"/>
                <w:sz w:val="18"/>
                <w:szCs w:val="18"/>
                <w:u w:val="none"/>
              </w:rPr>
            </w:pPr>
          </w:p>
        </w:tc>
        <w:tc>
          <w:tcPr>
            <w:tcW w:w="1590" w:type="dxa"/>
            <w:tcBorders>
              <w:top w:val="single" w:color="000000" w:sz="4" w:space="0"/>
              <w:left w:val="single" w:color="000000" w:sz="4" w:space="0"/>
              <w:bottom w:val="single" w:color="000000" w:sz="4" w:space="0"/>
              <w:right w:val="nil"/>
            </w:tcBorders>
            <w:shd w:val="clear" w:color="auto" w:fill="FFFFFF"/>
            <w:noWrap/>
            <w:vAlign w:val="center"/>
          </w:tcPr>
          <w:p w14:paraId="6C718EB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29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815C2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办公楼全年水电费支付及时率</w:t>
            </w:r>
          </w:p>
        </w:tc>
        <w:tc>
          <w:tcPr>
            <w:tcW w:w="13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5E77BF">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71541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0B1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00" w:type="dxa"/>
            <w:tcBorders>
              <w:top w:val="single" w:color="000000" w:sz="4" w:space="0"/>
              <w:left w:val="nil"/>
              <w:bottom w:val="single" w:color="000000" w:sz="4" w:space="0"/>
              <w:right w:val="single" w:color="000000" w:sz="4" w:space="0"/>
            </w:tcBorders>
            <w:shd w:val="clear" w:color="auto" w:fill="auto"/>
            <w:noWrap/>
            <w:vAlign w:val="center"/>
          </w:tcPr>
          <w:p w14:paraId="251486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B23EB">
            <w:pPr>
              <w:rPr>
                <w:rFonts w:hint="eastAsia" w:ascii="宋体" w:hAnsi="宋体" w:eastAsia="宋体" w:cs="宋体"/>
                <w:i w:val="0"/>
                <w:iCs w:val="0"/>
                <w:color w:val="000000"/>
                <w:sz w:val="18"/>
                <w:szCs w:val="18"/>
                <w:u w:val="none"/>
              </w:rPr>
            </w:pPr>
          </w:p>
        </w:tc>
      </w:tr>
      <w:tr w14:paraId="7EF2E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5" w:hRule="atLeast"/>
        </w:trPr>
        <w:tc>
          <w:tcPr>
            <w:tcW w:w="1485" w:type="dxa"/>
            <w:vMerge w:val="continue"/>
            <w:tcBorders>
              <w:top w:val="single" w:color="000000" w:sz="4" w:space="0"/>
              <w:left w:val="single" w:color="000000" w:sz="4" w:space="0"/>
              <w:bottom w:val="nil"/>
              <w:right w:val="single" w:color="000000" w:sz="4" w:space="0"/>
            </w:tcBorders>
            <w:shd w:val="clear" w:color="auto" w:fill="FFFFFF"/>
            <w:vAlign w:val="center"/>
          </w:tcPr>
          <w:p w14:paraId="77131E7F">
            <w:pPr>
              <w:jc w:val="center"/>
              <w:rPr>
                <w:rFonts w:hint="eastAsia" w:ascii="宋体" w:hAnsi="宋体" w:eastAsia="宋体" w:cs="宋体"/>
                <w:i w:val="0"/>
                <w:iCs w:val="0"/>
                <w:color w:val="333333"/>
                <w:sz w:val="18"/>
                <w:szCs w:val="18"/>
                <w:u w:val="none"/>
              </w:rPr>
            </w:pPr>
          </w:p>
        </w:tc>
        <w:tc>
          <w:tcPr>
            <w:tcW w:w="1590" w:type="dxa"/>
            <w:tcBorders>
              <w:top w:val="single" w:color="000000" w:sz="4" w:space="0"/>
              <w:left w:val="single" w:color="000000" w:sz="4" w:space="0"/>
              <w:bottom w:val="single" w:color="000000" w:sz="4" w:space="0"/>
              <w:right w:val="nil"/>
            </w:tcBorders>
            <w:shd w:val="clear" w:color="auto" w:fill="FFFFFF"/>
            <w:noWrap/>
            <w:vAlign w:val="center"/>
          </w:tcPr>
          <w:p w14:paraId="4CA7A0C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29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6495E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心连心热线办理数量</w:t>
            </w:r>
          </w:p>
        </w:tc>
        <w:tc>
          <w:tcPr>
            <w:tcW w:w="13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8FCBD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7000件次</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131C6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11000</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CE7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00" w:type="dxa"/>
            <w:tcBorders>
              <w:top w:val="single" w:color="000000" w:sz="4" w:space="0"/>
              <w:left w:val="nil"/>
              <w:bottom w:val="single" w:color="000000" w:sz="4" w:space="0"/>
              <w:right w:val="single" w:color="000000" w:sz="4" w:space="0"/>
            </w:tcBorders>
            <w:shd w:val="clear" w:color="auto" w:fill="auto"/>
            <w:noWrap/>
            <w:vAlign w:val="center"/>
          </w:tcPr>
          <w:p w14:paraId="193D4E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12994">
            <w:pPr>
              <w:rPr>
                <w:rFonts w:hint="eastAsia" w:ascii="宋体" w:hAnsi="宋体" w:eastAsia="宋体" w:cs="宋体"/>
                <w:i w:val="0"/>
                <w:iCs w:val="0"/>
                <w:color w:val="000000"/>
                <w:sz w:val="18"/>
                <w:szCs w:val="18"/>
                <w:u w:val="none"/>
              </w:rPr>
            </w:pPr>
          </w:p>
        </w:tc>
      </w:tr>
      <w:tr w14:paraId="26133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9" w:hRule="atLeast"/>
        </w:trPr>
        <w:tc>
          <w:tcPr>
            <w:tcW w:w="1485" w:type="dxa"/>
            <w:vMerge w:val="continue"/>
            <w:tcBorders>
              <w:top w:val="single" w:color="000000" w:sz="4" w:space="0"/>
              <w:left w:val="single" w:color="000000" w:sz="4" w:space="0"/>
              <w:bottom w:val="nil"/>
              <w:right w:val="single" w:color="000000" w:sz="4" w:space="0"/>
            </w:tcBorders>
            <w:shd w:val="clear" w:color="auto" w:fill="FFFFFF"/>
            <w:vAlign w:val="center"/>
          </w:tcPr>
          <w:p w14:paraId="7B3EF9AB">
            <w:pPr>
              <w:jc w:val="center"/>
              <w:rPr>
                <w:rFonts w:hint="eastAsia" w:ascii="宋体" w:hAnsi="宋体" w:eastAsia="宋体" w:cs="宋体"/>
                <w:i w:val="0"/>
                <w:iCs w:val="0"/>
                <w:color w:val="333333"/>
                <w:sz w:val="18"/>
                <w:szCs w:val="18"/>
                <w:u w:val="none"/>
              </w:rPr>
            </w:pPr>
          </w:p>
        </w:tc>
        <w:tc>
          <w:tcPr>
            <w:tcW w:w="1590" w:type="dxa"/>
            <w:tcBorders>
              <w:top w:val="single" w:color="000000" w:sz="4" w:space="0"/>
              <w:left w:val="single" w:color="000000" w:sz="4" w:space="0"/>
              <w:bottom w:val="single" w:color="000000" w:sz="4" w:space="0"/>
              <w:right w:val="nil"/>
            </w:tcBorders>
            <w:shd w:val="clear" w:color="auto" w:fill="FFFFFF"/>
            <w:noWrap/>
            <w:vAlign w:val="center"/>
          </w:tcPr>
          <w:p w14:paraId="0076A7C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29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B0A30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区政府保洁绿化及维护验收合格率</w:t>
            </w:r>
          </w:p>
        </w:tc>
        <w:tc>
          <w:tcPr>
            <w:tcW w:w="13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54F5B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9D19F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36C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00" w:type="dxa"/>
            <w:tcBorders>
              <w:top w:val="single" w:color="000000" w:sz="4" w:space="0"/>
              <w:left w:val="nil"/>
              <w:bottom w:val="single" w:color="000000" w:sz="4" w:space="0"/>
              <w:right w:val="single" w:color="000000" w:sz="4" w:space="0"/>
            </w:tcBorders>
            <w:shd w:val="clear" w:color="auto" w:fill="auto"/>
            <w:noWrap/>
            <w:vAlign w:val="center"/>
          </w:tcPr>
          <w:p w14:paraId="66ADC7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2AF17">
            <w:pPr>
              <w:rPr>
                <w:rFonts w:hint="eastAsia" w:ascii="宋体" w:hAnsi="宋体" w:eastAsia="宋体" w:cs="宋体"/>
                <w:i w:val="0"/>
                <w:iCs w:val="0"/>
                <w:color w:val="000000"/>
                <w:sz w:val="18"/>
                <w:szCs w:val="18"/>
                <w:u w:val="none"/>
              </w:rPr>
            </w:pPr>
          </w:p>
        </w:tc>
      </w:tr>
      <w:tr w14:paraId="24368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5" w:hRule="atLeast"/>
        </w:trPr>
        <w:tc>
          <w:tcPr>
            <w:tcW w:w="1485" w:type="dxa"/>
            <w:vMerge w:val="continue"/>
            <w:tcBorders>
              <w:top w:val="single" w:color="000000" w:sz="4" w:space="0"/>
              <w:left w:val="single" w:color="000000" w:sz="4" w:space="0"/>
              <w:bottom w:val="nil"/>
              <w:right w:val="single" w:color="000000" w:sz="4" w:space="0"/>
            </w:tcBorders>
            <w:shd w:val="clear" w:color="auto" w:fill="FFFFFF"/>
            <w:vAlign w:val="center"/>
          </w:tcPr>
          <w:p w14:paraId="44F6AF0E">
            <w:pPr>
              <w:jc w:val="center"/>
              <w:rPr>
                <w:rFonts w:hint="eastAsia" w:ascii="宋体" w:hAnsi="宋体" w:eastAsia="宋体" w:cs="宋体"/>
                <w:i w:val="0"/>
                <w:iCs w:val="0"/>
                <w:color w:val="333333"/>
                <w:sz w:val="18"/>
                <w:szCs w:val="18"/>
                <w:u w:val="none"/>
              </w:rPr>
            </w:pPr>
          </w:p>
        </w:tc>
        <w:tc>
          <w:tcPr>
            <w:tcW w:w="1590" w:type="dxa"/>
            <w:tcBorders>
              <w:top w:val="single" w:color="000000" w:sz="4" w:space="0"/>
              <w:left w:val="single" w:color="000000" w:sz="4" w:space="0"/>
              <w:bottom w:val="single" w:color="000000" w:sz="4" w:space="0"/>
              <w:right w:val="nil"/>
            </w:tcBorders>
            <w:shd w:val="clear" w:color="auto" w:fill="FFFFFF"/>
            <w:noWrap/>
            <w:vAlign w:val="center"/>
          </w:tcPr>
          <w:p w14:paraId="003E5A7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29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4730F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办公楼全年水电费支付准确率</w:t>
            </w:r>
          </w:p>
        </w:tc>
        <w:tc>
          <w:tcPr>
            <w:tcW w:w="13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FF421F">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E9F7C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01E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00" w:type="dxa"/>
            <w:tcBorders>
              <w:top w:val="single" w:color="000000" w:sz="4" w:space="0"/>
              <w:left w:val="nil"/>
              <w:bottom w:val="single" w:color="000000" w:sz="4" w:space="0"/>
              <w:right w:val="single" w:color="000000" w:sz="4" w:space="0"/>
            </w:tcBorders>
            <w:shd w:val="clear" w:color="auto" w:fill="auto"/>
            <w:noWrap/>
            <w:vAlign w:val="center"/>
          </w:tcPr>
          <w:p w14:paraId="01543C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0F23A">
            <w:pPr>
              <w:rPr>
                <w:rFonts w:hint="eastAsia" w:ascii="宋体" w:hAnsi="宋体" w:eastAsia="宋体" w:cs="宋体"/>
                <w:i w:val="0"/>
                <w:iCs w:val="0"/>
                <w:color w:val="000000"/>
                <w:sz w:val="18"/>
                <w:szCs w:val="18"/>
                <w:u w:val="none"/>
              </w:rPr>
            </w:pPr>
          </w:p>
        </w:tc>
      </w:tr>
      <w:tr w14:paraId="2BB9E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5" w:hRule="atLeast"/>
        </w:trPr>
        <w:tc>
          <w:tcPr>
            <w:tcW w:w="1485" w:type="dxa"/>
            <w:vMerge w:val="continue"/>
            <w:tcBorders>
              <w:top w:val="single" w:color="000000" w:sz="4" w:space="0"/>
              <w:left w:val="single" w:color="000000" w:sz="4" w:space="0"/>
              <w:bottom w:val="nil"/>
              <w:right w:val="single" w:color="000000" w:sz="4" w:space="0"/>
            </w:tcBorders>
            <w:shd w:val="clear" w:color="auto" w:fill="FFFFFF"/>
            <w:vAlign w:val="center"/>
          </w:tcPr>
          <w:p w14:paraId="4FCA49C4">
            <w:pPr>
              <w:jc w:val="center"/>
              <w:rPr>
                <w:rFonts w:hint="eastAsia" w:ascii="宋体" w:hAnsi="宋体" w:eastAsia="宋体" w:cs="宋体"/>
                <w:i w:val="0"/>
                <w:iCs w:val="0"/>
                <w:color w:val="333333"/>
                <w:sz w:val="18"/>
                <w:szCs w:val="18"/>
                <w:u w:val="none"/>
              </w:rPr>
            </w:pPr>
          </w:p>
        </w:tc>
        <w:tc>
          <w:tcPr>
            <w:tcW w:w="1590" w:type="dxa"/>
            <w:tcBorders>
              <w:top w:val="single" w:color="000000" w:sz="4" w:space="0"/>
              <w:left w:val="single" w:color="000000" w:sz="4" w:space="0"/>
              <w:bottom w:val="single" w:color="000000" w:sz="4" w:space="0"/>
              <w:right w:val="nil"/>
            </w:tcBorders>
            <w:shd w:val="clear" w:color="auto" w:fill="FFFFFF"/>
            <w:noWrap/>
            <w:vAlign w:val="center"/>
          </w:tcPr>
          <w:p w14:paraId="6F56522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29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444F8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区政府保洁绿化及维护及时率</w:t>
            </w:r>
          </w:p>
        </w:tc>
        <w:tc>
          <w:tcPr>
            <w:tcW w:w="13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5F899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7E058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880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00" w:type="dxa"/>
            <w:tcBorders>
              <w:top w:val="single" w:color="000000" w:sz="4" w:space="0"/>
              <w:left w:val="nil"/>
              <w:bottom w:val="single" w:color="000000" w:sz="4" w:space="0"/>
              <w:right w:val="single" w:color="000000" w:sz="4" w:space="0"/>
            </w:tcBorders>
            <w:shd w:val="clear" w:color="auto" w:fill="auto"/>
            <w:noWrap/>
            <w:vAlign w:val="center"/>
          </w:tcPr>
          <w:p w14:paraId="76108B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4C367">
            <w:pPr>
              <w:rPr>
                <w:rFonts w:hint="eastAsia" w:ascii="宋体" w:hAnsi="宋体" w:eastAsia="宋体" w:cs="宋体"/>
                <w:i w:val="0"/>
                <w:iCs w:val="0"/>
                <w:color w:val="000000"/>
                <w:sz w:val="18"/>
                <w:szCs w:val="18"/>
                <w:u w:val="none"/>
              </w:rPr>
            </w:pPr>
          </w:p>
        </w:tc>
      </w:tr>
      <w:tr w14:paraId="352D4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1485" w:type="dxa"/>
            <w:vMerge w:val="continue"/>
            <w:tcBorders>
              <w:top w:val="single" w:color="000000" w:sz="4" w:space="0"/>
              <w:left w:val="single" w:color="000000" w:sz="4" w:space="0"/>
              <w:bottom w:val="nil"/>
              <w:right w:val="single" w:color="000000" w:sz="4" w:space="0"/>
            </w:tcBorders>
            <w:shd w:val="clear" w:color="auto" w:fill="FFFFFF"/>
            <w:vAlign w:val="center"/>
          </w:tcPr>
          <w:p w14:paraId="17A4A68F">
            <w:pPr>
              <w:jc w:val="center"/>
              <w:rPr>
                <w:rFonts w:hint="eastAsia" w:ascii="宋体" w:hAnsi="宋体" w:eastAsia="宋体" w:cs="宋体"/>
                <w:i w:val="0"/>
                <w:iCs w:val="0"/>
                <w:color w:val="333333"/>
                <w:sz w:val="18"/>
                <w:szCs w:val="18"/>
                <w:u w:val="none"/>
              </w:rPr>
            </w:pPr>
          </w:p>
        </w:tc>
        <w:tc>
          <w:tcPr>
            <w:tcW w:w="1590" w:type="dxa"/>
            <w:tcBorders>
              <w:top w:val="single" w:color="000000" w:sz="4" w:space="0"/>
              <w:left w:val="single" w:color="000000" w:sz="4" w:space="0"/>
              <w:bottom w:val="single" w:color="000000" w:sz="4" w:space="0"/>
              <w:right w:val="nil"/>
            </w:tcBorders>
            <w:shd w:val="clear" w:color="auto" w:fill="FFFFFF"/>
            <w:noWrap/>
            <w:vAlign w:val="center"/>
          </w:tcPr>
          <w:p w14:paraId="5D8683C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29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7A08D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值班室响应及时率</w:t>
            </w:r>
          </w:p>
        </w:tc>
        <w:tc>
          <w:tcPr>
            <w:tcW w:w="13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13A50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4B89C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72E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00" w:type="dxa"/>
            <w:tcBorders>
              <w:top w:val="single" w:color="000000" w:sz="4" w:space="0"/>
              <w:left w:val="nil"/>
              <w:bottom w:val="single" w:color="000000" w:sz="4" w:space="0"/>
              <w:right w:val="single" w:color="000000" w:sz="4" w:space="0"/>
            </w:tcBorders>
            <w:shd w:val="clear" w:color="auto" w:fill="auto"/>
            <w:noWrap/>
            <w:vAlign w:val="center"/>
          </w:tcPr>
          <w:p w14:paraId="49B7D4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50F54">
            <w:pPr>
              <w:rPr>
                <w:rFonts w:hint="eastAsia" w:ascii="宋体" w:hAnsi="宋体" w:eastAsia="宋体" w:cs="宋体"/>
                <w:i w:val="0"/>
                <w:iCs w:val="0"/>
                <w:color w:val="000000"/>
                <w:sz w:val="18"/>
                <w:szCs w:val="18"/>
                <w:u w:val="none"/>
              </w:rPr>
            </w:pPr>
          </w:p>
        </w:tc>
      </w:tr>
      <w:tr w14:paraId="26986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5" w:hRule="atLeast"/>
        </w:trPr>
        <w:tc>
          <w:tcPr>
            <w:tcW w:w="1485" w:type="dxa"/>
            <w:vMerge w:val="continue"/>
            <w:tcBorders>
              <w:top w:val="single" w:color="000000" w:sz="4" w:space="0"/>
              <w:left w:val="single" w:color="000000" w:sz="4" w:space="0"/>
              <w:bottom w:val="nil"/>
              <w:right w:val="single" w:color="000000" w:sz="4" w:space="0"/>
            </w:tcBorders>
            <w:shd w:val="clear" w:color="auto" w:fill="FFFFFF"/>
            <w:vAlign w:val="center"/>
          </w:tcPr>
          <w:p w14:paraId="01093A08">
            <w:pPr>
              <w:jc w:val="center"/>
              <w:rPr>
                <w:rFonts w:hint="eastAsia" w:ascii="宋体" w:hAnsi="宋体" w:eastAsia="宋体" w:cs="宋体"/>
                <w:i w:val="0"/>
                <w:iCs w:val="0"/>
                <w:color w:val="333333"/>
                <w:sz w:val="18"/>
                <w:szCs w:val="18"/>
                <w:u w:val="none"/>
              </w:rPr>
            </w:pPr>
          </w:p>
        </w:tc>
        <w:tc>
          <w:tcPr>
            <w:tcW w:w="1590" w:type="dxa"/>
            <w:tcBorders>
              <w:top w:val="single" w:color="000000" w:sz="4" w:space="0"/>
              <w:left w:val="single" w:color="000000" w:sz="4" w:space="0"/>
              <w:bottom w:val="single" w:color="000000" w:sz="4" w:space="0"/>
              <w:right w:val="nil"/>
            </w:tcBorders>
            <w:shd w:val="clear" w:color="auto" w:fill="FFFFFF"/>
            <w:noWrap/>
            <w:vAlign w:val="center"/>
          </w:tcPr>
          <w:p w14:paraId="38F454D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29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101BD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决策顾问费支付及时率</w:t>
            </w:r>
          </w:p>
        </w:tc>
        <w:tc>
          <w:tcPr>
            <w:tcW w:w="13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8E3CC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7F173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634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00" w:type="dxa"/>
            <w:tcBorders>
              <w:top w:val="single" w:color="000000" w:sz="4" w:space="0"/>
              <w:left w:val="nil"/>
              <w:bottom w:val="single" w:color="000000" w:sz="4" w:space="0"/>
              <w:right w:val="single" w:color="000000" w:sz="4" w:space="0"/>
            </w:tcBorders>
            <w:shd w:val="clear" w:color="auto" w:fill="auto"/>
            <w:noWrap/>
            <w:vAlign w:val="center"/>
          </w:tcPr>
          <w:p w14:paraId="68531C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3A37B">
            <w:pPr>
              <w:rPr>
                <w:rFonts w:hint="eastAsia" w:ascii="宋体" w:hAnsi="宋体" w:eastAsia="宋体" w:cs="宋体"/>
                <w:i w:val="0"/>
                <w:iCs w:val="0"/>
                <w:color w:val="000000"/>
                <w:sz w:val="18"/>
                <w:szCs w:val="18"/>
                <w:u w:val="none"/>
              </w:rPr>
            </w:pPr>
          </w:p>
        </w:tc>
      </w:tr>
      <w:tr w14:paraId="163B9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1485" w:type="dxa"/>
            <w:vMerge w:val="continue"/>
            <w:tcBorders>
              <w:top w:val="single" w:color="000000" w:sz="4" w:space="0"/>
              <w:left w:val="single" w:color="000000" w:sz="4" w:space="0"/>
              <w:bottom w:val="nil"/>
              <w:right w:val="single" w:color="000000" w:sz="4" w:space="0"/>
            </w:tcBorders>
            <w:shd w:val="clear" w:color="auto" w:fill="FFFFFF"/>
            <w:vAlign w:val="center"/>
          </w:tcPr>
          <w:p w14:paraId="090D5580">
            <w:pPr>
              <w:jc w:val="center"/>
              <w:rPr>
                <w:rFonts w:hint="eastAsia" w:ascii="宋体" w:hAnsi="宋体" w:eastAsia="宋体" w:cs="宋体"/>
                <w:i w:val="0"/>
                <w:iCs w:val="0"/>
                <w:color w:val="333333"/>
                <w:sz w:val="18"/>
                <w:szCs w:val="18"/>
                <w:u w:val="none"/>
              </w:rPr>
            </w:pPr>
          </w:p>
        </w:tc>
        <w:tc>
          <w:tcPr>
            <w:tcW w:w="1590" w:type="dxa"/>
            <w:tcBorders>
              <w:top w:val="single" w:color="000000" w:sz="4" w:space="0"/>
              <w:left w:val="single" w:color="000000" w:sz="4" w:space="0"/>
              <w:bottom w:val="single" w:color="000000" w:sz="4" w:space="0"/>
              <w:right w:val="nil"/>
            </w:tcBorders>
            <w:shd w:val="clear" w:color="auto" w:fill="FFFFFF"/>
            <w:noWrap/>
            <w:vAlign w:val="center"/>
          </w:tcPr>
          <w:p w14:paraId="5DE3667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29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66D45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区政府大院绿化面积</w:t>
            </w:r>
          </w:p>
        </w:tc>
        <w:tc>
          <w:tcPr>
            <w:tcW w:w="13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BA1F4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 xml:space="preserve"> 1200平米</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1C2F5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1200平米</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4CF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00" w:type="dxa"/>
            <w:tcBorders>
              <w:top w:val="single" w:color="000000" w:sz="4" w:space="0"/>
              <w:left w:val="nil"/>
              <w:bottom w:val="single" w:color="000000" w:sz="4" w:space="0"/>
              <w:right w:val="single" w:color="000000" w:sz="4" w:space="0"/>
            </w:tcBorders>
            <w:shd w:val="clear" w:color="auto" w:fill="auto"/>
            <w:noWrap/>
            <w:vAlign w:val="center"/>
          </w:tcPr>
          <w:p w14:paraId="7E96BB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E9320">
            <w:pPr>
              <w:rPr>
                <w:rFonts w:hint="eastAsia" w:ascii="宋体" w:hAnsi="宋体" w:eastAsia="宋体" w:cs="宋体"/>
                <w:i w:val="0"/>
                <w:iCs w:val="0"/>
                <w:color w:val="000000"/>
                <w:sz w:val="18"/>
                <w:szCs w:val="18"/>
                <w:u w:val="none"/>
              </w:rPr>
            </w:pPr>
          </w:p>
        </w:tc>
      </w:tr>
      <w:tr w14:paraId="6E22D4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5" w:hRule="atLeast"/>
        </w:trPr>
        <w:tc>
          <w:tcPr>
            <w:tcW w:w="1485" w:type="dxa"/>
            <w:vMerge w:val="continue"/>
            <w:tcBorders>
              <w:top w:val="single" w:color="000000" w:sz="4" w:space="0"/>
              <w:left w:val="single" w:color="000000" w:sz="4" w:space="0"/>
              <w:bottom w:val="nil"/>
              <w:right w:val="single" w:color="000000" w:sz="4" w:space="0"/>
            </w:tcBorders>
            <w:shd w:val="clear" w:color="auto" w:fill="FFFFFF"/>
            <w:vAlign w:val="center"/>
          </w:tcPr>
          <w:p w14:paraId="5151A009">
            <w:pPr>
              <w:jc w:val="center"/>
              <w:rPr>
                <w:rFonts w:hint="eastAsia" w:ascii="宋体" w:hAnsi="宋体" w:eastAsia="宋体" w:cs="宋体"/>
                <w:i w:val="0"/>
                <w:iCs w:val="0"/>
                <w:color w:val="333333"/>
                <w:sz w:val="18"/>
                <w:szCs w:val="18"/>
                <w:u w:val="none"/>
              </w:rPr>
            </w:pPr>
          </w:p>
        </w:tc>
        <w:tc>
          <w:tcPr>
            <w:tcW w:w="1590" w:type="dxa"/>
            <w:tcBorders>
              <w:top w:val="single" w:color="000000" w:sz="4" w:space="0"/>
              <w:left w:val="single" w:color="000000" w:sz="4" w:space="0"/>
              <w:bottom w:val="single" w:color="000000" w:sz="4" w:space="0"/>
              <w:right w:val="nil"/>
            </w:tcBorders>
            <w:shd w:val="clear" w:color="auto" w:fill="FFFFFF"/>
            <w:noWrap/>
            <w:vAlign w:val="center"/>
          </w:tcPr>
          <w:p w14:paraId="6ADD577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29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98AF7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政府大院绿化养护次数</w:t>
            </w:r>
          </w:p>
        </w:tc>
        <w:tc>
          <w:tcPr>
            <w:tcW w:w="13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FE9BA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4</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D15C5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6</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4AE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00" w:type="dxa"/>
            <w:tcBorders>
              <w:top w:val="single" w:color="000000" w:sz="4" w:space="0"/>
              <w:left w:val="nil"/>
              <w:bottom w:val="single" w:color="000000" w:sz="4" w:space="0"/>
              <w:right w:val="single" w:color="000000" w:sz="4" w:space="0"/>
            </w:tcBorders>
            <w:shd w:val="clear" w:color="auto" w:fill="auto"/>
            <w:noWrap/>
            <w:vAlign w:val="center"/>
          </w:tcPr>
          <w:p w14:paraId="0D0332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F3AC3">
            <w:pPr>
              <w:rPr>
                <w:rFonts w:hint="eastAsia" w:ascii="宋体" w:hAnsi="宋体" w:eastAsia="宋体" w:cs="宋体"/>
                <w:i w:val="0"/>
                <w:iCs w:val="0"/>
                <w:color w:val="000000"/>
                <w:sz w:val="18"/>
                <w:szCs w:val="18"/>
                <w:u w:val="none"/>
              </w:rPr>
            </w:pPr>
          </w:p>
        </w:tc>
      </w:tr>
      <w:tr w14:paraId="70827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5" w:hRule="atLeast"/>
        </w:trPr>
        <w:tc>
          <w:tcPr>
            <w:tcW w:w="1485" w:type="dxa"/>
            <w:vMerge w:val="continue"/>
            <w:tcBorders>
              <w:top w:val="single" w:color="000000" w:sz="4" w:space="0"/>
              <w:left w:val="single" w:color="000000" w:sz="4" w:space="0"/>
              <w:bottom w:val="nil"/>
              <w:right w:val="single" w:color="000000" w:sz="4" w:space="0"/>
            </w:tcBorders>
            <w:shd w:val="clear" w:color="auto" w:fill="FFFFFF"/>
            <w:vAlign w:val="center"/>
          </w:tcPr>
          <w:p w14:paraId="785B0C51">
            <w:pPr>
              <w:jc w:val="center"/>
              <w:rPr>
                <w:rFonts w:hint="eastAsia" w:ascii="宋体" w:hAnsi="宋体" w:eastAsia="宋体" w:cs="宋体"/>
                <w:i w:val="0"/>
                <w:iCs w:val="0"/>
                <w:color w:val="333333"/>
                <w:sz w:val="18"/>
                <w:szCs w:val="18"/>
                <w:u w:val="none"/>
              </w:rPr>
            </w:pPr>
          </w:p>
        </w:tc>
        <w:tc>
          <w:tcPr>
            <w:tcW w:w="1590" w:type="dxa"/>
            <w:tcBorders>
              <w:top w:val="single" w:color="000000" w:sz="4" w:space="0"/>
              <w:left w:val="single" w:color="000000" w:sz="4" w:space="0"/>
              <w:bottom w:val="single" w:color="000000" w:sz="4" w:space="0"/>
              <w:right w:val="nil"/>
            </w:tcBorders>
            <w:shd w:val="clear" w:color="auto" w:fill="FFFFFF"/>
            <w:noWrap/>
            <w:vAlign w:val="center"/>
          </w:tcPr>
          <w:p w14:paraId="180FEB5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29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2F953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办公楼全年用水量</w:t>
            </w:r>
          </w:p>
        </w:tc>
        <w:tc>
          <w:tcPr>
            <w:tcW w:w="13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0DD7C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≤4800吨</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88595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4450吨</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1AA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00" w:type="dxa"/>
            <w:tcBorders>
              <w:top w:val="single" w:color="000000" w:sz="4" w:space="0"/>
              <w:left w:val="nil"/>
              <w:bottom w:val="single" w:color="000000" w:sz="4" w:space="0"/>
              <w:right w:val="single" w:color="000000" w:sz="4" w:space="0"/>
            </w:tcBorders>
            <w:shd w:val="clear" w:color="auto" w:fill="auto"/>
            <w:noWrap/>
            <w:vAlign w:val="center"/>
          </w:tcPr>
          <w:p w14:paraId="6EAEB5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90ED7">
            <w:pPr>
              <w:rPr>
                <w:rFonts w:hint="eastAsia" w:ascii="宋体" w:hAnsi="宋体" w:eastAsia="宋体" w:cs="宋体"/>
                <w:i w:val="0"/>
                <w:iCs w:val="0"/>
                <w:color w:val="000000"/>
                <w:sz w:val="18"/>
                <w:szCs w:val="18"/>
                <w:u w:val="none"/>
              </w:rPr>
            </w:pPr>
          </w:p>
        </w:tc>
      </w:tr>
      <w:tr w14:paraId="5D4E3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trPr>
        <w:tc>
          <w:tcPr>
            <w:tcW w:w="1485" w:type="dxa"/>
            <w:vMerge w:val="continue"/>
            <w:tcBorders>
              <w:top w:val="single" w:color="000000" w:sz="4" w:space="0"/>
              <w:left w:val="single" w:color="000000" w:sz="4" w:space="0"/>
              <w:bottom w:val="nil"/>
              <w:right w:val="single" w:color="000000" w:sz="4" w:space="0"/>
            </w:tcBorders>
            <w:shd w:val="clear" w:color="auto" w:fill="FFFFFF"/>
            <w:vAlign w:val="center"/>
          </w:tcPr>
          <w:p w14:paraId="1BA114CB">
            <w:pPr>
              <w:jc w:val="center"/>
              <w:rPr>
                <w:rFonts w:hint="eastAsia" w:ascii="宋体" w:hAnsi="宋体" w:eastAsia="宋体" w:cs="宋体"/>
                <w:i w:val="0"/>
                <w:iCs w:val="0"/>
                <w:color w:val="333333"/>
                <w:sz w:val="18"/>
                <w:szCs w:val="18"/>
                <w:u w:val="none"/>
              </w:rPr>
            </w:pPr>
          </w:p>
        </w:tc>
        <w:tc>
          <w:tcPr>
            <w:tcW w:w="1590" w:type="dxa"/>
            <w:tcBorders>
              <w:top w:val="single" w:color="000000" w:sz="4" w:space="0"/>
              <w:left w:val="single" w:color="000000" w:sz="4" w:space="0"/>
              <w:bottom w:val="single" w:color="000000" w:sz="4" w:space="0"/>
              <w:right w:val="nil"/>
            </w:tcBorders>
            <w:shd w:val="clear" w:color="auto" w:fill="FFFFFF"/>
            <w:noWrap/>
            <w:vAlign w:val="center"/>
          </w:tcPr>
          <w:p w14:paraId="1B1D810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29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A6BF8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会议室全年参会人次</w:t>
            </w:r>
          </w:p>
        </w:tc>
        <w:tc>
          <w:tcPr>
            <w:tcW w:w="13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8CEC3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15000</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0BB91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15000</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CF4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00" w:type="dxa"/>
            <w:tcBorders>
              <w:top w:val="single" w:color="000000" w:sz="4" w:space="0"/>
              <w:left w:val="nil"/>
              <w:bottom w:val="single" w:color="000000" w:sz="4" w:space="0"/>
              <w:right w:val="single" w:color="000000" w:sz="4" w:space="0"/>
            </w:tcBorders>
            <w:shd w:val="clear" w:color="auto" w:fill="auto"/>
            <w:noWrap/>
            <w:vAlign w:val="center"/>
          </w:tcPr>
          <w:p w14:paraId="64D620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BD90A">
            <w:pPr>
              <w:rPr>
                <w:rFonts w:hint="eastAsia" w:ascii="宋体" w:hAnsi="宋体" w:eastAsia="宋体" w:cs="宋体"/>
                <w:i w:val="0"/>
                <w:iCs w:val="0"/>
                <w:color w:val="000000"/>
                <w:sz w:val="18"/>
                <w:szCs w:val="18"/>
                <w:u w:val="none"/>
              </w:rPr>
            </w:pPr>
          </w:p>
        </w:tc>
      </w:tr>
      <w:tr w14:paraId="5AA9E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1485" w:type="dxa"/>
            <w:vMerge w:val="continue"/>
            <w:tcBorders>
              <w:top w:val="single" w:color="000000" w:sz="4" w:space="0"/>
              <w:left w:val="single" w:color="000000" w:sz="4" w:space="0"/>
              <w:bottom w:val="nil"/>
              <w:right w:val="single" w:color="000000" w:sz="4" w:space="0"/>
            </w:tcBorders>
            <w:shd w:val="clear" w:color="auto" w:fill="FFFFFF"/>
            <w:vAlign w:val="center"/>
          </w:tcPr>
          <w:p w14:paraId="38B34789">
            <w:pPr>
              <w:jc w:val="center"/>
              <w:rPr>
                <w:rFonts w:hint="eastAsia" w:ascii="宋体" w:hAnsi="宋体" w:eastAsia="宋体" w:cs="宋体"/>
                <w:i w:val="0"/>
                <w:iCs w:val="0"/>
                <w:color w:val="333333"/>
                <w:sz w:val="18"/>
                <w:szCs w:val="18"/>
                <w:u w:val="none"/>
              </w:rPr>
            </w:pPr>
          </w:p>
        </w:tc>
        <w:tc>
          <w:tcPr>
            <w:tcW w:w="1590" w:type="dxa"/>
            <w:tcBorders>
              <w:top w:val="single" w:color="000000" w:sz="4" w:space="0"/>
              <w:left w:val="single" w:color="000000" w:sz="4" w:space="0"/>
              <w:bottom w:val="single" w:color="000000" w:sz="4" w:space="0"/>
              <w:right w:val="nil"/>
            </w:tcBorders>
            <w:shd w:val="clear" w:color="auto" w:fill="FFFFFF"/>
            <w:noWrap/>
            <w:vAlign w:val="center"/>
          </w:tcPr>
          <w:p w14:paraId="1908F38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29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8235B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区政府大院维修维护面积</w:t>
            </w:r>
          </w:p>
        </w:tc>
        <w:tc>
          <w:tcPr>
            <w:tcW w:w="13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40CC5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4475平米</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3E828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6000平米</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7E4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00" w:type="dxa"/>
            <w:tcBorders>
              <w:top w:val="single" w:color="000000" w:sz="4" w:space="0"/>
              <w:left w:val="nil"/>
              <w:bottom w:val="single" w:color="000000" w:sz="4" w:space="0"/>
              <w:right w:val="single" w:color="000000" w:sz="4" w:space="0"/>
            </w:tcBorders>
            <w:shd w:val="clear" w:color="auto" w:fill="auto"/>
            <w:noWrap/>
            <w:vAlign w:val="center"/>
          </w:tcPr>
          <w:p w14:paraId="56F229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E3DF4">
            <w:pPr>
              <w:rPr>
                <w:rFonts w:hint="eastAsia" w:ascii="宋体" w:hAnsi="宋体" w:eastAsia="宋体" w:cs="宋体"/>
                <w:i w:val="0"/>
                <w:iCs w:val="0"/>
                <w:color w:val="000000"/>
                <w:sz w:val="18"/>
                <w:szCs w:val="18"/>
                <w:u w:val="none"/>
              </w:rPr>
            </w:pPr>
          </w:p>
        </w:tc>
      </w:tr>
      <w:tr w14:paraId="1DB53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85" w:type="dxa"/>
            <w:vMerge w:val="continue"/>
            <w:tcBorders>
              <w:top w:val="single" w:color="000000" w:sz="4" w:space="0"/>
              <w:left w:val="single" w:color="000000" w:sz="4" w:space="0"/>
              <w:bottom w:val="nil"/>
              <w:right w:val="single" w:color="000000" w:sz="4" w:space="0"/>
            </w:tcBorders>
            <w:shd w:val="clear" w:color="auto" w:fill="FFFFFF"/>
            <w:vAlign w:val="center"/>
          </w:tcPr>
          <w:p w14:paraId="438CDFBB">
            <w:pPr>
              <w:jc w:val="center"/>
              <w:rPr>
                <w:rFonts w:hint="eastAsia" w:ascii="宋体" w:hAnsi="宋体" w:eastAsia="宋体" w:cs="宋体"/>
                <w:i w:val="0"/>
                <w:iCs w:val="0"/>
                <w:color w:val="333333"/>
                <w:sz w:val="18"/>
                <w:szCs w:val="18"/>
                <w:u w:val="none"/>
              </w:rPr>
            </w:pPr>
          </w:p>
        </w:tc>
        <w:tc>
          <w:tcPr>
            <w:tcW w:w="1590" w:type="dxa"/>
            <w:tcBorders>
              <w:top w:val="single" w:color="000000" w:sz="4" w:space="0"/>
              <w:left w:val="single" w:color="000000" w:sz="4" w:space="0"/>
              <w:bottom w:val="single" w:color="000000" w:sz="4" w:space="0"/>
              <w:right w:val="nil"/>
            </w:tcBorders>
            <w:shd w:val="clear" w:color="auto" w:fill="FFFFFF"/>
            <w:noWrap/>
            <w:vAlign w:val="center"/>
          </w:tcPr>
          <w:p w14:paraId="6E3037E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29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67C39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办公楼全年用电量</w:t>
            </w:r>
          </w:p>
        </w:tc>
        <w:tc>
          <w:tcPr>
            <w:tcW w:w="13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639DA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≤210000度</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C2388F">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208000</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8D8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00" w:type="dxa"/>
            <w:tcBorders>
              <w:top w:val="single" w:color="000000" w:sz="4" w:space="0"/>
              <w:left w:val="nil"/>
              <w:bottom w:val="single" w:color="000000" w:sz="4" w:space="0"/>
              <w:right w:val="single" w:color="000000" w:sz="4" w:space="0"/>
            </w:tcBorders>
            <w:shd w:val="clear" w:color="auto" w:fill="auto"/>
            <w:noWrap/>
            <w:vAlign w:val="center"/>
          </w:tcPr>
          <w:p w14:paraId="5049BB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C1CF8">
            <w:pPr>
              <w:rPr>
                <w:rFonts w:hint="eastAsia" w:ascii="宋体" w:hAnsi="宋体" w:eastAsia="宋体" w:cs="宋体"/>
                <w:i w:val="0"/>
                <w:iCs w:val="0"/>
                <w:color w:val="000000"/>
                <w:sz w:val="18"/>
                <w:szCs w:val="18"/>
                <w:u w:val="none"/>
              </w:rPr>
            </w:pPr>
          </w:p>
        </w:tc>
      </w:tr>
      <w:tr w14:paraId="2C24C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5" w:hRule="atLeast"/>
        </w:trPr>
        <w:tc>
          <w:tcPr>
            <w:tcW w:w="148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7043A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1590" w:type="dxa"/>
            <w:tcBorders>
              <w:top w:val="single" w:color="000000" w:sz="4" w:space="0"/>
              <w:left w:val="single" w:color="000000" w:sz="4" w:space="0"/>
              <w:bottom w:val="single" w:color="000000" w:sz="4" w:space="0"/>
              <w:right w:val="nil"/>
            </w:tcBorders>
            <w:shd w:val="clear" w:color="auto" w:fill="FFFFFF"/>
            <w:noWrap/>
            <w:vAlign w:val="center"/>
          </w:tcPr>
          <w:p w14:paraId="2FAD703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2918" w:type="dxa"/>
            <w:tcBorders>
              <w:top w:val="single" w:color="000000" w:sz="4" w:space="0"/>
              <w:left w:val="single" w:color="000000" w:sz="4" w:space="0"/>
              <w:bottom w:val="single" w:color="000000" w:sz="4" w:space="0"/>
              <w:right w:val="nil"/>
            </w:tcBorders>
            <w:shd w:val="clear" w:color="auto" w:fill="FFFFFF"/>
            <w:noWrap/>
            <w:vAlign w:val="center"/>
          </w:tcPr>
          <w:p w14:paraId="455E42C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区政府大院管理机制健全性</w:t>
            </w:r>
          </w:p>
        </w:tc>
        <w:tc>
          <w:tcPr>
            <w:tcW w:w="13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0B700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97508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C8B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00" w:type="dxa"/>
            <w:tcBorders>
              <w:top w:val="single" w:color="000000" w:sz="4" w:space="0"/>
              <w:left w:val="nil"/>
              <w:bottom w:val="single" w:color="000000" w:sz="4" w:space="0"/>
              <w:right w:val="single" w:color="000000" w:sz="4" w:space="0"/>
            </w:tcBorders>
            <w:shd w:val="clear" w:color="auto" w:fill="auto"/>
            <w:noWrap/>
            <w:vAlign w:val="center"/>
          </w:tcPr>
          <w:p w14:paraId="13FFB1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96308">
            <w:pPr>
              <w:rPr>
                <w:rFonts w:hint="eastAsia" w:ascii="宋体" w:hAnsi="宋体" w:eastAsia="宋体" w:cs="宋体"/>
                <w:i w:val="0"/>
                <w:iCs w:val="0"/>
                <w:color w:val="000000"/>
                <w:sz w:val="18"/>
                <w:szCs w:val="18"/>
                <w:u w:val="none"/>
              </w:rPr>
            </w:pPr>
          </w:p>
        </w:tc>
      </w:tr>
      <w:tr w14:paraId="25A65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5" w:hRule="atLeast"/>
        </w:trPr>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C64C5D">
            <w:pPr>
              <w:jc w:val="center"/>
              <w:rPr>
                <w:rFonts w:hint="eastAsia" w:ascii="宋体" w:hAnsi="宋体" w:eastAsia="宋体" w:cs="宋体"/>
                <w:i w:val="0"/>
                <w:iCs w:val="0"/>
                <w:color w:val="333333"/>
                <w:sz w:val="18"/>
                <w:szCs w:val="18"/>
                <w:u w:val="none"/>
              </w:rPr>
            </w:pPr>
          </w:p>
        </w:tc>
        <w:tc>
          <w:tcPr>
            <w:tcW w:w="1590" w:type="dxa"/>
            <w:tcBorders>
              <w:top w:val="single" w:color="000000" w:sz="4" w:space="0"/>
              <w:left w:val="single" w:color="000000" w:sz="4" w:space="0"/>
              <w:bottom w:val="single" w:color="000000" w:sz="4" w:space="0"/>
              <w:right w:val="nil"/>
            </w:tcBorders>
            <w:shd w:val="clear" w:color="auto" w:fill="FFFFFF"/>
            <w:noWrap/>
            <w:vAlign w:val="center"/>
          </w:tcPr>
          <w:p w14:paraId="76C0268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2918" w:type="dxa"/>
            <w:tcBorders>
              <w:top w:val="single" w:color="000000" w:sz="4" w:space="0"/>
              <w:left w:val="single" w:color="000000" w:sz="4" w:space="0"/>
              <w:bottom w:val="single" w:color="000000" w:sz="4" w:space="0"/>
              <w:right w:val="nil"/>
            </w:tcBorders>
            <w:shd w:val="clear" w:color="auto" w:fill="FFFFFF"/>
            <w:noWrap/>
            <w:vAlign w:val="center"/>
          </w:tcPr>
          <w:p w14:paraId="3CC01F3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部门日常工作正常运转率</w:t>
            </w:r>
          </w:p>
        </w:tc>
        <w:tc>
          <w:tcPr>
            <w:tcW w:w="13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42DEF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D91B2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6B4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00" w:type="dxa"/>
            <w:tcBorders>
              <w:top w:val="single" w:color="000000" w:sz="4" w:space="0"/>
              <w:left w:val="nil"/>
              <w:bottom w:val="single" w:color="000000" w:sz="4" w:space="0"/>
              <w:right w:val="single" w:color="000000" w:sz="4" w:space="0"/>
            </w:tcBorders>
            <w:shd w:val="clear" w:color="auto" w:fill="auto"/>
            <w:noWrap/>
            <w:vAlign w:val="center"/>
          </w:tcPr>
          <w:p w14:paraId="0D6FD9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ECCFD">
            <w:pPr>
              <w:rPr>
                <w:rFonts w:hint="eastAsia" w:ascii="宋体" w:hAnsi="宋体" w:eastAsia="宋体" w:cs="宋体"/>
                <w:i w:val="0"/>
                <w:iCs w:val="0"/>
                <w:color w:val="000000"/>
                <w:sz w:val="18"/>
                <w:szCs w:val="18"/>
                <w:u w:val="none"/>
              </w:rPr>
            </w:pPr>
          </w:p>
        </w:tc>
      </w:tr>
      <w:tr w14:paraId="094FB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5" w:hRule="atLeast"/>
        </w:trPr>
        <w:tc>
          <w:tcPr>
            <w:tcW w:w="14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7704F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590" w:type="dxa"/>
            <w:tcBorders>
              <w:top w:val="single" w:color="000000" w:sz="4" w:space="0"/>
              <w:left w:val="single" w:color="000000" w:sz="4" w:space="0"/>
              <w:bottom w:val="single" w:color="000000" w:sz="4" w:space="0"/>
              <w:right w:val="nil"/>
            </w:tcBorders>
            <w:shd w:val="clear" w:color="auto" w:fill="FFFFFF"/>
            <w:noWrap/>
            <w:vAlign w:val="center"/>
          </w:tcPr>
          <w:p w14:paraId="41B827C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2918" w:type="dxa"/>
            <w:tcBorders>
              <w:top w:val="single" w:color="000000" w:sz="4" w:space="0"/>
              <w:left w:val="single" w:color="000000" w:sz="4" w:space="0"/>
              <w:bottom w:val="single" w:color="000000" w:sz="4" w:space="0"/>
              <w:right w:val="nil"/>
            </w:tcBorders>
            <w:shd w:val="clear" w:color="auto" w:fill="FFFFFF"/>
            <w:noWrap/>
            <w:vAlign w:val="center"/>
          </w:tcPr>
          <w:p w14:paraId="7DCA8A6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服务单位满意度</w:t>
            </w:r>
          </w:p>
        </w:tc>
        <w:tc>
          <w:tcPr>
            <w:tcW w:w="13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67344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98%</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B2497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98%</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F3E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00" w:type="dxa"/>
            <w:tcBorders>
              <w:top w:val="single" w:color="000000" w:sz="4" w:space="0"/>
              <w:left w:val="nil"/>
              <w:bottom w:val="single" w:color="000000" w:sz="4" w:space="0"/>
              <w:right w:val="single" w:color="000000" w:sz="4" w:space="0"/>
            </w:tcBorders>
            <w:shd w:val="clear" w:color="auto" w:fill="auto"/>
            <w:noWrap/>
            <w:vAlign w:val="center"/>
          </w:tcPr>
          <w:p w14:paraId="54299B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C1FBC">
            <w:pPr>
              <w:rPr>
                <w:rFonts w:hint="eastAsia" w:ascii="宋体" w:hAnsi="宋体" w:eastAsia="宋体" w:cs="宋体"/>
                <w:i w:val="0"/>
                <w:iCs w:val="0"/>
                <w:color w:val="000000"/>
                <w:sz w:val="18"/>
                <w:szCs w:val="18"/>
                <w:u w:val="none"/>
              </w:rPr>
            </w:pPr>
          </w:p>
        </w:tc>
      </w:tr>
      <w:tr w14:paraId="507EF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14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D8305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108E9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经济成本指标</w:t>
            </w:r>
          </w:p>
        </w:tc>
        <w:tc>
          <w:tcPr>
            <w:tcW w:w="29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BEFB5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区政府大院专项费用控制数</w:t>
            </w:r>
          </w:p>
        </w:tc>
        <w:tc>
          <w:tcPr>
            <w:tcW w:w="13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D7028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160万元</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3A08B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120.76万元</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A9A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B0F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4AA1A">
            <w:pPr>
              <w:rPr>
                <w:rFonts w:hint="eastAsia" w:ascii="宋体" w:hAnsi="宋体" w:eastAsia="宋体" w:cs="宋体"/>
                <w:i w:val="0"/>
                <w:iCs w:val="0"/>
                <w:color w:val="000000"/>
                <w:sz w:val="18"/>
                <w:szCs w:val="18"/>
                <w:u w:val="none"/>
              </w:rPr>
            </w:pPr>
          </w:p>
        </w:tc>
      </w:tr>
    </w:tbl>
    <w:p w14:paraId="6F7B02B7">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br w:type="page"/>
      </w:r>
    </w:p>
    <w:tbl>
      <w:tblPr>
        <w:tblStyle w:val="16"/>
        <w:tblW w:w="1027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63"/>
        <w:gridCol w:w="450"/>
        <w:gridCol w:w="1466"/>
        <w:gridCol w:w="3019"/>
        <w:gridCol w:w="315"/>
        <w:gridCol w:w="840"/>
        <w:gridCol w:w="1020"/>
        <w:gridCol w:w="840"/>
        <w:gridCol w:w="660"/>
        <w:gridCol w:w="600"/>
      </w:tblGrid>
      <w:tr w14:paraId="276938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273" w:type="dxa"/>
            <w:gridSpan w:val="10"/>
            <w:tcBorders>
              <w:top w:val="nil"/>
              <w:left w:val="nil"/>
              <w:bottom w:val="nil"/>
              <w:right w:val="nil"/>
            </w:tcBorders>
            <w:shd w:val="clear" w:color="auto" w:fill="auto"/>
            <w:noWrap/>
            <w:vAlign w:val="center"/>
          </w:tcPr>
          <w:p w14:paraId="20F170A1">
            <w:pPr>
              <w:keepNext w:val="0"/>
              <w:keepLines w:val="0"/>
              <w:widowControl/>
              <w:suppressLineNumbers w:val="0"/>
              <w:jc w:val="center"/>
              <w:textAlignment w:val="center"/>
              <w:rPr>
                <w:rFonts w:hint="default" w:ascii="宋体" w:hAnsi="宋体" w:eastAsia="宋体" w:cs="宋体"/>
                <w:b/>
                <w:bCs/>
                <w:i w:val="0"/>
                <w:iCs w:val="0"/>
                <w:color w:val="000000"/>
                <w:sz w:val="36"/>
                <w:szCs w:val="36"/>
                <w:u w:val="none"/>
                <w:lang w:val="en-US"/>
              </w:rPr>
            </w:pPr>
            <w:r>
              <w:rPr>
                <w:rFonts w:hint="eastAsia" w:ascii="宋体" w:hAnsi="宋体" w:eastAsia="宋体" w:cs="宋体"/>
                <w:b/>
                <w:bCs/>
                <w:i w:val="0"/>
                <w:iCs w:val="0"/>
                <w:color w:val="000000"/>
                <w:kern w:val="0"/>
                <w:sz w:val="36"/>
                <w:szCs w:val="36"/>
                <w:u w:val="none"/>
                <w:lang w:val="en-US" w:eastAsia="zh-CN" w:bidi="ar"/>
              </w:rPr>
              <w:t>区级项目支出绩效自评表</w:t>
            </w:r>
            <w:r>
              <w:rPr>
                <w:rFonts w:hint="eastAsia" w:ascii="宋体" w:hAnsi="宋体" w:cs="宋体"/>
                <w:b/>
                <w:bCs/>
                <w:i w:val="0"/>
                <w:iCs w:val="0"/>
                <w:color w:val="000000"/>
                <w:kern w:val="0"/>
                <w:sz w:val="36"/>
                <w:szCs w:val="36"/>
                <w:u w:val="none"/>
                <w:lang w:val="en-US" w:eastAsia="zh-CN" w:bidi="ar"/>
              </w:rPr>
              <w:t>2</w:t>
            </w:r>
          </w:p>
        </w:tc>
      </w:tr>
      <w:tr w14:paraId="39592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51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2FD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44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EB9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电子政务外网IPV6升级改造项目</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6EE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312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AFF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3E932E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trPr>
        <w:tc>
          <w:tcPr>
            <w:tcW w:w="151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60E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44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BC430">
            <w:pPr>
              <w:jc w:val="left"/>
              <w:rPr>
                <w:rFonts w:hint="eastAsia" w:ascii="宋体" w:hAnsi="宋体" w:eastAsia="宋体" w:cs="宋体"/>
                <w:i w:val="0"/>
                <w:iCs w:val="0"/>
                <w:color w:val="000000"/>
                <w:sz w:val="20"/>
                <w:szCs w:val="20"/>
                <w:u w:val="none"/>
              </w:rPr>
            </w:pP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928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312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3C3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五通桥区人民政府办公室机关</w:t>
            </w:r>
          </w:p>
        </w:tc>
      </w:tr>
      <w:tr w14:paraId="72C33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273"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D3A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66FAD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979" w:type="dxa"/>
            <w:gridSpan w:val="3"/>
            <w:tcBorders>
              <w:top w:val="single" w:color="000000" w:sz="4" w:space="0"/>
              <w:left w:val="single" w:color="000000" w:sz="4" w:space="0"/>
              <w:bottom w:val="single" w:color="000000" w:sz="4" w:space="0"/>
              <w:right w:val="nil"/>
            </w:tcBorders>
            <w:shd w:val="clear" w:color="auto" w:fill="auto"/>
            <w:noWrap/>
            <w:vAlign w:val="center"/>
          </w:tcPr>
          <w:p w14:paraId="1344B9CA">
            <w:pPr>
              <w:jc w:val="center"/>
              <w:rPr>
                <w:rFonts w:hint="eastAsia" w:ascii="宋体" w:hAnsi="宋体" w:eastAsia="宋体" w:cs="宋体"/>
                <w:i w:val="0"/>
                <w:iCs w:val="0"/>
                <w:color w:val="000000"/>
                <w:sz w:val="20"/>
                <w:szCs w:val="20"/>
                <w:u w:val="none"/>
              </w:rPr>
            </w:pPr>
          </w:p>
        </w:tc>
        <w:tc>
          <w:tcPr>
            <w:tcW w:w="33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740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73B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21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CDF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60F49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97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E90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33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8AF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46.3</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BC2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46.3</w:t>
            </w:r>
          </w:p>
        </w:tc>
        <w:tc>
          <w:tcPr>
            <w:tcW w:w="21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FB3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7C600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97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263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33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76E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46.3</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6B4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46.3</w:t>
            </w:r>
          </w:p>
        </w:tc>
        <w:tc>
          <w:tcPr>
            <w:tcW w:w="21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62E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32CCE5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97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6D1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33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C53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289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1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0FC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0B0CF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6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EAC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525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93D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396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83C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677ED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5" w:hRule="atLeast"/>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AF9B1">
            <w:pPr>
              <w:jc w:val="left"/>
              <w:rPr>
                <w:rFonts w:hint="eastAsia" w:ascii="宋体" w:hAnsi="宋体" w:eastAsia="宋体" w:cs="宋体"/>
                <w:i w:val="0"/>
                <w:iCs w:val="0"/>
                <w:color w:val="000000"/>
                <w:sz w:val="20"/>
                <w:szCs w:val="20"/>
                <w:u w:val="none"/>
              </w:rPr>
            </w:pPr>
          </w:p>
        </w:tc>
        <w:tc>
          <w:tcPr>
            <w:tcW w:w="5250" w:type="dxa"/>
            <w:gridSpan w:val="4"/>
            <w:tcBorders>
              <w:top w:val="single" w:color="000000" w:sz="4" w:space="0"/>
              <w:left w:val="single" w:color="000000" w:sz="4" w:space="0"/>
              <w:bottom w:val="nil"/>
              <w:right w:val="single" w:color="000000" w:sz="4" w:space="0"/>
            </w:tcBorders>
            <w:shd w:val="clear" w:color="auto" w:fill="auto"/>
            <w:vAlign w:val="center"/>
          </w:tcPr>
          <w:p w14:paraId="2D7786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年预计投入56万元用于全区电子政务外网IPV6升级改造项目设备费、网络租用费、维护费，确保电子政务外网正常运行。</w:t>
            </w:r>
          </w:p>
        </w:tc>
        <w:tc>
          <w:tcPr>
            <w:tcW w:w="39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5CE37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实际投入46.3万元，保障了电子政务外网正常运行。</w:t>
            </w:r>
          </w:p>
        </w:tc>
      </w:tr>
      <w:tr w14:paraId="7F66F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0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6A6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508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33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02E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8AA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50E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E80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660" w:type="dxa"/>
            <w:tcBorders>
              <w:top w:val="single" w:color="000000" w:sz="4" w:space="0"/>
              <w:left w:val="nil"/>
              <w:bottom w:val="single" w:color="000000" w:sz="4" w:space="0"/>
              <w:right w:val="single" w:color="000000" w:sz="4" w:space="0"/>
            </w:tcBorders>
            <w:shd w:val="clear" w:color="auto" w:fill="auto"/>
            <w:noWrap/>
            <w:vAlign w:val="center"/>
          </w:tcPr>
          <w:p w14:paraId="62A389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42A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272F53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173"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00D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F70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86F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1DFD8">
            <w:pPr>
              <w:jc w:val="center"/>
              <w:rPr>
                <w:rFonts w:hint="eastAsia" w:ascii="宋体" w:hAnsi="宋体" w:eastAsia="宋体" w:cs="宋体"/>
                <w:i w:val="0"/>
                <w:iCs w:val="0"/>
                <w:color w:val="000000"/>
                <w:sz w:val="18"/>
                <w:szCs w:val="18"/>
                <w:u w:val="none"/>
              </w:rPr>
            </w:pPr>
          </w:p>
        </w:tc>
      </w:tr>
      <w:tr w14:paraId="619279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313"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8EC83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8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F9E37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0085E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6A2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5AC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08CE8">
            <w:pPr>
              <w:rPr>
                <w:rFonts w:hint="eastAsia" w:ascii="宋体" w:hAnsi="宋体" w:eastAsia="宋体" w:cs="宋体"/>
                <w:i w:val="0"/>
                <w:iCs w:val="0"/>
                <w:color w:val="000000"/>
                <w:sz w:val="18"/>
                <w:szCs w:val="18"/>
                <w:u w:val="none"/>
              </w:rPr>
            </w:pPr>
          </w:p>
        </w:tc>
      </w:tr>
      <w:tr w14:paraId="4DC23D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63" w:type="dxa"/>
            <w:vMerge w:val="restart"/>
            <w:tcBorders>
              <w:top w:val="single" w:color="000000" w:sz="4" w:space="0"/>
              <w:left w:val="single" w:color="000000" w:sz="4" w:space="0"/>
              <w:bottom w:val="nil"/>
              <w:right w:val="single" w:color="000000" w:sz="4" w:space="0"/>
            </w:tcBorders>
            <w:shd w:val="clear" w:color="auto" w:fill="FFFFFF"/>
            <w:noWrap/>
            <w:vAlign w:val="center"/>
          </w:tcPr>
          <w:p w14:paraId="411A566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1916" w:type="dxa"/>
            <w:gridSpan w:val="2"/>
            <w:tcBorders>
              <w:top w:val="single" w:color="000000" w:sz="4" w:space="0"/>
              <w:left w:val="single" w:color="000000" w:sz="4" w:space="0"/>
              <w:bottom w:val="single" w:color="000000" w:sz="4" w:space="0"/>
              <w:right w:val="nil"/>
            </w:tcBorders>
            <w:shd w:val="clear" w:color="auto" w:fill="FFFFFF"/>
            <w:noWrap/>
            <w:vAlign w:val="center"/>
          </w:tcPr>
          <w:p w14:paraId="3B81E99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333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21D97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电子政务外网运行万兆光纤租用条数</w:t>
            </w:r>
          </w:p>
        </w:tc>
        <w:tc>
          <w:tcPr>
            <w:tcW w:w="8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E01A1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C2837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B26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D4B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6229E">
            <w:pPr>
              <w:rPr>
                <w:rFonts w:hint="eastAsia" w:ascii="宋体" w:hAnsi="宋体" w:eastAsia="宋体" w:cs="宋体"/>
                <w:i w:val="0"/>
                <w:iCs w:val="0"/>
                <w:color w:val="000000"/>
                <w:sz w:val="18"/>
                <w:szCs w:val="18"/>
                <w:u w:val="none"/>
              </w:rPr>
            </w:pPr>
          </w:p>
        </w:tc>
      </w:tr>
      <w:tr w14:paraId="7F7F2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63"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3D0A50D3">
            <w:pPr>
              <w:jc w:val="center"/>
              <w:rPr>
                <w:rFonts w:hint="eastAsia" w:ascii="宋体" w:hAnsi="宋体" w:eastAsia="宋体" w:cs="宋体"/>
                <w:i w:val="0"/>
                <w:iCs w:val="0"/>
                <w:color w:val="333333"/>
                <w:sz w:val="18"/>
                <w:szCs w:val="18"/>
                <w:u w:val="none"/>
              </w:rPr>
            </w:pPr>
          </w:p>
        </w:tc>
        <w:tc>
          <w:tcPr>
            <w:tcW w:w="1916" w:type="dxa"/>
            <w:gridSpan w:val="2"/>
            <w:tcBorders>
              <w:top w:val="single" w:color="000000" w:sz="4" w:space="0"/>
              <w:left w:val="single" w:color="000000" w:sz="4" w:space="0"/>
              <w:bottom w:val="single" w:color="000000" w:sz="4" w:space="0"/>
              <w:right w:val="nil"/>
            </w:tcBorders>
            <w:shd w:val="clear" w:color="auto" w:fill="FFFFFF"/>
            <w:noWrap/>
            <w:vAlign w:val="center"/>
          </w:tcPr>
          <w:p w14:paraId="4209CDB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333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68D2E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设备维护数量</w:t>
            </w:r>
          </w:p>
        </w:tc>
        <w:tc>
          <w:tcPr>
            <w:tcW w:w="8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9B4DC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70450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F74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DB0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2C35C">
            <w:pPr>
              <w:rPr>
                <w:rFonts w:hint="eastAsia" w:ascii="宋体" w:hAnsi="宋体" w:eastAsia="宋体" w:cs="宋体"/>
                <w:i w:val="0"/>
                <w:iCs w:val="0"/>
                <w:color w:val="000000"/>
                <w:sz w:val="18"/>
                <w:szCs w:val="18"/>
                <w:u w:val="none"/>
              </w:rPr>
            </w:pPr>
          </w:p>
        </w:tc>
      </w:tr>
      <w:tr w14:paraId="43200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63"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6EF51BE2">
            <w:pPr>
              <w:jc w:val="center"/>
              <w:rPr>
                <w:rFonts w:hint="eastAsia" w:ascii="宋体" w:hAnsi="宋体" w:eastAsia="宋体" w:cs="宋体"/>
                <w:i w:val="0"/>
                <w:iCs w:val="0"/>
                <w:color w:val="333333"/>
                <w:sz w:val="18"/>
                <w:szCs w:val="18"/>
                <w:u w:val="none"/>
              </w:rPr>
            </w:pPr>
          </w:p>
        </w:tc>
        <w:tc>
          <w:tcPr>
            <w:tcW w:w="1916" w:type="dxa"/>
            <w:gridSpan w:val="2"/>
            <w:tcBorders>
              <w:top w:val="single" w:color="000000" w:sz="4" w:space="0"/>
              <w:left w:val="single" w:color="000000" w:sz="4" w:space="0"/>
              <w:bottom w:val="single" w:color="000000" w:sz="4" w:space="0"/>
              <w:right w:val="nil"/>
            </w:tcBorders>
            <w:shd w:val="clear" w:color="auto" w:fill="FFFFFF"/>
            <w:noWrap/>
            <w:vAlign w:val="center"/>
          </w:tcPr>
          <w:p w14:paraId="765E9AB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333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CD122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电子政务外网IPV6升级改造设备数量</w:t>
            </w:r>
          </w:p>
        </w:tc>
        <w:tc>
          <w:tcPr>
            <w:tcW w:w="8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46408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3CC5D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954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A6A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4F96C">
            <w:pPr>
              <w:rPr>
                <w:rFonts w:hint="eastAsia" w:ascii="宋体" w:hAnsi="宋体" w:eastAsia="宋体" w:cs="宋体"/>
                <w:i w:val="0"/>
                <w:iCs w:val="0"/>
                <w:color w:val="000000"/>
                <w:sz w:val="18"/>
                <w:szCs w:val="18"/>
                <w:u w:val="none"/>
              </w:rPr>
            </w:pPr>
          </w:p>
        </w:tc>
      </w:tr>
      <w:tr w14:paraId="59A28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63"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6DADA1BA">
            <w:pPr>
              <w:jc w:val="center"/>
              <w:rPr>
                <w:rFonts w:hint="eastAsia" w:ascii="宋体" w:hAnsi="宋体" w:eastAsia="宋体" w:cs="宋体"/>
                <w:i w:val="0"/>
                <w:iCs w:val="0"/>
                <w:color w:val="333333"/>
                <w:sz w:val="18"/>
                <w:szCs w:val="18"/>
                <w:u w:val="none"/>
              </w:rPr>
            </w:pPr>
          </w:p>
        </w:tc>
        <w:tc>
          <w:tcPr>
            <w:tcW w:w="1916" w:type="dxa"/>
            <w:gridSpan w:val="2"/>
            <w:tcBorders>
              <w:top w:val="single" w:color="000000" w:sz="4" w:space="0"/>
              <w:left w:val="single" w:color="000000" w:sz="4" w:space="0"/>
              <w:bottom w:val="single" w:color="000000" w:sz="4" w:space="0"/>
              <w:right w:val="nil"/>
            </w:tcBorders>
            <w:shd w:val="clear" w:color="auto" w:fill="FFFFFF"/>
            <w:noWrap/>
            <w:vAlign w:val="center"/>
          </w:tcPr>
          <w:p w14:paraId="6571BDD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333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3531E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费用支付准确率</w:t>
            </w:r>
          </w:p>
        </w:tc>
        <w:tc>
          <w:tcPr>
            <w:tcW w:w="8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CDFDF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F01E5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112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39F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6C970">
            <w:pPr>
              <w:rPr>
                <w:rFonts w:hint="eastAsia" w:ascii="宋体" w:hAnsi="宋体" w:eastAsia="宋体" w:cs="宋体"/>
                <w:i w:val="0"/>
                <w:iCs w:val="0"/>
                <w:color w:val="000000"/>
                <w:sz w:val="18"/>
                <w:szCs w:val="18"/>
                <w:u w:val="none"/>
              </w:rPr>
            </w:pPr>
          </w:p>
        </w:tc>
      </w:tr>
      <w:tr w14:paraId="280BC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63"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1EE7B57D">
            <w:pPr>
              <w:jc w:val="center"/>
              <w:rPr>
                <w:rFonts w:hint="eastAsia" w:ascii="宋体" w:hAnsi="宋体" w:eastAsia="宋体" w:cs="宋体"/>
                <w:i w:val="0"/>
                <w:iCs w:val="0"/>
                <w:color w:val="333333"/>
                <w:sz w:val="18"/>
                <w:szCs w:val="18"/>
                <w:u w:val="none"/>
              </w:rPr>
            </w:pPr>
          </w:p>
        </w:tc>
        <w:tc>
          <w:tcPr>
            <w:tcW w:w="1916" w:type="dxa"/>
            <w:gridSpan w:val="2"/>
            <w:tcBorders>
              <w:top w:val="single" w:color="000000" w:sz="4" w:space="0"/>
              <w:left w:val="single" w:color="000000" w:sz="4" w:space="0"/>
              <w:bottom w:val="single" w:color="000000" w:sz="4" w:space="0"/>
              <w:right w:val="nil"/>
            </w:tcBorders>
            <w:shd w:val="clear" w:color="auto" w:fill="FFFFFF"/>
            <w:noWrap/>
            <w:vAlign w:val="center"/>
          </w:tcPr>
          <w:p w14:paraId="77807D3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333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123F4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设备维护合格率</w:t>
            </w:r>
          </w:p>
        </w:tc>
        <w:tc>
          <w:tcPr>
            <w:tcW w:w="8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F1290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8AEC5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27A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A0B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7E99C">
            <w:pPr>
              <w:rPr>
                <w:rFonts w:hint="eastAsia" w:ascii="宋体" w:hAnsi="宋体" w:eastAsia="宋体" w:cs="宋体"/>
                <w:i w:val="0"/>
                <w:iCs w:val="0"/>
                <w:color w:val="000000"/>
                <w:sz w:val="18"/>
                <w:szCs w:val="18"/>
                <w:u w:val="none"/>
              </w:rPr>
            </w:pPr>
          </w:p>
        </w:tc>
      </w:tr>
      <w:tr w14:paraId="6846C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63"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7B56FF96">
            <w:pPr>
              <w:jc w:val="center"/>
              <w:rPr>
                <w:rFonts w:hint="eastAsia" w:ascii="宋体" w:hAnsi="宋体" w:eastAsia="宋体" w:cs="宋体"/>
                <w:i w:val="0"/>
                <w:iCs w:val="0"/>
                <w:color w:val="333333"/>
                <w:sz w:val="18"/>
                <w:szCs w:val="18"/>
                <w:u w:val="none"/>
              </w:rPr>
            </w:pPr>
          </w:p>
        </w:tc>
        <w:tc>
          <w:tcPr>
            <w:tcW w:w="1916" w:type="dxa"/>
            <w:gridSpan w:val="2"/>
            <w:tcBorders>
              <w:top w:val="single" w:color="000000" w:sz="4" w:space="0"/>
              <w:left w:val="single" w:color="000000" w:sz="4" w:space="0"/>
              <w:bottom w:val="single" w:color="000000" w:sz="4" w:space="0"/>
              <w:right w:val="nil"/>
            </w:tcBorders>
            <w:shd w:val="clear" w:color="auto" w:fill="FFFFFF"/>
            <w:noWrap/>
            <w:vAlign w:val="center"/>
          </w:tcPr>
          <w:p w14:paraId="4752328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333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709B3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费用支付及时率</w:t>
            </w:r>
          </w:p>
        </w:tc>
        <w:tc>
          <w:tcPr>
            <w:tcW w:w="8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C26DE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39617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1D6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8BC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5DB15">
            <w:pPr>
              <w:rPr>
                <w:rFonts w:hint="eastAsia" w:ascii="宋体" w:hAnsi="宋体" w:eastAsia="宋体" w:cs="宋体"/>
                <w:i w:val="0"/>
                <w:iCs w:val="0"/>
                <w:color w:val="000000"/>
                <w:sz w:val="18"/>
                <w:szCs w:val="18"/>
                <w:u w:val="none"/>
              </w:rPr>
            </w:pPr>
          </w:p>
        </w:tc>
      </w:tr>
      <w:tr w14:paraId="5AA9D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63"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044E17DA">
            <w:pPr>
              <w:jc w:val="center"/>
              <w:rPr>
                <w:rFonts w:hint="eastAsia" w:ascii="宋体" w:hAnsi="宋体" w:eastAsia="宋体" w:cs="宋体"/>
                <w:i w:val="0"/>
                <w:iCs w:val="0"/>
                <w:color w:val="333333"/>
                <w:sz w:val="18"/>
                <w:szCs w:val="18"/>
                <w:u w:val="none"/>
              </w:rPr>
            </w:pPr>
          </w:p>
        </w:tc>
        <w:tc>
          <w:tcPr>
            <w:tcW w:w="1916" w:type="dxa"/>
            <w:gridSpan w:val="2"/>
            <w:tcBorders>
              <w:top w:val="single" w:color="000000" w:sz="4" w:space="0"/>
              <w:left w:val="single" w:color="000000" w:sz="4" w:space="0"/>
              <w:bottom w:val="single" w:color="000000" w:sz="4" w:space="0"/>
              <w:right w:val="nil"/>
            </w:tcBorders>
            <w:shd w:val="clear" w:color="auto" w:fill="FFFFFF"/>
            <w:noWrap/>
            <w:vAlign w:val="center"/>
          </w:tcPr>
          <w:p w14:paraId="0C815EE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333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56942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设备维护及时率</w:t>
            </w:r>
          </w:p>
        </w:tc>
        <w:tc>
          <w:tcPr>
            <w:tcW w:w="8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B61D0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C6280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3C7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0D5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A6A2A">
            <w:pPr>
              <w:rPr>
                <w:rFonts w:hint="eastAsia" w:ascii="宋体" w:hAnsi="宋体" w:eastAsia="宋体" w:cs="宋体"/>
                <w:i w:val="0"/>
                <w:iCs w:val="0"/>
                <w:color w:val="000000"/>
                <w:sz w:val="18"/>
                <w:szCs w:val="18"/>
                <w:u w:val="none"/>
              </w:rPr>
            </w:pPr>
          </w:p>
        </w:tc>
      </w:tr>
      <w:tr w14:paraId="66486E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63"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494535">
            <w:pPr>
              <w:jc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1916" w:type="dxa"/>
            <w:gridSpan w:val="2"/>
            <w:tcBorders>
              <w:top w:val="single" w:color="000000" w:sz="4" w:space="0"/>
              <w:left w:val="single" w:color="000000" w:sz="4" w:space="0"/>
              <w:bottom w:val="single" w:color="000000" w:sz="4" w:space="0"/>
              <w:right w:val="nil"/>
            </w:tcBorders>
            <w:shd w:val="clear" w:color="auto" w:fill="FFFFFF"/>
            <w:noWrap/>
            <w:vAlign w:val="center"/>
          </w:tcPr>
          <w:p w14:paraId="4604DAC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333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978B0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IPV6升级改造设备正常使用</w:t>
            </w:r>
          </w:p>
        </w:tc>
        <w:tc>
          <w:tcPr>
            <w:tcW w:w="8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32872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10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73C89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165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A82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B2548">
            <w:pPr>
              <w:rPr>
                <w:rFonts w:hint="eastAsia" w:ascii="宋体" w:hAnsi="宋体" w:eastAsia="宋体" w:cs="宋体"/>
                <w:i w:val="0"/>
                <w:iCs w:val="0"/>
                <w:color w:val="000000"/>
                <w:sz w:val="18"/>
                <w:szCs w:val="18"/>
                <w:u w:val="none"/>
              </w:rPr>
            </w:pPr>
          </w:p>
        </w:tc>
      </w:tr>
      <w:tr w14:paraId="2C4F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1D83F9">
            <w:pPr>
              <w:jc w:val="center"/>
              <w:rPr>
                <w:rFonts w:hint="eastAsia" w:ascii="宋体" w:hAnsi="宋体" w:eastAsia="宋体" w:cs="宋体"/>
                <w:i w:val="0"/>
                <w:iCs w:val="0"/>
                <w:color w:val="333333"/>
                <w:sz w:val="18"/>
                <w:szCs w:val="18"/>
                <w:u w:val="none"/>
              </w:rPr>
            </w:pPr>
          </w:p>
        </w:tc>
        <w:tc>
          <w:tcPr>
            <w:tcW w:w="1916" w:type="dxa"/>
            <w:gridSpan w:val="2"/>
            <w:tcBorders>
              <w:top w:val="single" w:color="000000" w:sz="4" w:space="0"/>
              <w:left w:val="single" w:color="000000" w:sz="4" w:space="0"/>
              <w:bottom w:val="single" w:color="000000" w:sz="4" w:space="0"/>
              <w:right w:val="nil"/>
            </w:tcBorders>
            <w:shd w:val="clear" w:color="auto" w:fill="FFFFFF"/>
            <w:noWrap/>
            <w:vAlign w:val="center"/>
          </w:tcPr>
          <w:p w14:paraId="30753E1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333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2FC1A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电子政务外网正常使用率</w:t>
            </w:r>
          </w:p>
        </w:tc>
        <w:tc>
          <w:tcPr>
            <w:tcW w:w="8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A544C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59C2D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D32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82A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948B7">
            <w:pPr>
              <w:rPr>
                <w:rFonts w:hint="eastAsia" w:ascii="宋体" w:hAnsi="宋体" w:eastAsia="宋体" w:cs="宋体"/>
                <w:i w:val="0"/>
                <w:iCs w:val="0"/>
                <w:color w:val="000000"/>
                <w:sz w:val="18"/>
                <w:szCs w:val="18"/>
                <w:u w:val="none"/>
              </w:rPr>
            </w:pPr>
          </w:p>
        </w:tc>
      </w:tr>
      <w:tr w14:paraId="1498D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4BA224">
            <w:pPr>
              <w:jc w:val="center"/>
              <w:rPr>
                <w:rFonts w:hint="eastAsia" w:ascii="宋体" w:hAnsi="宋体" w:eastAsia="宋体" w:cs="宋体"/>
                <w:i w:val="0"/>
                <w:iCs w:val="0"/>
                <w:color w:val="333333"/>
                <w:sz w:val="18"/>
                <w:szCs w:val="18"/>
                <w:u w:val="none"/>
              </w:rPr>
            </w:pPr>
          </w:p>
        </w:tc>
        <w:tc>
          <w:tcPr>
            <w:tcW w:w="1916" w:type="dxa"/>
            <w:gridSpan w:val="2"/>
            <w:tcBorders>
              <w:top w:val="single" w:color="000000" w:sz="4" w:space="0"/>
              <w:left w:val="single" w:color="000000" w:sz="4" w:space="0"/>
              <w:bottom w:val="single" w:color="000000" w:sz="4" w:space="0"/>
              <w:right w:val="nil"/>
            </w:tcBorders>
            <w:shd w:val="clear" w:color="auto" w:fill="FFFFFF"/>
            <w:noWrap/>
            <w:vAlign w:val="center"/>
          </w:tcPr>
          <w:p w14:paraId="319C8D1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333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480A2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电子政务外网运维管护机制健全性</w:t>
            </w:r>
          </w:p>
        </w:tc>
        <w:tc>
          <w:tcPr>
            <w:tcW w:w="8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2699A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10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5C415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AB6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037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A2F56">
            <w:pPr>
              <w:rPr>
                <w:rFonts w:hint="eastAsia" w:ascii="宋体" w:hAnsi="宋体" w:eastAsia="宋体" w:cs="宋体"/>
                <w:i w:val="0"/>
                <w:iCs w:val="0"/>
                <w:color w:val="000000"/>
                <w:sz w:val="18"/>
                <w:szCs w:val="18"/>
                <w:u w:val="none"/>
              </w:rPr>
            </w:pPr>
          </w:p>
        </w:tc>
      </w:tr>
      <w:tr w14:paraId="1BF6D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063" w:type="dxa"/>
            <w:tcBorders>
              <w:top w:val="single" w:color="000000" w:sz="4" w:space="0"/>
              <w:left w:val="single" w:color="000000" w:sz="4" w:space="0"/>
              <w:bottom w:val="single" w:color="auto" w:sz="4" w:space="0"/>
              <w:right w:val="single" w:color="000000" w:sz="4" w:space="0"/>
            </w:tcBorders>
            <w:shd w:val="clear" w:color="auto" w:fill="FFFFFF"/>
            <w:noWrap/>
            <w:vAlign w:val="center"/>
          </w:tcPr>
          <w:p w14:paraId="1139565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916" w:type="dxa"/>
            <w:gridSpan w:val="2"/>
            <w:tcBorders>
              <w:top w:val="single" w:color="000000" w:sz="4" w:space="0"/>
              <w:left w:val="single" w:color="000000" w:sz="4" w:space="0"/>
              <w:bottom w:val="single" w:color="auto" w:sz="4" w:space="0"/>
              <w:right w:val="nil"/>
            </w:tcBorders>
            <w:shd w:val="clear" w:color="auto" w:fill="FFFFFF"/>
            <w:noWrap/>
            <w:vAlign w:val="center"/>
          </w:tcPr>
          <w:p w14:paraId="5288C8E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333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4E2A5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各电子政务外网使用单位满意度</w:t>
            </w:r>
          </w:p>
        </w:tc>
        <w:tc>
          <w:tcPr>
            <w:tcW w:w="8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F6F41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95%</w:t>
            </w:r>
          </w:p>
        </w:tc>
        <w:tc>
          <w:tcPr>
            <w:tcW w:w="10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C6FE0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95%</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F5B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B82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754FB">
            <w:pPr>
              <w:rPr>
                <w:rFonts w:hint="eastAsia" w:ascii="宋体" w:hAnsi="宋体" w:eastAsia="宋体" w:cs="宋体"/>
                <w:i w:val="0"/>
                <w:iCs w:val="0"/>
                <w:color w:val="000000"/>
                <w:sz w:val="18"/>
                <w:szCs w:val="18"/>
                <w:u w:val="none"/>
              </w:rPr>
            </w:pPr>
          </w:p>
        </w:tc>
      </w:tr>
      <w:tr w14:paraId="0F8DFE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63" w:type="dxa"/>
            <w:tcBorders>
              <w:top w:val="single" w:color="auto" w:sz="4" w:space="0"/>
              <w:left w:val="single" w:color="auto" w:sz="4" w:space="0"/>
              <w:bottom w:val="single" w:color="auto" w:sz="4" w:space="0"/>
              <w:right w:val="nil"/>
            </w:tcBorders>
            <w:shd w:val="clear" w:color="auto" w:fill="FFFFFF"/>
            <w:noWrap/>
            <w:vAlign w:val="center"/>
          </w:tcPr>
          <w:p w14:paraId="2561292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916" w:type="dxa"/>
            <w:gridSpan w:val="2"/>
            <w:tcBorders>
              <w:top w:val="single" w:color="auto" w:sz="4" w:space="0"/>
              <w:left w:val="single" w:color="000000" w:sz="4" w:space="0"/>
              <w:bottom w:val="single" w:color="auto" w:sz="4" w:space="0"/>
              <w:right w:val="single" w:color="auto" w:sz="4" w:space="0"/>
            </w:tcBorders>
            <w:shd w:val="clear" w:color="auto" w:fill="FFFFFF"/>
            <w:noWrap/>
            <w:vAlign w:val="center"/>
          </w:tcPr>
          <w:p w14:paraId="58C9FD4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经济成本指标</w:t>
            </w:r>
          </w:p>
        </w:tc>
        <w:tc>
          <w:tcPr>
            <w:tcW w:w="3334" w:type="dxa"/>
            <w:gridSpan w:val="2"/>
            <w:tcBorders>
              <w:top w:val="single" w:color="000000" w:sz="4" w:space="0"/>
              <w:left w:val="single" w:color="auto" w:sz="4" w:space="0"/>
              <w:bottom w:val="single" w:color="000000" w:sz="4" w:space="0"/>
              <w:right w:val="single" w:color="000000" w:sz="4" w:space="0"/>
            </w:tcBorders>
            <w:shd w:val="clear" w:color="auto" w:fill="FFFFFF"/>
            <w:noWrap/>
            <w:vAlign w:val="center"/>
          </w:tcPr>
          <w:p w14:paraId="606E6F2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项目费用控制数</w:t>
            </w:r>
          </w:p>
        </w:tc>
        <w:tc>
          <w:tcPr>
            <w:tcW w:w="8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43F42F">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56万元</w:t>
            </w:r>
          </w:p>
        </w:tc>
        <w:tc>
          <w:tcPr>
            <w:tcW w:w="10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E7346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46.3万元</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A68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B7A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EFD68">
            <w:pPr>
              <w:rPr>
                <w:rFonts w:hint="eastAsia" w:ascii="宋体" w:hAnsi="宋体" w:eastAsia="宋体" w:cs="宋体"/>
                <w:i w:val="0"/>
                <w:iCs w:val="0"/>
                <w:color w:val="000000"/>
                <w:sz w:val="18"/>
                <w:szCs w:val="18"/>
                <w:u w:val="none"/>
              </w:rPr>
            </w:pPr>
          </w:p>
        </w:tc>
      </w:tr>
    </w:tbl>
    <w:p w14:paraId="05AC7972">
      <w:pPr>
        <w:widowControl/>
        <w:jc w:val="center"/>
        <w:rPr>
          <w:rFonts w:hint="eastAsia" w:ascii="Times New Roman" w:hAnsi="Times New Roman" w:eastAsia="黑体"/>
          <w:color w:val="auto"/>
          <w:sz w:val="44"/>
          <w:szCs w:val="44"/>
          <w:highlight w:val="none"/>
        </w:rPr>
      </w:pPr>
    </w:p>
    <w:p w14:paraId="52EF3E4E">
      <w:pPr>
        <w:widowControl/>
        <w:jc w:val="center"/>
        <w:rPr>
          <w:rFonts w:hint="eastAsia" w:ascii="Times New Roman" w:hAnsi="Times New Roman" w:eastAsia="黑体"/>
          <w:color w:val="auto"/>
          <w:sz w:val="44"/>
          <w:szCs w:val="44"/>
          <w:highlight w:val="none"/>
        </w:rPr>
      </w:pPr>
    </w:p>
    <w:tbl>
      <w:tblPr>
        <w:tblStyle w:val="16"/>
        <w:tblW w:w="968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16"/>
        <w:gridCol w:w="1476"/>
        <w:gridCol w:w="2016"/>
        <w:gridCol w:w="1216"/>
        <w:gridCol w:w="1116"/>
        <w:gridCol w:w="1008"/>
        <w:gridCol w:w="720"/>
        <w:gridCol w:w="720"/>
      </w:tblGrid>
      <w:tr w14:paraId="1C039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688" w:type="dxa"/>
            <w:gridSpan w:val="8"/>
            <w:tcBorders>
              <w:top w:val="nil"/>
              <w:left w:val="nil"/>
              <w:bottom w:val="nil"/>
              <w:right w:val="nil"/>
            </w:tcBorders>
            <w:shd w:val="clear" w:color="auto" w:fill="auto"/>
            <w:noWrap/>
            <w:vAlign w:val="center"/>
          </w:tcPr>
          <w:p w14:paraId="4829F572">
            <w:pPr>
              <w:keepNext w:val="0"/>
              <w:keepLines w:val="0"/>
              <w:widowControl/>
              <w:suppressLineNumbers w:val="0"/>
              <w:jc w:val="center"/>
              <w:textAlignment w:val="center"/>
              <w:rPr>
                <w:rFonts w:hint="default" w:ascii="宋体" w:hAnsi="宋体" w:eastAsia="宋体" w:cs="宋体"/>
                <w:b/>
                <w:bCs/>
                <w:i w:val="0"/>
                <w:iCs w:val="0"/>
                <w:color w:val="000000"/>
                <w:sz w:val="36"/>
                <w:szCs w:val="36"/>
                <w:u w:val="none"/>
                <w:lang w:val="en-US"/>
              </w:rPr>
            </w:pPr>
            <w:r>
              <w:rPr>
                <w:rFonts w:hint="eastAsia" w:ascii="宋体" w:hAnsi="宋体" w:eastAsia="宋体" w:cs="宋体"/>
                <w:b/>
                <w:bCs/>
                <w:i w:val="0"/>
                <w:iCs w:val="0"/>
                <w:color w:val="000000"/>
                <w:kern w:val="0"/>
                <w:sz w:val="36"/>
                <w:szCs w:val="36"/>
                <w:u w:val="none"/>
                <w:lang w:val="en-US" w:eastAsia="zh-CN" w:bidi="ar"/>
              </w:rPr>
              <w:t>区级项目支出绩效自评表</w:t>
            </w:r>
            <w:r>
              <w:rPr>
                <w:rFonts w:hint="eastAsia" w:ascii="宋体" w:hAnsi="宋体" w:cs="宋体"/>
                <w:b/>
                <w:bCs/>
                <w:i w:val="0"/>
                <w:iCs w:val="0"/>
                <w:color w:val="000000"/>
                <w:kern w:val="0"/>
                <w:sz w:val="36"/>
                <w:szCs w:val="36"/>
                <w:u w:val="none"/>
                <w:lang w:val="en-US" w:eastAsia="zh-CN" w:bidi="ar"/>
              </w:rPr>
              <w:t>3</w:t>
            </w:r>
          </w:p>
        </w:tc>
      </w:tr>
      <w:tr w14:paraId="3E9F7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909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34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0B2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春节一线在岗职工慰问</w:t>
            </w:r>
          </w:p>
        </w:tc>
        <w:tc>
          <w:tcPr>
            <w:tcW w:w="1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648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356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061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184FE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E3C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34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8CD99">
            <w:pPr>
              <w:jc w:val="left"/>
              <w:rPr>
                <w:rFonts w:hint="eastAsia" w:ascii="宋体" w:hAnsi="宋体" w:eastAsia="宋体" w:cs="宋体"/>
                <w:i w:val="0"/>
                <w:iCs w:val="0"/>
                <w:color w:val="000000"/>
                <w:sz w:val="20"/>
                <w:szCs w:val="20"/>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8E7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356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010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五通桥区人民政府办公室机关</w:t>
            </w:r>
          </w:p>
        </w:tc>
      </w:tr>
      <w:tr w14:paraId="2ED98D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688"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D9A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4E32FE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892" w:type="dxa"/>
            <w:gridSpan w:val="2"/>
            <w:tcBorders>
              <w:top w:val="single" w:color="000000" w:sz="4" w:space="0"/>
              <w:left w:val="single" w:color="000000" w:sz="4" w:space="0"/>
              <w:bottom w:val="single" w:color="000000" w:sz="4" w:space="0"/>
              <w:right w:val="nil"/>
            </w:tcBorders>
            <w:shd w:val="clear" w:color="auto" w:fill="auto"/>
            <w:noWrap/>
            <w:vAlign w:val="center"/>
          </w:tcPr>
          <w:p w14:paraId="05C76E53">
            <w:pPr>
              <w:jc w:val="center"/>
              <w:rPr>
                <w:rFonts w:hint="eastAsia" w:ascii="宋体" w:hAnsi="宋体" w:eastAsia="宋体" w:cs="宋体"/>
                <w:i w:val="0"/>
                <w:iCs w:val="0"/>
                <w:color w:val="000000"/>
                <w:sz w:val="20"/>
                <w:szCs w:val="20"/>
                <w:u w:val="none"/>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166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3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035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244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E4A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3ECB7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8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2E2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EDE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7.54</w:t>
            </w:r>
          </w:p>
        </w:tc>
        <w:tc>
          <w:tcPr>
            <w:tcW w:w="23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A2C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7.54</w:t>
            </w:r>
          </w:p>
        </w:tc>
        <w:tc>
          <w:tcPr>
            <w:tcW w:w="244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5D1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0E85D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8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2C7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176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7.54</w:t>
            </w:r>
          </w:p>
        </w:tc>
        <w:tc>
          <w:tcPr>
            <w:tcW w:w="23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31D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7.54</w:t>
            </w:r>
          </w:p>
        </w:tc>
        <w:tc>
          <w:tcPr>
            <w:tcW w:w="244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EF5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614EA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8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789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0FB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3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190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44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4D4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743084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49C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470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DA2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356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5FA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404FC3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AADBB">
            <w:pPr>
              <w:jc w:val="left"/>
              <w:rPr>
                <w:rFonts w:hint="eastAsia" w:ascii="宋体" w:hAnsi="宋体" w:eastAsia="宋体" w:cs="宋体"/>
                <w:i w:val="0"/>
                <w:iCs w:val="0"/>
                <w:color w:val="000000"/>
                <w:sz w:val="20"/>
                <w:szCs w:val="20"/>
                <w:u w:val="none"/>
              </w:rPr>
            </w:pPr>
          </w:p>
        </w:tc>
        <w:tc>
          <w:tcPr>
            <w:tcW w:w="4708" w:type="dxa"/>
            <w:gridSpan w:val="3"/>
            <w:tcBorders>
              <w:top w:val="single" w:color="000000" w:sz="4" w:space="0"/>
              <w:left w:val="single" w:color="000000" w:sz="4" w:space="0"/>
              <w:bottom w:val="nil"/>
              <w:right w:val="single" w:color="000000" w:sz="4" w:space="0"/>
            </w:tcBorders>
            <w:shd w:val="clear" w:color="auto" w:fill="auto"/>
            <w:vAlign w:val="center"/>
          </w:tcPr>
          <w:p w14:paraId="44690A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投入8万元，用于区领导在对春节一线在岗各行业职工进行走访慰问,提高职工工作积极性。</w:t>
            </w:r>
          </w:p>
        </w:tc>
        <w:tc>
          <w:tcPr>
            <w:tcW w:w="35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17AAF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实际投入7.54万元，区领导在对春节一线在岗各行业职工进行走访慰问377人,提高职工工作积极性。</w:t>
            </w:r>
          </w:p>
        </w:tc>
      </w:tr>
      <w:tr w14:paraId="5E4C60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B23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FA1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46B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3AF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1116" w:type="dxa"/>
            <w:tcBorders>
              <w:top w:val="nil"/>
              <w:left w:val="single" w:color="000000" w:sz="4" w:space="0"/>
              <w:bottom w:val="single" w:color="000000" w:sz="4" w:space="0"/>
              <w:right w:val="single" w:color="000000" w:sz="4" w:space="0"/>
            </w:tcBorders>
            <w:shd w:val="clear" w:color="auto" w:fill="auto"/>
            <w:noWrap/>
            <w:vAlign w:val="center"/>
          </w:tcPr>
          <w:p w14:paraId="398BB2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1008" w:type="dxa"/>
            <w:tcBorders>
              <w:top w:val="nil"/>
              <w:left w:val="single" w:color="000000" w:sz="4" w:space="0"/>
              <w:bottom w:val="single" w:color="000000" w:sz="4" w:space="0"/>
              <w:right w:val="single" w:color="000000" w:sz="4" w:space="0"/>
            </w:tcBorders>
            <w:shd w:val="clear" w:color="auto" w:fill="auto"/>
            <w:vAlign w:val="center"/>
          </w:tcPr>
          <w:p w14:paraId="4DE5C3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720" w:type="dxa"/>
            <w:tcBorders>
              <w:top w:val="nil"/>
              <w:left w:val="nil"/>
              <w:bottom w:val="single" w:color="000000" w:sz="4" w:space="0"/>
              <w:right w:val="single" w:color="000000" w:sz="4" w:space="0"/>
            </w:tcBorders>
            <w:shd w:val="clear" w:color="auto" w:fill="auto"/>
            <w:noWrap/>
            <w:vAlign w:val="center"/>
          </w:tcPr>
          <w:p w14:paraId="0D6F50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720" w:type="dxa"/>
            <w:tcBorders>
              <w:top w:val="nil"/>
              <w:left w:val="single" w:color="000000" w:sz="4" w:space="0"/>
              <w:bottom w:val="single" w:color="000000" w:sz="4" w:space="0"/>
              <w:right w:val="single" w:color="000000" w:sz="4" w:space="0"/>
            </w:tcBorders>
            <w:shd w:val="clear" w:color="auto" w:fill="auto"/>
            <w:vAlign w:val="center"/>
          </w:tcPr>
          <w:p w14:paraId="4A750E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0AA5D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724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340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344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4D0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D1A21">
            <w:pPr>
              <w:jc w:val="center"/>
              <w:rPr>
                <w:rFonts w:hint="eastAsia" w:ascii="宋体" w:hAnsi="宋体" w:eastAsia="宋体" w:cs="宋体"/>
                <w:i w:val="0"/>
                <w:iCs w:val="0"/>
                <w:color w:val="000000"/>
                <w:sz w:val="18"/>
                <w:szCs w:val="18"/>
                <w:u w:val="none"/>
              </w:rPr>
            </w:pPr>
          </w:p>
        </w:tc>
      </w:tr>
      <w:tr w14:paraId="77226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4908"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348EC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12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10F30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1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9A5FA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A83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7C2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A21BA">
            <w:pPr>
              <w:rPr>
                <w:rFonts w:hint="eastAsia" w:ascii="宋体" w:hAnsi="宋体" w:eastAsia="宋体" w:cs="宋体"/>
                <w:i w:val="0"/>
                <w:iCs w:val="0"/>
                <w:color w:val="000000"/>
                <w:sz w:val="18"/>
                <w:szCs w:val="18"/>
                <w:u w:val="none"/>
              </w:rPr>
            </w:pPr>
          </w:p>
        </w:tc>
      </w:tr>
      <w:tr w14:paraId="084C4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16"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6035B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1476" w:type="dxa"/>
            <w:tcBorders>
              <w:top w:val="single" w:color="000000" w:sz="4" w:space="0"/>
              <w:left w:val="single" w:color="000000" w:sz="4" w:space="0"/>
              <w:bottom w:val="single" w:color="000000" w:sz="4" w:space="0"/>
              <w:right w:val="nil"/>
            </w:tcBorders>
            <w:shd w:val="clear" w:color="auto" w:fill="FFFFFF"/>
            <w:noWrap/>
            <w:vAlign w:val="center"/>
          </w:tcPr>
          <w:p w14:paraId="66DEEA0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20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0E6CC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慰问人数</w:t>
            </w:r>
          </w:p>
        </w:tc>
        <w:tc>
          <w:tcPr>
            <w:tcW w:w="12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60239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400人</w:t>
            </w:r>
          </w:p>
        </w:tc>
        <w:tc>
          <w:tcPr>
            <w:tcW w:w="11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6D42F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377人</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6EE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242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10144">
            <w:pPr>
              <w:rPr>
                <w:rFonts w:hint="eastAsia" w:ascii="宋体" w:hAnsi="宋体" w:eastAsia="宋体" w:cs="宋体"/>
                <w:i w:val="0"/>
                <w:iCs w:val="0"/>
                <w:color w:val="000000"/>
                <w:sz w:val="18"/>
                <w:szCs w:val="18"/>
                <w:u w:val="none"/>
              </w:rPr>
            </w:pPr>
          </w:p>
        </w:tc>
      </w:tr>
      <w:tr w14:paraId="2B862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933A73">
            <w:pPr>
              <w:jc w:val="center"/>
              <w:rPr>
                <w:rFonts w:hint="eastAsia" w:ascii="宋体" w:hAnsi="宋体" w:eastAsia="宋体" w:cs="宋体"/>
                <w:i w:val="0"/>
                <w:iCs w:val="0"/>
                <w:color w:val="333333"/>
                <w:sz w:val="18"/>
                <w:szCs w:val="18"/>
                <w:u w:val="none"/>
              </w:rPr>
            </w:pPr>
          </w:p>
        </w:tc>
        <w:tc>
          <w:tcPr>
            <w:tcW w:w="1476" w:type="dxa"/>
            <w:tcBorders>
              <w:top w:val="single" w:color="000000" w:sz="4" w:space="0"/>
              <w:left w:val="single" w:color="000000" w:sz="4" w:space="0"/>
              <w:bottom w:val="single" w:color="000000" w:sz="4" w:space="0"/>
              <w:right w:val="nil"/>
            </w:tcBorders>
            <w:shd w:val="clear" w:color="auto" w:fill="FFFFFF"/>
            <w:noWrap/>
            <w:vAlign w:val="center"/>
          </w:tcPr>
          <w:p w14:paraId="594E85B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20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9CC24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慰问费发放准确率</w:t>
            </w:r>
          </w:p>
        </w:tc>
        <w:tc>
          <w:tcPr>
            <w:tcW w:w="12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09BDE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1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899D5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521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3B2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F437A">
            <w:pPr>
              <w:rPr>
                <w:rFonts w:hint="eastAsia" w:ascii="宋体" w:hAnsi="宋体" w:eastAsia="宋体" w:cs="宋体"/>
                <w:i w:val="0"/>
                <w:iCs w:val="0"/>
                <w:color w:val="000000"/>
                <w:sz w:val="18"/>
                <w:szCs w:val="18"/>
                <w:u w:val="none"/>
              </w:rPr>
            </w:pPr>
          </w:p>
        </w:tc>
      </w:tr>
      <w:tr w14:paraId="449493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04AF81">
            <w:pPr>
              <w:jc w:val="center"/>
              <w:rPr>
                <w:rFonts w:hint="eastAsia" w:ascii="宋体" w:hAnsi="宋体" w:eastAsia="宋体" w:cs="宋体"/>
                <w:i w:val="0"/>
                <w:iCs w:val="0"/>
                <w:color w:val="333333"/>
                <w:sz w:val="18"/>
                <w:szCs w:val="18"/>
                <w:u w:val="none"/>
              </w:rPr>
            </w:pPr>
          </w:p>
        </w:tc>
        <w:tc>
          <w:tcPr>
            <w:tcW w:w="1476" w:type="dxa"/>
            <w:tcBorders>
              <w:top w:val="single" w:color="000000" w:sz="4" w:space="0"/>
              <w:left w:val="single" w:color="000000" w:sz="4" w:space="0"/>
              <w:bottom w:val="single" w:color="000000" w:sz="4" w:space="0"/>
              <w:right w:val="nil"/>
            </w:tcBorders>
            <w:shd w:val="clear" w:color="auto" w:fill="FFFFFF"/>
            <w:noWrap/>
            <w:vAlign w:val="center"/>
          </w:tcPr>
          <w:p w14:paraId="3EA707F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20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02701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慰问费发放及时率</w:t>
            </w:r>
          </w:p>
        </w:tc>
        <w:tc>
          <w:tcPr>
            <w:tcW w:w="12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7A08B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1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E71B7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5A8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600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F9293">
            <w:pPr>
              <w:rPr>
                <w:rFonts w:hint="eastAsia" w:ascii="宋体" w:hAnsi="宋体" w:eastAsia="宋体" w:cs="宋体"/>
                <w:i w:val="0"/>
                <w:iCs w:val="0"/>
                <w:color w:val="000000"/>
                <w:sz w:val="18"/>
                <w:szCs w:val="18"/>
                <w:u w:val="none"/>
              </w:rPr>
            </w:pPr>
          </w:p>
        </w:tc>
      </w:tr>
      <w:tr w14:paraId="076B7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16"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953A0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1476" w:type="dxa"/>
            <w:tcBorders>
              <w:top w:val="single" w:color="000000" w:sz="4" w:space="0"/>
              <w:left w:val="single" w:color="000000" w:sz="4" w:space="0"/>
              <w:bottom w:val="single" w:color="000000" w:sz="4" w:space="0"/>
              <w:right w:val="nil"/>
            </w:tcBorders>
            <w:shd w:val="clear" w:color="auto" w:fill="FFFFFF"/>
            <w:noWrap/>
            <w:vAlign w:val="center"/>
          </w:tcPr>
          <w:p w14:paraId="3426CDE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20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3F8EF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慰问费应发尽发率</w:t>
            </w:r>
          </w:p>
        </w:tc>
        <w:tc>
          <w:tcPr>
            <w:tcW w:w="12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94B1C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1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97885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4F1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958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4F32F">
            <w:pPr>
              <w:rPr>
                <w:rFonts w:hint="eastAsia" w:ascii="宋体" w:hAnsi="宋体" w:eastAsia="宋体" w:cs="宋体"/>
                <w:i w:val="0"/>
                <w:iCs w:val="0"/>
                <w:color w:val="000000"/>
                <w:sz w:val="18"/>
                <w:szCs w:val="18"/>
                <w:u w:val="none"/>
              </w:rPr>
            </w:pPr>
          </w:p>
        </w:tc>
      </w:tr>
      <w:tr w14:paraId="7B449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E0C616">
            <w:pPr>
              <w:jc w:val="center"/>
              <w:rPr>
                <w:rFonts w:hint="eastAsia" w:ascii="宋体" w:hAnsi="宋体" w:eastAsia="宋体" w:cs="宋体"/>
                <w:i w:val="0"/>
                <w:iCs w:val="0"/>
                <w:color w:val="333333"/>
                <w:sz w:val="18"/>
                <w:szCs w:val="18"/>
                <w:u w:val="none"/>
              </w:rPr>
            </w:pPr>
          </w:p>
        </w:tc>
        <w:tc>
          <w:tcPr>
            <w:tcW w:w="1476" w:type="dxa"/>
            <w:tcBorders>
              <w:top w:val="single" w:color="000000" w:sz="4" w:space="0"/>
              <w:left w:val="single" w:color="000000" w:sz="4" w:space="0"/>
              <w:bottom w:val="single" w:color="000000" w:sz="4" w:space="0"/>
              <w:right w:val="nil"/>
            </w:tcBorders>
            <w:shd w:val="clear" w:color="auto" w:fill="FFFFFF"/>
            <w:noWrap/>
            <w:vAlign w:val="center"/>
          </w:tcPr>
          <w:p w14:paraId="2352E3B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20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EEC1C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慰问金管理机制健全性</w:t>
            </w:r>
          </w:p>
        </w:tc>
        <w:tc>
          <w:tcPr>
            <w:tcW w:w="12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63D49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11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99972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AA4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D33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FAB04">
            <w:pPr>
              <w:rPr>
                <w:rFonts w:hint="eastAsia" w:ascii="宋体" w:hAnsi="宋体" w:eastAsia="宋体" w:cs="宋体"/>
                <w:i w:val="0"/>
                <w:iCs w:val="0"/>
                <w:color w:val="000000"/>
                <w:sz w:val="18"/>
                <w:szCs w:val="18"/>
                <w:u w:val="none"/>
              </w:rPr>
            </w:pPr>
          </w:p>
        </w:tc>
      </w:tr>
      <w:tr w14:paraId="605FB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D081F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476" w:type="dxa"/>
            <w:tcBorders>
              <w:top w:val="single" w:color="000000" w:sz="4" w:space="0"/>
              <w:left w:val="single" w:color="000000" w:sz="4" w:space="0"/>
              <w:bottom w:val="single" w:color="000000" w:sz="4" w:space="0"/>
              <w:right w:val="nil"/>
            </w:tcBorders>
            <w:shd w:val="clear" w:color="auto" w:fill="FFFFFF"/>
            <w:noWrap/>
            <w:vAlign w:val="center"/>
          </w:tcPr>
          <w:p w14:paraId="6F188F2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20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79D0E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被慰问一线职工满意度</w:t>
            </w:r>
          </w:p>
        </w:tc>
        <w:tc>
          <w:tcPr>
            <w:tcW w:w="12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D902D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1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CFA78F">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138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0BB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5D408">
            <w:pPr>
              <w:rPr>
                <w:rFonts w:hint="eastAsia" w:ascii="宋体" w:hAnsi="宋体" w:eastAsia="宋体" w:cs="宋体"/>
                <w:i w:val="0"/>
                <w:iCs w:val="0"/>
                <w:color w:val="000000"/>
                <w:sz w:val="18"/>
                <w:szCs w:val="18"/>
                <w:u w:val="none"/>
              </w:rPr>
            </w:pPr>
          </w:p>
        </w:tc>
      </w:tr>
      <w:tr w14:paraId="1F575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DF2AC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476" w:type="dxa"/>
            <w:tcBorders>
              <w:top w:val="single" w:color="000000" w:sz="4" w:space="0"/>
              <w:left w:val="nil"/>
              <w:bottom w:val="single" w:color="000000" w:sz="4" w:space="0"/>
              <w:right w:val="single" w:color="000000" w:sz="4" w:space="0"/>
            </w:tcBorders>
            <w:shd w:val="clear" w:color="auto" w:fill="FFFFFF"/>
            <w:noWrap/>
            <w:vAlign w:val="center"/>
          </w:tcPr>
          <w:p w14:paraId="64F5FC4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经济成本指标</w:t>
            </w:r>
          </w:p>
        </w:tc>
        <w:tc>
          <w:tcPr>
            <w:tcW w:w="20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C3328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慰问标准</w:t>
            </w:r>
          </w:p>
        </w:tc>
        <w:tc>
          <w:tcPr>
            <w:tcW w:w="12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7E938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200元/人</w:t>
            </w:r>
          </w:p>
        </w:tc>
        <w:tc>
          <w:tcPr>
            <w:tcW w:w="11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3CA3B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200元/人</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CFD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1AD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6C868">
            <w:pPr>
              <w:rPr>
                <w:rFonts w:hint="eastAsia" w:ascii="宋体" w:hAnsi="宋体" w:eastAsia="宋体" w:cs="宋体"/>
                <w:i w:val="0"/>
                <w:iCs w:val="0"/>
                <w:color w:val="000000"/>
                <w:sz w:val="18"/>
                <w:szCs w:val="18"/>
                <w:u w:val="none"/>
              </w:rPr>
            </w:pPr>
          </w:p>
        </w:tc>
      </w:tr>
    </w:tbl>
    <w:p w14:paraId="1825DCEA">
      <w:pPr>
        <w:rPr>
          <w:rFonts w:hint="eastAsia" w:ascii="Times New Roman" w:hAnsi="Times New Roman" w:eastAsia="黑体"/>
          <w:color w:val="auto"/>
          <w:sz w:val="44"/>
          <w:szCs w:val="44"/>
          <w:highlight w:val="none"/>
        </w:rPr>
      </w:pPr>
      <w:r>
        <w:rPr>
          <w:rFonts w:hint="eastAsia" w:ascii="Times New Roman" w:hAnsi="Times New Roman" w:eastAsia="黑体"/>
          <w:color w:val="auto"/>
          <w:sz w:val="44"/>
          <w:szCs w:val="44"/>
          <w:highlight w:val="none"/>
        </w:rPr>
        <w:br w:type="page"/>
      </w:r>
    </w:p>
    <w:p w14:paraId="14584345">
      <w:pPr>
        <w:widowControl/>
        <w:jc w:val="center"/>
        <w:rPr>
          <w:rFonts w:hint="eastAsia" w:ascii="Times New Roman" w:hAnsi="Times New Roman" w:eastAsia="仿宋"/>
          <w:b w:val="0"/>
          <w:color w:val="auto"/>
          <w:highlight w:val="none"/>
        </w:rPr>
      </w:pPr>
      <w:r>
        <w:rPr>
          <w:rFonts w:hint="eastAsia" w:ascii="Times New Roman" w:hAnsi="Times New Roman" w:eastAsia="黑体"/>
          <w:color w:val="auto"/>
          <w:sz w:val="44"/>
          <w:szCs w:val="44"/>
          <w:highlight w:val="none"/>
        </w:rPr>
        <w:t>第</w:t>
      </w:r>
      <w:r>
        <w:rPr>
          <w:rStyle w:val="29"/>
          <w:rFonts w:hint="eastAsia" w:ascii="Times New Roman" w:hAnsi="Times New Roman" w:eastAsia="黑体"/>
          <w:b w:val="0"/>
          <w:color w:val="auto"/>
          <w:highlight w:val="none"/>
        </w:rPr>
        <w:t>五部分 附表</w:t>
      </w:r>
      <w:bookmarkEnd w:id="48"/>
      <w:bookmarkEnd w:id="49"/>
      <w:bookmarkStart w:id="50" w:name="_Toc15396619"/>
    </w:p>
    <w:p w14:paraId="13C69121">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p>
    <w:p w14:paraId="35D8BE3E">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一、收入支出决算总表</w:t>
      </w:r>
      <w:bookmarkEnd w:id="50"/>
    </w:p>
    <w:p w14:paraId="3480B511">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1" w:name="_Toc15396620"/>
      <w:r>
        <w:rPr>
          <w:rFonts w:hint="eastAsia" w:ascii="Times New Roman" w:hAnsi="Times New Roman" w:eastAsia="仿宋_GB2312" w:cs="仿宋_GB2312"/>
          <w:color w:val="auto"/>
          <w:sz w:val="32"/>
          <w:szCs w:val="32"/>
          <w:highlight w:val="none"/>
        </w:rPr>
        <w:t>二、收入决算表</w:t>
      </w:r>
      <w:bookmarkEnd w:id="51"/>
    </w:p>
    <w:p w14:paraId="4E22270A">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2" w:name="_Toc15396621"/>
      <w:r>
        <w:rPr>
          <w:rFonts w:hint="eastAsia" w:ascii="Times New Roman" w:hAnsi="Times New Roman" w:eastAsia="仿宋_GB2312" w:cs="仿宋_GB2312"/>
          <w:color w:val="auto"/>
          <w:sz w:val="32"/>
          <w:szCs w:val="32"/>
          <w:highlight w:val="none"/>
        </w:rPr>
        <w:t>三、支出决算表</w:t>
      </w:r>
      <w:bookmarkEnd w:id="52"/>
    </w:p>
    <w:p w14:paraId="28830092">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3" w:name="_Toc15396622"/>
      <w:r>
        <w:rPr>
          <w:rFonts w:hint="eastAsia" w:ascii="Times New Roman" w:hAnsi="Times New Roman" w:eastAsia="仿宋_GB2312" w:cs="仿宋_GB2312"/>
          <w:color w:val="auto"/>
          <w:sz w:val="32"/>
          <w:szCs w:val="32"/>
          <w:highlight w:val="none"/>
        </w:rPr>
        <w:t>四、财政拨款收入支出决算总表</w:t>
      </w:r>
      <w:bookmarkEnd w:id="53"/>
    </w:p>
    <w:p w14:paraId="2DF97028">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4" w:name="_Toc15396623"/>
      <w:r>
        <w:rPr>
          <w:rFonts w:hint="eastAsia" w:ascii="Times New Roman" w:hAnsi="Times New Roman" w:eastAsia="仿宋_GB2312" w:cs="仿宋_GB2312"/>
          <w:color w:val="auto"/>
          <w:sz w:val="32"/>
          <w:szCs w:val="32"/>
          <w:highlight w:val="none"/>
        </w:rPr>
        <w:t>五、财政拨款支出决算明细表</w:t>
      </w:r>
      <w:bookmarkEnd w:id="54"/>
      <w:bookmarkStart w:id="55" w:name="_Toc15396624"/>
    </w:p>
    <w:p w14:paraId="00AAF07A">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六、一般公共预算财政拨款支出决算表</w:t>
      </w:r>
      <w:bookmarkEnd w:id="55"/>
    </w:p>
    <w:p w14:paraId="72AAC231">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6" w:name="_Toc15396625"/>
      <w:r>
        <w:rPr>
          <w:rFonts w:hint="eastAsia" w:ascii="Times New Roman" w:hAnsi="Times New Roman" w:eastAsia="仿宋_GB2312" w:cs="仿宋_GB2312"/>
          <w:color w:val="auto"/>
          <w:sz w:val="32"/>
          <w:szCs w:val="32"/>
          <w:highlight w:val="none"/>
        </w:rPr>
        <w:t>七、一般公共预算财政拨款支出决算明细表</w:t>
      </w:r>
      <w:bookmarkEnd w:id="56"/>
    </w:p>
    <w:p w14:paraId="14DA6DD4">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7" w:name="_Toc15396626"/>
      <w:r>
        <w:rPr>
          <w:rFonts w:hint="eastAsia" w:ascii="Times New Roman" w:hAnsi="Times New Roman" w:eastAsia="仿宋_GB2312" w:cs="仿宋_GB2312"/>
          <w:color w:val="auto"/>
          <w:sz w:val="32"/>
          <w:szCs w:val="32"/>
          <w:highlight w:val="none"/>
        </w:rPr>
        <w:t>八、一般公共预算财政拨款基本支出决算表</w:t>
      </w:r>
      <w:bookmarkEnd w:id="57"/>
    </w:p>
    <w:p w14:paraId="0A6194FF">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8" w:name="_Toc15396627"/>
      <w:r>
        <w:rPr>
          <w:rFonts w:hint="eastAsia" w:ascii="Times New Roman" w:hAnsi="Times New Roman" w:eastAsia="仿宋_GB2312" w:cs="仿宋_GB2312"/>
          <w:color w:val="auto"/>
          <w:sz w:val="32"/>
          <w:szCs w:val="32"/>
          <w:highlight w:val="none"/>
        </w:rPr>
        <w:t>九、一般公共预算财政拨款项目支出决算表</w:t>
      </w:r>
      <w:bookmarkEnd w:id="58"/>
    </w:p>
    <w:p w14:paraId="249001DA">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9" w:name="_Toc15396628"/>
      <w:r>
        <w:rPr>
          <w:rFonts w:hint="eastAsia" w:ascii="Times New Roman" w:hAnsi="Times New Roman" w:eastAsia="仿宋_GB2312" w:cs="仿宋_GB2312"/>
          <w:color w:val="auto"/>
          <w:sz w:val="32"/>
          <w:szCs w:val="32"/>
          <w:highlight w:val="none"/>
        </w:rPr>
        <w:t>十、</w:t>
      </w:r>
      <w:bookmarkEnd w:id="59"/>
      <w:r>
        <w:rPr>
          <w:rFonts w:hint="eastAsia" w:ascii="Times New Roman" w:hAnsi="Times New Roman" w:eastAsia="仿宋_GB2312" w:cs="仿宋_GB2312"/>
          <w:color w:val="auto"/>
          <w:sz w:val="32"/>
          <w:szCs w:val="32"/>
          <w:highlight w:val="none"/>
        </w:rPr>
        <w:t>政府性基金预算财政拨款收入支出决算表</w:t>
      </w:r>
    </w:p>
    <w:p w14:paraId="10B0DE04">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0" w:name="_Toc15396629"/>
      <w:r>
        <w:rPr>
          <w:rFonts w:hint="eastAsia" w:ascii="Times New Roman" w:hAnsi="Times New Roman" w:eastAsia="仿宋_GB2312" w:cs="仿宋_GB2312"/>
          <w:color w:val="auto"/>
          <w:sz w:val="32"/>
          <w:szCs w:val="32"/>
          <w:highlight w:val="none"/>
        </w:rPr>
        <w:t>十一、</w:t>
      </w:r>
      <w:bookmarkEnd w:id="60"/>
      <w:r>
        <w:rPr>
          <w:rFonts w:hint="eastAsia" w:ascii="Times New Roman" w:hAnsi="Times New Roman" w:eastAsia="仿宋_GB2312" w:cs="仿宋_GB2312"/>
          <w:color w:val="auto"/>
          <w:sz w:val="32"/>
          <w:szCs w:val="32"/>
          <w:highlight w:val="none"/>
        </w:rPr>
        <w:t>国有资本经营预算</w:t>
      </w:r>
      <w:r>
        <w:rPr>
          <w:rFonts w:hint="eastAsia" w:ascii="Times New Roman" w:hAnsi="Times New Roman" w:eastAsia="仿宋_GB2312" w:cs="仿宋_GB2312"/>
          <w:color w:val="auto"/>
          <w:sz w:val="32"/>
          <w:szCs w:val="32"/>
          <w:highlight w:val="none"/>
          <w:lang w:eastAsia="zh-CN"/>
        </w:rPr>
        <w:t>财政拨款收入</w:t>
      </w:r>
      <w:r>
        <w:rPr>
          <w:rFonts w:hint="eastAsia" w:ascii="Times New Roman" w:hAnsi="Times New Roman" w:eastAsia="仿宋_GB2312" w:cs="仿宋_GB2312"/>
          <w:color w:val="auto"/>
          <w:sz w:val="32"/>
          <w:szCs w:val="32"/>
          <w:highlight w:val="none"/>
        </w:rPr>
        <w:t>支出决算表</w:t>
      </w:r>
    </w:p>
    <w:p w14:paraId="73FD6887">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1" w:name="_Toc15396630"/>
      <w:r>
        <w:rPr>
          <w:rFonts w:hint="eastAsia" w:ascii="Times New Roman" w:hAnsi="Times New Roman" w:eastAsia="仿宋_GB2312" w:cs="仿宋_GB2312"/>
          <w:color w:val="auto"/>
          <w:sz w:val="32"/>
          <w:szCs w:val="32"/>
          <w:highlight w:val="none"/>
        </w:rPr>
        <w:t>十二、</w:t>
      </w:r>
      <w:bookmarkEnd w:id="61"/>
      <w:r>
        <w:rPr>
          <w:rFonts w:hint="eastAsia" w:ascii="Times New Roman" w:hAnsi="Times New Roman" w:eastAsia="仿宋_GB2312" w:cs="仿宋_GB2312"/>
          <w:color w:val="auto"/>
          <w:sz w:val="32"/>
          <w:szCs w:val="32"/>
          <w:highlight w:val="none"/>
          <w:lang w:eastAsia="zh-CN"/>
        </w:rPr>
        <w:t>国有资本经营预算财政拨款支出决算表</w:t>
      </w:r>
    </w:p>
    <w:p w14:paraId="4A9B09DC">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lang w:eastAsia="zh-CN"/>
        </w:rPr>
      </w:pPr>
      <w:bookmarkStart w:id="62" w:name="_Toc15396631"/>
      <w:r>
        <w:rPr>
          <w:rFonts w:hint="eastAsia" w:ascii="Times New Roman" w:hAnsi="Times New Roman" w:eastAsia="仿宋_GB2312" w:cs="仿宋_GB2312"/>
          <w:color w:val="auto"/>
          <w:sz w:val="32"/>
          <w:szCs w:val="32"/>
          <w:highlight w:val="none"/>
        </w:rPr>
        <w:t>十三、</w:t>
      </w:r>
      <w:bookmarkEnd w:id="62"/>
      <w:r>
        <w:rPr>
          <w:rFonts w:hint="eastAsia" w:ascii="Times New Roman" w:hAnsi="Times New Roman" w:eastAsia="仿宋_GB2312" w:cs="仿宋_GB2312"/>
          <w:color w:val="auto"/>
          <w:sz w:val="32"/>
          <w:szCs w:val="32"/>
          <w:highlight w:val="none"/>
          <w:lang w:eastAsia="zh-CN"/>
        </w:rPr>
        <w:t>财政拨款“三公”经费支出决算表</w:t>
      </w:r>
    </w:p>
    <w:p w14:paraId="5A8758CF">
      <w:pPr>
        <w:rPr>
          <w:rFonts w:hint="eastAsia" w:ascii="Times New Roman" w:hAnsi="Times New Roman"/>
          <w:lang w:eastAsia="zh-CN"/>
        </w:rPr>
      </w:pPr>
    </w:p>
    <w:sectPr>
      <w:footerReference r:id="rId9" w:type="first"/>
      <w:footerReference r:id="rId8" w:type="default"/>
      <w:pgSz w:w="11906" w:h="16838"/>
      <w:pgMar w:top="1327" w:right="1179" w:bottom="1270" w:left="1179" w:header="851" w:footer="992" w:gutter="0"/>
      <w:pgNumType w:fmt="numberInDash"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85988">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876B56">
                          <w:pPr>
                            <w:pStyle w:val="11"/>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3A876B56">
                    <w:pPr>
                      <w:pStyle w:val="11"/>
                    </w:pPr>
                    <w:r>
                      <w:fldChar w:fldCharType="begin"/>
                    </w:r>
                    <w:r>
                      <w:instrText xml:space="preserve"> PAGE  \* MERGEFORMAT </w:instrText>
                    </w:r>
                    <w:r>
                      <w:fldChar w:fldCharType="separate"/>
                    </w:r>
                    <w:r>
                      <w:t>- 1 -</w:t>
                    </w:r>
                    <w:r>
                      <w:fldChar w:fldCharType="end"/>
                    </w:r>
                  </w:p>
                </w:txbxContent>
              </v:textbox>
            </v:shape>
          </w:pict>
        </mc:Fallback>
      </mc:AlternateContent>
    </w:r>
  </w:p>
  <w:p w14:paraId="4CDDE102">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04875A">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174888">
                          <w:pPr>
                            <w:pStyle w:val="11"/>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40174888">
                    <w:pPr>
                      <w:pStyle w:val="11"/>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7BA57">
    <w:pPr>
      <w:pStyle w:val="11"/>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370B46">
                          <w:pPr>
                            <w:pStyle w:val="11"/>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41370B46">
                    <w:pPr>
                      <w:pStyle w:val="11"/>
                    </w:pPr>
                    <w:r>
                      <w:fldChar w:fldCharType="begin"/>
                    </w:r>
                    <w:r>
                      <w:instrText xml:space="preserve"> PAGE  \* MERGEFORMAT </w:instrText>
                    </w:r>
                    <w:r>
                      <w:fldChar w:fldCharType="separate"/>
                    </w:r>
                    <w:r>
                      <w:t>- 2 -</w:t>
                    </w:r>
                    <w:r>
                      <w:fldChar w:fldCharType="end"/>
                    </w:r>
                  </w:p>
                </w:txbxContent>
              </v:textbox>
            </v:shape>
          </w:pict>
        </mc:Fallback>
      </mc:AlternateContent>
    </w:r>
  </w:p>
  <w:p w14:paraId="3FA95589">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BDBF3">
    <w:pPr>
      <w:pStyle w:val="11"/>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888092">
                          <w:pPr>
                            <w:pStyle w:val="11"/>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30888092">
                    <w:pPr>
                      <w:pStyle w:val="11"/>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6D5C4F">
    <w:pPr>
      <w:pStyle w:val="11"/>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522CC1">
                          <w:pPr>
                            <w:pStyle w:val="11"/>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34522CC1">
                    <w:pPr>
                      <w:pStyle w:val="11"/>
                    </w:pPr>
                    <w:r>
                      <w:fldChar w:fldCharType="begin"/>
                    </w:r>
                    <w:r>
                      <w:instrText xml:space="preserve"> PAGE  \* MERGEFORMAT </w:instrText>
                    </w:r>
                    <w:r>
                      <w:fldChar w:fldCharType="separate"/>
                    </w:r>
                    <w:r>
                      <w:t>- 2 -</w:t>
                    </w:r>
                    <w:r>
                      <w:fldChar w:fldCharType="end"/>
                    </w:r>
                  </w:p>
                </w:txbxContent>
              </v:textbox>
            </v:shape>
          </w:pict>
        </mc:Fallback>
      </mc:AlternateContent>
    </w:r>
  </w:p>
  <w:p w14:paraId="4F1BFE93">
    <w:pPr>
      <w:pStyle w:val="11"/>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6AE5A7">
    <w:pPr>
      <w:pStyle w:val="11"/>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2F4A08">
                          <w:pPr>
                            <w:pStyle w:val="11"/>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642F4A08">
                    <w:pPr>
                      <w:pStyle w:val="11"/>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82C63">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2063A5"/>
    <w:multiLevelType w:val="singleLevel"/>
    <w:tmpl w:val="D82063A5"/>
    <w:lvl w:ilvl="0" w:tentative="0">
      <w:start w:val="1"/>
      <w:numFmt w:val="chineseCounting"/>
      <w:suff w:val="nothing"/>
      <w:lvlText w:val="%1、"/>
      <w:lvlJc w:val="left"/>
      <w:rPr>
        <w:rFonts w:hint="eastAsia"/>
      </w:rPr>
    </w:lvl>
  </w:abstractNum>
  <w:abstractNum w:abstractNumId="1">
    <w:nsid w:val="5DBD70EE"/>
    <w:multiLevelType w:val="singleLevel"/>
    <w:tmpl w:val="5DBD70EE"/>
    <w:lvl w:ilvl="0" w:tentative="0">
      <w:start w:val="4"/>
      <w:numFmt w:val="chineseCounting"/>
      <w:suff w:val="space"/>
      <w:lvlText w:val="第%1部分"/>
      <w:lvlJc w:val="left"/>
      <w:rPr>
        <w:rFonts w:hint="eastAsia"/>
      </w:rPr>
    </w:lvl>
  </w:abstractNum>
  <w:abstractNum w:abstractNumId="2">
    <w:nsid w:val="6129B4CB"/>
    <w:multiLevelType w:val="singleLevel"/>
    <w:tmpl w:val="6129B4CB"/>
    <w:lvl w:ilvl="0" w:tentative="0">
      <w:start w:val="2"/>
      <w:numFmt w:val="chineseCounting"/>
      <w:suff w:val="nothing"/>
      <w:lvlText w:val="%1、"/>
      <w:lvlJc w:val="left"/>
      <w:pPr>
        <w:ind w:left="0"/>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1916C5A"/>
    <w:rsid w:val="02FEBE30"/>
    <w:rsid w:val="03802354"/>
    <w:rsid w:val="04916F1E"/>
    <w:rsid w:val="059F5333"/>
    <w:rsid w:val="05FA5FFD"/>
    <w:rsid w:val="061E35DE"/>
    <w:rsid w:val="066E0107"/>
    <w:rsid w:val="07996F6E"/>
    <w:rsid w:val="07DFD8BA"/>
    <w:rsid w:val="09867E8F"/>
    <w:rsid w:val="0A2032A3"/>
    <w:rsid w:val="0CA8290A"/>
    <w:rsid w:val="0D35B1ED"/>
    <w:rsid w:val="0E254B6B"/>
    <w:rsid w:val="0F98263C"/>
    <w:rsid w:val="101860EC"/>
    <w:rsid w:val="101F47CC"/>
    <w:rsid w:val="10C055FF"/>
    <w:rsid w:val="11694EBD"/>
    <w:rsid w:val="11772AA4"/>
    <w:rsid w:val="118107EC"/>
    <w:rsid w:val="12E24EE2"/>
    <w:rsid w:val="13D50BC4"/>
    <w:rsid w:val="14B17F78"/>
    <w:rsid w:val="156B4FD4"/>
    <w:rsid w:val="165E0673"/>
    <w:rsid w:val="16B831D5"/>
    <w:rsid w:val="16BB723D"/>
    <w:rsid w:val="17E50567"/>
    <w:rsid w:val="17EB6C6C"/>
    <w:rsid w:val="186504BB"/>
    <w:rsid w:val="19A445FC"/>
    <w:rsid w:val="1BE8440E"/>
    <w:rsid w:val="1BEC2583"/>
    <w:rsid w:val="1D155CEE"/>
    <w:rsid w:val="1D1638FE"/>
    <w:rsid w:val="1E312DEB"/>
    <w:rsid w:val="1E740ACF"/>
    <w:rsid w:val="1F98657A"/>
    <w:rsid w:val="1FF35744"/>
    <w:rsid w:val="1FF6BC77"/>
    <w:rsid w:val="214B6FE6"/>
    <w:rsid w:val="2186353C"/>
    <w:rsid w:val="2336121B"/>
    <w:rsid w:val="23860B96"/>
    <w:rsid w:val="240371BF"/>
    <w:rsid w:val="244F3473"/>
    <w:rsid w:val="24C97D99"/>
    <w:rsid w:val="25A718F0"/>
    <w:rsid w:val="25BB59F6"/>
    <w:rsid w:val="260F557C"/>
    <w:rsid w:val="26970054"/>
    <w:rsid w:val="281408E2"/>
    <w:rsid w:val="29FD04D3"/>
    <w:rsid w:val="2BD95D4D"/>
    <w:rsid w:val="2BFF7BC6"/>
    <w:rsid w:val="2C8A61B5"/>
    <w:rsid w:val="2DF04E50"/>
    <w:rsid w:val="2E586DFA"/>
    <w:rsid w:val="2ED567EF"/>
    <w:rsid w:val="2F040D46"/>
    <w:rsid w:val="2F287906"/>
    <w:rsid w:val="2F6B035B"/>
    <w:rsid w:val="2FAE5751"/>
    <w:rsid w:val="2FB1A395"/>
    <w:rsid w:val="2FD9A7D8"/>
    <w:rsid w:val="2FDBF714"/>
    <w:rsid w:val="30AB6865"/>
    <w:rsid w:val="319F7F4E"/>
    <w:rsid w:val="32BD1EF1"/>
    <w:rsid w:val="3304709D"/>
    <w:rsid w:val="33A773CB"/>
    <w:rsid w:val="349D6851"/>
    <w:rsid w:val="35C4637E"/>
    <w:rsid w:val="364D164C"/>
    <w:rsid w:val="36AA5135"/>
    <w:rsid w:val="36BE0DA7"/>
    <w:rsid w:val="376B6AA6"/>
    <w:rsid w:val="376D39B2"/>
    <w:rsid w:val="37E16F03"/>
    <w:rsid w:val="37F53A3B"/>
    <w:rsid w:val="385563C2"/>
    <w:rsid w:val="389B6C89"/>
    <w:rsid w:val="38D469F0"/>
    <w:rsid w:val="39627CCD"/>
    <w:rsid w:val="397BAF1F"/>
    <w:rsid w:val="39AD1B7B"/>
    <w:rsid w:val="3AB79AF3"/>
    <w:rsid w:val="3AE834C0"/>
    <w:rsid w:val="3B7EF35A"/>
    <w:rsid w:val="3B9FDB6C"/>
    <w:rsid w:val="3BF5BC2F"/>
    <w:rsid w:val="3CEBA265"/>
    <w:rsid w:val="3D98207C"/>
    <w:rsid w:val="3DEE7CF3"/>
    <w:rsid w:val="3E740A63"/>
    <w:rsid w:val="3E78745D"/>
    <w:rsid w:val="3E9E0630"/>
    <w:rsid w:val="3EE17838"/>
    <w:rsid w:val="3F55381A"/>
    <w:rsid w:val="3F7F7599"/>
    <w:rsid w:val="3FF4CAE0"/>
    <w:rsid w:val="3FF7B227"/>
    <w:rsid w:val="44E268DA"/>
    <w:rsid w:val="450D13D7"/>
    <w:rsid w:val="45506656"/>
    <w:rsid w:val="486A6C7A"/>
    <w:rsid w:val="4A4539B9"/>
    <w:rsid w:val="4A627F82"/>
    <w:rsid w:val="4B0E749A"/>
    <w:rsid w:val="4B2477C4"/>
    <w:rsid w:val="4B4F25DA"/>
    <w:rsid w:val="4BE068DB"/>
    <w:rsid w:val="4D577224"/>
    <w:rsid w:val="4DBF1CEB"/>
    <w:rsid w:val="4DF0007C"/>
    <w:rsid w:val="4EAB630A"/>
    <w:rsid w:val="4ECE2238"/>
    <w:rsid w:val="4F833267"/>
    <w:rsid w:val="4FE9BD67"/>
    <w:rsid w:val="4FFB052F"/>
    <w:rsid w:val="537E6D0A"/>
    <w:rsid w:val="53F74C96"/>
    <w:rsid w:val="55170BA8"/>
    <w:rsid w:val="553218C9"/>
    <w:rsid w:val="567E1AA5"/>
    <w:rsid w:val="56E47B74"/>
    <w:rsid w:val="57175D52"/>
    <w:rsid w:val="57BD3DD4"/>
    <w:rsid w:val="5AF92295"/>
    <w:rsid w:val="5B1255D0"/>
    <w:rsid w:val="5B250254"/>
    <w:rsid w:val="5BDD79E6"/>
    <w:rsid w:val="5BF561CA"/>
    <w:rsid w:val="5BFF5DFC"/>
    <w:rsid w:val="5CD71FC4"/>
    <w:rsid w:val="5D1F11B5"/>
    <w:rsid w:val="5D695134"/>
    <w:rsid w:val="5DA93298"/>
    <w:rsid w:val="5DAE1B18"/>
    <w:rsid w:val="5DE7D9E5"/>
    <w:rsid w:val="5ECEC941"/>
    <w:rsid w:val="5FBF9FF3"/>
    <w:rsid w:val="5FCD4E2C"/>
    <w:rsid w:val="5FEF394A"/>
    <w:rsid w:val="5FF67715"/>
    <w:rsid w:val="61FE0917"/>
    <w:rsid w:val="62BF3928"/>
    <w:rsid w:val="63B3701E"/>
    <w:rsid w:val="647F5392"/>
    <w:rsid w:val="64F62BC1"/>
    <w:rsid w:val="65E66580"/>
    <w:rsid w:val="664B1D71"/>
    <w:rsid w:val="664B4E8E"/>
    <w:rsid w:val="67277B67"/>
    <w:rsid w:val="67AA3209"/>
    <w:rsid w:val="68206E7E"/>
    <w:rsid w:val="698D0931"/>
    <w:rsid w:val="6A4A5C85"/>
    <w:rsid w:val="6A7FE5F3"/>
    <w:rsid w:val="6B053271"/>
    <w:rsid w:val="6BDD78B3"/>
    <w:rsid w:val="6C4A05C8"/>
    <w:rsid w:val="6C8742B8"/>
    <w:rsid w:val="6DBF5E93"/>
    <w:rsid w:val="6DFF077E"/>
    <w:rsid w:val="6E714EF0"/>
    <w:rsid w:val="6E7E3605"/>
    <w:rsid w:val="6E7FDCC7"/>
    <w:rsid w:val="6ED6A62E"/>
    <w:rsid w:val="6EE00B15"/>
    <w:rsid w:val="6F6FB3EB"/>
    <w:rsid w:val="6F8731EA"/>
    <w:rsid w:val="6FCE6052"/>
    <w:rsid w:val="6FD57C00"/>
    <w:rsid w:val="6FEFFFD8"/>
    <w:rsid w:val="6FF5CC65"/>
    <w:rsid w:val="6FFB47EC"/>
    <w:rsid w:val="6FFF034A"/>
    <w:rsid w:val="70484440"/>
    <w:rsid w:val="712A28F1"/>
    <w:rsid w:val="715C0E4B"/>
    <w:rsid w:val="71992E7C"/>
    <w:rsid w:val="72233669"/>
    <w:rsid w:val="72734D90"/>
    <w:rsid w:val="73065372"/>
    <w:rsid w:val="73160E6D"/>
    <w:rsid w:val="7332FE48"/>
    <w:rsid w:val="73AB61DA"/>
    <w:rsid w:val="73AD73D5"/>
    <w:rsid w:val="73B6EB34"/>
    <w:rsid w:val="73FA497D"/>
    <w:rsid w:val="744731E5"/>
    <w:rsid w:val="74BBD01D"/>
    <w:rsid w:val="74ED5379"/>
    <w:rsid w:val="75DEEEC2"/>
    <w:rsid w:val="75E32345"/>
    <w:rsid w:val="76E3355F"/>
    <w:rsid w:val="76FF5125"/>
    <w:rsid w:val="776F6FFA"/>
    <w:rsid w:val="778769C8"/>
    <w:rsid w:val="77A75DCA"/>
    <w:rsid w:val="77DC22F5"/>
    <w:rsid w:val="783E271A"/>
    <w:rsid w:val="7850025C"/>
    <w:rsid w:val="78616DE9"/>
    <w:rsid w:val="78E875D7"/>
    <w:rsid w:val="79086DAD"/>
    <w:rsid w:val="79D7FD79"/>
    <w:rsid w:val="79EE5BA4"/>
    <w:rsid w:val="7A894339"/>
    <w:rsid w:val="7AD284E8"/>
    <w:rsid w:val="7AFF7572"/>
    <w:rsid w:val="7B6C7DFB"/>
    <w:rsid w:val="7BBFBED0"/>
    <w:rsid w:val="7BC3E394"/>
    <w:rsid w:val="7C1F3737"/>
    <w:rsid w:val="7CBFC87B"/>
    <w:rsid w:val="7CFE0F48"/>
    <w:rsid w:val="7D272ABC"/>
    <w:rsid w:val="7D7EC23E"/>
    <w:rsid w:val="7E8ADEBF"/>
    <w:rsid w:val="7E9D1F14"/>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7">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6"/>
    <w:qFormat/>
    <w:uiPriority w:val="99"/>
    <w:pPr>
      <w:spacing w:beforeLines="30"/>
    </w:pPr>
    <w:rPr>
      <w:rFonts w:ascii="仿宋_GB2312" w:eastAsia="仿宋_GB2312"/>
      <w:kern w:val="0"/>
      <w:sz w:val="30"/>
    </w:rPr>
  </w:style>
  <w:style w:type="paragraph" w:styleId="6">
    <w:name w:val="Body Text Indent"/>
    <w:basedOn w:val="1"/>
    <w:next w:val="7"/>
    <w:qFormat/>
    <w:uiPriority w:val="0"/>
    <w:pPr>
      <w:spacing w:after="120"/>
      <w:ind w:leftChars="200"/>
    </w:pPr>
    <w:rPr>
      <w:rFonts w:ascii="仿宋_GB2312"/>
      <w:szCs w:val="32"/>
    </w:rPr>
  </w:style>
  <w:style w:type="paragraph" w:styleId="7">
    <w:name w:val="Body Text First Indent 2"/>
    <w:basedOn w:val="6"/>
    <w:unhideWhenUsed/>
    <w:qFormat/>
    <w:uiPriority w:val="99"/>
    <w:pPr>
      <w:ind w:firstLine="420" w:firstLineChars="200"/>
    </w:pPr>
  </w:style>
  <w:style w:type="paragraph" w:styleId="8">
    <w:name w:val="toc 3"/>
    <w:basedOn w:val="1"/>
    <w:next w:val="1"/>
    <w:unhideWhenUsed/>
    <w:qFormat/>
    <w:uiPriority w:val="39"/>
    <w:pPr>
      <w:tabs>
        <w:tab w:val="right" w:leader="dot" w:pos="8296"/>
      </w:tabs>
      <w:ind w:left="840" w:leftChars="400"/>
    </w:pPr>
  </w:style>
  <w:style w:type="paragraph" w:styleId="9">
    <w:name w:val="Plain Text"/>
    <w:basedOn w:val="1"/>
    <w:qFormat/>
    <w:uiPriority w:val="0"/>
    <w:rPr>
      <w:rFonts w:ascii="宋体" w:hAnsi="Courier New" w:cs="Courier New"/>
      <w:szCs w:val="21"/>
    </w:rPr>
  </w:style>
  <w:style w:type="paragraph" w:styleId="10">
    <w:name w:val="Balloon Text"/>
    <w:basedOn w:val="1"/>
    <w:link w:val="32"/>
    <w:semiHidden/>
    <w:unhideWhenUsed/>
    <w:qFormat/>
    <w:uiPriority w:val="99"/>
    <w:rPr>
      <w:sz w:val="18"/>
      <w:szCs w:val="18"/>
    </w:rPr>
  </w:style>
  <w:style w:type="paragraph" w:styleId="11">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footnote text"/>
    <w:basedOn w:val="1"/>
    <w:next w:val="7"/>
    <w:semiHidden/>
    <w:qFormat/>
    <w:uiPriority w:val="0"/>
    <w:pPr>
      <w:snapToGrid w:val="0"/>
      <w:jc w:val="left"/>
    </w:pPr>
    <w:rPr>
      <w:sz w:val="18"/>
      <w:szCs w:val="18"/>
    </w:rPr>
  </w:style>
  <w:style w:type="paragraph" w:styleId="15">
    <w:name w:val="toc 2"/>
    <w:basedOn w:val="1"/>
    <w:next w:val="1"/>
    <w:unhideWhenUsed/>
    <w:qFormat/>
    <w:uiPriority w:val="39"/>
    <w:pPr>
      <w:tabs>
        <w:tab w:val="right" w:leader="dot" w:pos="8296"/>
      </w:tabs>
      <w:ind w:left="420" w:left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paragraph" w:customStyle="1" w:styleId="20">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1">
    <w:name w:val="Header Char"/>
    <w:basedOn w:val="17"/>
    <w:semiHidden/>
    <w:qFormat/>
    <w:uiPriority w:val="99"/>
    <w:rPr>
      <w:rFonts w:ascii="Times New Roman" w:hAnsi="Times New Roman"/>
      <w:sz w:val="18"/>
      <w:szCs w:val="18"/>
    </w:rPr>
  </w:style>
  <w:style w:type="character" w:customStyle="1" w:styleId="22">
    <w:name w:val="页眉 Char"/>
    <w:link w:val="12"/>
    <w:semiHidden/>
    <w:qFormat/>
    <w:locked/>
    <w:uiPriority w:val="99"/>
    <w:rPr>
      <w:sz w:val="18"/>
    </w:rPr>
  </w:style>
  <w:style w:type="character" w:customStyle="1" w:styleId="23">
    <w:name w:val="Footer Char"/>
    <w:basedOn w:val="17"/>
    <w:semiHidden/>
    <w:qFormat/>
    <w:uiPriority w:val="99"/>
    <w:rPr>
      <w:rFonts w:ascii="Times New Roman" w:hAnsi="Times New Roman"/>
      <w:sz w:val="18"/>
      <w:szCs w:val="18"/>
    </w:rPr>
  </w:style>
  <w:style w:type="character" w:customStyle="1" w:styleId="24">
    <w:name w:val="页脚 Char"/>
    <w:link w:val="11"/>
    <w:qFormat/>
    <w:locked/>
    <w:uiPriority w:val="99"/>
    <w:rPr>
      <w:sz w:val="18"/>
    </w:rPr>
  </w:style>
  <w:style w:type="character" w:customStyle="1" w:styleId="25">
    <w:name w:val="Body Text Char"/>
    <w:basedOn w:val="17"/>
    <w:semiHidden/>
    <w:qFormat/>
    <w:uiPriority w:val="99"/>
    <w:rPr>
      <w:rFonts w:ascii="Times New Roman" w:hAnsi="Times New Roman"/>
      <w:szCs w:val="24"/>
    </w:rPr>
  </w:style>
  <w:style w:type="character" w:customStyle="1" w:styleId="26">
    <w:name w:val="正文文本 Char"/>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7"/>
    <w:link w:val="3"/>
    <w:qFormat/>
    <w:uiPriority w:val="9"/>
    <w:rPr>
      <w:rFonts w:ascii="Times New Roman" w:hAnsi="Times New Roman"/>
      <w:b/>
      <w:bCs/>
      <w:kern w:val="44"/>
      <w:sz w:val="44"/>
      <w:szCs w:val="44"/>
    </w:rPr>
  </w:style>
  <w:style w:type="character" w:customStyle="1" w:styleId="30">
    <w:name w:val="标题 2 Char"/>
    <w:basedOn w:val="17"/>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7"/>
    <w:link w:val="10"/>
    <w:semiHidden/>
    <w:qFormat/>
    <w:uiPriority w:val="99"/>
    <w:rPr>
      <w:rFonts w:ascii="Times New Roman" w:hAnsi="Times New Roman"/>
      <w:kern w:val="2"/>
      <w:sz w:val="18"/>
      <w:szCs w:val="18"/>
    </w:rPr>
  </w:style>
  <w:style w:type="character" w:customStyle="1" w:styleId="33">
    <w:name w:val="标题 3 Char"/>
    <w:basedOn w:val="17"/>
    <w:link w:val="5"/>
    <w:qFormat/>
    <w:uiPriority w:val="9"/>
    <w:rPr>
      <w:rFonts w:ascii="Times New Roman" w:hAnsi="Times New Roman"/>
      <w:b/>
      <w:bCs/>
      <w:kern w:val="2"/>
      <w:sz w:val="32"/>
      <w:szCs w:val="32"/>
    </w:rPr>
  </w:style>
  <w:style w:type="paragraph" w:customStyle="1" w:styleId="34">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36">
    <w:name w:val="〖C01〗正文"/>
    <w:basedOn w:val="1"/>
    <w:qFormat/>
    <w:uiPriority w:val="0"/>
    <w:pPr>
      <w:topLinePunct/>
      <w:spacing w:line="600" w:lineRule="exact"/>
      <w:ind w:firstLine="640" w:firstLineChars="200"/>
    </w:pPr>
    <w:rPr>
      <w:rFonts w:ascii="仿宋_GB2312" w:hAnsi="Calibri" w:eastAsia="仿宋_GB2312"/>
      <w:sz w:val="32"/>
      <w:szCs w:val="32"/>
    </w:rPr>
  </w:style>
  <w:style w:type="character" w:customStyle="1" w:styleId="37">
    <w:name w:val="标题 2 字符"/>
    <w:basedOn w:val="17"/>
    <w:link w:val="4"/>
    <w:qFormat/>
    <w:uiPriority w:val="9"/>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chart" Target="charts/chart7.xml"/><Relationship Id="rId16" Type="http://schemas.openxmlformats.org/officeDocument/2006/relationships/chart" Target="charts/chart6.xml"/><Relationship Id="rId15" Type="http://schemas.openxmlformats.org/officeDocument/2006/relationships/chart" Target="charts/chart5.xml"/><Relationship Id="rId14" Type="http://schemas.openxmlformats.org/officeDocument/2006/relationships/chart" Target="charts/chart4.xml"/><Relationship Id="rId13" Type="http://schemas.openxmlformats.org/officeDocument/2006/relationships/chart" Target="charts/chart3.xml"/><Relationship Id="rId12" Type="http://schemas.openxmlformats.org/officeDocument/2006/relationships/chart" Target="charts/chart2.xml"/><Relationship Id="rId11" Type="http://schemas.openxmlformats.org/officeDocument/2006/relationships/chart" Target="charts/chart1.xml"/><Relationship Id="rId10" Type="http://schemas.openxmlformats.org/officeDocument/2006/relationships/theme" Target="theme/theme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a:t>收支决算总计变化图</a:t>
            </a:r>
            <a:endParaRPr lang="zh-CN" altLang="en-US"/>
          </a:p>
        </c:rich>
      </c:tx>
      <c:layout>
        <c:manualLayout>
          <c:xMode val="edge"/>
          <c:yMode val="edge"/>
          <c:x val="0.242244361422444"/>
          <c:y val="0.0323886639676113"/>
        </c:manualLayout>
      </c:layout>
      <c:overlay val="0"/>
    </c:title>
    <c:autoTitleDeleted val="0"/>
    <c:plotArea>
      <c:layout/>
      <c:barChart>
        <c:barDir val="col"/>
        <c:grouping val="clustered"/>
        <c:varyColors val="0"/>
        <c:ser>
          <c:idx val="0"/>
          <c:order val="0"/>
          <c:tx>
            <c:strRef>
              <c:f>Sheet1!$B$1</c:f>
              <c:strCache>
                <c:ptCount val="1"/>
                <c:pt idx="0">
                  <c:v>收支总计</c:v>
                </c:pt>
              </c:strCache>
            </c:strRef>
          </c:tx>
          <c:invertIfNegative val="0"/>
          <c:dLbls>
            <c:dLbl>
              <c:idx val="0"/>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en-US" altLang="zh-CN"/>
                      <a:t>1490.54</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dLbl>
              <c:idx val="3"/>
              <c:delete val="1"/>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Sheet1!$A$2:$A$5</c:f>
              <c:numCache>
                <c:formatCode>General</c:formatCode>
                <c:ptCount val="4"/>
                <c:pt idx="0">
                  <c:v>2023</c:v>
                </c:pt>
                <c:pt idx="1">
                  <c:v>2024</c:v>
                </c:pt>
              </c:numCache>
            </c:numRef>
          </c:cat>
          <c:val>
            <c:numRef>
              <c:f>Sheet1!$B$2:$B$5</c:f>
              <c:numCache>
                <c:formatCode>General</c:formatCode>
                <c:ptCount val="4"/>
                <c:pt idx="0">
                  <c:v>1490.54</c:v>
                </c:pt>
                <c:pt idx="1">
                  <c:v>1207.66</c:v>
                </c:pt>
                <c:pt idx="3">
                  <c:v>0</c:v>
                </c:pt>
              </c:numCache>
            </c:numRef>
          </c:val>
        </c:ser>
        <c:ser>
          <c:idx val="1"/>
          <c:order val="1"/>
          <c:tx>
            <c:strRef>
              <c:f>Sheet1!$C$1</c:f>
              <c:strCache>
                <c:ptCount val="1"/>
                <c:pt idx="0">
                  <c:v>列1</c:v>
                </c:pt>
              </c:strCache>
            </c:strRef>
          </c:tx>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Sheet1!$A$2:$A$5</c:f>
              <c:numCache>
                <c:formatCode>General</c:formatCode>
                <c:ptCount val="4"/>
                <c:pt idx="0">
                  <c:v>2023</c:v>
                </c:pt>
                <c:pt idx="1">
                  <c:v>2024</c:v>
                </c:pt>
              </c:numCache>
            </c:numRef>
          </c:cat>
          <c:val>
            <c:numRef>
              <c:f>Sheet1!$C$2:$C$5</c:f>
              <c:numCache>
                <c:formatCode>General</c:formatCode>
                <c:ptCount val="4"/>
              </c:numCache>
            </c:numRef>
          </c:val>
        </c:ser>
        <c:ser>
          <c:idx val="2"/>
          <c:order val="2"/>
          <c:tx>
            <c:strRef>
              <c:f>Sheet1!$D$1</c:f>
              <c:strCache>
                <c:ptCount val="1"/>
                <c:pt idx="0">
                  <c:v>列2</c:v>
                </c:pt>
              </c:strCache>
            </c:strRef>
          </c:tx>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Sheet1!$A$2:$A$5</c:f>
              <c:numCache>
                <c:formatCode>General</c:formatCode>
                <c:ptCount val="4"/>
                <c:pt idx="0">
                  <c:v>2023</c:v>
                </c:pt>
                <c:pt idx="1">
                  <c:v>2024</c:v>
                </c:pt>
              </c:numCache>
            </c:numRef>
          </c:cat>
          <c:val>
            <c:numRef>
              <c:f>Sheet1!$D$2:$D$5</c:f>
              <c:numCache>
                <c:formatCode>General</c:formatCode>
                <c:ptCount val="4"/>
              </c:numCache>
            </c:numRef>
          </c:val>
        </c:ser>
        <c:dLbls>
          <c:showLegendKey val="0"/>
          <c:showVal val="1"/>
          <c:showCatName val="0"/>
          <c:showSerName val="0"/>
          <c:showPercent val="0"/>
          <c:showBubbleSize val="0"/>
        </c:dLbls>
        <c:gapWidth val="150"/>
        <c:overlap val="-25"/>
        <c:axId val="108092416"/>
        <c:axId val="108114688"/>
      </c:barChart>
      <c:catAx>
        <c:axId val="108092416"/>
        <c:scaling>
          <c:orientation val="minMax"/>
        </c:scaling>
        <c:delete val="0"/>
        <c:axPos val="b"/>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08114688"/>
        <c:crosses val="autoZero"/>
        <c:auto val="1"/>
        <c:lblAlgn val="ctr"/>
        <c:lblOffset val="100"/>
        <c:noMultiLvlLbl val="0"/>
      </c:catAx>
      <c:valAx>
        <c:axId val="108114688"/>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08092416"/>
        <c:crosses val="autoZero"/>
        <c:crossBetween val="between"/>
      </c:valAx>
    </c:plotArea>
    <c:legend>
      <c:legendPos val="t"/>
      <c:legendEntry>
        <c:idx val="1"/>
        <c:delete val="1"/>
      </c:legendEntry>
      <c:legendEntry>
        <c:idx val="2"/>
        <c:delete val="1"/>
      </c:legendEntry>
      <c:layout>
        <c:manualLayout>
          <c:xMode val="edge"/>
          <c:yMode val="edge"/>
          <c:x val="0.405050505050505"/>
          <c:y val="0.196491228070175"/>
          <c:w val="0.347306397306397"/>
          <c:h val="0.100134952766532"/>
        </c:manualLayou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451dc350-4acb-4bfe-860f-21d77d58c703}"/>
      </c:ext>
    </c:extLst>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本年收入</c:v>
                </c:pt>
              </c:strCache>
            </c:strRef>
          </c:tx>
          <c:explosion val="0"/>
          <c:dPt>
            <c:idx val="0"/>
            <c:bubble3D val="0"/>
          </c:dPt>
          <c:dLbls>
            <c:dLbl>
              <c:idx val="0"/>
              <c:layout>
                <c:manualLayout>
                  <c:x val="0.124148445587728"/>
                  <c:y val="-0.026471081977697"/>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c:f>
              <c:strCache>
                <c:ptCount val="1"/>
                <c:pt idx="0">
                  <c:v>一般公共预算财政拨款收入</c:v>
                </c:pt>
              </c:strCache>
            </c:strRef>
          </c:cat>
          <c:val>
            <c:numRef>
              <c:f>Sheet1!$B$2</c:f>
              <c:numCache>
                <c:formatCode>0%</c:formatCode>
                <c:ptCount val="1"/>
                <c:pt idx="0">
                  <c:v>1</c:v>
                </c:pt>
              </c:numCache>
            </c:numRef>
          </c:val>
        </c:ser>
        <c:dLbls>
          <c:showLegendKey val="0"/>
          <c:showVal val="0"/>
          <c:showCatName val="0"/>
          <c:showSerName val="0"/>
          <c:showPercent val="1"/>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zero"/>
    <c:showDLblsOverMax val="0"/>
    <c:extLst>
      <c:ext uri="{0b15fc19-7d7d-44ad-8c2d-2c3a37ce22c3}">
        <chartProps xmlns="https://web.wps.cn/et/2018/main" chartId="{b86ed4db-6701-4226-af7b-189e73999c5a}"/>
      </c:ext>
    </c:extLst>
  </c:chart>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本年支出</c:v>
                </c:pt>
              </c:strCache>
            </c:strRef>
          </c:tx>
          <c:spPr/>
          <c:explosion val="0"/>
          <c:dPt>
            <c:idx val="0"/>
            <c:bubble3D val="0"/>
            <c:explosion val="1"/>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Lbl>
              <c:idx val="0"/>
              <c:layout>
                <c:manualLayout>
                  <c:x val="-0.067304223892988"/>
                  <c:y val="-0.183842173898586"/>
                </c:manualLayout>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rPr lang="en-US" altLang="zh-CN"/>
                      <a:t>85.54</a:t>
                    </a:r>
                    <a:r>
                      <a:t>%</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rPr lang="en-US" altLang="zh-CN"/>
                      <a:t>14.46</a:t>
                    </a:r>
                    <a:r>
                      <a:t>%</a:t>
                    </a:r>
                  </a:p>
                </c:rich>
              </c:tx>
              <c:dLblPos val="ctr"/>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85.54</c:v>
                </c:pt>
                <c:pt idx="1">
                  <c:v>14.46</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extLst>
      <c:ext uri="{0b15fc19-7d7d-44ad-8c2d-2c3a37ce22c3}">
        <chartProps xmlns="https://web.wps.cn/et/2018/main" chartId="{cb67027c-9d4e-4965-b195-5f40f19b49a0}"/>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manualLayout>
          <c:layoutTarget val="inner"/>
          <c:xMode val="edge"/>
          <c:yMode val="edge"/>
          <c:x val="0.082719881744272"/>
          <c:y val="0.245926957785719"/>
          <c:w val="0.931464174454829"/>
          <c:h val="0.507997698504028"/>
        </c:manualLayout>
      </c:layout>
      <c:barChart>
        <c:barDir val="col"/>
        <c:grouping val="clustered"/>
        <c:varyColors val="0"/>
        <c:ser>
          <c:idx val="0"/>
          <c:order val="0"/>
          <c:tx>
            <c:strRef>
              <c:f>Sheet1!$B$1</c:f>
              <c:strCache>
                <c:ptCount val="1"/>
                <c:pt idx="0">
                  <c:v>财政拨款收支决算(单位：万元)</c:v>
                </c:pt>
              </c:strCache>
            </c:strRef>
          </c:tx>
          <c:spPr>
            <a:solidFill>
              <a:schemeClr val="accent2"/>
            </a:solidFill>
            <a:ln>
              <a:noFill/>
            </a:ln>
            <a:effectLst/>
          </c:spPr>
          <c:invertIfNegative val="0"/>
          <c:dLbls>
            <c:dLbl>
              <c:idx val="1"/>
              <c:layout>
                <c:manualLayout>
                  <c:x val="-0.00491120459207988"/>
                  <c:y val="-0.00149900066622252"/>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2"/>
              <c:delete val="1"/>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Sheet1!$A$2:$A$4</c:f>
              <c:numCache>
                <c:formatCode>General</c:formatCode>
                <c:ptCount val="3"/>
                <c:pt idx="0">
                  <c:v>2023</c:v>
                </c:pt>
                <c:pt idx="1">
                  <c:v>2024</c:v>
                </c:pt>
              </c:numCache>
            </c:numRef>
          </c:cat>
          <c:val>
            <c:numRef>
              <c:f>Sheet1!$B$2:$B$4</c:f>
              <c:numCache>
                <c:formatCode>General</c:formatCode>
                <c:ptCount val="3"/>
                <c:pt idx="0">
                  <c:v>1490.54</c:v>
                </c:pt>
                <c:pt idx="1">
                  <c:v>1207.66</c:v>
                </c:pt>
                <c:pt idx="2">
                  <c:v>0</c:v>
                </c:pt>
              </c:numCache>
            </c:numRef>
          </c:val>
        </c:ser>
        <c:dLbls>
          <c:showLegendKey val="0"/>
          <c:showVal val="1"/>
          <c:showCatName val="0"/>
          <c:showSerName val="0"/>
          <c:showPercent val="0"/>
          <c:showBubbleSize val="0"/>
        </c:dLbls>
        <c:gapWidth val="219"/>
        <c:overlap val="-27"/>
        <c:axId val="111972736"/>
        <c:axId val="111974272"/>
      </c:barChart>
      <c:catAx>
        <c:axId val="1119727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11974272"/>
        <c:crosses val="autoZero"/>
        <c:auto val="1"/>
        <c:lblAlgn val="ctr"/>
        <c:lblOffset val="100"/>
        <c:noMultiLvlLbl val="0"/>
      </c:catAx>
      <c:valAx>
        <c:axId val="1119742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11972736"/>
        <c:crosses val="autoZero"/>
        <c:crossBetween val="between"/>
      </c:valAx>
      <c:spPr>
        <a:noFill/>
        <a:ln>
          <a:noFill/>
        </a:ln>
        <a:effectLst/>
      </c:spPr>
    </c:plotArea>
    <c:plotVisOnly val="1"/>
    <c:dispBlanksAs val="gap"/>
    <c:showDLblsOverMax val="0"/>
    <c:extLst>
      <c:ext uri="{0b15fc19-7d7d-44ad-8c2d-2c3a37ce22c3}">
        <chartProps xmlns="https://web.wps.cn/et/2018/main" chartId="{bfc6209b-a51e-487d-a112-15e622bd2e27}"/>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8"/>
    </mc:Choice>
    <mc:Fallback>
      <c:style val="8"/>
    </mc:Fallback>
  </mc:AlternateContent>
  <c:chart>
    <c:title>
      <c:tx>
        <c:rich>
          <a:bodyPr rot="0" spcFirstLastPara="0" vertOverflow="ellipsis" vert="horz" wrap="square" anchor="ctr" anchorCtr="1"/>
          <a:lstStyle/>
          <a:p>
            <a:pPr>
              <a:defRPr lang="zh-CN" sz="1200" b="1" i="0" u="none" strike="noStrike" kern="1200" baseline="0">
                <a:solidFill>
                  <a:schemeClr val="tx1"/>
                </a:solidFill>
                <a:latin typeface="+mn-lt"/>
                <a:ea typeface="+mn-ea"/>
                <a:cs typeface="+mn-cs"/>
              </a:defRPr>
            </a:pPr>
            <a:r>
              <a:rPr lang="zh-CN" sz="1200"/>
              <a:t>一般公共预算财政拨款支出决算变动（</a:t>
            </a:r>
            <a:r>
              <a:rPr lang="zh-CN" sz="900"/>
              <a:t>单位：万元）</a:t>
            </a:r>
            <a:endParaRPr lang="zh-CN" sz="900"/>
          </a:p>
        </c:rich>
      </c:tx>
      <c:layout>
        <c:manualLayout>
          <c:xMode val="edge"/>
          <c:yMode val="edge"/>
          <c:x val="0.109377462568952"/>
          <c:y val="0.0490740740740746"/>
        </c:manualLayout>
      </c:layout>
      <c:overlay val="0"/>
    </c:title>
    <c:autoTitleDeleted val="0"/>
    <c:plotArea>
      <c:layout>
        <c:manualLayout>
          <c:layoutTarget val="inner"/>
          <c:xMode val="edge"/>
          <c:yMode val="edge"/>
          <c:x val="0.033600228767515"/>
          <c:y val="0.214088820826953"/>
          <c:w val="0.937088933371461"/>
          <c:h val="0.620214395099541"/>
        </c:manualLayout>
      </c:layout>
      <c:barChart>
        <c:barDir val="col"/>
        <c:grouping val="clustered"/>
        <c:varyColors val="0"/>
        <c:ser>
          <c:idx val="0"/>
          <c:order val="0"/>
          <c:tx>
            <c:strRef>
              <c:f>Sheet1!$B$1</c:f>
              <c:strCache>
                <c:ptCount val="1"/>
                <c:pt idx="0">
                  <c:v>财政拨款收支决算(单位：万元)</c:v>
                </c:pt>
              </c:strCache>
            </c:strRef>
          </c:tx>
          <c:invertIfNegative val="0"/>
          <c:dLbls>
            <c:dLbl>
              <c:idx val="2"/>
              <c:delete val="1"/>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Sheet1!$A$2:$A$4</c:f>
              <c:numCache>
                <c:formatCode>General</c:formatCode>
                <c:ptCount val="3"/>
                <c:pt idx="0">
                  <c:v>2023</c:v>
                </c:pt>
                <c:pt idx="1">
                  <c:v>2024</c:v>
                </c:pt>
              </c:numCache>
            </c:numRef>
          </c:cat>
          <c:val>
            <c:numRef>
              <c:f>Sheet1!$B$2:$B$4</c:f>
              <c:numCache>
                <c:formatCode>General</c:formatCode>
                <c:ptCount val="3"/>
                <c:pt idx="0">
                  <c:v>1490.54</c:v>
                </c:pt>
                <c:pt idx="1">
                  <c:v>1207.66</c:v>
                </c:pt>
                <c:pt idx="2">
                  <c:v>0</c:v>
                </c:pt>
              </c:numCache>
            </c:numRef>
          </c:val>
        </c:ser>
        <c:dLbls>
          <c:showLegendKey val="0"/>
          <c:showVal val="1"/>
          <c:showCatName val="0"/>
          <c:showSerName val="0"/>
          <c:showPercent val="0"/>
          <c:showBubbleSize val="0"/>
        </c:dLbls>
        <c:gapWidth val="150"/>
        <c:overlap val="-25"/>
        <c:axId val="113334144"/>
        <c:axId val="113335680"/>
      </c:barChart>
      <c:catAx>
        <c:axId val="113334144"/>
        <c:scaling>
          <c:orientation val="minMax"/>
        </c:scaling>
        <c:delete val="0"/>
        <c:axPos val="b"/>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13335680"/>
        <c:crosses val="autoZero"/>
        <c:auto val="1"/>
        <c:lblAlgn val="ctr"/>
        <c:lblOffset val="100"/>
        <c:noMultiLvlLbl val="0"/>
      </c:catAx>
      <c:valAx>
        <c:axId val="113335680"/>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13334144"/>
        <c:crosses val="autoZero"/>
        <c:crossBetween val="between"/>
      </c:valAx>
    </c:plotArea>
    <c:plotVisOnly val="1"/>
    <c:dispBlanksAs val="gap"/>
    <c:showDLblsOverMax val="0"/>
    <c:extLst>
      <c:ext uri="{0b15fc19-7d7d-44ad-8c2d-2c3a37ce22c3}">
        <chartProps xmlns="https://web.wps.cn/et/2018/main" chartId="{e163e021-0ecb-45ad-9444-cf0ba17e09c1}"/>
      </c:ext>
    </c:extLst>
  </c:chart>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65000"/>
                  <a:lumOff val="35000"/>
                </a:schemeClr>
              </a:solidFill>
              <a:latin typeface="+mn-lt"/>
              <a:ea typeface="+mn-ea"/>
              <a:cs typeface="+mn-cs"/>
            </a:defRPr>
          </a:pPr>
        </a:p>
      </c:txPr>
    </c:title>
    <c:autoTitleDeleted val="0"/>
    <c:view3D>
      <c:rotX val="30"/>
      <c:rotY val="0"/>
      <c:depthPercent val="100"/>
      <c:rAngAx val="0"/>
      <c:perspective val="30"/>
    </c:view3D>
    <c:floor>
      <c:thickness val="0"/>
      <c:spPr>
        <a:noFill/>
        <a:effectLst/>
      </c:spPr>
    </c:floor>
    <c:sideWall>
      <c:thickness val="0"/>
      <c:spPr>
        <a:noFill/>
        <a:effectLst/>
      </c:spPr>
    </c:sideWall>
    <c:backWall>
      <c:thickness val="0"/>
      <c:spPr>
        <a:noFill/>
        <a:effectLst/>
      </c:spPr>
    </c:backWall>
    <c:plotArea>
      <c:layout>
        <c:manualLayout>
          <c:layoutTarget val="inner"/>
          <c:xMode val="edge"/>
          <c:yMode val="edge"/>
          <c:x val="0.042910447761194"/>
          <c:y val="0.205514864282637"/>
          <c:w val="0.935849598163031"/>
          <c:h val="0.691512279190004"/>
        </c:manualLayout>
      </c:layout>
      <c:pie3DChart>
        <c:varyColors val="1"/>
        <c:ser>
          <c:idx val="0"/>
          <c:order val="0"/>
          <c:tx>
            <c:strRef>
              <c:f>Sheet1!$B$1</c:f>
              <c:strCache>
                <c:ptCount val="1"/>
                <c:pt idx="0">
                  <c:v>一般公共预算财政拨款支出决算</c:v>
                </c:pt>
              </c:strCache>
            </c:strRef>
          </c:tx>
          <c:spPr>
            <a:scene3d>
              <a:camera prst="orthographicFront"/>
              <a:lightRig rig="threePt" dir="t"/>
            </a:scene3d>
            <a:sp3d contourW="9525"/>
          </c:spPr>
          <c:explosion val="0"/>
          <c:dPt>
            <c:idx val="0"/>
            <c:bubble3D val="0"/>
            <c:explosion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dPt>
          <c:dPt>
            <c:idx val="3"/>
            <c:bubble3D val="0"/>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c:spPr>
          </c:dPt>
          <c:dLbls>
            <c:dLbl>
              <c:idx val="0"/>
              <c:layout>
                <c:manualLayout>
                  <c:x val="0.214440427569494"/>
                  <c:y val="-0.126023265833692"/>
                </c:manualLayout>
              </c:layout>
              <c:tx>
                <c:rich>
                  <a:bodyPr rot="0" spcFirstLastPara="0" vertOverflow="ellipsis" vert="horz" wrap="square" lIns="38100" tIns="19050" rIns="38100" bIns="19050" anchor="ctr" anchorCtr="1"/>
                  <a:lstStyle/>
                  <a:p>
                    <a:pPr defTabSz="914400">
                      <a:defRPr lang="zh-CN" sz="750" b="0" i="0" u="none" strike="noStrike" kern="1200" baseline="0">
                        <a:solidFill>
                          <a:schemeClr val="tx1">
                            <a:lumMod val="75000"/>
                            <a:lumOff val="25000"/>
                          </a:schemeClr>
                        </a:solidFill>
                        <a:latin typeface="+mn-lt"/>
                        <a:ea typeface="+mn-ea"/>
                        <a:cs typeface="+mn-cs"/>
                      </a:defRPr>
                    </a:pPr>
                    <a:r>
                      <a:rPr sz="750"/>
                      <a:t>一般公共服务支出</a:t>
                    </a:r>
                    <a:endParaRPr sz="750"/>
                  </a:p>
                  <a:p>
                    <a:pPr defTabSz="914400">
                      <a:defRPr lang="zh-CN" sz="750" b="0" i="0" u="none" strike="noStrike" kern="1200" baseline="0">
                        <a:solidFill>
                          <a:schemeClr val="tx1">
                            <a:lumMod val="75000"/>
                            <a:lumOff val="25000"/>
                          </a:schemeClr>
                        </a:solidFill>
                        <a:latin typeface="+mn-lt"/>
                        <a:ea typeface="+mn-ea"/>
                        <a:cs typeface="+mn-cs"/>
                      </a:defRPr>
                    </a:pPr>
                    <a:r>
                      <a:rPr lang="en-US" altLang="zh-CN" sz="750"/>
                      <a:t>82.29</a:t>
                    </a:r>
                    <a:r>
                      <a:rPr sz="750"/>
                      <a:t>%</a:t>
                    </a:r>
                    <a:endParaRPr sz="750"/>
                  </a:p>
                </c:rich>
              </c:tx>
              <c:numFmt formatCode="General" sourceLinked="1"/>
              <c:spPr>
                <a:noFill/>
                <a:ln>
                  <a:noFill/>
                </a:ln>
                <a:effectLst/>
              </c:spPr>
              <c:txPr>
                <a:bodyPr rot="0" spcFirstLastPara="0" vertOverflow="ellipsis" vert="horz" wrap="square" lIns="38100" tIns="19050" rIns="38100" bIns="19050" anchor="ctr" anchorCtr="1"/>
                <a:lstStyle/>
                <a:p>
                  <a:pPr>
                    <a:defRPr lang="zh-CN" sz="750" b="0" i="0" u="none" strike="noStrike" kern="1200" baseline="0">
                      <a:solidFill>
                        <a:schemeClr val="tx1">
                          <a:lumMod val="75000"/>
                          <a:lumOff val="25000"/>
                        </a:schemeClr>
                      </a:solidFill>
                      <a:latin typeface="+mn-lt"/>
                      <a:ea typeface="+mn-ea"/>
                      <a:cs typeface="+mn-cs"/>
                    </a:defRPr>
                  </a:pPr>
                </a:p>
              </c:txPr>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1"/>
              <c:layout>
                <c:manualLayout>
                  <c:x val="-0.040625"/>
                  <c:y val="0.0541666666666667"/>
                </c:manualLayout>
              </c:layout>
              <c:tx>
                <c:rich>
                  <a:bodyPr rot="0" spcFirstLastPara="0" vertOverflow="ellipsis" vert="horz" wrap="square" lIns="38100" tIns="19050" rIns="38100" bIns="19050" anchor="ctr" anchorCtr="1"/>
                  <a:lstStyle/>
                  <a:p>
                    <a:pPr defTabSz="914400">
                      <a:defRPr lang="zh-CN" sz="750" b="0" i="0" u="none" strike="noStrike" kern="1200" baseline="0">
                        <a:solidFill>
                          <a:schemeClr val="tx1">
                            <a:lumMod val="75000"/>
                            <a:lumOff val="25000"/>
                          </a:schemeClr>
                        </a:solidFill>
                        <a:latin typeface="+mn-lt"/>
                        <a:ea typeface="+mn-ea"/>
                        <a:cs typeface="+mn-cs"/>
                      </a:defRPr>
                    </a:pPr>
                    <a:r>
                      <a:rPr sz="750"/>
                      <a:t>社会保障和就业（类）支出</a:t>
                    </a:r>
                    <a:endParaRPr sz="750"/>
                  </a:p>
                  <a:p>
                    <a:pPr defTabSz="914400">
                      <a:defRPr lang="zh-CN" sz="750" b="0" i="0" u="none" strike="noStrike" kern="1200" baseline="0">
                        <a:solidFill>
                          <a:schemeClr val="tx1">
                            <a:lumMod val="75000"/>
                            <a:lumOff val="25000"/>
                          </a:schemeClr>
                        </a:solidFill>
                        <a:latin typeface="+mn-lt"/>
                        <a:ea typeface="+mn-ea"/>
                        <a:cs typeface="+mn-cs"/>
                      </a:defRPr>
                    </a:pPr>
                    <a:r>
                      <a:rPr lang="en-US" altLang="zh-CN" sz="750"/>
                      <a:t>12.14</a:t>
                    </a:r>
                    <a:r>
                      <a:rPr sz="750"/>
                      <a:t>%</a:t>
                    </a:r>
                    <a:endParaRPr sz="750"/>
                  </a:p>
                </c:rich>
              </c:tx>
              <c:numFmt formatCode="General" sourceLinked="1"/>
              <c:spPr>
                <a:noFill/>
                <a:ln>
                  <a:noFill/>
                </a:ln>
                <a:effectLst/>
              </c:spPr>
              <c:txPr>
                <a:bodyPr rot="0" spcFirstLastPara="0" vertOverflow="ellipsis" vert="horz" wrap="square" lIns="38100" tIns="19050" rIns="38100" bIns="19050" anchor="ctr" anchorCtr="1"/>
                <a:lstStyle/>
                <a:p>
                  <a:pPr>
                    <a:defRPr lang="zh-CN" sz="750" b="0" i="0" u="none" strike="noStrike" kern="1200" baseline="0">
                      <a:solidFill>
                        <a:schemeClr val="tx1">
                          <a:lumMod val="75000"/>
                          <a:lumOff val="25000"/>
                        </a:schemeClr>
                      </a:solidFill>
                      <a:latin typeface="+mn-lt"/>
                      <a:ea typeface="+mn-ea"/>
                      <a:cs typeface="+mn-cs"/>
                    </a:defRPr>
                  </a:pPr>
                </a:p>
              </c:txPr>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2"/>
              <c:layout>
                <c:manualLayout>
                  <c:x val="-0.07025"/>
                  <c:y val="-0.0396666666666667"/>
                </c:manualLayout>
              </c:layout>
              <c:tx>
                <c:rich>
                  <a:bodyPr rot="0" spcFirstLastPara="0" vertOverflow="ellipsis" vert="horz" wrap="square" lIns="38100" tIns="19050" rIns="38100" bIns="19050" anchor="ctr" anchorCtr="1"/>
                  <a:lstStyle/>
                  <a:p>
                    <a:pPr defTabSz="914400">
                      <a:defRPr lang="zh-CN" sz="750" b="0" i="0" u="none" strike="noStrike" kern="1200" baseline="0">
                        <a:solidFill>
                          <a:schemeClr val="tx1">
                            <a:lumMod val="75000"/>
                            <a:lumOff val="25000"/>
                          </a:schemeClr>
                        </a:solidFill>
                        <a:latin typeface="+mn-lt"/>
                        <a:ea typeface="+mn-ea"/>
                        <a:cs typeface="+mn-cs"/>
                      </a:defRPr>
                    </a:pPr>
                    <a:r>
                      <a:rPr sz="750"/>
                      <a:t>卫生健康支出</a:t>
                    </a:r>
                    <a:endParaRPr sz="750"/>
                  </a:p>
                  <a:p>
                    <a:pPr defTabSz="914400">
                      <a:defRPr lang="zh-CN" sz="750" b="0" i="0" u="none" strike="noStrike" kern="1200" baseline="0">
                        <a:solidFill>
                          <a:schemeClr val="tx1">
                            <a:lumMod val="75000"/>
                            <a:lumOff val="25000"/>
                          </a:schemeClr>
                        </a:solidFill>
                        <a:latin typeface="+mn-lt"/>
                        <a:ea typeface="+mn-ea"/>
                        <a:cs typeface="+mn-cs"/>
                      </a:defRPr>
                    </a:pPr>
                    <a:r>
                      <a:rPr lang="en-US" altLang="zh-CN" sz="750"/>
                      <a:t>1.65</a:t>
                    </a:r>
                    <a:r>
                      <a:rPr sz="750"/>
                      <a:t>%</a:t>
                    </a:r>
                    <a:endParaRPr sz="750"/>
                  </a:p>
                </c:rich>
              </c:tx>
              <c:numFmt formatCode="General" sourceLinked="1"/>
              <c:spPr>
                <a:noFill/>
                <a:ln>
                  <a:noFill/>
                </a:ln>
                <a:effectLst/>
              </c:spPr>
              <c:txPr>
                <a:bodyPr rot="0" spcFirstLastPara="0" vertOverflow="ellipsis" vert="horz" wrap="square" lIns="38100" tIns="19050" rIns="38100" bIns="19050" anchor="ctr" anchorCtr="1"/>
                <a:lstStyle/>
                <a:p>
                  <a:pPr>
                    <a:defRPr lang="zh-CN" sz="750" b="0" i="0" u="none" strike="noStrike" kern="1200" baseline="0">
                      <a:solidFill>
                        <a:schemeClr val="tx1">
                          <a:lumMod val="75000"/>
                          <a:lumOff val="25000"/>
                        </a:schemeClr>
                      </a:solidFill>
                      <a:latin typeface="+mn-lt"/>
                      <a:ea typeface="+mn-ea"/>
                      <a:cs typeface="+mn-cs"/>
                    </a:defRPr>
                  </a:pPr>
                </a:p>
              </c:txPr>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3"/>
              <c:layout>
                <c:manualLayout>
                  <c:x val="0.040625"/>
                  <c:y val="-0.0561666666666667"/>
                </c:manualLayout>
              </c:layout>
              <c:tx>
                <c:rich>
                  <a:bodyPr rot="0" spcFirstLastPara="0" vertOverflow="ellipsis" vert="horz" wrap="square" lIns="38100" tIns="19050" rIns="38100" bIns="19050" anchor="ctr" anchorCtr="1"/>
                  <a:lstStyle/>
                  <a:p>
                    <a:pPr defTabSz="914400">
                      <a:defRPr lang="zh-CN" sz="750" b="0" i="0" u="none" strike="noStrike" kern="1200" baseline="0">
                        <a:solidFill>
                          <a:schemeClr val="tx1">
                            <a:lumMod val="75000"/>
                            <a:lumOff val="25000"/>
                          </a:schemeClr>
                        </a:solidFill>
                        <a:latin typeface="+mn-lt"/>
                        <a:ea typeface="+mn-ea"/>
                        <a:cs typeface="+mn-cs"/>
                      </a:defRPr>
                    </a:pPr>
                    <a:r>
                      <a:rPr sz="750"/>
                      <a:t>住房保障支出</a:t>
                    </a:r>
                    <a:endParaRPr sz="750"/>
                  </a:p>
                  <a:p>
                    <a:pPr defTabSz="914400">
                      <a:defRPr lang="zh-CN" sz="750" b="0" i="0" u="none" strike="noStrike" kern="1200" baseline="0">
                        <a:solidFill>
                          <a:schemeClr val="tx1">
                            <a:lumMod val="75000"/>
                            <a:lumOff val="25000"/>
                          </a:schemeClr>
                        </a:solidFill>
                        <a:latin typeface="+mn-lt"/>
                        <a:ea typeface="+mn-ea"/>
                        <a:cs typeface="+mn-cs"/>
                      </a:defRPr>
                    </a:pPr>
                    <a:r>
                      <a:rPr lang="en-US" altLang="zh-CN" sz="750"/>
                      <a:t>3.92</a:t>
                    </a:r>
                    <a:r>
                      <a:rPr sz="750"/>
                      <a:t>%</a:t>
                    </a:r>
                    <a:endParaRPr sz="750"/>
                  </a:p>
                </c:rich>
              </c:tx>
              <c:numFmt formatCode="General" sourceLinked="1"/>
              <c:spPr>
                <a:noFill/>
                <a:ln>
                  <a:noFill/>
                </a:ln>
                <a:effectLst/>
              </c:spPr>
              <c:txPr>
                <a:bodyPr rot="0" spcFirstLastPara="0" vertOverflow="ellipsis" vert="horz" wrap="square" lIns="38100" tIns="19050" rIns="38100" bIns="19050" anchor="ctr" anchorCtr="1"/>
                <a:lstStyle/>
                <a:p>
                  <a:pPr>
                    <a:defRPr lang="zh-CN" sz="750" b="0" i="0" u="none" strike="noStrike" kern="1200" baseline="0">
                      <a:solidFill>
                        <a:schemeClr val="tx1">
                          <a:lumMod val="75000"/>
                          <a:lumOff val="25000"/>
                        </a:schemeClr>
                      </a:solidFill>
                      <a:latin typeface="+mn-lt"/>
                      <a:ea typeface="+mn-ea"/>
                      <a:cs typeface="+mn-cs"/>
                    </a:defRPr>
                  </a:pPr>
                </a:p>
              </c:txPr>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750" b="0" i="0" u="none" strike="noStrike" kern="1200" baseline="0">
                    <a:solidFill>
                      <a:schemeClr val="tx1">
                        <a:lumMod val="75000"/>
                        <a:lumOff val="25000"/>
                      </a:schemeClr>
                    </a:solidFill>
                    <a:latin typeface="+mn-lt"/>
                    <a:ea typeface="+mn-ea"/>
                    <a:cs typeface="+mn-cs"/>
                  </a:defRPr>
                </a:pPr>
              </a:p>
            </c:txPr>
            <c:dLblPos val="out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一般公共服务（类）支出</c:v>
                </c:pt>
                <c:pt idx="1">
                  <c:v>社会保障和就业（类）支出</c:v>
                </c:pt>
                <c:pt idx="2">
                  <c:v>卫生健康支出</c:v>
                </c:pt>
                <c:pt idx="3">
                  <c:v>住房保障支出</c:v>
                </c:pt>
              </c:strCache>
            </c:strRef>
          </c:cat>
          <c:val>
            <c:numRef>
              <c:f>Sheet1!$B$2:$B$5</c:f>
              <c:numCache>
                <c:formatCode>General</c:formatCode>
                <c:ptCount val="4"/>
                <c:pt idx="0">
                  <c:v>82.29</c:v>
                </c:pt>
                <c:pt idx="1">
                  <c:v>12.14</c:v>
                </c:pt>
                <c:pt idx="2">
                  <c:v>1.65</c:v>
                </c:pt>
                <c:pt idx="3">
                  <c:v>3.92</c:v>
                </c:pt>
              </c:numCache>
            </c:numRef>
          </c:val>
        </c:ser>
        <c:dLbls>
          <c:showLegendKey val="0"/>
          <c:showVal val="0"/>
          <c:showCatName val="0"/>
          <c:showSerName val="0"/>
          <c:showPercent val="1"/>
          <c:showBubbleSize val="0"/>
        </c:dLbls>
      </c:pie3D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extLst>
      <c:ext uri="{0b15fc19-7d7d-44ad-8c2d-2c3a37ce22c3}">
        <chartProps xmlns="https://web.wps.cn/et/2018/main" chartId="{93051ece-414c-4bbe-b560-d0b1e717e2e9}"/>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xPr>
        <a:bodyPr rot="0" spcFirstLastPara="0" vertOverflow="ellipsis" vert="horz" wrap="square" anchor="ctr" anchorCtr="1"/>
        <a:lstStyle/>
        <a:p>
          <a:pPr>
            <a:defRPr lang="zh-CN" sz="1400" b="1" i="0" u="none" strike="noStrike" kern="1200" baseline="0">
              <a:solidFill>
                <a:schemeClr val="tx1"/>
              </a:solidFill>
              <a:latin typeface="+mn-lt"/>
              <a:ea typeface="+mn-ea"/>
              <a:cs typeface="+mn-cs"/>
            </a:defRPr>
          </a:pPr>
        </a:p>
      </c:txPr>
    </c:title>
    <c:autoTitleDeleted val="0"/>
    <c:view3D>
      <c:rotX val="30"/>
      <c:rotY val="0"/>
      <c:depthPercent val="100"/>
      <c:rAngAx val="0"/>
      <c:perspective val="30"/>
    </c:view3D>
    <c:floor>
      <c:thickness val="0"/>
    </c:floor>
    <c:sideWall>
      <c:thickness val="0"/>
    </c:sideWall>
    <c:backWall>
      <c:thickness val="0"/>
    </c:backWall>
    <c:plotArea>
      <c:layout>
        <c:manualLayout>
          <c:layoutTarget val="inner"/>
          <c:xMode val="edge"/>
          <c:yMode val="edge"/>
          <c:x val="0.091194855690145"/>
          <c:y val="0.480251461988304"/>
          <c:w val="0.822096605353671"/>
          <c:h val="0.422245614035088"/>
        </c:manualLayout>
      </c:layout>
      <c:pie3DChart>
        <c:varyColors val="1"/>
        <c:ser>
          <c:idx val="0"/>
          <c:order val="0"/>
          <c:tx>
            <c:strRef>
              <c:f>Sheet1!$B$1</c:f>
              <c:strCache>
                <c:ptCount val="1"/>
                <c:pt idx="0">
                  <c:v>三公经费财政拨款支出</c:v>
                </c:pt>
              </c:strCache>
            </c:strRef>
          </c:tx>
          <c:explosion val="0"/>
          <c:dPt>
            <c:idx val="0"/>
            <c:bubble3D val="0"/>
          </c:dPt>
          <c:dPt>
            <c:idx val="1"/>
            <c:bubble3D val="0"/>
          </c:dPt>
          <c:dPt>
            <c:idx val="2"/>
            <c:bubble3D val="0"/>
          </c:dPt>
          <c:dLbls>
            <c:dLbl>
              <c:idx val="1"/>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en-US" altLang="zh-CN"/>
                      <a:t>99.76%</a:t>
                    </a:r>
                    <a:endParaRPr lang="en-US" altLang="zh-CN"/>
                  </a:p>
                </c:rich>
              </c:tx>
              <c:dLblPos val="bestFit"/>
              <c:showLegendKey val="0"/>
              <c:showVal val="0"/>
              <c:showCatName val="0"/>
              <c:showSerName val="0"/>
              <c:showPercent val="1"/>
              <c:showBubbleSize val="0"/>
              <c:extLst>
                <c:ext xmlns:c15="http://schemas.microsoft.com/office/drawing/2012/chart" uri="{CE6537A1-D6FC-4f65-9D91-7224C49458BB}"/>
              </c:extLst>
            </c:dLbl>
            <c:dLbl>
              <c:idx val="2"/>
              <c:layout>
                <c:manualLayout>
                  <c:x val="0.0287508998084101"/>
                  <c:y val="-0.0631963488640353"/>
                </c:manualLayout>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en-US" altLang="zh-CN"/>
                      <a:t>0.24%</a:t>
                    </a:r>
                    <a:endParaRPr lang="en-US" altLang="zh-CN"/>
                  </a:p>
                </c:rich>
              </c:tx>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Sheet1!$A$2:$A$4</c:f>
              <c:strCache>
                <c:ptCount val="3"/>
                <c:pt idx="0">
                  <c:v>因公出国（境）费支出</c:v>
                </c:pt>
                <c:pt idx="1">
                  <c:v>公务用车购置及运行维护费</c:v>
                </c:pt>
                <c:pt idx="2">
                  <c:v>公务接待费支出</c:v>
                </c:pt>
              </c:strCache>
            </c:strRef>
          </c:cat>
          <c:val>
            <c:numRef>
              <c:f>Sheet1!$B$2:$B$4</c:f>
              <c:numCache>
                <c:formatCode>General</c:formatCode>
                <c:ptCount val="3"/>
                <c:pt idx="0">
                  <c:v>0</c:v>
                </c:pt>
                <c:pt idx="1">
                  <c:v>99.76</c:v>
                </c:pt>
                <c:pt idx="2">
                  <c:v>0.24</c:v>
                </c:pt>
              </c:numCache>
            </c:numRef>
          </c:val>
        </c:ser>
        <c:dLbls>
          <c:showLegendKey val="0"/>
          <c:showVal val="0"/>
          <c:showCatName val="0"/>
          <c:showSerName val="0"/>
          <c:showPercent val="1"/>
          <c:showBubbleSize val="0"/>
        </c:dLbls>
      </c:pie3DChart>
    </c:plotArea>
    <c:legend>
      <c:legendPos val="t"/>
      <c:layout>
        <c:manualLayout>
          <c:xMode val="edge"/>
          <c:yMode val="edge"/>
          <c:x val="0.120956399437412"/>
          <c:y val="0.167388535031847"/>
        </c:manualLayou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zero"/>
    <c:showDLblsOverMax val="0"/>
    <c:extLst>
      <c:ext uri="{0b15fc19-7d7d-44ad-8c2d-2c3a37ce22c3}">
        <chartProps xmlns="https://web.wps.cn/et/2018/main" chartId="{898ec914-95a7-41a3-b5d6-4ae879b4d0e0}"/>
      </c:ext>
    </c:extLst>
  </c:chart>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withinLinear" id="4">
  <a:schemeClr val="accent2"/>
  <a:schemeClr val="accent2"/>
  <a:schemeClr val="accent2"/>
  <a:schemeClr val="accent2"/>
  <a:schemeClr val="accent2"/>
  <a:schemeClr val="accent2"/>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45">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20</Pages>
  <Words>1299</Words>
  <Characters>7410</Characters>
  <Lines>61</Lines>
  <Paragraphs>17</Paragraphs>
  <TotalTime>29</TotalTime>
  <ScaleCrop>false</ScaleCrop>
  <LinksUpToDate>false</LinksUpToDate>
  <CharactersWithSpaces>8692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2020-08-09T09:49:00Z</dcterms:created>
  <dc:creator>曹颖</dc:creator>
  <cp:lastModifiedBy>Administrator</cp:lastModifiedBy>
  <cp:lastPrinted>2025-10-28T08:05:58Z</cp:lastPrinted>
  <dcterms:modified xsi:type="dcterms:W3CDTF">2025-10-28T08:07:05Z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7BC0399091234B598652DB79C3137394_13</vt:lpwstr>
  </property>
  <property fmtid="{D5CDD505-2E9C-101B-9397-08002B2CF9AE}" pid="4" name="KSOTemplateDocerSaveRecord">
    <vt:lpwstr>eyJoZGlkIjoiMzc3MTk0ZGI5NDRmNGE4NjdkMDg5ODZiMDMyOTNjNWIifQ==</vt:lpwstr>
  </property>
</Properties>
</file>