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E1C90">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0" w:name="_Toc15378441"/>
      <w:bookmarkStart w:id="1" w:name="_Toc15377425"/>
      <w:bookmarkStart w:id="2" w:name="_Toc15377193"/>
      <w:bookmarkStart w:id="3" w:name="_Toc15396597"/>
      <w:bookmarkStart w:id="4" w:name="_Toc15396475"/>
      <w:bookmarkStart w:id="5" w:name="_Toc15306267"/>
    </w:p>
    <w:bookmarkEnd w:id="0"/>
    <w:bookmarkEnd w:id="1"/>
    <w:bookmarkEnd w:id="2"/>
    <w:bookmarkEnd w:id="3"/>
    <w:bookmarkEnd w:id="4"/>
    <w:bookmarkEnd w:id="5"/>
    <w:p w14:paraId="54ACCD70">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p>
    <w:p w14:paraId="0AFF2046">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p>
    <w:p w14:paraId="66003112">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p>
    <w:p w14:paraId="2A389E1B">
      <w:pPr>
        <w:adjustRightInd w:val="0"/>
        <w:snapToGrid w:val="0"/>
        <w:spacing w:line="360" w:lineRule="auto"/>
        <w:jc w:val="center"/>
        <w:outlineLvl w:val="0"/>
        <w:rPr>
          <w:rFonts w:hint="eastAsia" w:ascii="方正小标宋简体" w:hAnsi="方正小标宋简体" w:eastAsia="方正小标宋简体" w:cs="方正小标宋简体"/>
          <w:sz w:val="64"/>
          <w:szCs w:val="64"/>
          <w:lang w:eastAsia="zh-CN"/>
        </w:rPr>
      </w:pPr>
      <w:r>
        <w:rPr>
          <w:rFonts w:hint="eastAsia" w:ascii="方正小标宋简体" w:hAnsi="方正小标宋简体" w:eastAsia="方正小标宋简体" w:cs="方正小标宋简体"/>
          <w:sz w:val="64"/>
          <w:szCs w:val="64"/>
          <w:lang w:eastAsia="zh-CN"/>
        </w:rPr>
        <w:t>五通桥区机关事务服务中心</w:t>
      </w:r>
    </w:p>
    <w:p w14:paraId="04048D88">
      <w:pPr>
        <w:adjustRightInd w:val="0"/>
        <w:snapToGrid w:val="0"/>
        <w:spacing w:line="360" w:lineRule="auto"/>
        <w:jc w:val="center"/>
        <w:outlineLvl w:val="0"/>
        <w:rPr>
          <w:rFonts w:ascii="方正小标宋简体" w:hAnsi="方正小标宋简体" w:eastAsia="方正小标宋简体" w:cs="方正小标宋简体"/>
          <w:sz w:val="64"/>
          <w:szCs w:val="64"/>
        </w:rPr>
      </w:pPr>
      <w:r>
        <w:rPr>
          <w:rFonts w:hint="eastAsia" w:ascii="方正小标宋简体" w:hAnsi="方正小标宋简体" w:eastAsia="方正小标宋简体" w:cs="方正小标宋简体"/>
          <w:sz w:val="64"/>
          <w:szCs w:val="64"/>
          <w:lang w:eastAsia="zh-CN"/>
        </w:rPr>
        <w:t>单位</w:t>
      </w:r>
      <w:r>
        <w:rPr>
          <w:rFonts w:hint="eastAsia" w:ascii="方正小标宋简体" w:hAnsi="方正小标宋简体" w:eastAsia="方正小标宋简体" w:cs="方正小标宋简体"/>
          <w:sz w:val="64"/>
          <w:szCs w:val="64"/>
        </w:rPr>
        <w:t>决算</w:t>
      </w:r>
    </w:p>
    <w:p w14:paraId="61D154AD">
      <w:pPr>
        <w:widowControl/>
        <w:jc w:val="center"/>
        <w:rPr>
          <w:rFonts w:hint="eastAsia" w:ascii="Times New Roman" w:hAnsi="Times New Roman" w:eastAsia="黑体"/>
          <w:color w:val="auto"/>
          <w:sz w:val="48"/>
          <w:szCs w:val="48"/>
          <w:highlight w:val="none"/>
        </w:rPr>
        <w:sectPr>
          <w:footerReference r:id="rId5" w:type="first"/>
          <w:headerReference r:id="rId3" w:type="default"/>
          <w:footerReference r:id="rId4" w:type="default"/>
          <w:pgSz w:w="11906" w:h="16838"/>
          <w:pgMar w:top="1440" w:right="1463" w:bottom="1440" w:left="1463" w:header="851" w:footer="992" w:gutter="0"/>
          <w:pgNumType w:fmt="decimal" w:start="1"/>
          <w:cols w:space="425" w:num="1"/>
          <w:docGrid w:type="lines" w:linePitch="312" w:charSpace="0"/>
        </w:sectPr>
      </w:pPr>
    </w:p>
    <w:p w14:paraId="0FA9E977">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14:paraId="28B9BC5E">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24</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10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28</w:t>
      </w:r>
      <w:r>
        <w:rPr>
          <w:rFonts w:hint="eastAsia" w:ascii="Times New Roman" w:hAnsi="Times New Roman" w:eastAsia="仿宋_GB2312" w:cs="仿宋_GB2312"/>
          <w:color w:val="auto"/>
          <w:sz w:val="32"/>
          <w:szCs w:val="32"/>
          <w:highlight w:val="none"/>
        </w:rPr>
        <w:t>日</w:t>
      </w:r>
    </w:p>
    <w:p w14:paraId="56D70B00">
      <w:pPr>
        <w:rPr>
          <w:rFonts w:ascii="Times New Roman" w:hAnsi="Times New Roman"/>
          <w:color w:val="auto"/>
          <w:highlight w:val="none"/>
        </w:rPr>
      </w:pPr>
    </w:p>
    <w:p w14:paraId="2036FB05">
      <w:pPr>
        <w:pStyle w:val="12"/>
        <w:keepNext w:val="0"/>
        <w:keepLines w:val="0"/>
        <w:pageBreakBefore w:val="0"/>
        <w:widowControl w:val="0"/>
        <w:kinsoku/>
        <w:wordWrap/>
        <w:overflowPunct/>
        <w:topLinePunct w:val="0"/>
        <w:autoSpaceDE/>
        <w:autoSpaceDN/>
        <w:bidi w:val="0"/>
        <w:adjustRightInd w:val="0"/>
        <w:snapToGrid w:val="0"/>
        <w:spacing w:before="0" w:line="400" w:lineRule="exact"/>
        <w:jc w:val="left"/>
        <w:textAlignment w:val="auto"/>
        <w:rPr>
          <w:rFonts w:hint="eastAsia" w:asciiTheme="minorEastAsia" w:hAnsiTheme="minorEastAsia" w:eastAsiaTheme="minorEastAsia" w:cstheme="minorEastAsia"/>
          <w:kern w:val="2"/>
          <w:sz w:val="24"/>
          <w:szCs w:val="24"/>
          <w:lang w:val="en-US" w:eastAsia="zh-CN" w:bidi="ar-SA"/>
        </w:rPr>
      </w:pPr>
      <w:r>
        <w:rPr>
          <w:rFonts w:hint="eastAsia" w:ascii="黑体" w:hAnsi="黑体" w:eastAsia="黑体" w:cs="黑体"/>
          <w:b w:val="0"/>
          <w:bCs w:val="0"/>
          <w:kern w:val="2"/>
          <w:sz w:val="24"/>
          <w:szCs w:val="24"/>
          <w:lang w:val="en-US" w:eastAsia="zh-CN" w:bidi="ar-SA"/>
        </w:rPr>
        <w:t>第一部分 单位概况</w:t>
      </w:r>
      <w:r>
        <w:rPr>
          <w:rFonts w:hint="eastAsia" w:asciiTheme="minorEastAsia" w:hAnsiTheme="minorEastAsia" w:eastAsiaTheme="minorEastAsia" w:cstheme="minorEastAsia"/>
          <w:kern w:val="2"/>
          <w:sz w:val="24"/>
          <w:szCs w:val="24"/>
          <w:lang w:val="en-US" w:eastAsia="zh-CN" w:bidi="ar-SA"/>
        </w:rPr>
        <w:tab/>
      </w:r>
      <w:r>
        <w:rPr>
          <w:rFonts w:hint="eastAsia" w:asciiTheme="minorEastAsia" w:hAnsiTheme="minorEastAsia" w:eastAsiaTheme="minorEastAsia" w:cstheme="minorEastAsia"/>
          <w:kern w:val="2"/>
          <w:sz w:val="24"/>
          <w:szCs w:val="24"/>
          <w:lang w:val="en-US" w:eastAsia="zh-CN" w:bidi="ar-SA"/>
        </w:rPr>
        <w:t xml:space="preserve">1 </w:t>
      </w:r>
    </w:p>
    <w:p w14:paraId="0F88C917">
      <w:pPr>
        <w:pStyle w:val="12"/>
        <w:keepNext w:val="0"/>
        <w:keepLines w:val="0"/>
        <w:pageBreakBefore w:val="0"/>
        <w:widowControl w:val="0"/>
        <w:kinsoku/>
        <w:wordWrap/>
        <w:overflowPunct/>
        <w:topLinePunct w:val="0"/>
        <w:autoSpaceDE/>
        <w:autoSpaceDN/>
        <w:bidi w:val="0"/>
        <w:adjustRightInd w:val="0"/>
        <w:snapToGrid w:val="0"/>
        <w:spacing w:before="0"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2"/>
          <w:sz w:val="24"/>
          <w:szCs w:val="24"/>
          <w:lang w:val="en-US" w:eastAsia="zh-CN" w:bidi="ar-SA"/>
        </w:rPr>
        <w:t xml:space="preserve">一、主要职责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1                                                                                                </w:t>
      </w:r>
    </w:p>
    <w:p w14:paraId="2FA13029">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二、机构设置</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1                                                         </w:t>
      </w:r>
    </w:p>
    <w:p w14:paraId="57BE2BFD">
      <w:pPr>
        <w:pStyle w:val="12"/>
        <w:keepNext w:val="0"/>
        <w:keepLines w:val="0"/>
        <w:pageBreakBefore w:val="0"/>
        <w:widowControl w:val="0"/>
        <w:kinsoku/>
        <w:wordWrap/>
        <w:overflowPunct/>
        <w:topLinePunct w:val="0"/>
        <w:autoSpaceDE/>
        <w:autoSpaceDN/>
        <w:bidi w:val="0"/>
        <w:adjustRightInd w:val="0"/>
        <w:snapToGrid w:val="0"/>
        <w:spacing w:before="0" w:line="400" w:lineRule="exact"/>
        <w:jc w:val="left"/>
        <w:textAlignment w:val="auto"/>
        <w:rPr>
          <w:rFonts w:hint="eastAsia" w:asciiTheme="minorEastAsia" w:hAnsiTheme="minorEastAsia" w:eastAsiaTheme="minorEastAsia" w:cstheme="minorEastAsia"/>
          <w:sz w:val="24"/>
          <w:szCs w:val="24"/>
        </w:rPr>
      </w:pPr>
      <w:r>
        <w:rPr>
          <w:rFonts w:hint="eastAsia" w:ascii="黑体" w:hAnsi="黑体" w:eastAsia="黑体" w:cs="黑体"/>
          <w:b w:val="0"/>
          <w:bCs w:val="0"/>
          <w:kern w:val="2"/>
          <w:sz w:val="24"/>
          <w:szCs w:val="24"/>
          <w:lang w:val="en-US" w:eastAsia="zh-CN" w:bidi="ar-SA"/>
        </w:rPr>
        <w:t>第二部分 2024年度部门决算情况说明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2</w:t>
      </w:r>
    </w:p>
    <w:p w14:paraId="6D9DD99B">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一、收入支出决算总体情况说明</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2                                           </w:t>
      </w:r>
    </w:p>
    <w:p w14:paraId="2846C661">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二、收入决算情况说明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2  </w:t>
      </w:r>
    </w:p>
    <w:p w14:paraId="41C7197D">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3  </w:t>
      </w:r>
    </w:p>
    <w:p w14:paraId="387DC4A5">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四、财政拨款收入支出决算总体情况说明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3  </w:t>
      </w:r>
    </w:p>
    <w:p w14:paraId="37337F73">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五、一般公共预算财政拨款支出决算情况说明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4</w:t>
      </w:r>
    </w:p>
    <w:p w14:paraId="4A7DB97A">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六、一般公共预算财政拨款基本支出决算情况说明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6</w:t>
      </w:r>
    </w:p>
    <w:p w14:paraId="5AD8CA06">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七、财政拨款“三公”经费支出决算情况说明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6  </w:t>
      </w:r>
    </w:p>
    <w:p w14:paraId="3EAF99E2">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八、政府性基金预算支出决算情况说明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8 </w:t>
      </w:r>
    </w:p>
    <w:p w14:paraId="06057404">
      <w:pPr>
        <w:pStyle w:val="14"/>
        <w:keepNext w:val="0"/>
        <w:keepLines w:val="0"/>
        <w:pageBreakBefore w:val="0"/>
        <w:widowControl w:val="0"/>
        <w:kinsoku/>
        <w:wordWrap/>
        <w:overflowPunct/>
        <w:topLinePunct w:val="0"/>
        <w:autoSpaceDE/>
        <w:autoSpaceDN/>
        <w:bidi w:val="0"/>
        <w:adjustRightInd w:val="0"/>
        <w:snapToGrid w:val="0"/>
        <w:spacing w:line="400" w:lineRule="exact"/>
        <w:ind w:lef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九、国有资本经营预算支出决算情况说明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8 </w:t>
      </w:r>
    </w:p>
    <w:p w14:paraId="71082DC6">
      <w:pPr>
        <w:pStyle w:val="14"/>
        <w:keepNext w:val="0"/>
        <w:keepLines w:val="0"/>
        <w:pageBreakBefore w:val="0"/>
        <w:widowControl w:val="0"/>
        <w:kinsoku/>
        <w:wordWrap/>
        <w:overflowPunct/>
        <w:topLinePunct w:val="0"/>
        <w:autoSpaceDE/>
        <w:autoSpaceDN/>
        <w:bidi w:val="0"/>
        <w:adjustRightInd w:val="0"/>
        <w:snapToGrid w:val="0"/>
        <w:spacing w:line="400" w:lineRule="exact"/>
        <w:ind w:leftChars="0"/>
        <w:jc w:val="lef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十、其他重要事项的情况说明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8</w:t>
      </w:r>
    </w:p>
    <w:p w14:paraId="118FCC0A">
      <w:pPr>
        <w:pStyle w:val="14"/>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第三部分 名词解释</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10</w:t>
      </w:r>
    </w:p>
    <w:p w14:paraId="17C030E9">
      <w:pPr>
        <w:pStyle w:val="14"/>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第四部分 附件</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13</w:t>
      </w:r>
    </w:p>
    <w:p w14:paraId="518DEA7C">
      <w:pPr>
        <w:pStyle w:val="14"/>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第五部分 附表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1E833C8D">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19 </w:t>
      </w:r>
    </w:p>
    <w:p w14:paraId="3060C1DE">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二、收入决算表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0F697E8A">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三、支出决算表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407A68E5">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四、财政拨款收入支出决算总表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1D829C33">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五、财政拨款支出决算明细表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605BD63D">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六、一般公共预算财政拨款支出决算表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79D8E223">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七、一般公共预算财政拨款支出决算明细表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641E4430">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八、一般公共预算财政拨款基本支出决算明细表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31B56EA3">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九、一般公共预算财政拨款项目支出决算表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3E162A7B">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十、政府性基金预算财政拨款收入支出决算表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36CF9787">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十一、国有资本经营预算财政拨款收入支出决算表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19</w:t>
      </w:r>
    </w:p>
    <w:p w14:paraId="787524B8">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十二、国有资本经营预算财政拨款支出决算表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42705A35">
      <w:pPr>
        <w:pStyle w:val="14"/>
        <w:adjustRightInd w:val="0"/>
        <w:snapToGrid w:val="0"/>
        <w:spacing w:line="440" w:lineRule="exact"/>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十三、财政拨款“三公”经费支出决算表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19</w:t>
      </w:r>
    </w:p>
    <w:p w14:paraId="69EF6952">
      <w:pPr>
        <w:pStyle w:val="3"/>
        <w:jc w:val="center"/>
        <w:rPr>
          <w:rFonts w:hint="eastAsia" w:ascii="Times New Roman" w:hAnsi="Times New Roman" w:eastAsia="方正小标宋简体" w:cs="方正小标宋简体"/>
          <w:b w:val="0"/>
          <w:color w:val="auto"/>
          <w:highlight w:val="none"/>
        </w:rPr>
        <w:sectPr>
          <w:footerReference r:id="rId6" w:type="default"/>
          <w:pgSz w:w="11906" w:h="16838"/>
          <w:pgMar w:top="1440" w:right="1463" w:bottom="1440" w:left="1463" w:header="851" w:footer="992" w:gutter="0"/>
          <w:pgNumType w:fmt="decimal" w:start="1"/>
          <w:cols w:space="425" w:num="1"/>
          <w:docGrid w:type="lines" w:linePitch="312" w:charSpace="0"/>
        </w:sectPr>
      </w:pPr>
      <w:bookmarkStart w:id="6" w:name="_Toc15396599"/>
      <w:bookmarkStart w:id="7" w:name="_Toc15377196"/>
    </w:p>
    <w:p w14:paraId="4091088A">
      <w:pPr>
        <w:pStyle w:val="3"/>
        <w:jc w:val="center"/>
        <w:rPr>
          <w:rStyle w:val="28"/>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eastAsia="方正小标宋简体" w:cs="方正小标宋简体"/>
          <w:b w:val="0"/>
          <w:color w:val="auto"/>
          <w:highlight w:val="none"/>
          <w:lang w:eastAsia="zh-CN"/>
        </w:rPr>
        <w:t>单位</w:t>
      </w:r>
      <w:r>
        <w:rPr>
          <w:rStyle w:val="28"/>
          <w:rFonts w:hint="eastAsia" w:ascii="Times New Roman" w:hAnsi="Times New Roman" w:eastAsia="方正小标宋简体" w:cs="方正小标宋简体"/>
          <w:b w:val="0"/>
          <w:bCs w:val="0"/>
          <w:color w:val="auto"/>
          <w:highlight w:val="none"/>
        </w:rPr>
        <w:t>概况</w:t>
      </w:r>
      <w:bookmarkEnd w:id="6"/>
      <w:bookmarkEnd w:id="7"/>
    </w:p>
    <w:p w14:paraId="5E39DFEC">
      <w:pPr>
        <w:pStyle w:val="4"/>
        <w:ind w:firstLine="640" w:firstLineChars="200"/>
        <w:rPr>
          <w:rFonts w:hint="eastAsia" w:ascii="Times New Roman" w:hAnsi="Times New Roman" w:eastAsia="黑体"/>
          <w:b w:val="0"/>
          <w:color w:val="auto"/>
          <w:highlight w:val="none"/>
          <w:lang w:eastAsia="zh-CN"/>
        </w:rPr>
      </w:pPr>
      <w:bookmarkStart w:id="8" w:name="_Toc15396600"/>
      <w:bookmarkStart w:id="9" w:name="_Toc15377197"/>
      <w:r>
        <w:rPr>
          <w:rFonts w:hint="eastAsia" w:ascii="Times New Roman" w:hAnsi="Times New Roman" w:eastAsia="黑体"/>
          <w:b w:val="0"/>
          <w:color w:val="auto"/>
          <w:highlight w:val="none"/>
        </w:rPr>
        <w:t>一、</w:t>
      </w:r>
      <w:bookmarkEnd w:id="8"/>
      <w:bookmarkEnd w:id="9"/>
      <w:r>
        <w:rPr>
          <w:rFonts w:hint="eastAsia" w:ascii="Times New Roman" w:hAnsi="Times New Roman" w:eastAsia="黑体"/>
          <w:b w:val="0"/>
          <w:color w:val="auto"/>
          <w:highlight w:val="none"/>
          <w:lang w:eastAsia="zh-CN"/>
        </w:rPr>
        <w:t>主要职责</w:t>
      </w:r>
    </w:p>
    <w:p w14:paraId="2F1F7CD8">
      <w:pPr>
        <w:pStyle w:val="4"/>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五</w:t>
      </w:r>
      <w:r>
        <w:rPr>
          <w:rFonts w:hint="eastAsia" w:ascii="仿宋_GB2312" w:hAnsi="仿宋_GB2312" w:eastAsia="仿宋_GB2312" w:cs="仿宋_GB2312"/>
          <w:b w:val="0"/>
          <w:bCs w:val="0"/>
          <w:sz w:val="32"/>
          <w:szCs w:val="32"/>
        </w:rPr>
        <w:t>通桥区机关事务服务中心是乐山市五通桥区人民政府办公室举办的全额财政拨款事业单位。主要负责全区机关后勤服务、公务用车管理信息化平台建设、公务用车调度、公共机构节能指导等相关工作。</w:t>
      </w:r>
      <w:bookmarkStart w:id="10" w:name="_Toc15396601"/>
      <w:bookmarkStart w:id="11" w:name="_Toc15377200"/>
    </w:p>
    <w:p w14:paraId="64EC807C">
      <w:pPr>
        <w:pStyle w:val="4"/>
        <w:ind w:firstLine="640" w:firstLineChars="200"/>
        <w:rPr>
          <w:rFonts w:hint="eastAsia" w:ascii="Times New Roman" w:hAnsi="Times New Roman" w:eastAsia="黑体"/>
          <w:b w:val="0"/>
          <w:color w:val="auto"/>
          <w:highlight w:val="none"/>
        </w:rPr>
      </w:pPr>
      <w:r>
        <w:rPr>
          <w:rFonts w:hint="eastAsia" w:ascii="Times New Roman" w:hAnsi="Times New Roman" w:eastAsia="黑体"/>
          <w:b w:val="0"/>
          <w:color w:val="auto"/>
          <w:highlight w:val="none"/>
          <w:lang w:eastAsia="zh-CN"/>
        </w:rPr>
        <w:t>二、</w:t>
      </w:r>
      <w:r>
        <w:rPr>
          <w:rFonts w:hint="eastAsia" w:ascii="Times New Roman" w:hAnsi="Times New Roman" w:eastAsia="黑体"/>
          <w:b w:val="0"/>
          <w:color w:val="auto"/>
          <w:highlight w:val="none"/>
        </w:rPr>
        <w:t>机构设置</w:t>
      </w:r>
      <w:bookmarkEnd w:id="10"/>
      <w:bookmarkEnd w:id="11"/>
    </w:p>
    <w:p w14:paraId="57292792">
      <w:pPr>
        <w:widowControl/>
        <w:ind w:firstLine="64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五通桥区机关事务服务中心</w:t>
      </w:r>
      <w:r>
        <w:rPr>
          <w:rFonts w:hint="default" w:ascii="Times New Roman" w:hAnsi="Times New Roman" w:eastAsia="仿宋_GB2312" w:cs="Times New Roman"/>
          <w:color w:val="auto"/>
          <w:sz w:val="32"/>
          <w:szCs w:val="32"/>
          <w:lang w:val="en-US" w:eastAsia="zh-CN"/>
        </w:rPr>
        <w:t>属于</w:t>
      </w:r>
      <w:r>
        <w:rPr>
          <w:rFonts w:hint="default" w:ascii="Times New Roman" w:hAnsi="Times New Roman" w:eastAsia="仿宋_GB2312" w:cs="Times New Roman"/>
          <w:color w:val="auto"/>
          <w:sz w:val="32"/>
          <w:szCs w:val="32"/>
        </w:rPr>
        <w:t>乐山市五通桥区人民政府办公</w:t>
      </w:r>
      <w:r>
        <w:rPr>
          <w:rFonts w:hint="default" w:ascii="Times New Roman" w:hAnsi="Times New Roman" w:eastAsia="仿宋_GB2312" w:cs="Times New Roman"/>
          <w:color w:val="auto"/>
          <w:sz w:val="32"/>
          <w:szCs w:val="32"/>
          <w:lang w:eastAsia="zh-CN"/>
        </w:rPr>
        <w:t>室</w:t>
      </w:r>
      <w:r>
        <w:rPr>
          <w:rFonts w:hint="default" w:ascii="Times New Roman" w:hAnsi="Times New Roman" w:eastAsia="仿宋_GB2312" w:cs="Times New Roman"/>
          <w:color w:val="auto"/>
          <w:sz w:val="32"/>
          <w:szCs w:val="32"/>
          <w:lang w:val="en-US" w:eastAsia="zh-CN"/>
        </w:rPr>
        <w:t>部门下属的二级预算单位，下设独立编制机构1个，其中行政机构0个，参照公务员法管理的事业机构0个，其他事业机构1个。事业编制数8名，202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年末在职人员</w:t>
      </w:r>
      <w:r>
        <w:rPr>
          <w:rFonts w:hint="eastAsia"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lang w:val="en-US" w:eastAsia="zh-CN"/>
        </w:rPr>
        <w:t>名。无内设机构。</w:t>
      </w:r>
    </w:p>
    <w:p w14:paraId="4426F83D">
      <w:pPr>
        <w:widowControl/>
        <w:ind w:firstLine="64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纳入202</w:t>
      </w:r>
      <w:r>
        <w:rPr>
          <w:rFonts w:hint="eastAsia" w:ascii="Times New Roman" w:hAnsi="Times New Roman" w:eastAsia="仿宋_GB2312" w:cs="Times New Roman"/>
          <w:color w:val="auto"/>
          <w:sz w:val="32"/>
          <w:szCs w:val="32"/>
          <w:lang w:val="en-US" w:eastAsia="zh-CN"/>
        </w:rPr>
        <w:t>4年</w:t>
      </w:r>
      <w:r>
        <w:rPr>
          <w:rFonts w:hint="default" w:ascii="Times New Roman" w:hAnsi="Times New Roman" w:eastAsia="仿宋_GB2312" w:cs="Times New Roman"/>
          <w:color w:val="auto"/>
          <w:sz w:val="32"/>
          <w:szCs w:val="32"/>
          <w:lang w:val="en-US" w:eastAsia="zh-CN"/>
        </w:rPr>
        <w:t>单位决算编制范围的独立编制机构包括：</w:t>
      </w:r>
    </w:p>
    <w:p w14:paraId="479644A6">
      <w:pPr>
        <w:widowControl/>
        <w:ind w:firstLine="640"/>
        <w:jc w:val="left"/>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五通桥区机关事务服务中心</w:t>
      </w:r>
    </w:p>
    <w:p w14:paraId="669F5096">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14:paraId="03B6AFD8">
      <w:pPr>
        <w:pStyle w:val="3"/>
        <w:jc w:val="center"/>
        <w:rPr>
          <w:rFonts w:hint="eastAsia" w:ascii="Times New Roman" w:hAnsi="Times New Roman" w:eastAsia="方正小标宋简体" w:cs="方正小标宋简体"/>
          <w:b w:val="0"/>
          <w:color w:val="auto"/>
          <w:highlight w:val="none"/>
        </w:rPr>
      </w:pPr>
      <w:bookmarkStart w:id="12" w:name="_Toc15396602"/>
      <w:bookmarkStart w:id="13" w:name="_Toc1537720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val="en-US" w:eastAsia="zh-CN"/>
        </w:rPr>
        <w:t>单位</w:t>
      </w:r>
      <w:r>
        <w:rPr>
          <w:rFonts w:hint="eastAsia" w:ascii="Times New Roman" w:hAnsi="Times New Roman" w:eastAsia="方正小标宋简体" w:cs="方正小标宋简体"/>
          <w:b w:val="0"/>
          <w:color w:val="auto"/>
          <w:highlight w:val="none"/>
        </w:rPr>
        <w:t>决算情况说明</w:t>
      </w:r>
      <w:bookmarkEnd w:id="12"/>
      <w:bookmarkEnd w:id="13"/>
    </w:p>
    <w:p w14:paraId="307B8520">
      <w:pPr>
        <w:rPr>
          <w:rFonts w:ascii="Times New Roman" w:hAnsi="Times New Roman"/>
          <w:color w:val="auto"/>
          <w:highlight w:val="none"/>
        </w:rPr>
      </w:pPr>
    </w:p>
    <w:p w14:paraId="09053FE8">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4" w:name="_Toc15377205"/>
      <w:bookmarkStart w:id="15"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14"/>
      <w:bookmarkEnd w:id="15"/>
    </w:p>
    <w:p w14:paraId="14C74B6C">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2024年度收入、支出总计均为332.59万元。与202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年度相比，收入、支出总计各增加</w:t>
      </w:r>
      <w:r>
        <w:rPr>
          <w:rFonts w:hint="default" w:ascii="Times New Roman" w:hAnsi="Times New Roman" w:eastAsia="仿宋_GB2312" w:cs="Times New Roman"/>
          <w:color w:val="auto"/>
          <w:sz w:val="32"/>
          <w:szCs w:val="32"/>
          <w:highlight w:val="none"/>
          <w:lang w:val="en-US" w:eastAsia="zh-CN"/>
        </w:rPr>
        <w:t>30.34</w:t>
      </w:r>
      <w:r>
        <w:rPr>
          <w:rFonts w:hint="default" w:ascii="Times New Roman" w:hAnsi="Times New Roman" w:eastAsia="仿宋_GB2312" w:cs="Times New Roman"/>
          <w:color w:val="auto"/>
          <w:sz w:val="32"/>
          <w:szCs w:val="32"/>
          <w:highlight w:val="none"/>
          <w:lang w:eastAsia="zh-CN"/>
        </w:rPr>
        <w:t>万元，增长</w:t>
      </w:r>
      <w:r>
        <w:rPr>
          <w:rFonts w:hint="default" w:ascii="Times New Roman" w:hAnsi="Times New Roman" w:eastAsia="仿宋_GB2312" w:cs="Times New Roman"/>
          <w:color w:val="auto"/>
          <w:sz w:val="32"/>
          <w:szCs w:val="32"/>
          <w:highlight w:val="none"/>
          <w:lang w:val="en-US" w:eastAsia="zh-CN"/>
        </w:rPr>
        <w:t>10.04%</w:t>
      </w:r>
      <w:r>
        <w:rPr>
          <w:rFonts w:hint="default" w:ascii="Times New Roman" w:hAnsi="Times New Roman" w:eastAsia="仿宋_GB2312" w:cs="Times New Roman"/>
          <w:color w:val="auto"/>
          <w:sz w:val="32"/>
          <w:szCs w:val="32"/>
          <w:highlight w:val="none"/>
          <w:lang w:eastAsia="zh-CN"/>
        </w:rPr>
        <w:t>。主要原因项目经费增加，增加了区政府集中办公区车棚建设项目。</w:t>
      </w:r>
    </w:p>
    <w:p w14:paraId="66AA1300">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（图1：收入、支出决算总计变动情况图）（柱状图）</w:t>
      </w:r>
      <w:bookmarkStart w:id="16" w:name="_Toc15377206"/>
      <w:bookmarkStart w:id="17" w:name="_Toc15396604"/>
    </w:p>
    <w:p w14:paraId="7F8747D8">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Times New Roman" w:hAnsi="Times New Roman" w:eastAsia="黑体"/>
          <w:color w:val="auto"/>
          <w:sz w:val="32"/>
          <w:szCs w:val="32"/>
          <w:highlight w:val="none"/>
          <w:lang w:eastAsia="zh-CN"/>
        </w:rPr>
      </w:pPr>
      <w:r>
        <w:rPr>
          <w:rFonts w:hint="eastAsia"/>
          <w:sz w:val="32"/>
          <w:szCs w:val="32"/>
        </w:rPr>
        <w:drawing>
          <wp:inline distT="0" distB="0" distL="0" distR="0">
            <wp:extent cx="3789680" cy="2414270"/>
            <wp:effectExtent l="4445" t="4445" r="15875" b="1968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8664C9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二、收入决算情况说明</w:t>
      </w:r>
      <w:bookmarkEnd w:id="16"/>
      <w:bookmarkEnd w:id="17"/>
    </w:p>
    <w:p w14:paraId="34BB761C">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2024年度本年收入合计332.59万元，其中：一般公共预算财政拨款收入332.59万元，占100%；政府性基金预算财政拨款收入0万元，占0%；国有资本经营预算财政拨款收入0万元，占0%；上级补助收入0万元，占0%；事业收入0万元，占0%；经营收入0万元，占0%；附属单位上缴收入0万元，占0%；其他收入0万元，占0%。</w:t>
      </w:r>
    </w:p>
    <w:p w14:paraId="49BF9D07">
      <w:pPr>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bookmarkStart w:id="63" w:name="_GoBack"/>
      <w:bookmarkEnd w:id="63"/>
    </w:p>
    <w:p w14:paraId="3F56A876">
      <w:pPr>
        <w:jc w:val="center"/>
        <w:rPr>
          <w:rFonts w:hint="eastAsia"/>
          <w:lang w:eastAsia="zh-CN"/>
        </w:rPr>
      </w:pPr>
      <w:r>
        <w:rPr>
          <w:rFonts w:hint="eastAsia"/>
          <w:sz w:val="32"/>
          <w:szCs w:val="32"/>
        </w:rPr>
        <w:drawing>
          <wp:inline distT="0" distB="0" distL="0" distR="0">
            <wp:extent cx="3420110" cy="2237105"/>
            <wp:effectExtent l="5080" t="4445" r="22860" b="635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2E1D06B">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8" w:name="_Toc15377207"/>
      <w:bookmarkStart w:id="19"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18"/>
      <w:bookmarkEnd w:id="19"/>
    </w:p>
    <w:p w14:paraId="3332BAE2">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2024年度本年支出合计332.59万元，其中：基本支出</w:t>
      </w:r>
      <w:r>
        <w:rPr>
          <w:rFonts w:hint="eastAsia" w:eastAsia="仿宋_GB2312" w:cs="Times New Roman"/>
          <w:color w:val="auto"/>
          <w:sz w:val="32"/>
          <w:szCs w:val="32"/>
          <w:highlight w:val="none"/>
          <w:lang w:val="en-US" w:eastAsia="zh-CN"/>
        </w:rPr>
        <w:t>125</w:t>
      </w:r>
      <w:r>
        <w:rPr>
          <w:rFonts w:hint="eastAsia" w:ascii="Times New Roman" w:hAnsi="Times New Roman" w:eastAsia="仿宋_GB2312" w:cs="Times New Roman"/>
          <w:color w:val="auto"/>
          <w:sz w:val="32"/>
          <w:szCs w:val="32"/>
          <w:highlight w:val="none"/>
          <w:lang w:eastAsia="zh-CN"/>
        </w:rPr>
        <w:t>万元，占37.58%；项目支出207.59万元，占62.4</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%；上缴上级支出0万元，占0%；经营支出0万元，占0%；对附属单位补助支出0万元，占0%。</w:t>
      </w:r>
    </w:p>
    <w:p w14:paraId="20E73494">
      <w:pPr>
        <w:ind w:firstLine="800" w:firstLineChars="250"/>
        <w:jc w:val="center"/>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5994EA19">
      <w:pPr>
        <w:jc w:val="center"/>
        <w:rPr>
          <w:rFonts w:hint="eastAsia" w:ascii="Times New Roman" w:hAnsi="Times New Roman" w:eastAsia="仿宋_GB2312" w:cs="仿宋_GB2312"/>
          <w:color w:val="auto"/>
          <w:sz w:val="32"/>
          <w:szCs w:val="32"/>
          <w:highlight w:val="none"/>
          <w:lang w:eastAsia="zh-CN"/>
        </w:rPr>
      </w:pPr>
      <w:r>
        <w:rPr>
          <w:rFonts w:hint="eastAsia"/>
          <w:sz w:val="32"/>
          <w:szCs w:val="32"/>
        </w:rPr>
        <w:drawing>
          <wp:inline distT="0" distB="0" distL="0" distR="0">
            <wp:extent cx="4381500" cy="2372995"/>
            <wp:effectExtent l="4445" t="4445" r="14605" b="2286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6DB44F6">
      <w:pPr>
        <w:spacing w:line="600" w:lineRule="exact"/>
        <w:ind w:firstLine="640" w:firstLineChars="200"/>
        <w:outlineLvl w:val="1"/>
        <w:rPr>
          <w:rStyle w:val="29"/>
          <w:rFonts w:ascii="Times New Roman" w:hAnsi="Times New Roman" w:eastAsia="黑体"/>
          <w:b w:val="0"/>
          <w:color w:val="auto"/>
          <w:highlight w:val="none"/>
        </w:rPr>
      </w:pPr>
      <w:bookmarkStart w:id="20" w:name="_Toc15377208"/>
      <w:bookmarkStart w:id="21" w:name="_Toc15396606"/>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20"/>
      <w:bookmarkEnd w:id="21"/>
    </w:p>
    <w:p w14:paraId="3DB306FE">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2024年度财政拨款收入、支出总计均为</w:t>
      </w:r>
      <w:r>
        <w:rPr>
          <w:rFonts w:hint="eastAsia" w:ascii="Times New Roman" w:hAnsi="Times New Roman" w:eastAsia="仿宋_GB2312" w:cs="Times New Roman"/>
          <w:color w:val="auto"/>
          <w:sz w:val="32"/>
          <w:szCs w:val="32"/>
          <w:highlight w:val="none"/>
          <w:lang w:eastAsia="zh-CN"/>
        </w:rPr>
        <w:t>332.59</w:t>
      </w:r>
      <w:r>
        <w:rPr>
          <w:rFonts w:hint="eastAsia" w:ascii="Times New Roman" w:hAnsi="Times New Roman" w:eastAsia="仿宋_GB2312" w:cs="Times New Roman"/>
          <w:color w:val="auto"/>
          <w:sz w:val="32"/>
          <w:szCs w:val="32"/>
          <w:highlight w:val="none"/>
          <w:lang w:val="en-US" w:eastAsia="zh-CN"/>
        </w:rPr>
        <w:t>万元。与2023年度相比，财政拨款收入、支出总计各增加</w:t>
      </w:r>
      <w:r>
        <w:rPr>
          <w:rFonts w:hint="default" w:ascii="Times New Roman" w:hAnsi="Times New Roman" w:eastAsia="仿宋_GB2312" w:cs="Times New Roman"/>
          <w:color w:val="auto"/>
          <w:sz w:val="32"/>
          <w:szCs w:val="32"/>
          <w:highlight w:val="none"/>
          <w:lang w:val="en-US" w:eastAsia="zh-CN"/>
        </w:rPr>
        <w:t>30.34</w:t>
      </w:r>
      <w:r>
        <w:rPr>
          <w:rFonts w:hint="default" w:ascii="Times New Roman" w:hAnsi="Times New Roman" w:eastAsia="仿宋_GB2312" w:cs="Times New Roman"/>
          <w:color w:val="auto"/>
          <w:sz w:val="32"/>
          <w:szCs w:val="32"/>
          <w:highlight w:val="none"/>
          <w:lang w:eastAsia="zh-CN"/>
        </w:rPr>
        <w:t>万元，增长</w:t>
      </w:r>
      <w:r>
        <w:rPr>
          <w:rFonts w:hint="default" w:ascii="Times New Roman" w:hAnsi="Times New Roman" w:eastAsia="仿宋_GB2312" w:cs="Times New Roman"/>
          <w:color w:val="auto"/>
          <w:sz w:val="32"/>
          <w:szCs w:val="32"/>
          <w:highlight w:val="none"/>
          <w:lang w:val="en-US" w:eastAsia="zh-CN"/>
        </w:rPr>
        <w:t>10.04%</w:t>
      </w:r>
      <w:r>
        <w:rPr>
          <w:rFonts w:hint="default" w:ascii="Times New Roman" w:hAnsi="Times New Roman" w:eastAsia="仿宋_GB2312" w:cs="Times New Roman"/>
          <w:color w:val="auto"/>
          <w:sz w:val="32"/>
          <w:szCs w:val="32"/>
          <w:highlight w:val="none"/>
          <w:lang w:eastAsia="zh-CN"/>
        </w:rPr>
        <w:t>。主要原因项目经费增加，增加了区政府集中办公区车棚建设项目。</w:t>
      </w:r>
    </w:p>
    <w:p w14:paraId="5720DFFA">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（图4：财政拨款收、支决算总计变动情况）（柱状图）</w:t>
      </w:r>
    </w:p>
    <w:p w14:paraId="10BAB1F0">
      <w:pPr>
        <w:pStyle w:val="2"/>
        <w:jc w:val="center"/>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4184015" cy="2564130"/>
            <wp:effectExtent l="4445" t="4445" r="21590" b="222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A2B04AD">
      <w:pPr>
        <w:spacing w:line="600" w:lineRule="exact"/>
        <w:ind w:firstLine="640" w:firstLineChars="200"/>
        <w:outlineLvl w:val="1"/>
        <w:rPr>
          <w:rStyle w:val="29"/>
          <w:rFonts w:ascii="Times New Roman" w:hAnsi="Times New Roman" w:eastAsia="黑体"/>
          <w:b w:val="0"/>
          <w:color w:val="auto"/>
          <w:highlight w:val="none"/>
        </w:rPr>
      </w:pPr>
      <w:bookmarkStart w:id="22" w:name="_Toc15396607"/>
      <w:bookmarkStart w:id="23" w:name="_Toc15377209"/>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22"/>
      <w:bookmarkEnd w:id="23"/>
    </w:p>
    <w:p w14:paraId="51EE5C6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4"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4"/>
    </w:p>
    <w:p w14:paraId="436B7876">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2024年度一般公共预算财政拨款支出</w:t>
      </w:r>
      <w:r>
        <w:rPr>
          <w:rFonts w:hint="eastAsia" w:ascii="Times New Roman" w:hAnsi="Times New Roman" w:eastAsia="仿宋_GB2312" w:cs="Times New Roman"/>
          <w:color w:val="auto"/>
          <w:sz w:val="32"/>
          <w:szCs w:val="32"/>
          <w:highlight w:val="none"/>
          <w:lang w:eastAsia="zh-CN"/>
        </w:rPr>
        <w:t>332.59</w:t>
      </w:r>
      <w:r>
        <w:rPr>
          <w:rFonts w:hint="eastAsia" w:ascii="Times New Roman" w:hAnsi="Times New Roman" w:eastAsia="仿宋_GB2312" w:cs="Times New Roman"/>
          <w:color w:val="auto"/>
          <w:sz w:val="32"/>
          <w:szCs w:val="32"/>
          <w:highlight w:val="none"/>
          <w:lang w:val="en-US" w:eastAsia="zh-CN"/>
        </w:rPr>
        <w:t>万元，占本年支出合计的</w:t>
      </w:r>
      <w:r>
        <w:rPr>
          <w:rFonts w:hint="eastAsia" w:ascii="Times New Roman" w:hAnsi="Times New Roman" w:eastAsia="仿宋_GB2312" w:cs="Times New Roman"/>
          <w:color w:val="auto"/>
          <w:sz w:val="32"/>
          <w:szCs w:val="32"/>
          <w:highlight w:val="none"/>
          <w:lang w:eastAsia="zh-CN"/>
        </w:rPr>
        <w:t>100</w:t>
      </w:r>
      <w:r>
        <w:rPr>
          <w:rFonts w:hint="eastAsia" w:ascii="Times New Roman" w:hAnsi="Times New Roman" w:eastAsia="仿宋_GB2312" w:cs="Times New Roman"/>
          <w:color w:val="auto"/>
          <w:sz w:val="32"/>
          <w:szCs w:val="32"/>
          <w:highlight w:val="none"/>
          <w:lang w:val="en-US" w:eastAsia="zh-CN"/>
        </w:rPr>
        <w:t>%。与2023年度相比，一般公共预算财政拨款支出增加</w:t>
      </w:r>
      <w:r>
        <w:rPr>
          <w:rFonts w:hint="default" w:ascii="Times New Roman" w:hAnsi="Times New Roman" w:eastAsia="仿宋_GB2312" w:cs="Times New Roman"/>
          <w:color w:val="auto"/>
          <w:sz w:val="32"/>
          <w:szCs w:val="32"/>
          <w:highlight w:val="none"/>
          <w:lang w:val="en-US" w:eastAsia="zh-CN"/>
        </w:rPr>
        <w:t>30.34</w:t>
      </w:r>
      <w:r>
        <w:rPr>
          <w:rFonts w:hint="default" w:ascii="Times New Roman" w:hAnsi="Times New Roman" w:eastAsia="仿宋_GB2312" w:cs="Times New Roman"/>
          <w:color w:val="auto"/>
          <w:sz w:val="32"/>
          <w:szCs w:val="32"/>
          <w:highlight w:val="none"/>
          <w:lang w:eastAsia="zh-CN"/>
        </w:rPr>
        <w:t>万元，增长</w:t>
      </w:r>
      <w:r>
        <w:rPr>
          <w:rFonts w:hint="default" w:ascii="Times New Roman" w:hAnsi="Times New Roman" w:eastAsia="仿宋_GB2312" w:cs="Times New Roman"/>
          <w:color w:val="auto"/>
          <w:sz w:val="32"/>
          <w:szCs w:val="32"/>
          <w:highlight w:val="none"/>
          <w:lang w:val="en-US" w:eastAsia="zh-CN"/>
        </w:rPr>
        <w:t>10.04%</w:t>
      </w:r>
      <w:r>
        <w:rPr>
          <w:rFonts w:hint="default" w:ascii="Times New Roman" w:hAnsi="Times New Roman" w:eastAsia="仿宋_GB2312" w:cs="Times New Roman"/>
          <w:color w:val="auto"/>
          <w:sz w:val="32"/>
          <w:szCs w:val="32"/>
          <w:highlight w:val="none"/>
          <w:lang w:eastAsia="zh-CN"/>
        </w:rPr>
        <w:t>。主要原因项目经费增加，增加了区政府集中办公区车棚建设项目。</w:t>
      </w:r>
    </w:p>
    <w:p w14:paraId="71BA36C1">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（图5：一般公共预算财政拨款支出决算变动情况）（柱状图</w:t>
      </w:r>
      <w:r>
        <w:rPr>
          <w:rFonts w:hint="eastAsia" w:eastAsia="仿宋_GB2312" w:cs="Times New Roman"/>
          <w:color w:val="auto"/>
          <w:sz w:val="32"/>
          <w:szCs w:val="32"/>
          <w:highlight w:val="none"/>
          <w:lang w:val="en-US" w:eastAsia="zh-CN"/>
        </w:rPr>
        <w:t>）</w:t>
      </w:r>
    </w:p>
    <w:p w14:paraId="707CFB9D">
      <w:pPr>
        <w:pStyle w:val="2"/>
        <w:jc w:val="center"/>
        <w:rPr>
          <w:rFonts w:hint="eastAsia"/>
          <w:lang w:val="en-US" w:eastAsia="zh-CN"/>
        </w:rPr>
      </w:pPr>
      <w:r>
        <w:rPr>
          <w:rFonts w:hint="eastAsia"/>
          <w:sz w:val="32"/>
          <w:szCs w:val="32"/>
        </w:rPr>
        <w:drawing>
          <wp:inline distT="0" distB="0" distL="0" distR="0">
            <wp:extent cx="3853815" cy="2383790"/>
            <wp:effectExtent l="4445" t="5080" r="8890" b="11430"/>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9D61183">
      <w:pPr>
        <w:rPr>
          <w:rFonts w:hint="eastAsia"/>
          <w:lang w:val="en-US" w:eastAsia="zh-CN"/>
        </w:rPr>
      </w:pPr>
    </w:p>
    <w:p w14:paraId="11AF770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5"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5"/>
    </w:p>
    <w:p w14:paraId="7AC58743">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2024年度一般公共预算财政拨款支出332.59万元，主要用于以下方面：</w:t>
      </w:r>
      <w:r>
        <w:rPr>
          <w:rFonts w:hint="eastAsia" w:ascii="Times New Roman" w:hAnsi="Times New Roman" w:eastAsia="仿宋_GB2312" w:cs="Times New Roman"/>
          <w:b/>
          <w:bCs/>
          <w:color w:val="auto"/>
          <w:sz w:val="32"/>
          <w:szCs w:val="32"/>
          <w:highlight w:val="none"/>
          <w:lang w:val="en-US" w:eastAsia="zh-CN"/>
        </w:rPr>
        <w:t>一般公共服务支出</w:t>
      </w:r>
      <w:r>
        <w:rPr>
          <w:rFonts w:hint="eastAsia" w:ascii="Times New Roman" w:hAnsi="Times New Roman" w:eastAsia="仿宋_GB2312" w:cs="Times New Roman"/>
          <w:color w:val="auto"/>
          <w:sz w:val="32"/>
          <w:szCs w:val="32"/>
          <w:highlight w:val="none"/>
          <w:lang w:val="en-US" w:eastAsia="zh-CN"/>
        </w:rPr>
        <w:t>302.48万元，占90.95%；；</w:t>
      </w:r>
      <w:r>
        <w:rPr>
          <w:rFonts w:hint="eastAsia" w:ascii="Times New Roman" w:hAnsi="Times New Roman" w:eastAsia="仿宋_GB2312" w:cs="Times New Roman"/>
          <w:b/>
          <w:bCs/>
          <w:color w:val="auto"/>
          <w:sz w:val="32"/>
          <w:szCs w:val="32"/>
          <w:highlight w:val="none"/>
          <w:lang w:val="en-US" w:eastAsia="zh-CN"/>
        </w:rPr>
        <w:t>社会保障和就业支出</w:t>
      </w:r>
      <w:r>
        <w:rPr>
          <w:rFonts w:hint="eastAsia" w:eastAsia="仿宋_GB2312" w:cs="Times New Roman"/>
          <w:color w:val="auto"/>
          <w:sz w:val="32"/>
          <w:szCs w:val="32"/>
          <w:highlight w:val="none"/>
          <w:lang w:val="en-US" w:eastAsia="zh-CN"/>
        </w:rPr>
        <w:t>16.8</w:t>
      </w:r>
      <w:r>
        <w:rPr>
          <w:rFonts w:hint="eastAsia" w:ascii="Times New Roman" w:hAnsi="Times New Roman" w:eastAsia="仿宋_GB2312" w:cs="Times New Roman"/>
          <w:color w:val="auto"/>
          <w:sz w:val="32"/>
          <w:szCs w:val="32"/>
          <w:highlight w:val="none"/>
          <w:lang w:val="en-US" w:eastAsia="zh-CN"/>
        </w:rPr>
        <w:t>万元，占5.05%；</w:t>
      </w:r>
      <w:r>
        <w:rPr>
          <w:rFonts w:hint="eastAsia" w:ascii="Times New Roman" w:hAnsi="Times New Roman" w:eastAsia="仿宋_GB2312" w:cs="Times New Roman"/>
          <w:b/>
          <w:bCs/>
          <w:color w:val="auto"/>
          <w:sz w:val="32"/>
          <w:szCs w:val="32"/>
          <w:highlight w:val="none"/>
          <w:lang w:val="en-US" w:eastAsia="zh-CN"/>
        </w:rPr>
        <w:t>卫生健康支出</w:t>
      </w:r>
      <w:r>
        <w:rPr>
          <w:rFonts w:hint="eastAsia" w:ascii="Times New Roman" w:hAnsi="Times New Roman" w:eastAsia="仿宋_GB2312" w:cs="Times New Roman"/>
          <w:color w:val="auto"/>
          <w:sz w:val="32"/>
          <w:szCs w:val="32"/>
          <w:highlight w:val="none"/>
          <w:lang w:val="en-US" w:eastAsia="zh-CN"/>
        </w:rPr>
        <w:t>4万元，占1.2%；</w:t>
      </w:r>
      <w:r>
        <w:rPr>
          <w:rFonts w:hint="eastAsia" w:ascii="Times New Roman" w:hAnsi="Times New Roman" w:eastAsia="仿宋_GB2312" w:cs="Times New Roman"/>
          <w:b/>
          <w:bCs/>
          <w:color w:val="auto"/>
          <w:sz w:val="32"/>
          <w:szCs w:val="32"/>
          <w:highlight w:val="none"/>
          <w:lang w:val="en-US" w:eastAsia="zh-CN"/>
        </w:rPr>
        <w:t>住房保障支出</w:t>
      </w:r>
      <w:r>
        <w:rPr>
          <w:rFonts w:hint="eastAsia" w:ascii="Times New Roman" w:hAnsi="Times New Roman" w:eastAsia="仿宋_GB2312" w:cs="Times New Roman"/>
          <w:color w:val="auto"/>
          <w:sz w:val="32"/>
          <w:szCs w:val="32"/>
          <w:highlight w:val="none"/>
          <w:lang w:val="en-US" w:eastAsia="zh-CN"/>
        </w:rPr>
        <w:t>9.31万元，占2.8%。</w:t>
      </w:r>
    </w:p>
    <w:p w14:paraId="5624D7A1">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（图6：一般公共预算财政拨款支出决算结构）（饼状图）</w:t>
      </w:r>
    </w:p>
    <w:p w14:paraId="7933F1B8">
      <w:pPr>
        <w:pStyle w:val="2"/>
        <w:jc w:val="center"/>
        <w:rPr>
          <w:rFonts w:hint="eastAsia" w:ascii="Times New Roman" w:hAnsi="Times New Roman" w:eastAsia="楷体_GB2312" w:cs="楷体_GB2312"/>
          <w:b/>
          <w:color w:val="auto"/>
          <w:sz w:val="32"/>
          <w:szCs w:val="32"/>
          <w:highlight w:val="none"/>
        </w:rPr>
      </w:pPr>
      <w:bookmarkStart w:id="26" w:name="_Toc15377212"/>
      <w:r>
        <w:rPr>
          <w:rFonts w:hint="eastAsia" w:ascii="仿宋" w:hAnsi="仿宋" w:eastAsia="仿宋"/>
          <w:sz w:val="32"/>
          <w:szCs w:val="32"/>
          <w:lang w:eastAsia="zh-CN"/>
        </w:rPr>
        <w:drawing>
          <wp:inline distT="0" distB="0" distL="114300" distR="114300">
            <wp:extent cx="4253230" cy="2578100"/>
            <wp:effectExtent l="4445" t="4445" r="9525" b="825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FAC4874">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（三）一般公共预算财政拨款支出决算具体情况</w:t>
      </w:r>
      <w:bookmarkEnd w:id="26"/>
    </w:p>
    <w:p w14:paraId="355B6ACD">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bookmarkStart w:id="27" w:name="_Toc15377444"/>
      <w:bookmarkStart w:id="28" w:name="_Toc15377213"/>
      <w:bookmarkStart w:id="29" w:name="_Toc15378460"/>
      <w:r>
        <w:rPr>
          <w:rFonts w:hint="eastAsia" w:ascii="Times New Roman" w:hAnsi="Times New Roman" w:eastAsia="仿宋_GB2312" w:cs="Times New Roman"/>
          <w:color w:val="auto"/>
          <w:sz w:val="32"/>
          <w:szCs w:val="32"/>
          <w:highlight w:val="none"/>
          <w:lang w:val="en-US" w:eastAsia="zh-CN"/>
        </w:rPr>
        <w:t>2024年度一般公共预算财政拨款支出决算数为332.59万元，完成预算100%。其中：</w:t>
      </w:r>
      <w:bookmarkEnd w:id="27"/>
      <w:bookmarkEnd w:id="28"/>
      <w:bookmarkEnd w:id="29"/>
    </w:p>
    <w:p w14:paraId="1E6343C0">
      <w:pPr>
        <w:spacing w:line="600" w:lineRule="exact"/>
        <w:ind w:firstLine="640"/>
        <w:rPr>
          <w:rFonts w:eastAsia="仿宋_GB2312"/>
          <w:color w:val="000000"/>
          <w:sz w:val="32"/>
          <w:szCs w:val="32"/>
        </w:rPr>
      </w:pPr>
      <w:r>
        <w:rPr>
          <w:rFonts w:eastAsia="仿宋_GB2312"/>
          <w:color w:val="000000"/>
          <w:sz w:val="32"/>
          <w:szCs w:val="32"/>
        </w:rPr>
        <w:t>1.一般公共服务—政府办公厅（室）及相关机构事务—事业运行：支出决算数</w:t>
      </w:r>
      <w:r>
        <w:rPr>
          <w:rFonts w:hint="eastAsia" w:eastAsia="仿宋_GB2312"/>
          <w:color w:val="000000"/>
          <w:sz w:val="32"/>
          <w:szCs w:val="32"/>
          <w:lang w:val="en-US" w:eastAsia="zh-CN"/>
        </w:rPr>
        <w:t>94.89</w:t>
      </w:r>
      <w:r>
        <w:rPr>
          <w:rFonts w:eastAsia="仿宋_GB2312"/>
          <w:color w:val="000000"/>
          <w:sz w:val="32"/>
          <w:szCs w:val="32"/>
        </w:rPr>
        <w:t>万元，完成预算100%。</w:t>
      </w:r>
    </w:p>
    <w:p w14:paraId="45F8ACAA">
      <w:pPr>
        <w:spacing w:line="600" w:lineRule="exact"/>
        <w:ind w:firstLine="640"/>
        <w:rPr>
          <w:rFonts w:eastAsia="仿宋_GB2312"/>
          <w:color w:val="000000"/>
          <w:sz w:val="32"/>
          <w:szCs w:val="32"/>
        </w:rPr>
      </w:pPr>
      <w:r>
        <w:rPr>
          <w:rFonts w:eastAsia="仿宋_GB2312"/>
          <w:color w:val="000000"/>
          <w:sz w:val="32"/>
          <w:szCs w:val="32"/>
        </w:rPr>
        <w:t>一般公共服务—政府办公厅（室）及相关机构事务—其他政府办公厅（室）及相关机构事务支出：支出决算数</w:t>
      </w:r>
      <w:r>
        <w:rPr>
          <w:rFonts w:hint="eastAsia" w:eastAsia="仿宋_GB2312"/>
          <w:color w:val="000000"/>
          <w:sz w:val="32"/>
          <w:szCs w:val="32"/>
          <w:lang w:val="en-US" w:eastAsia="zh-CN"/>
        </w:rPr>
        <w:t>207.59</w:t>
      </w:r>
      <w:r>
        <w:rPr>
          <w:rFonts w:eastAsia="仿宋_GB2312"/>
          <w:color w:val="000000"/>
          <w:sz w:val="32"/>
          <w:szCs w:val="32"/>
        </w:rPr>
        <w:t>万元，完成预算100%。</w:t>
      </w:r>
    </w:p>
    <w:p w14:paraId="519960C6">
      <w:pPr>
        <w:spacing w:line="600" w:lineRule="exact"/>
        <w:ind w:firstLine="640"/>
        <w:rPr>
          <w:rFonts w:eastAsia="仿宋_GB2312"/>
          <w:color w:val="000000"/>
          <w:sz w:val="32"/>
          <w:szCs w:val="32"/>
        </w:rPr>
      </w:pPr>
      <w:r>
        <w:rPr>
          <w:rFonts w:eastAsia="仿宋_GB2312"/>
          <w:color w:val="000000"/>
          <w:sz w:val="32"/>
          <w:szCs w:val="32"/>
        </w:rPr>
        <w:t>2.社会保障和就业—行政事业单</w:t>
      </w:r>
      <w:r>
        <w:rPr>
          <w:rFonts w:hint="eastAsia" w:eastAsia="仿宋_GB2312"/>
          <w:color w:val="000000"/>
          <w:sz w:val="32"/>
          <w:szCs w:val="32"/>
        </w:rPr>
        <w:t>位养老支出</w:t>
      </w:r>
      <w:r>
        <w:rPr>
          <w:rFonts w:eastAsia="仿宋_GB2312"/>
          <w:color w:val="000000"/>
          <w:sz w:val="32"/>
          <w:szCs w:val="32"/>
        </w:rPr>
        <w:t>—机关事业单位基本养老保险缴费支出: 支出决算数为</w:t>
      </w:r>
      <w:r>
        <w:rPr>
          <w:rFonts w:hint="eastAsia" w:eastAsia="仿宋_GB2312"/>
          <w:color w:val="000000"/>
          <w:sz w:val="32"/>
          <w:szCs w:val="32"/>
          <w:lang w:val="en-US" w:eastAsia="zh-CN"/>
        </w:rPr>
        <w:t>10.63</w:t>
      </w:r>
      <w:r>
        <w:rPr>
          <w:rFonts w:eastAsia="仿宋_GB2312"/>
          <w:color w:val="000000"/>
          <w:sz w:val="32"/>
          <w:szCs w:val="32"/>
        </w:rPr>
        <w:t>万元，完成预算100%。</w:t>
      </w:r>
    </w:p>
    <w:p w14:paraId="4381821F">
      <w:pPr>
        <w:spacing w:line="600" w:lineRule="exact"/>
        <w:ind w:firstLine="640"/>
        <w:rPr>
          <w:rFonts w:eastAsia="仿宋_GB2312"/>
          <w:color w:val="000000"/>
          <w:sz w:val="32"/>
          <w:szCs w:val="32"/>
        </w:rPr>
      </w:pPr>
      <w:r>
        <w:rPr>
          <w:rFonts w:eastAsia="仿宋_GB2312"/>
          <w:color w:val="000000"/>
          <w:sz w:val="32"/>
          <w:szCs w:val="32"/>
        </w:rPr>
        <w:t>社会保障和就业—行政事业单</w:t>
      </w:r>
      <w:r>
        <w:rPr>
          <w:rFonts w:hint="eastAsia" w:eastAsia="仿宋_GB2312"/>
          <w:color w:val="000000"/>
          <w:sz w:val="32"/>
          <w:szCs w:val="32"/>
        </w:rPr>
        <w:t>位养老支出</w:t>
      </w:r>
      <w:r>
        <w:rPr>
          <w:rFonts w:eastAsia="仿宋_GB2312"/>
          <w:color w:val="000000"/>
          <w:sz w:val="32"/>
          <w:szCs w:val="32"/>
        </w:rPr>
        <w:t>—机关事业单位职业年金</w:t>
      </w:r>
      <w:r>
        <w:rPr>
          <w:rFonts w:hint="eastAsia" w:eastAsia="仿宋_GB2312"/>
          <w:color w:val="000000"/>
          <w:sz w:val="32"/>
          <w:szCs w:val="32"/>
        </w:rPr>
        <w:t>缴费</w:t>
      </w:r>
      <w:r>
        <w:rPr>
          <w:rFonts w:eastAsia="仿宋_GB2312"/>
          <w:color w:val="000000"/>
          <w:sz w:val="32"/>
          <w:szCs w:val="32"/>
        </w:rPr>
        <w:t>支出: 支出决算数为</w:t>
      </w:r>
      <w:r>
        <w:rPr>
          <w:rFonts w:hint="eastAsia" w:eastAsia="仿宋_GB2312"/>
          <w:color w:val="000000"/>
          <w:sz w:val="32"/>
          <w:szCs w:val="32"/>
          <w:lang w:val="en-US" w:eastAsia="zh-CN"/>
        </w:rPr>
        <w:t>5.32</w:t>
      </w:r>
      <w:r>
        <w:rPr>
          <w:rFonts w:eastAsia="仿宋_GB2312"/>
          <w:color w:val="000000"/>
          <w:sz w:val="32"/>
          <w:szCs w:val="32"/>
        </w:rPr>
        <w:t>万元，完成预算100%。</w:t>
      </w:r>
    </w:p>
    <w:p w14:paraId="5720C013">
      <w:pPr>
        <w:spacing w:line="600" w:lineRule="exact"/>
        <w:ind w:firstLine="640"/>
      </w:pPr>
      <w:r>
        <w:rPr>
          <w:rFonts w:ascii="Times New Roman" w:hAnsi="Times New Roman" w:eastAsia="仿宋_GB2312" w:cs="Times New Roman"/>
          <w:color w:val="000000"/>
          <w:sz w:val="32"/>
          <w:szCs w:val="32"/>
        </w:rPr>
        <w:t>社会保障和就业</w:t>
      </w:r>
      <w:r>
        <w:rPr>
          <w:rFonts w:hint="eastAsia" w:ascii="Times New Roman" w:hAnsi="Times New Roman" w:eastAsia="仿宋_GB2312" w:cs="Times New Roman"/>
          <w:color w:val="000000"/>
          <w:sz w:val="32"/>
          <w:szCs w:val="32"/>
          <w:lang w:eastAsia="zh-CN"/>
        </w:rPr>
        <w:t>—其他社会保障和就业支出—其他社会保障和就业支出：</w:t>
      </w:r>
      <w:r>
        <w:rPr>
          <w:rFonts w:ascii="Times New Roman" w:hAnsi="Times New Roman" w:eastAsia="仿宋_GB2312" w:cs="Times New Roman"/>
          <w:color w:val="000000"/>
          <w:sz w:val="32"/>
          <w:szCs w:val="32"/>
        </w:rPr>
        <w:t>支出决算数</w:t>
      </w:r>
      <w:r>
        <w:rPr>
          <w:rFonts w:hint="eastAsia" w:eastAsia="仿宋_GB2312" w:cs="Times New Roman"/>
          <w:color w:val="000000"/>
          <w:sz w:val="32"/>
          <w:szCs w:val="32"/>
          <w:lang w:val="en-US" w:eastAsia="zh-CN"/>
        </w:rPr>
        <w:t>0.85</w:t>
      </w:r>
      <w:r>
        <w:rPr>
          <w:rFonts w:ascii="Times New Roman" w:hAnsi="Times New Roman" w:eastAsia="仿宋_GB2312" w:cs="Times New Roman"/>
          <w:color w:val="000000"/>
          <w:sz w:val="32"/>
          <w:szCs w:val="32"/>
        </w:rPr>
        <w:t>万元，完成预算100%。</w:t>
      </w:r>
    </w:p>
    <w:p w14:paraId="55334DCC">
      <w:pPr>
        <w:numPr>
          <w:ilvl w:val="0"/>
          <w:numId w:val="0"/>
        </w:numPr>
        <w:spacing w:line="600" w:lineRule="exact"/>
        <w:ind w:firstLine="640" w:firstLineChars="200"/>
        <w:rPr>
          <w:rFonts w:hint="eastAsia" w:eastAsia="仿宋_GB2312"/>
          <w:color w:val="000000"/>
          <w:sz w:val="32"/>
          <w:szCs w:val="32"/>
        </w:rPr>
      </w:pPr>
      <w:r>
        <w:rPr>
          <w:rFonts w:hint="eastAsia" w:eastAsia="仿宋_GB2312"/>
          <w:color w:val="000000"/>
          <w:sz w:val="32"/>
          <w:szCs w:val="32"/>
          <w:lang w:val="en-US" w:eastAsia="zh-CN"/>
        </w:rPr>
        <w:t>3.</w:t>
      </w:r>
      <w:r>
        <w:rPr>
          <w:rFonts w:hint="eastAsia" w:eastAsia="仿宋_GB2312"/>
          <w:color w:val="000000"/>
          <w:sz w:val="32"/>
          <w:szCs w:val="32"/>
        </w:rPr>
        <w:t>卫生健康支出—行政事业单位医疗—事业单位医疗: 支出决算数为</w:t>
      </w:r>
      <w:r>
        <w:rPr>
          <w:rFonts w:hint="eastAsia" w:eastAsia="仿宋_GB2312"/>
          <w:color w:val="000000"/>
          <w:sz w:val="32"/>
          <w:szCs w:val="32"/>
          <w:lang w:val="en-US" w:eastAsia="zh-CN"/>
        </w:rPr>
        <w:t>3.3</w:t>
      </w:r>
      <w:r>
        <w:rPr>
          <w:rFonts w:hint="eastAsia" w:eastAsia="仿宋_GB2312"/>
          <w:color w:val="000000"/>
          <w:sz w:val="32"/>
          <w:szCs w:val="32"/>
        </w:rPr>
        <w:t>万元，完成预算100%。</w:t>
      </w:r>
    </w:p>
    <w:p w14:paraId="7885EA51">
      <w:pPr>
        <w:numPr>
          <w:ilvl w:val="0"/>
          <w:numId w:val="0"/>
        </w:numPr>
        <w:spacing w:line="600" w:lineRule="exact"/>
        <w:rPr>
          <w:rFonts w:hint="eastAsia" w:eastAsia="仿宋_GB2312"/>
          <w:color w:val="000000"/>
          <w:sz w:val="32"/>
          <w:szCs w:val="32"/>
        </w:rPr>
      </w:pPr>
      <w:r>
        <w:rPr>
          <w:rFonts w:hint="eastAsia" w:eastAsia="仿宋_GB2312"/>
          <w:color w:val="000000"/>
          <w:sz w:val="32"/>
          <w:szCs w:val="32"/>
          <w:lang w:val="en-US" w:eastAsia="zh-CN"/>
        </w:rPr>
        <w:t xml:space="preserve">     </w:t>
      </w:r>
      <w:r>
        <w:rPr>
          <w:rFonts w:hint="eastAsia" w:eastAsia="仿宋_GB2312"/>
          <w:color w:val="000000"/>
          <w:sz w:val="32"/>
          <w:szCs w:val="32"/>
        </w:rPr>
        <w:t>卫生健康支出—行政事业单位医疗—</w:t>
      </w:r>
      <w:r>
        <w:rPr>
          <w:rFonts w:hint="eastAsia" w:eastAsia="仿宋_GB2312"/>
          <w:color w:val="000000"/>
          <w:sz w:val="32"/>
          <w:szCs w:val="32"/>
          <w:lang w:eastAsia="zh-CN"/>
        </w:rPr>
        <w:t>公务员医疗补助</w:t>
      </w:r>
      <w:r>
        <w:rPr>
          <w:rFonts w:hint="eastAsia" w:eastAsia="仿宋_GB2312"/>
          <w:color w:val="000000"/>
          <w:sz w:val="32"/>
          <w:szCs w:val="32"/>
        </w:rPr>
        <w:t>: 支出决算数为</w:t>
      </w:r>
      <w:r>
        <w:rPr>
          <w:rFonts w:hint="eastAsia" w:eastAsia="仿宋_GB2312"/>
          <w:color w:val="000000"/>
          <w:sz w:val="32"/>
          <w:szCs w:val="32"/>
          <w:lang w:val="en-US" w:eastAsia="zh-CN"/>
        </w:rPr>
        <w:t>0.7</w:t>
      </w:r>
      <w:r>
        <w:rPr>
          <w:rFonts w:hint="eastAsia" w:eastAsia="仿宋_GB2312"/>
          <w:color w:val="000000"/>
          <w:sz w:val="32"/>
          <w:szCs w:val="32"/>
        </w:rPr>
        <w:t>万元，完成预算100%。</w:t>
      </w:r>
    </w:p>
    <w:p w14:paraId="30FA8BF6">
      <w:pPr>
        <w:spacing w:line="600" w:lineRule="exact"/>
        <w:ind w:firstLine="640" w:firstLineChars="200"/>
        <w:rPr>
          <w:rFonts w:hint="eastAsia" w:eastAsia="仿宋_GB2312"/>
          <w:color w:val="000000"/>
          <w:sz w:val="32"/>
          <w:szCs w:val="32"/>
        </w:rPr>
      </w:pPr>
      <w:r>
        <w:rPr>
          <w:rFonts w:hint="eastAsia" w:eastAsia="仿宋_GB2312"/>
          <w:color w:val="000000"/>
          <w:sz w:val="32"/>
          <w:szCs w:val="32"/>
          <w:lang w:val="en-US" w:eastAsia="zh-CN"/>
        </w:rPr>
        <w:t xml:space="preserve"> </w:t>
      </w:r>
      <w:r>
        <w:rPr>
          <w:rFonts w:hint="eastAsia" w:eastAsia="仿宋_GB2312"/>
          <w:color w:val="000000"/>
          <w:sz w:val="32"/>
          <w:szCs w:val="32"/>
        </w:rPr>
        <w:t>4</w:t>
      </w:r>
      <w:r>
        <w:rPr>
          <w:rFonts w:hint="eastAsia" w:eastAsia="仿宋_GB2312"/>
          <w:color w:val="000000"/>
          <w:sz w:val="32"/>
          <w:szCs w:val="32"/>
          <w:lang w:val="en-US" w:eastAsia="zh-CN"/>
        </w:rPr>
        <w:t>.</w:t>
      </w:r>
      <w:r>
        <w:rPr>
          <w:rFonts w:hint="eastAsia" w:eastAsia="仿宋_GB2312"/>
          <w:color w:val="000000"/>
          <w:sz w:val="32"/>
          <w:szCs w:val="32"/>
        </w:rPr>
        <w:t>住房保障支出—住房改革支出—住房公积金：支出决算数为</w:t>
      </w:r>
      <w:r>
        <w:rPr>
          <w:rFonts w:hint="eastAsia" w:eastAsia="仿宋_GB2312"/>
          <w:color w:val="000000"/>
          <w:sz w:val="32"/>
          <w:szCs w:val="32"/>
          <w:lang w:val="en-US" w:eastAsia="zh-CN"/>
        </w:rPr>
        <w:t>9.31</w:t>
      </w:r>
      <w:r>
        <w:rPr>
          <w:rFonts w:hint="eastAsia" w:eastAsia="仿宋_GB2312"/>
          <w:color w:val="000000"/>
          <w:sz w:val="32"/>
          <w:szCs w:val="32"/>
        </w:rPr>
        <w:t>万元，完成预算100%。</w:t>
      </w:r>
    </w:p>
    <w:p w14:paraId="18D7670C">
      <w:pPr>
        <w:tabs>
          <w:tab w:val="right" w:pos="8306"/>
        </w:tabs>
        <w:spacing w:line="600" w:lineRule="exact"/>
        <w:ind w:firstLine="640"/>
        <w:outlineLvl w:val="1"/>
        <w:rPr>
          <w:rStyle w:val="29"/>
          <w:rFonts w:ascii="Times New Roman" w:hAnsi="Times New Roman"/>
          <w:color w:val="auto"/>
          <w:highlight w:val="none"/>
        </w:rPr>
      </w:pPr>
      <w:bookmarkStart w:id="30" w:name="_Toc15396608"/>
      <w:bookmarkStart w:id="31"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30"/>
      <w:bookmarkEnd w:id="31"/>
      <w:r>
        <w:rPr>
          <w:rStyle w:val="29"/>
          <w:rFonts w:ascii="Times New Roman" w:hAnsi="Times New Roman" w:eastAsia="黑体"/>
          <w:b w:val="0"/>
          <w:color w:val="auto"/>
          <w:highlight w:val="none"/>
        </w:rPr>
        <w:tab/>
      </w:r>
    </w:p>
    <w:p w14:paraId="1C7D480F">
      <w:pPr>
        <w:numPr>
          <w:ilvl w:val="0"/>
          <w:numId w:val="0"/>
        </w:num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2024年度一般公共预算财政拨款基本支出</w:t>
      </w:r>
      <w:r>
        <w:rPr>
          <w:rFonts w:hint="eastAsia" w:eastAsia="仿宋_GB2312" w:cs="Times New Roman"/>
          <w:color w:val="000000"/>
          <w:sz w:val="32"/>
          <w:szCs w:val="32"/>
          <w:lang w:val="en-US" w:eastAsia="zh-CN"/>
        </w:rPr>
        <w:t>125</w:t>
      </w:r>
      <w:r>
        <w:rPr>
          <w:rFonts w:hint="eastAsia" w:ascii="Times New Roman" w:hAnsi="Times New Roman" w:eastAsia="仿宋_GB2312" w:cs="Times New Roman"/>
          <w:color w:val="000000"/>
          <w:sz w:val="32"/>
          <w:szCs w:val="32"/>
          <w:lang w:val="en-US" w:eastAsia="zh-CN"/>
        </w:rPr>
        <w:t>万元，其中：</w:t>
      </w:r>
    </w:p>
    <w:p w14:paraId="69B97D00">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000000"/>
          <w:sz w:val="32"/>
          <w:szCs w:val="32"/>
          <w:lang w:val="en-US" w:eastAsia="zh-CN"/>
        </w:rPr>
        <w:t>人员经费</w:t>
      </w:r>
      <w:r>
        <w:rPr>
          <w:rFonts w:hint="eastAsia" w:ascii="Times New Roman" w:hAnsi="Times New Roman" w:eastAsia="仿宋_GB2312" w:cs="Times New Roman"/>
          <w:color w:val="000000"/>
          <w:sz w:val="32"/>
          <w:szCs w:val="32"/>
        </w:rPr>
        <w:t>115.19</w:t>
      </w:r>
      <w:r>
        <w:rPr>
          <w:rFonts w:hint="eastAsia" w:ascii="Times New Roman" w:hAnsi="Times New Roman" w:eastAsia="仿宋_GB2312" w:cs="Times New Roman"/>
          <w:color w:val="000000"/>
          <w:sz w:val="32"/>
          <w:szCs w:val="32"/>
          <w:lang w:val="en-US" w:eastAsia="zh-CN"/>
        </w:rPr>
        <w:t>万元，主要包括：</w:t>
      </w:r>
      <w:r>
        <w:rPr>
          <w:rFonts w:hint="eastAsia" w:eastAsia="仿宋_GB2312"/>
          <w:color w:val="000000"/>
          <w:sz w:val="32"/>
          <w:szCs w:val="32"/>
          <w:lang w:val="en-US" w:eastAsia="zh-CN"/>
        </w:rPr>
        <w:t>基本工资、津贴补贴、绩效工资、机关事业单位基本养老保险缴费、职业年金缴费、职工基本医疗保险缴费、公务员医疗补助缴费、其他社会保障缴费、其他工资福利支出、住房公积金、其他对个人和家庭的补助支出等。</w:t>
      </w:r>
      <w:r>
        <w:rPr>
          <w:rFonts w:hint="eastAsia" w:eastAsia="仿宋_GB2312"/>
          <w:color w:val="000000"/>
          <w:sz w:val="32"/>
          <w:szCs w:val="32"/>
          <w:lang w:val="en-US" w:eastAsia="zh-CN"/>
        </w:rPr>
        <w:br w:type="textWrapping"/>
      </w:r>
      <w:r>
        <w:rPr>
          <w:rFonts w:hint="eastAsia" w:ascii="Times New Roman" w:hAnsi="Times New Roman" w:eastAsia="仿宋_GB2312" w:cs="Times New Roman"/>
          <w:color w:val="000000"/>
          <w:sz w:val="32"/>
          <w:szCs w:val="32"/>
          <w:lang w:val="en-US" w:eastAsia="zh-CN"/>
        </w:rPr>
        <w:t>　　公用经费</w:t>
      </w:r>
      <w:r>
        <w:rPr>
          <w:rFonts w:hint="eastAsia" w:ascii="Times New Roman" w:hAnsi="Times New Roman" w:eastAsia="仿宋_GB2312" w:cs="Times New Roman"/>
          <w:color w:val="000000"/>
          <w:sz w:val="32"/>
          <w:szCs w:val="32"/>
        </w:rPr>
        <w:t>9.81</w:t>
      </w:r>
      <w:r>
        <w:rPr>
          <w:rFonts w:hint="eastAsia" w:ascii="Times New Roman" w:hAnsi="Times New Roman" w:eastAsia="仿宋_GB2312" w:cs="Times New Roman"/>
          <w:color w:val="000000"/>
          <w:sz w:val="32"/>
          <w:szCs w:val="32"/>
          <w:lang w:val="en-US" w:eastAsia="zh-CN"/>
        </w:rPr>
        <w:t>万元，主要包括：办公费、电费、邮电费、</w:t>
      </w:r>
      <w:r>
        <w:rPr>
          <w:rFonts w:hint="eastAsia" w:ascii="Times New Roman" w:hAnsi="Times New Roman" w:eastAsia="仿宋_GB2312" w:cs="仿宋_GB2312"/>
          <w:color w:val="auto"/>
          <w:kern w:val="2"/>
          <w:sz w:val="32"/>
          <w:szCs w:val="32"/>
          <w:highlight w:val="none"/>
          <w:lang w:val="en-US" w:eastAsia="zh-CN" w:bidi="ar-SA"/>
        </w:rPr>
        <w:t>差旅费、工会经费、福利费、其他商品和服务支出等。</w:t>
      </w:r>
    </w:p>
    <w:p w14:paraId="08E6D8AB">
      <w:pPr>
        <w:spacing w:line="600" w:lineRule="exact"/>
        <w:ind w:firstLine="640"/>
        <w:outlineLvl w:val="1"/>
        <w:rPr>
          <w:rStyle w:val="29"/>
          <w:rFonts w:ascii="Times New Roman" w:hAnsi="Times New Roman" w:eastAsia="黑体"/>
          <w:b w:val="0"/>
          <w:color w:val="auto"/>
          <w:highlight w:val="none"/>
        </w:rPr>
      </w:pPr>
      <w:bookmarkStart w:id="32" w:name="_Toc15396609"/>
      <w:bookmarkStart w:id="33" w:name="_Toc15377215"/>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32"/>
      <w:bookmarkEnd w:id="33"/>
    </w:p>
    <w:p w14:paraId="34756D5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4"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4"/>
    </w:p>
    <w:p w14:paraId="0B45908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2024年度“三公”经费财政拨款支出决算为4.3万元，完成预算100%，较上年度减少1.89万元，下降43.95%。</w:t>
      </w:r>
    </w:p>
    <w:p w14:paraId="085D52F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5"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5"/>
    </w:p>
    <w:p w14:paraId="3C7A259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2024年度“三公”经费财政拨款支出决算中，因公出国（境）费支出决算0万元，占0%；公务用车购置及运行维护费支出决算0万元，占0%；公务接待费支出决算4.3万元，占100%。具体情况如下：</w:t>
      </w:r>
    </w:p>
    <w:p w14:paraId="42EDA7B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14:paraId="3596BC32">
      <w:pPr>
        <w:pStyle w:val="2"/>
        <w:jc w:val="center"/>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3788410" cy="2228215"/>
            <wp:effectExtent l="4445" t="4445" r="17145" b="1524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BCA20B9">
      <w:pPr>
        <w:spacing w:line="600" w:lineRule="exact"/>
        <w:ind w:firstLine="640"/>
        <w:rPr>
          <w:rFonts w:hint="default" w:eastAsia="仿宋_GB2312"/>
          <w:color w:val="000000"/>
          <w:sz w:val="32"/>
          <w:szCs w:val="32"/>
          <w:lang w:val="en-US" w:eastAsia="zh-CN"/>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eastAsia="仿宋_GB2312" w:cs="仿宋_GB2312"/>
          <w:b/>
          <w:bCs/>
          <w:color w:val="auto"/>
          <w:kern w:val="2"/>
          <w:sz w:val="32"/>
          <w:szCs w:val="32"/>
          <w:highlight w:val="none"/>
          <w:lang w:val="en-US" w:eastAsia="zh-CN" w:bidi="ar-SA"/>
        </w:rPr>
        <w:t>。</w:t>
      </w:r>
      <w:r>
        <w:rPr>
          <w:rFonts w:hint="eastAsia" w:eastAsia="仿宋_GB2312"/>
          <w:color w:val="000000"/>
          <w:sz w:val="32"/>
          <w:szCs w:val="32"/>
          <w:lang w:val="en-US" w:eastAsia="zh-CN"/>
        </w:rPr>
        <w:t>全年安排因公出国（境）团组0次，出国（境）0人。因公出国（境）支出决算与2023年持平。</w:t>
      </w:r>
    </w:p>
    <w:p w14:paraId="4F0A3988">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w:t>
      </w:r>
      <w:r>
        <w:rPr>
          <w:rFonts w:hint="eastAsia" w:eastAsia="仿宋_GB2312" w:cs="仿宋_GB2312"/>
          <w:color w:val="auto"/>
          <w:kern w:val="2"/>
          <w:sz w:val="32"/>
          <w:szCs w:val="32"/>
          <w:highlight w:val="none"/>
          <w:lang w:val="en-US" w:eastAsia="zh-CN" w:bidi="ar-SA"/>
        </w:rPr>
        <w:t>与</w:t>
      </w:r>
      <w:r>
        <w:rPr>
          <w:rFonts w:hint="eastAsia" w:ascii="Times New Roman" w:hAnsi="Times New Roman" w:eastAsia="仿宋_GB2312" w:cs="仿宋_GB2312"/>
          <w:color w:val="auto"/>
          <w:kern w:val="2"/>
          <w:sz w:val="32"/>
          <w:szCs w:val="32"/>
          <w:highlight w:val="none"/>
          <w:lang w:val="en-US" w:eastAsia="zh-CN" w:bidi="ar-SA"/>
        </w:rPr>
        <w:t>2023年</w:t>
      </w:r>
      <w:r>
        <w:rPr>
          <w:rFonts w:hint="eastAsia" w:eastAsia="仿宋_GB2312" w:cs="仿宋_GB2312"/>
          <w:color w:val="auto"/>
          <w:kern w:val="2"/>
          <w:sz w:val="32"/>
          <w:szCs w:val="32"/>
          <w:highlight w:val="none"/>
          <w:lang w:val="en-US" w:eastAsia="zh-CN" w:bidi="ar-SA"/>
        </w:rPr>
        <w:t>持平。</w:t>
      </w:r>
    </w:p>
    <w:p w14:paraId="1E8A24ED">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w:t>
      </w:r>
      <w:r>
        <w:rPr>
          <w:rFonts w:hint="eastAsia" w:ascii="Times New Roman" w:hAnsi="Times New Roman" w:eastAsia="仿宋_GB2312" w:cs="仿宋_GB2312"/>
          <w:b/>
          <w:bCs/>
          <w:color w:val="auto"/>
          <w:kern w:val="2"/>
          <w:sz w:val="32"/>
          <w:szCs w:val="32"/>
          <w:highlight w:val="none"/>
          <w:lang w:val="en-US" w:eastAsia="zh-CN" w:bidi="ar-SA"/>
        </w:rPr>
        <w:t>公务用车购置支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b/>
          <w:bCs/>
          <w:sz w:val="32"/>
          <w:szCs w:val="32"/>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截至2024年12月31日，单位共有公务用车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r>
        <w:rPr>
          <w:rFonts w:hint="eastAsia" w:eastAsia="仿宋_GB2312" w:cs="仿宋_GB2312"/>
          <w:color w:val="auto"/>
          <w:kern w:val="2"/>
          <w:sz w:val="32"/>
          <w:szCs w:val="32"/>
          <w:highlight w:val="none"/>
          <w:lang w:val="en-US" w:eastAsia="zh-CN" w:bidi="ar-SA"/>
        </w:rPr>
        <w:t>。</w:t>
      </w:r>
    </w:p>
    <w:p w14:paraId="0F81EC3F">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公务用车运行维护费支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b/>
          <w:bCs/>
          <w:color w:val="auto"/>
          <w:sz w:val="32"/>
          <w:szCs w:val="32"/>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eastAsia="仿宋_GB2312" w:cs="仿宋_GB2312"/>
          <w:b/>
          <w:bCs/>
          <w:color w:val="auto"/>
          <w:kern w:val="2"/>
          <w:sz w:val="32"/>
          <w:szCs w:val="32"/>
          <w:highlight w:val="none"/>
          <w:lang w:val="en-US" w:eastAsia="zh-CN" w:bidi="ar-SA"/>
        </w:rPr>
        <w:t>。</w:t>
      </w:r>
    </w:p>
    <w:p w14:paraId="4885645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4.3万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公务接待费支出决算比2023年度减少1.89万元，下降43.95%。主要原因是</w:t>
      </w:r>
      <w:r>
        <w:rPr>
          <w:rFonts w:hint="eastAsia" w:eastAsia="仿宋_GB2312" w:cs="仿宋_GB2312"/>
          <w:color w:val="auto"/>
          <w:kern w:val="2"/>
          <w:sz w:val="32"/>
          <w:szCs w:val="32"/>
          <w:highlight w:val="none"/>
          <w:lang w:val="en-US" w:eastAsia="zh-CN" w:bidi="ar-SA"/>
        </w:rPr>
        <w:t>加强管理，厉行节约</w:t>
      </w:r>
      <w:r>
        <w:rPr>
          <w:rFonts w:hint="eastAsia" w:ascii="Times New Roman" w:hAnsi="Times New Roman" w:eastAsia="仿宋_GB2312" w:cs="仿宋_GB2312"/>
          <w:color w:val="auto"/>
          <w:kern w:val="2"/>
          <w:sz w:val="32"/>
          <w:szCs w:val="32"/>
          <w:highlight w:val="none"/>
          <w:lang w:val="en-US" w:eastAsia="zh-CN" w:bidi="ar-SA"/>
        </w:rPr>
        <w:t>。其中：</w:t>
      </w:r>
    </w:p>
    <w:p w14:paraId="4BCBF758">
      <w:pPr>
        <w:spacing w:line="600" w:lineRule="exact"/>
        <w:ind w:firstLine="64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仿宋_GB2312"/>
          <w:b/>
          <w:bCs/>
          <w:color w:val="auto"/>
          <w:kern w:val="2"/>
          <w:sz w:val="32"/>
          <w:szCs w:val="32"/>
          <w:highlight w:val="none"/>
          <w:lang w:val="en-US" w:eastAsia="zh-CN" w:bidi="ar-SA"/>
        </w:rPr>
        <w:t>国内公务接待支出4.3万元</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主要用于执行公务、开展业务活动开支的用餐费</w:t>
      </w:r>
      <w:r>
        <w:rPr>
          <w:rFonts w:hint="eastAsia" w:ascii="Times New Roman" w:hAnsi="Times New Roman" w:eastAsia="仿宋_GB2312" w:cs="仿宋_GB2312"/>
          <w:color w:val="auto"/>
          <w:kern w:val="2"/>
          <w:sz w:val="32"/>
          <w:szCs w:val="32"/>
          <w:highlight w:val="none"/>
          <w:lang w:val="en-US" w:eastAsia="zh-CN" w:bidi="ar-SA"/>
        </w:rPr>
        <w:t>。国内公务接待22批次，440人次（不包括陪同人员），共计支出4.3万元，</w:t>
      </w:r>
      <w:r>
        <w:rPr>
          <w:rFonts w:hint="default" w:ascii="Times New Roman" w:hAnsi="Times New Roman" w:eastAsia="仿宋_GB2312" w:cs="仿宋_GB2312"/>
          <w:color w:val="auto"/>
          <w:kern w:val="2"/>
          <w:sz w:val="32"/>
          <w:szCs w:val="32"/>
          <w:highlight w:val="none"/>
          <w:lang w:val="en-US" w:eastAsia="zh-CN" w:bidi="ar-SA"/>
        </w:rPr>
        <w:t>主要用于执行</w:t>
      </w:r>
      <w:r>
        <w:rPr>
          <w:rFonts w:hint="default" w:ascii="Times New Roman" w:hAnsi="Times New Roman" w:eastAsia="仿宋_GB2312" w:cs="Times New Roman"/>
          <w:color w:val="000000"/>
          <w:sz w:val="32"/>
          <w:szCs w:val="32"/>
          <w:lang w:val="en-US" w:eastAsia="zh-CN"/>
        </w:rPr>
        <w:t>公务、开展业务活动开支的用餐费</w:t>
      </w:r>
      <w:r>
        <w:rPr>
          <w:rFonts w:hint="eastAsia" w:ascii="Times New Roman" w:hAnsi="Times New Roman" w:eastAsia="仿宋_GB2312" w:cs="Times New Roman"/>
          <w:color w:val="000000"/>
          <w:sz w:val="32"/>
          <w:szCs w:val="32"/>
          <w:lang w:val="en-US" w:eastAsia="zh-CN"/>
        </w:rPr>
        <w:t>。</w:t>
      </w:r>
      <w:r>
        <w:rPr>
          <w:rFonts w:hint="eastAsia" w:eastAsia="仿宋_GB2312"/>
          <w:color w:val="000000"/>
          <w:sz w:val="32"/>
          <w:szCs w:val="32"/>
          <w:lang w:val="en-US" w:eastAsia="zh-CN"/>
        </w:rPr>
        <w:t>具体内容包括：国家、省、市专项工作检查和业务调研；区县交流考察活动；其他重要公务活动。</w:t>
      </w:r>
    </w:p>
    <w:p w14:paraId="104768A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外事接待支出0万元</w:t>
      </w:r>
      <w:r>
        <w:rPr>
          <w:rFonts w:hint="eastAsia" w:ascii="Times New Roman" w:hAnsi="Times New Roman" w:eastAsia="仿宋_GB2312" w:cs="仿宋_GB2312"/>
          <w:color w:val="auto"/>
          <w:kern w:val="2"/>
          <w:sz w:val="32"/>
          <w:szCs w:val="32"/>
          <w:highlight w:val="none"/>
          <w:lang w:val="en-US" w:eastAsia="zh-CN" w:bidi="ar-SA"/>
        </w:rPr>
        <w:t>。外事接待0批次，0人次</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共计支出0万元。</w:t>
      </w:r>
      <w:bookmarkStart w:id="36" w:name="_Toc15377218"/>
      <w:bookmarkStart w:id="37" w:name="_Toc15396610"/>
    </w:p>
    <w:p w14:paraId="5A3E5479">
      <w:pPr>
        <w:spacing w:line="600" w:lineRule="exact"/>
        <w:ind w:firstLine="640"/>
        <w:outlineLvl w:val="1"/>
        <w:rPr>
          <w:rStyle w:val="29"/>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36"/>
      <w:bookmarkEnd w:id="37"/>
    </w:p>
    <w:p w14:paraId="63C516A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2024年度政府性基金预算财政拨款支出0万元，占本年支出合计的0%。与2023年度相比持平。</w:t>
      </w:r>
    </w:p>
    <w:p w14:paraId="5CAE8AB7">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38" w:name="_Toc15396611"/>
      <w:bookmarkStart w:id="39" w:name="_Toc15377219"/>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38"/>
      <w:bookmarkEnd w:id="39"/>
    </w:p>
    <w:p w14:paraId="006F33F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2024年度国有资本经营预算财政拨款支出0万元，占本年支出合计的0%。与2023年度相比持平。</w:t>
      </w:r>
    </w:p>
    <w:p w14:paraId="31708960">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40" w:name="_Toc15396612"/>
      <w:bookmarkStart w:id="41" w:name="_Toc15377221"/>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40"/>
      <w:bookmarkEnd w:id="41"/>
    </w:p>
    <w:p w14:paraId="4FE4C60F">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2" w:name="_Toc15377222"/>
      <w:r>
        <w:rPr>
          <w:rFonts w:hint="eastAsia" w:ascii="Times New Roman" w:hAnsi="Times New Roman" w:eastAsia="楷体_GB2312" w:cs="楷体_GB2312"/>
          <w:b/>
          <w:color w:val="auto"/>
          <w:sz w:val="32"/>
          <w:szCs w:val="32"/>
          <w:highlight w:val="none"/>
        </w:rPr>
        <w:t>（一）机关运行经费支出情况</w:t>
      </w:r>
      <w:bookmarkEnd w:id="42"/>
    </w:p>
    <w:p w14:paraId="1FD7AE2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olor w:val="auto"/>
          <w:sz w:val="32"/>
          <w:szCs w:val="32"/>
          <w:lang w:val="en-US" w:eastAsia="zh-CN"/>
        </w:rPr>
        <w:t>本单位为事业单位，未使用机关运行经费相关科目，机关运行经费支出为零。</w:t>
      </w:r>
    </w:p>
    <w:p w14:paraId="10AE326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3" w:name="_Toc15377223"/>
      <w:r>
        <w:rPr>
          <w:rFonts w:hint="eastAsia" w:ascii="Times New Roman" w:hAnsi="Times New Roman" w:eastAsia="楷体_GB2312" w:cs="楷体_GB2312"/>
          <w:b/>
          <w:color w:val="auto"/>
          <w:sz w:val="32"/>
          <w:szCs w:val="32"/>
          <w:highlight w:val="none"/>
        </w:rPr>
        <w:t>（二）政府采购支出情况</w:t>
      </w:r>
      <w:bookmarkEnd w:id="43"/>
    </w:p>
    <w:p w14:paraId="2E566B1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五通桥区机关事务服务中心政府采购支出总额0.6万元，其中：政府采购货物支出0.6万元、政府采购工程支出0万元、政府采购服务支出0万元。主要用于办公设备空调的采购。授予中小企业合同金额0.6万元，占政府采购支出总额的100%，其中：授予小微企业合同金额0.6万元，占政府采购支出总额的100%。</w:t>
      </w:r>
    </w:p>
    <w:p w14:paraId="50F91E78">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4" w:name="_Toc15377224"/>
      <w:r>
        <w:rPr>
          <w:rFonts w:hint="eastAsia" w:ascii="Times New Roman" w:hAnsi="Times New Roman" w:eastAsia="楷体_GB2312" w:cs="楷体_GB2312"/>
          <w:b/>
          <w:color w:val="auto"/>
          <w:sz w:val="32"/>
          <w:szCs w:val="32"/>
          <w:highlight w:val="none"/>
        </w:rPr>
        <w:t>（三）国有资产占有使用情况</w:t>
      </w:r>
      <w:bookmarkEnd w:id="44"/>
    </w:p>
    <w:p w14:paraId="3C03FD0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截至2024年12月31日，五通桥区机关事务服务中心共有车辆0辆，其中：主要负责人用车0辆、机要通信用车0辆、应急保障用车0辆、其他用车0辆</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单价100万元（含）以上设备（不含车辆）0台（套）。</w:t>
      </w:r>
    </w:p>
    <w:p w14:paraId="51B7280A">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36523565">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根据预算绩效管理要求，本单位在2024年度预算编制阶段，组织对区政府后勤保障经费等6个项目开展了预算事前绩效评估，对6个项目编制了绩效目标，预算执行过程中，选取6个项目开展绩效监控，组织对6个项目开展绩效自评，项目绩效自评表详见第四部分附件。</w:t>
      </w:r>
    </w:p>
    <w:p w14:paraId="1884FF42">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eastAsia="仿宋_GB2312"/>
          <w:sz w:val="32"/>
          <w:szCs w:val="32"/>
        </w:rPr>
        <w:br w:type="page"/>
      </w:r>
    </w:p>
    <w:p w14:paraId="047F385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35419A6F">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5" w:name="_Toc15377225"/>
      <w:bookmarkStart w:id="46"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5"/>
      <w:bookmarkEnd w:id="46"/>
    </w:p>
    <w:p w14:paraId="05E7964B">
      <w:pPr>
        <w:spacing w:line="600" w:lineRule="exact"/>
        <w:jc w:val="left"/>
        <w:rPr>
          <w:rFonts w:ascii="Times New Roman" w:hAnsi="Times New Roman"/>
          <w:b/>
          <w:color w:val="auto"/>
          <w:sz w:val="44"/>
          <w:szCs w:val="44"/>
          <w:highlight w:val="none"/>
        </w:rPr>
      </w:pPr>
    </w:p>
    <w:p w14:paraId="060B4724">
      <w:pPr>
        <w:spacing w:line="580" w:lineRule="exact"/>
        <w:ind w:firstLine="640" w:firstLineChars="200"/>
        <w:rPr>
          <w:rFonts w:hAnsi="仿宋_GB2312" w:eastAsia="仿宋_GB2312"/>
          <w:sz w:val="32"/>
          <w:szCs w:val="32"/>
        </w:rPr>
      </w:pPr>
      <w:bookmarkStart w:id="47" w:name="_Toc15396614"/>
      <w:bookmarkStart w:id="48" w:name="_Toc15377226"/>
      <w:r>
        <w:rPr>
          <w:rFonts w:hAnsi="仿宋_GB2312" w:eastAsia="仿宋_GB2312"/>
          <w:sz w:val="32"/>
          <w:szCs w:val="32"/>
        </w:rPr>
        <w:t xml:space="preserve">1.财政拨款收入：指区级财政当年拨付的资金。 </w:t>
      </w:r>
    </w:p>
    <w:p w14:paraId="16B0923D">
      <w:pPr>
        <w:spacing w:line="580" w:lineRule="exact"/>
        <w:ind w:firstLine="640" w:firstLineChars="200"/>
        <w:rPr>
          <w:rFonts w:hAnsi="仿宋_GB2312" w:eastAsia="仿宋_GB2312"/>
          <w:sz w:val="32"/>
          <w:szCs w:val="32"/>
        </w:rPr>
      </w:pPr>
      <w:r>
        <w:rPr>
          <w:rFonts w:hAnsi="仿宋_GB2312" w:eastAsia="仿宋_GB2312"/>
          <w:sz w:val="32"/>
          <w:szCs w:val="32"/>
        </w:rPr>
        <w:t>2.事业收入：指事业单位开展专业</w:t>
      </w:r>
      <w:r>
        <w:rPr>
          <w:rFonts w:hint="eastAsia" w:hAnsi="仿宋_GB2312" w:eastAsia="仿宋_GB2312"/>
          <w:sz w:val="32"/>
          <w:szCs w:val="32"/>
        </w:rPr>
        <w:t>业务</w:t>
      </w:r>
      <w:r>
        <w:rPr>
          <w:rFonts w:hAnsi="仿宋_GB2312" w:eastAsia="仿宋_GB2312"/>
          <w:sz w:val="32"/>
          <w:szCs w:val="32"/>
        </w:rPr>
        <w:t>活动及辅助活动所取得的收入。</w:t>
      </w:r>
    </w:p>
    <w:p w14:paraId="6C8FDD63">
      <w:pPr>
        <w:spacing w:line="580" w:lineRule="exact"/>
        <w:ind w:firstLine="640" w:firstLineChars="200"/>
        <w:rPr>
          <w:rFonts w:hAnsi="仿宋_GB2312" w:eastAsia="仿宋_GB2312"/>
          <w:sz w:val="32"/>
          <w:szCs w:val="32"/>
        </w:rPr>
      </w:pPr>
      <w:r>
        <w:rPr>
          <w:rFonts w:hAnsi="仿宋_GB2312" w:eastAsia="仿宋_GB2312"/>
          <w:sz w:val="32"/>
          <w:szCs w:val="32"/>
        </w:rPr>
        <w:t>3.经营收入：指事业单位在专业业务活动及其辅助活动之外开展非独立核算经营活动取得的收入。</w:t>
      </w:r>
    </w:p>
    <w:p w14:paraId="7F467C5B">
      <w:pPr>
        <w:spacing w:line="580" w:lineRule="exact"/>
        <w:ind w:firstLine="640" w:firstLineChars="200"/>
        <w:rPr>
          <w:rFonts w:hAnsi="仿宋_GB2312" w:eastAsia="仿宋_GB2312"/>
          <w:sz w:val="32"/>
          <w:szCs w:val="32"/>
        </w:rPr>
      </w:pPr>
      <w:r>
        <w:rPr>
          <w:rFonts w:hAnsi="仿宋_GB2312" w:eastAsia="仿宋_GB2312"/>
          <w:sz w:val="32"/>
          <w:szCs w:val="32"/>
        </w:rPr>
        <w:t>4.其他收入：指除上述“财政拨款收入”、“事业收入”、“经营收入”等以外的收入。</w:t>
      </w:r>
    </w:p>
    <w:p w14:paraId="226B4AE7">
      <w:pPr>
        <w:spacing w:line="580" w:lineRule="exact"/>
        <w:ind w:firstLine="640" w:firstLineChars="200"/>
        <w:rPr>
          <w:rFonts w:hAnsi="仿宋_GB2312" w:eastAsia="仿宋_GB2312"/>
          <w:sz w:val="32"/>
          <w:szCs w:val="32"/>
        </w:rPr>
      </w:pPr>
      <w:r>
        <w:rPr>
          <w:rFonts w:hAnsi="仿宋_GB2312" w:eastAsia="仿宋_GB2312"/>
          <w:sz w:val="32"/>
          <w:szCs w:val="32"/>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14:paraId="0CBBCE13">
      <w:pPr>
        <w:spacing w:line="580" w:lineRule="exact"/>
        <w:ind w:firstLine="640" w:firstLineChars="200"/>
        <w:rPr>
          <w:rFonts w:hAnsi="仿宋_GB2312" w:eastAsia="仿宋_GB2312"/>
          <w:sz w:val="32"/>
          <w:szCs w:val="32"/>
        </w:rPr>
      </w:pPr>
      <w:r>
        <w:rPr>
          <w:rFonts w:hAnsi="仿宋_GB2312" w:eastAsia="仿宋_GB2312"/>
          <w:sz w:val="32"/>
          <w:szCs w:val="32"/>
        </w:rPr>
        <w:t xml:space="preserve">6.年初结转和结余：指以前年度尚未完成、结转到本年按有关规定继续使用的资金。 </w:t>
      </w:r>
    </w:p>
    <w:p w14:paraId="7970E29D">
      <w:pPr>
        <w:spacing w:line="580" w:lineRule="exact"/>
        <w:ind w:firstLine="640" w:firstLineChars="200"/>
        <w:rPr>
          <w:rFonts w:hAnsi="仿宋_GB2312" w:eastAsia="仿宋_GB2312"/>
          <w:sz w:val="32"/>
          <w:szCs w:val="32"/>
        </w:rPr>
      </w:pPr>
      <w:r>
        <w:rPr>
          <w:rFonts w:hAnsi="仿宋_GB2312" w:eastAsia="仿宋_GB2312"/>
          <w:sz w:val="32"/>
          <w:szCs w:val="32"/>
        </w:rPr>
        <w:t>7</w:t>
      </w:r>
      <w:r>
        <w:rPr>
          <w:rFonts w:hint="eastAsia" w:hAnsi="仿宋_GB2312" w:eastAsia="仿宋_GB2312"/>
          <w:sz w:val="32"/>
          <w:szCs w:val="32"/>
          <w:lang w:eastAsia="zh-CN"/>
        </w:rPr>
        <w:t>.一般公共服务</w:t>
      </w:r>
      <w:r>
        <w:rPr>
          <w:rFonts w:hint="eastAsia" w:hAnsi="仿宋_GB2312" w:eastAsia="仿宋_GB2312"/>
          <w:sz w:val="32"/>
          <w:szCs w:val="32"/>
        </w:rPr>
        <w:t>201（类）03（款）50（项）：指事业运行</w:t>
      </w:r>
      <w:r>
        <w:rPr>
          <w:rFonts w:hint="eastAsia" w:hAnsi="仿宋_GB2312" w:eastAsia="仿宋_GB2312"/>
          <w:sz w:val="32"/>
          <w:szCs w:val="32"/>
          <w:lang w:eastAsia="zh-CN"/>
        </w:rPr>
        <w:t>，反映事业单位的基本支出，不包括行政单位（包括实行公务员管理的事业单位）后勤服务中心、医务室等附属事业单位</w:t>
      </w:r>
      <w:r>
        <w:rPr>
          <w:rFonts w:hint="eastAsia" w:hAnsi="仿宋_GB2312" w:eastAsia="仿宋_GB2312"/>
          <w:sz w:val="32"/>
          <w:szCs w:val="32"/>
        </w:rPr>
        <w:t>；201（类）03（款）99（项）：指其他政府办公厅（室）及相关机构事务支出，反映除上</w:t>
      </w:r>
      <w:r>
        <w:rPr>
          <w:rFonts w:hint="eastAsia" w:hAnsi="仿宋_GB2312" w:eastAsia="仿宋_GB2312"/>
          <w:sz w:val="32"/>
          <w:szCs w:val="32"/>
          <w:lang w:eastAsia="zh-CN"/>
        </w:rPr>
        <w:t>述</w:t>
      </w:r>
      <w:r>
        <w:rPr>
          <w:rFonts w:hint="eastAsia" w:hAnsi="仿宋_GB2312" w:eastAsia="仿宋_GB2312"/>
          <w:sz w:val="32"/>
          <w:szCs w:val="32"/>
        </w:rPr>
        <w:t>项目以</w:t>
      </w:r>
      <w:r>
        <w:rPr>
          <w:rFonts w:hint="eastAsia" w:hAnsi="仿宋_GB2312" w:eastAsia="仿宋_GB2312"/>
          <w:sz w:val="32"/>
          <w:szCs w:val="32"/>
          <w:lang w:eastAsia="zh-CN"/>
        </w:rPr>
        <w:t>外</w:t>
      </w:r>
      <w:r>
        <w:rPr>
          <w:rFonts w:hint="eastAsia" w:hAnsi="仿宋_GB2312" w:eastAsia="仿宋_GB2312"/>
          <w:sz w:val="32"/>
          <w:szCs w:val="32"/>
        </w:rPr>
        <w:t>的其他政府办公厅（室）及相关机构事务支出。</w:t>
      </w:r>
    </w:p>
    <w:p w14:paraId="63C1C1E1">
      <w:pPr>
        <w:spacing w:line="580" w:lineRule="exact"/>
        <w:ind w:firstLine="640" w:firstLineChars="200"/>
        <w:rPr>
          <w:rFonts w:hint="default" w:hAnsi="仿宋_GB2312" w:eastAsia="仿宋_GB2312"/>
          <w:sz w:val="32"/>
          <w:szCs w:val="32"/>
          <w:lang w:val="en-US" w:eastAsia="zh-CN"/>
        </w:rPr>
      </w:pPr>
      <w:r>
        <w:rPr>
          <w:rFonts w:hint="eastAsia" w:hAnsi="仿宋_GB2312" w:eastAsia="仿宋_GB2312"/>
          <w:sz w:val="32"/>
          <w:szCs w:val="32"/>
        </w:rPr>
        <w:t>8</w:t>
      </w:r>
      <w:r>
        <w:rPr>
          <w:rFonts w:hint="eastAsia" w:hAnsi="仿宋_GB2312" w:eastAsia="仿宋_GB2312"/>
          <w:sz w:val="32"/>
          <w:szCs w:val="32"/>
          <w:lang w:eastAsia="zh-CN"/>
        </w:rPr>
        <w:t>.</w:t>
      </w:r>
      <w:r>
        <w:rPr>
          <w:rFonts w:hint="eastAsia" w:hAnsi="仿宋_GB2312" w:eastAsia="仿宋_GB2312"/>
          <w:sz w:val="32"/>
          <w:szCs w:val="32"/>
        </w:rPr>
        <w:t>社会保障和就业208（类）05（款）05（项）：指机关事业单位基本养老保险缴费支出</w:t>
      </w:r>
      <w:r>
        <w:rPr>
          <w:rFonts w:hint="eastAsia" w:hAnsi="仿宋_GB2312" w:eastAsia="仿宋_GB2312"/>
          <w:sz w:val="32"/>
          <w:szCs w:val="32"/>
          <w:lang w:eastAsia="zh-CN"/>
        </w:rPr>
        <w:t>，反映机关事业单位实施养老保险制度由单位缴纳的基本养老保险费支出</w:t>
      </w:r>
      <w:r>
        <w:rPr>
          <w:rFonts w:hint="eastAsia" w:hAnsi="仿宋_GB2312" w:eastAsia="仿宋_GB2312"/>
          <w:sz w:val="32"/>
          <w:szCs w:val="32"/>
        </w:rPr>
        <w:t>；社会保障和就业208（类）05（款）06（项）：指机关事业单位职业年金支出</w:t>
      </w:r>
      <w:r>
        <w:rPr>
          <w:rFonts w:hint="eastAsia" w:hAnsi="仿宋_GB2312" w:eastAsia="仿宋_GB2312"/>
          <w:sz w:val="32"/>
          <w:szCs w:val="32"/>
          <w:lang w:eastAsia="zh-CN"/>
        </w:rPr>
        <w:t>，反映机关事业单位实施养老保险制度由单位实际缴纳的职业年金支出。</w:t>
      </w:r>
      <w:r>
        <w:rPr>
          <w:rFonts w:hint="eastAsia" w:hAnsi="仿宋_GB2312" w:eastAsia="仿宋_GB2312"/>
          <w:sz w:val="32"/>
          <w:szCs w:val="32"/>
        </w:rPr>
        <w:t>社会保障和就业208（类）</w:t>
      </w:r>
      <w:r>
        <w:rPr>
          <w:rFonts w:hint="eastAsia" w:hAnsi="仿宋_GB2312" w:eastAsia="仿宋_GB2312"/>
          <w:sz w:val="32"/>
          <w:szCs w:val="32"/>
          <w:lang w:val="en-US" w:eastAsia="zh-CN"/>
        </w:rPr>
        <w:t>99（款）99（项）：指其他社会保障机制和就业支出，反映除上述项目以外其他用于社会保障和就业方面的支出。</w:t>
      </w:r>
    </w:p>
    <w:p w14:paraId="472F7079">
      <w:pPr>
        <w:spacing w:line="580" w:lineRule="exact"/>
        <w:ind w:firstLine="640" w:firstLineChars="200"/>
        <w:rPr>
          <w:rFonts w:hint="eastAsia" w:hAnsi="仿宋_GB2312" w:eastAsia="仿宋_GB2312"/>
          <w:sz w:val="32"/>
          <w:szCs w:val="32"/>
        </w:rPr>
      </w:pPr>
      <w:r>
        <w:rPr>
          <w:rFonts w:hint="eastAsia" w:hAnsi="仿宋_GB2312" w:eastAsia="仿宋_GB2312"/>
          <w:sz w:val="32"/>
          <w:szCs w:val="32"/>
        </w:rPr>
        <w:t>9</w:t>
      </w:r>
      <w:r>
        <w:rPr>
          <w:rFonts w:hint="eastAsia" w:hAnsi="仿宋_GB2312" w:eastAsia="仿宋_GB2312"/>
          <w:sz w:val="32"/>
          <w:szCs w:val="32"/>
          <w:lang w:eastAsia="zh-CN"/>
        </w:rPr>
        <w:t>.</w:t>
      </w:r>
      <w:r>
        <w:rPr>
          <w:rFonts w:hint="eastAsia" w:hAnsi="仿宋_GB2312" w:eastAsia="仿宋_GB2312"/>
          <w:sz w:val="32"/>
          <w:szCs w:val="32"/>
        </w:rPr>
        <w:t>卫生健康210（类）11（款）02（项）：指事</w:t>
      </w:r>
      <w:r>
        <w:rPr>
          <w:rFonts w:hAnsi="仿宋_GB2312" w:eastAsia="仿宋_GB2312"/>
          <w:sz w:val="32"/>
          <w:szCs w:val="32"/>
        </w:rPr>
        <w:t>业单位医疗</w:t>
      </w:r>
      <w:r>
        <w:rPr>
          <w:rFonts w:hint="eastAsia" w:hAnsi="仿宋_GB2312" w:eastAsia="仿宋_GB2312"/>
          <w:sz w:val="32"/>
          <w:szCs w:val="32"/>
        </w:rPr>
        <w:t>，反映财政部门集中安排的事业单位基本医疗保险缴费经费。</w:t>
      </w:r>
    </w:p>
    <w:p w14:paraId="1FB89F23">
      <w:pPr>
        <w:spacing w:line="580" w:lineRule="exact"/>
        <w:ind w:firstLine="640" w:firstLineChars="200"/>
        <w:rPr>
          <w:rFonts w:hint="eastAsia" w:hAnsi="仿宋_GB2312" w:eastAsia="仿宋_GB2312"/>
          <w:sz w:val="32"/>
          <w:szCs w:val="32"/>
          <w:lang w:eastAsia="zh-CN"/>
        </w:rPr>
      </w:pPr>
      <w:r>
        <w:rPr>
          <w:rFonts w:hint="eastAsia" w:hAnsi="仿宋_GB2312" w:eastAsia="仿宋_GB2312"/>
          <w:sz w:val="32"/>
          <w:szCs w:val="32"/>
        </w:rPr>
        <w:t>卫生健康21</w:t>
      </w:r>
      <w:r>
        <w:rPr>
          <w:rFonts w:hint="eastAsia" w:hAnsi="仿宋_GB2312" w:eastAsia="仿宋_GB2312"/>
          <w:sz w:val="32"/>
          <w:szCs w:val="32"/>
          <w:lang w:val="en-US" w:eastAsia="zh-CN"/>
        </w:rPr>
        <w:t>0</w:t>
      </w:r>
      <w:r>
        <w:rPr>
          <w:rFonts w:hint="eastAsia" w:hAnsi="仿宋_GB2312" w:eastAsia="仿宋_GB2312"/>
          <w:sz w:val="32"/>
          <w:szCs w:val="32"/>
        </w:rPr>
        <w:t>（类）11（款）</w:t>
      </w:r>
      <w:r>
        <w:rPr>
          <w:rFonts w:hint="eastAsia" w:hAnsi="仿宋_GB2312" w:eastAsia="仿宋_GB2312"/>
          <w:sz w:val="32"/>
          <w:szCs w:val="32"/>
          <w:lang w:val="en-US" w:eastAsia="zh-CN"/>
        </w:rPr>
        <w:t>99</w:t>
      </w:r>
      <w:r>
        <w:rPr>
          <w:rFonts w:hint="eastAsia" w:hAnsi="仿宋_GB2312" w:eastAsia="仿宋_GB2312"/>
          <w:sz w:val="32"/>
          <w:szCs w:val="32"/>
        </w:rPr>
        <w:t>（项）</w:t>
      </w:r>
      <w:r>
        <w:rPr>
          <w:rFonts w:hint="eastAsia" w:hAnsi="仿宋_GB2312" w:eastAsia="仿宋_GB2312"/>
          <w:sz w:val="32"/>
          <w:szCs w:val="32"/>
          <w:lang w:eastAsia="zh-CN"/>
        </w:rPr>
        <w:t>：指其他行政事业单位医疗支出，反映是财政部门集中安排的事业单位公务员医疗补助保险缴费经费。</w:t>
      </w:r>
    </w:p>
    <w:p w14:paraId="1C014628">
      <w:pPr>
        <w:spacing w:line="580" w:lineRule="exact"/>
        <w:ind w:firstLine="640" w:firstLineChars="200"/>
        <w:rPr>
          <w:rFonts w:hAnsi="仿宋_GB2312" w:eastAsia="仿宋_GB2312"/>
          <w:sz w:val="32"/>
          <w:szCs w:val="32"/>
        </w:rPr>
      </w:pPr>
      <w:r>
        <w:rPr>
          <w:rFonts w:hAnsi="仿宋_GB2312" w:eastAsia="仿宋_GB2312"/>
          <w:sz w:val="32"/>
          <w:szCs w:val="32"/>
        </w:rPr>
        <w:t>10</w:t>
      </w:r>
      <w:r>
        <w:rPr>
          <w:rFonts w:hint="eastAsia" w:hAnsi="仿宋_GB2312" w:eastAsia="仿宋_GB2312"/>
          <w:sz w:val="32"/>
          <w:szCs w:val="32"/>
          <w:lang w:eastAsia="zh-CN"/>
        </w:rPr>
        <w:t>.</w:t>
      </w:r>
      <w:r>
        <w:rPr>
          <w:rFonts w:hAnsi="仿宋_GB2312" w:eastAsia="仿宋_GB2312"/>
          <w:sz w:val="32"/>
          <w:szCs w:val="32"/>
        </w:rPr>
        <w:t>住房保</w:t>
      </w:r>
      <w:r>
        <w:rPr>
          <w:rFonts w:hint="eastAsia" w:hAnsi="仿宋_GB2312" w:eastAsia="仿宋_GB2312"/>
          <w:sz w:val="32"/>
          <w:szCs w:val="32"/>
        </w:rPr>
        <w:t>障221（类）02（款）01（项）：反映行政事业单位按人力资源和社会保障部、财政部规定的基本工资和津贴补贴以及规定比例为职工缴纳的住房公积金。</w:t>
      </w:r>
    </w:p>
    <w:p w14:paraId="32275CE0">
      <w:pPr>
        <w:spacing w:line="580" w:lineRule="exact"/>
        <w:ind w:firstLine="640" w:firstLineChars="200"/>
        <w:rPr>
          <w:rFonts w:hAnsi="仿宋_GB2312" w:eastAsia="仿宋_GB2312"/>
          <w:sz w:val="32"/>
          <w:szCs w:val="32"/>
        </w:rPr>
      </w:pPr>
      <w:r>
        <w:rPr>
          <w:rFonts w:hAnsi="仿宋_GB2312" w:eastAsia="仿宋_GB2312"/>
          <w:sz w:val="32"/>
          <w:szCs w:val="32"/>
        </w:rPr>
        <w:t>11.结余分配：指事业单位按规定提取的职工福利基金、事业基金和缴纳的所得税，以及建设单位按规定应交回的基本建设竣工项目结余资金。</w:t>
      </w:r>
    </w:p>
    <w:p w14:paraId="14985EAF">
      <w:pPr>
        <w:spacing w:line="580" w:lineRule="exact"/>
        <w:ind w:firstLine="640" w:firstLineChars="200"/>
        <w:rPr>
          <w:rFonts w:hAnsi="仿宋_GB2312" w:eastAsia="仿宋_GB2312"/>
          <w:sz w:val="32"/>
          <w:szCs w:val="32"/>
        </w:rPr>
      </w:pPr>
      <w:r>
        <w:rPr>
          <w:rFonts w:hAnsi="仿宋_GB2312" w:eastAsia="仿宋_GB2312"/>
          <w:sz w:val="32"/>
          <w:szCs w:val="32"/>
        </w:rPr>
        <w:t>12.年末结转和结余：指本年度或以前年度预算安排、因客观条件发生变化无法按原计划实施，需延迟到以后年度按有关规定继续使用的资金。</w:t>
      </w:r>
    </w:p>
    <w:p w14:paraId="3FC2DAC5">
      <w:pPr>
        <w:spacing w:line="580" w:lineRule="exact"/>
        <w:ind w:firstLine="640" w:firstLineChars="200"/>
        <w:rPr>
          <w:rFonts w:hAnsi="仿宋_GB2312" w:eastAsia="仿宋_GB2312"/>
          <w:sz w:val="32"/>
          <w:szCs w:val="32"/>
        </w:rPr>
      </w:pPr>
      <w:r>
        <w:rPr>
          <w:rFonts w:hAnsi="仿宋_GB2312" w:eastAsia="仿宋_GB2312"/>
          <w:sz w:val="32"/>
          <w:szCs w:val="32"/>
        </w:rPr>
        <w:t>13.基本支出：指为保障机构正常运转、完成日常工作任</w:t>
      </w:r>
      <w:r>
        <w:rPr>
          <w:rFonts w:hint="eastAsia" w:hAnsi="仿宋_GB2312" w:eastAsia="仿宋_GB2312"/>
          <w:sz w:val="32"/>
          <w:szCs w:val="32"/>
        </w:rPr>
        <w:t>务而发生的人员支出和公用支出。</w:t>
      </w:r>
    </w:p>
    <w:p w14:paraId="3705F41B">
      <w:pPr>
        <w:spacing w:line="580" w:lineRule="exact"/>
        <w:ind w:firstLine="640" w:firstLineChars="200"/>
        <w:rPr>
          <w:rFonts w:hAnsi="仿宋_GB2312" w:eastAsia="仿宋_GB2312"/>
          <w:sz w:val="32"/>
          <w:szCs w:val="32"/>
        </w:rPr>
      </w:pPr>
      <w:r>
        <w:rPr>
          <w:rFonts w:hint="eastAsia" w:hAnsi="仿宋_GB2312" w:eastAsia="仿宋_GB2312"/>
          <w:sz w:val="32"/>
          <w:szCs w:val="32"/>
        </w:rPr>
        <w:t xml:space="preserve">14项目支出：指在基本支出之外为完成特定行政任务和事业发展目标所发生的支出。 </w:t>
      </w:r>
    </w:p>
    <w:p w14:paraId="21BAB148">
      <w:pPr>
        <w:spacing w:line="580" w:lineRule="exact"/>
        <w:ind w:firstLine="640" w:firstLineChars="200"/>
        <w:rPr>
          <w:rFonts w:hAnsi="仿宋_GB2312" w:eastAsia="仿宋_GB2312"/>
          <w:sz w:val="32"/>
          <w:szCs w:val="32"/>
        </w:rPr>
      </w:pPr>
      <w:r>
        <w:rPr>
          <w:rFonts w:hint="eastAsia" w:hAnsi="仿宋_GB2312" w:eastAsia="仿宋_GB2312"/>
          <w:sz w:val="32"/>
          <w:szCs w:val="32"/>
        </w:rPr>
        <w:t>15.经营支出：指事业单位在专业业务活动及其辅助活动之外开展非独立核算经营活动发生的支出。</w:t>
      </w:r>
    </w:p>
    <w:p w14:paraId="45C57E3D">
      <w:pPr>
        <w:spacing w:line="580" w:lineRule="exact"/>
        <w:ind w:firstLine="640" w:firstLineChars="200"/>
        <w:rPr>
          <w:rFonts w:hAnsi="仿宋_GB2312" w:eastAsia="仿宋_GB2312"/>
          <w:sz w:val="32"/>
          <w:szCs w:val="32"/>
        </w:rPr>
      </w:pPr>
      <w:r>
        <w:rPr>
          <w:rFonts w:hint="eastAsia" w:hAnsi="仿宋_GB2312" w:eastAsia="仿宋_GB2312"/>
          <w:sz w:val="32"/>
          <w:szCs w:val="32"/>
        </w:rPr>
        <w:t>16.“三公”经费：纳入省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9E8E1A1">
      <w:pPr>
        <w:spacing w:line="580" w:lineRule="exact"/>
        <w:ind w:firstLine="640" w:firstLineChars="200"/>
        <w:rPr>
          <w:rFonts w:hAnsi="仿宋_GB2312" w:eastAsia="仿宋_GB2312"/>
          <w:sz w:val="32"/>
          <w:szCs w:val="32"/>
        </w:rPr>
      </w:pPr>
      <w:r>
        <w:rPr>
          <w:rFonts w:hint="eastAsia" w:hAnsi="仿宋_GB2312" w:eastAsia="仿宋_GB2312"/>
          <w:sz w:val="32"/>
          <w:szCs w:val="32"/>
        </w:rPr>
        <w:t>17.机关运行经费：为保障行政单位（含参照公务员法管理的事业单位）运行用于购买货物和服务的各项资金，包括办公及印刷费、邮电费、差旅费、会议费、工会费、福利费、日常维修费、专用材料及一般设备购置费、办公用房水电费、办公用房物业管理费、公务用车运行维护费以及其他费用。</w:t>
      </w:r>
    </w:p>
    <w:p w14:paraId="7A5E523C">
      <w:pPr>
        <w:rPr>
          <w:rFonts w:hint="eastAsia" w:ascii="黑体" w:hAnsi="黑体" w:eastAsia="黑体"/>
          <w:sz w:val="44"/>
          <w:szCs w:val="44"/>
        </w:rPr>
      </w:pPr>
      <w:r>
        <w:rPr>
          <w:rFonts w:hint="eastAsia" w:ascii="黑体" w:hAnsi="黑体" w:eastAsia="黑体"/>
          <w:sz w:val="44"/>
          <w:szCs w:val="44"/>
        </w:rPr>
        <w:br w:type="page"/>
      </w:r>
    </w:p>
    <w:p w14:paraId="16677D2C">
      <w:pPr>
        <w:spacing w:line="600" w:lineRule="exact"/>
        <w:jc w:val="center"/>
        <w:rPr>
          <w:rStyle w:val="28"/>
          <w:rFonts w:hint="eastAsia" w:ascii="Times New Roman" w:hAnsi="Times New Roman" w:eastAsia="黑体"/>
          <w:b w:val="0"/>
          <w:color w:val="auto"/>
          <w:highlight w:val="none"/>
          <w:lang w:eastAsia="zh-CN"/>
        </w:rPr>
      </w:pPr>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47"/>
    </w:p>
    <w:tbl>
      <w:tblPr>
        <w:tblStyle w:val="15"/>
        <w:tblW w:w="8985" w:type="dxa"/>
        <w:tblInd w:w="-10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0"/>
        <w:gridCol w:w="1008"/>
        <w:gridCol w:w="942"/>
        <w:gridCol w:w="2220"/>
        <w:gridCol w:w="865"/>
        <w:gridCol w:w="961"/>
        <w:gridCol w:w="679"/>
        <w:gridCol w:w="525"/>
        <w:gridCol w:w="645"/>
      </w:tblGrid>
      <w:tr w14:paraId="015B3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8985" w:type="dxa"/>
            <w:gridSpan w:val="9"/>
            <w:tcBorders>
              <w:top w:val="nil"/>
              <w:left w:val="nil"/>
              <w:bottom w:val="nil"/>
              <w:right w:val="nil"/>
            </w:tcBorders>
            <w:shd w:val="clear" w:color="auto" w:fill="auto"/>
            <w:noWrap/>
            <w:vAlign w:val="center"/>
          </w:tcPr>
          <w:p w14:paraId="48D69A72">
            <w:pPr>
              <w:spacing w:line="600" w:lineRule="exact"/>
              <w:jc w:val="both"/>
              <w:outlineLvl w:val="0"/>
              <w:rPr>
                <w:rFonts w:hint="eastAsia" w:ascii="黑体" w:hAnsi="黑体" w:eastAsia="黑体"/>
                <w:color w:val="FF0000"/>
                <w:sz w:val="44"/>
                <w:szCs w:val="44"/>
                <w:highlight w:val="none"/>
              </w:rPr>
            </w:pPr>
            <w:r>
              <w:rPr>
                <w:rFonts w:hint="eastAsia" w:hAnsi="Times New Roman" w:cs="Times New Roman"/>
                <w:sz w:val="32"/>
                <w:szCs w:val="32"/>
                <w:highlight w:val="none"/>
                <w:lang w:val="en-US" w:eastAsia="zh-CN"/>
              </w:rPr>
              <w:t>部门预算项目支出绩效自评表（2024年度）</w:t>
            </w:r>
          </w:p>
          <w:p w14:paraId="5D3B361E">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1</w:t>
            </w:r>
          </w:p>
        </w:tc>
      </w:tr>
      <w:tr w14:paraId="7FF11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F2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EBD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公共机构能耗监测平台建设项目</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6B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D30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62200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34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1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6D3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009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19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74151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985"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79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FF6F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48" w:type="dxa"/>
            <w:gridSpan w:val="2"/>
            <w:tcBorders>
              <w:top w:val="single" w:color="000000" w:sz="4" w:space="0"/>
              <w:left w:val="single" w:color="000000" w:sz="4" w:space="0"/>
              <w:bottom w:val="single" w:color="000000" w:sz="4" w:space="0"/>
              <w:right w:val="nil"/>
            </w:tcBorders>
            <w:shd w:val="clear" w:color="auto" w:fill="auto"/>
            <w:noWrap/>
            <w:vAlign w:val="center"/>
          </w:tcPr>
          <w:p w14:paraId="573384EF">
            <w:pPr>
              <w:jc w:val="center"/>
              <w:rPr>
                <w:rFonts w:hint="eastAsia" w:ascii="宋体" w:hAnsi="宋体" w:eastAsia="宋体" w:cs="宋体"/>
                <w:i w:val="0"/>
                <w:iCs w:val="0"/>
                <w:color w:val="000000"/>
                <w:sz w:val="20"/>
                <w:szCs w:val="20"/>
                <w:u w:val="none"/>
              </w:rPr>
            </w:pP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0E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B45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399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EE0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8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48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19.84</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B0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19.84</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ED6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29DE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5F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B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19.84</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01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19.84</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D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3A09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D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1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041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AC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5DC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7EAD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6B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03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F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F97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4A50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FB232">
            <w:pPr>
              <w:jc w:val="left"/>
              <w:rPr>
                <w:rFonts w:hint="eastAsia" w:ascii="宋体" w:hAnsi="宋体" w:eastAsia="宋体" w:cs="宋体"/>
                <w:i w:val="0"/>
                <w:iCs w:val="0"/>
                <w:color w:val="000000"/>
                <w:sz w:val="20"/>
                <w:szCs w:val="20"/>
                <w:u w:val="none"/>
              </w:rPr>
            </w:pPr>
          </w:p>
        </w:tc>
        <w:tc>
          <w:tcPr>
            <w:tcW w:w="5035" w:type="dxa"/>
            <w:gridSpan w:val="4"/>
            <w:tcBorders>
              <w:top w:val="single" w:color="000000" w:sz="4" w:space="0"/>
              <w:left w:val="single" w:color="000000" w:sz="4" w:space="0"/>
              <w:bottom w:val="nil"/>
              <w:right w:val="single" w:color="000000" w:sz="4" w:space="0"/>
            </w:tcBorders>
            <w:shd w:val="clear" w:color="auto" w:fill="auto"/>
            <w:vAlign w:val="center"/>
          </w:tcPr>
          <w:p w14:paraId="43023A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预计投入20万元，接入省市数据平台，通过对全区公共机构建筑进行能耗监测、能耗诊断，节能潜力判断、节能改造方案评诂、最终实现对全区公共机构建筑用能的科学管理，提高能源的使用效率</w:t>
            </w:r>
          </w:p>
        </w:tc>
        <w:tc>
          <w:tcPr>
            <w:tcW w:w="28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C622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实际投入19.84万元，建成能耗监测系统一套，完成20个监测点建设，进行能耗监测。</w:t>
            </w:r>
          </w:p>
        </w:tc>
      </w:tr>
      <w:tr w14:paraId="262C8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E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B0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441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6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5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E0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525" w:type="dxa"/>
            <w:tcBorders>
              <w:top w:val="single" w:color="000000" w:sz="4" w:space="0"/>
              <w:left w:val="nil"/>
              <w:bottom w:val="single" w:color="000000" w:sz="4" w:space="0"/>
              <w:right w:val="single" w:color="000000" w:sz="4" w:space="0"/>
            </w:tcBorders>
            <w:shd w:val="clear" w:color="auto" w:fill="auto"/>
            <w:noWrap/>
            <w:vAlign w:val="center"/>
          </w:tcPr>
          <w:p w14:paraId="1343DA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F1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212E2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36"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C8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FA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DD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10E8A">
            <w:pPr>
              <w:jc w:val="center"/>
              <w:rPr>
                <w:rFonts w:hint="eastAsia" w:ascii="宋体" w:hAnsi="宋体" w:eastAsia="宋体" w:cs="宋体"/>
                <w:i w:val="0"/>
                <w:iCs w:val="0"/>
                <w:color w:val="000000"/>
                <w:sz w:val="18"/>
                <w:szCs w:val="18"/>
                <w:u w:val="none"/>
              </w:rPr>
            </w:pPr>
          </w:p>
        </w:tc>
      </w:tr>
      <w:tr w14:paraId="7D2F5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310"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677B5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6029E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F175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55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F4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8943">
            <w:pPr>
              <w:rPr>
                <w:rFonts w:hint="eastAsia" w:ascii="宋体" w:hAnsi="宋体" w:eastAsia="宋体" w:cs="宋体"/>
                <w:i w:val="0"/>
                <w:iCs w:val="0"/>
                <w:color w:val="000000"/>
                <w:sz w:val="18"/>
                <w:szCs w:val="18"/>
                <w:u w:val="none"/>
              </w:rPr>
            </w:pPr>
          </w:p>
        </w:tc>
      </w:tr>
      <w:tr w14:paraId="30FDD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4EEDD47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014BA0E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97E018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监测点建设数量</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3AE9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20个</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43932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20个</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CA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D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5129">
            <w:pPr>
              <w:rPr>
                <w:rFonts w:hint="eastAsia" w:ascii="宋体" w:hAnsi="宋体" w:eastAsia="宋体" w:cs="宋体"/>
                <w:i w:val="0"/>
                <w:iCs w:val="0"/>
                <w:color w:val="000000"/>
                <w:sz w:val="18"/>
                <w:szCs w:val="18"/>
                <w:u w:val="none"/>
              </w:rPr>
            </w:pPr>
          </w:p>
        </w:tc>
      </w:tr>
      <w:tr w14:paraId="4C71A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480C86CF">
            <w:pPr>
              <w:jc w:val="center"/>
              <w:rPr>
                <w:rFonts w:hint="eastAsia" w:ascii="宋体" w:hAnsi="宋体" w:eastAsia="宋体" w:cs="宋体"/>
                <w:i w:val="0"/>
                <w:iCs w:val="0"/>
                <w:color w:val="333333"/>
                <w:sz w:val="18"/>
                <w:szCs w:val="18"/>
                <w:u w:val="none"/>
              </w:rPr>
            </w:pP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570E015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4AA3B8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监测点设备质量合格率</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70A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680F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D6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3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84B19">
            <w:pPr>
              <w:rPr>
                <w:rFonts w:hint="eastAsia" w:ascii="宋体" w:hAnsi="宋体" w:eastAsia="宋体" w:cs="宋体"/>
                <w:i w:val="0"/>
                <w:iCs w:val="0"/>
                <w:color w:val="000000"/>
                <w:sz w:val="18"/>
                <w:szCs w:val="18"/>
                <w:u w:val="none"/>
              </w:rPr>
            </w:pPr>
          </w:p>
        </w:tc>
      </w:tr>
      <w:tr w14:paraId="6B55E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0B32628">
            <w:pPr>
              <w:jc w:val="center"/>
              <w:rPr>
                <w:rFonts w:hint="eastAsia" w:ascii="宋体" w:hAnsi="宋体" w:eastAsia="宋体" w:cs="宋体"/>
                <w:i w:val="0"/>
                <w:iCs w:val="0"/>
                <w:color w:val="333333"/>
                <w:sz w:val="18"/>
                <w:szCs w:val="18"/>
                <w:u w:val="none"/>
              </w:rPr>
            </w:pP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5CCC6D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697437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接入省市平台及时率</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7CB8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09E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C8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96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B8BC">
            <w:pPr>
              <w:rPr>
                <w:rFonts w:hint="eastAsia" w:ascii="宋体" w:hAnsi="宋体" w:eastAsia="宋体" w:cs="宋体"/>
                <w:i w:val="0"/>
                <w:iCs w:val="0"/>
                <w:color w:val="000000"/>
                <w:sz w:val="18"/>
                <w:szCs w:val="18"/>
                <w:u w:val="none"/>
              </w:rPr>
            </w:pPr>
          </w:p>
        </w:tc>
      </w:tr>
      <w:tr w14:paraId="7CBA7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1E27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656E74C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1EFCCB7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监测点运行正常率</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B546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3ED4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5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60B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06C6B">
            <w:pPr>
              <w:rPr>
                <w:rFonts w:hint="eastAsia" w:ascii="宋体" w:hAnsi="宋体" w:eastAsia="宋体" w:cs="宋体"/>
                <w:i w:val="0"/>
                <w:iCs w:val="0"/>
                <w:color w:val="000000"/>
                <w:sz w:val="18"/>
                <w:szCs w:val="18"/>
                <w:u w:val="none"/>
              </w:rPr>
            </w:pPr>
          </w:p>
        </w:tc>
      </w:tr>
      <w:tr w14:paraId="6253C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8907B">
            <w:pPr>
              <w:jc w:val="center"/>
              <w:rPr>
                <w:rFonts w:hint="eastAsia" w:ascii="宋体" w:hAnsi="宋体" w:eastAsia="宋体" w:cs="宋体"/>
                <w:i w:val="0"/>
                <w:iCs w:val="0"/>
                <w:color w:val="333333"/>
                <w:sz w:val="18"/>
                <w:szCs w:val="18"/>
                <w:u w:val="none"/>
              </w:rPr>
            </w:pPr>
          </w:p>
        </w:tc>
        <w:tc>
          <w:tcPr>
            <w:tcW w:w="1950" w:type="dxa"/>
            <w:gridSpan w:val="2"/>
            <w:tcBorders>
              <w:top w:val="single" w:color="000000" w:sz="4" w:space="0"/>
              <w:left w:val="single" w:color="000000" w:sz="4" w:space="0"/>
              <w:bottom w:val="single" w:color="000000" w:sz="4" w:space="0"/>
              <w:right w:val="nil"/>
            </w:tcBorders>
            <w:shd w:val="clear" w:color="auto" w:fill="FFFFFF"/>
            <w:noWrap/>
            <w:vAlign w:val="center"/>
          </w:tcPr>
          <w:p w14:paraId="26C2146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36F9F6D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监测点运行管理机制健全性</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C60C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B476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D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BB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0E96A">
            <w:pPr>
              <w:rPr>
                <w:rFonts w:hint="eastAsia" w:ascii="宋体" w:hAnsi="宋体" w:eastAsia="宋体" w:cs="宋体"/>
                <w:i w:val="0"/>
                <w:iCs w:val="0"/>
                <w:color w:val="000000"/>
                <w:sz w:val="18"/>
                <w:szCs w:val="18"/>
                <w:u w:val="none"/>
              </w:rPr>
            </w:pPr>
          </w:p>
        </w:tc>
      </w:tr>
      <w:tr w14:paraId="1D58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C970A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8BB4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28B96E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各监测点服务单位满意度</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50C6E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99%</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89AE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C3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3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7735C">
            <w:pPr>
              <w:rPr>
                <w:rFonts w:hint="eastAsia" w:ascii="宋体" w:hAnsi="宋体" w:eastAsia="宋体" w:cs="宋体"/>
                <w:i w:val="0"/>
                <w:iCs w:val="0"/>
                <w:color w:val="000000"/>
                <w:sz w:val="18"/>
                <w:szCs w:val="18"/>
                <w:u w:val="none"/>
              </w:rPr>
            </w:pPr>
          </w:p>
        </w:tc>
      </w:tr>
      <w:tr w14:paraId="3DFB8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95D9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EF70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220" w:type="dxa"/>
            <w:tcBorders>
              <w:top w:val="single" w:color="000000" w:sz="4" w:space="0"/>
              <w:left w:val="single" w:color="000000" w:sz="4" w:space="0"/>
              <w:bottom w:val="single" w:color="000000" w:sz="4" w:space="0"/>
              <w:right w:val="nil"/>
            </w:tcBorders>
            <w:shd w:val="clear" w:color="auto" w:fill="FFFFFF"/>
            <w:noWrap/>
            <w:vAlign w:val="center"/>
          </w:tcPr>
          <w:p w14:paraId="56447D4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监测点建设经费控制数</w:t>
            </w:r>
          </w:p>
        </w:tc>
        <w:tc>
          <w:tcPr>
            <w:tcW w:w="8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78A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20万元</w:t>
            </w:r>
          </w:p>
        </w:tc>
        <w:tc>
          <w:tcPr>
            <w:tcW w:w="9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E8DF9">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19.84万元</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94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397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ECDE">
            <w:pPr>
              <w:rPr>
                <w:rFonts w:hint="eastAsia" w:ascii="宋体" w:hAnsi="宋体" w:eastAsia="宋体" w:cs="宋体"/>
                <w:i w:val="0"/>
                <w:iCs w:val="0"/>
                <w:color w:val="000000"/>
                <w:sz w:val="18"/>
                <w:szCs w:val="18"/>
                <w:u w:val="none"/>
              </w:rPr>
            </w:pPr>
          </w:p>
        </w:tc>
      </w:tr>
    </w:tbl>
    <w:p w14:paraId="2BFC1C12">
      <w:pPr>
        <w:rPr>
          <w:rFonts w:hint="eastAsia" w:ascii="Times New Roman" w:hAnsi="Times New Roman" w:eastAsia="黑体" w:cs="黑体"/>
          <w:color w:val="FF0000"/>
          <w:sz w:val="32"/>
          <w:szCs w:val="32"/>
          <w:highlight w:val="none"/>
        </w:rPr>
      </w:pPr>
      <w:r>
        <w:rPr>
          <w:rFonts w:hint="eastAsia" w:ascii="Times New Roman" w:hAnsi="Times New Roman" w:eastAsia="黑体" w:cs="黑体"/>
          <w:color w:val="FF0000"/>
          <w:sz w:val="32"/>
          <w:szCs w:val="32"/>
          <w:highlight w:val="none"/>
        </w:rPr>
        <w:br w:type="page"/>
      </w:r>
    </w:p>
    <w:tbl>
      <w:tblPr>
        <w:tblStyle w:val="15"/>
        <w:tblW w:w="9060" w:type="dxa"/>
        <w:tblInd w:w="-1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70"/>
        <w:gridCol w:w="625"/>
        <w:gridCol w:w="1000"/>
        <w:gridCol w:w="2070"/>
        <w:gridCol w:w="1275"/>
        <w:gridCol w:w="795"/>
        <w:gridCol w:w="689"/>
        <w:gridCol w:w="525"/>
        <w:gridCol w:w="811"/>
      </w:tblGrid>
      <w:tr w14:paraId="0F0E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060" w:type="dxa"/>
            <w:gridSpan w:val="9"/>
            <w:tcBorders>
              <w:top w:val="nil"/>
              <w:left w:val="nil"/>
              <w:bottom w:val="nil"/>
              <w:right w:val="nil"/>
            </w:tcBorders>
            <w:shd w:val="clear" w:color="auto" w:fill="auto"/>
            <w:noWrap/>
            <w:vAlign w:val="center"/>
          </w:tcPr>
          <w:p w14:paraId="763F32ED">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2</w:t>
            </w:r>
          </w:p>
        </w:tc>
      </w:tr>
      <w:tr w14:paraId="583EC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36A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6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62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区政府集中办公区新建车棚项目</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BDA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D35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6116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25F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6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81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409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7DE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4190E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060"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7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3BFD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895" w:type="dxa"/>
            <w:gridSpan w:val="2"/>
            <w:tcBorders>
              <w:top w:val="single" w:color="000000" w:sz="4" w:space="0"/>
              <w:left w:val="single" w:color="000000" w:sz="4" w:space="0"/>
              <w:bottom w:val="single" w:color="000000" w:sz="4" w:space="0"/>
              <w:right w:val="nil"/>
            </w:tcBorders>
            <w:shd w:val="clear" w:color="auto" w:fill="auto"/>
            <w:noWrap/>
            <w:vAlign w:val="center"/>
          </w:tcPr>
          <w:p w14:paraId="0AE24490">
            <w:pPr>
              <w:jc w:val="center"/>
              <w:rPr>
                <w:rFonts w:hint="eastAsia" w:ascii="宋体" w:hAnsi="宋体" w:eastAsia="宋体" w:cs="宋体"/>
                <w:i w:val="0"/>
                <w:iCs w:val="0"/>
                <w:color w:val="000000"/>
                <w:sz w:val="20"/>
                <w:szCs w:val="20"/>
                <w:u w:val="none"/>
              </w:rPr>
            </w:pP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0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0FD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8B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AE09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79A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8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25.02</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0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25.02</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27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68B9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6F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E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25.02</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0C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25.02</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DE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7DD5F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8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DC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0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9BD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92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23DB3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9A3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97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6C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0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73FD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A7D87">
            <w:pPr>
              <w:jc w:val="left"/>
              <w:rPr>
                <w:rFonts w:hint="eastAsia" w:ascii="宋体" w:hAnsi="宋体" w:eastAsia="宋体" w:cs="宋体"/>
                <w:i w:val="0"/>
                <w:iCs w:val="0"/>
                <w:color w:val="000000"/>
                <w:sz w:val="20"/>
                <w:szCs w:val="20"/>
                <w:u w:val="none"/>
              </w:rPr>
            </w:pPr>
          </w:p>
        </w:tc>
        <w:tc>
          <w:tcPr>
            <w:tcW w:w="4970" w:type="dxa"/>
            <w:gridSpan w:val="4"/>
            <w:tcBorders>
              <w:top w:val="single" w:color="000000" w:sz="4" w:space="0"/>
              <w:left w:val="single" w:color="000000" w:sz="4" w:space="0"/>
              <w:bottom w:val="nil"/>
              <w:right w:val="single" w:color="000000" w:sz="4" w:space="0"/>
            </w:tcBorders>
            <w:shd w:val="clear" w:color="auto" w:fill="auto"/>
            <w:vAlign w:val="center"/>
          </w:tcPr>
          <w:p w14:paraId="492563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深入贯彻落实区委、区政府实施“工业强区、城市更新、绿色发展”战略，响应国家发展清洁能源号召，起好创建国家级节约型公共机构示范带头作用，在区政府集中办公区新建车棚，并加装光伏组件，建成后投影面积约830平方米，装机容量约200千瓦。</w:t>
            </w:r>
          </w:p>
        </w:tc>
        <w:tc>
          <w:tcPr>
            <w:tcW w:w="28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46E9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本年投入25.02万元，初步完成建设竣工并试运行，初步起到光伏节能示范带头作用。</w:t>
            </w:r>
          </w:p>
        </w:tc>
      </w:tr>
      <w:tr w14:paraId="08355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D0D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0EE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0A0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DC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82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BE7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525" w:type="dxa"/>
            <w:tcBorders>
              <w:top w:val="single" w:color="000000" w:sz="4" w:space="0"/>
              <w:left w:val="nil"/>
              <w:bottom w:val="single" w:color="000000" w:sz="4" w:space="0"/>
              <w:right w:val="single" w:color="000000" w:sz="4" w:space="0"/>
            </w:tcBorders>
            <w:shd w:val="clear" w:color="auto" w:fill="auto"/>
            <w:noWrap/>
            <w:vAlign w:val="center"/>
          </w:tcPr>
          <w:p w14:paraId="0C3D2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3A2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69ACB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03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93D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F9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50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62EC">
            <w:pPr>
              <w:jc w:val="center"/>
              <w:rPr>
                <w:rFonts w:hint="eastAsia" w:ascii="宋体" w:hAnsi="宋体" w:eastAsia="宋体" w:cs="宋体"/>
                <w:i w:val="0"/>
                <w:iCs w:val="0"/>
                <w:color w:val="000000"/>
                <w:sz w:val="18"/>
                <w:szCs w:val="18"/>
                <w:u w:val="none"/>
              </w:rPr>
            </w:pPr>
          </w:p>
        </w:tc>
      </w:tr>
      <w:tr w14:paraId="52A77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96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CEEA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96ED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281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2B3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F7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3BE72">
            <w:pPr>
              <w:rPr>
                <w:rFonts w:hint="eastAsia" w:ascii="宋体" w:hAnsi="宋体" w:eastAsia="宋体" w:cs="宋体"/>
                <w:i w:val="0"/>
                <w:iCs w:val="0"/>
                <w:color w:val="000000"/>
                <w:sz w:val="18"/>
                <w:szCs w:val="18"/>
                <w:u w:val="none"/>
              </w:rPr>
            </w:pPr>
          </w:p>
        </w:tc>
      </w:tr>
      <w:tr w14:paraId="44BD5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1FC6C09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279215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501D835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车棚投影面积</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6F28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830平米</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EF19F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830平米</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BF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50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46BF8">
            <w:pPr>
              <w:rPr>
                <w:rFonts w:hint="eastAsia" w:ascii="宋体" w:hAnsi="宋体" w:eastAsia="宋体" w:cs="宋体"/>
                <w:i w:val="0"/>
                <w:iCs w:val="0"/>
                <w:color w:val="000000"/>
                <w:sz w:val="18"/>
                <w:szCs w:val="18"/>
                <w:u w:val="none"/>
              </w:rPr>
            </w:pPr>
          </w:p>
        </w:tc>
      </w:tr>
      <w:tr w14:paraId="116B7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7E2FDF54">
            <w:pPr>
              <w:jc w:val="center"/>
              <w:rPr>
                <w:rFonts w:hint="eastAsia" w:ascii="宋体" w:hAnsi="宋体" w:eastAsia="宋体" w:cs="宋体"/>
                <w:i w:val="0"/>
                <w:iCs w:val="0"/>
                <w:color w:val="333333"/>
                <w:sz w:val="18"/>
                <w:szCs w:val="18"/>
                <w:u w:val="none"/>
              </w:rPr>
            </w:pP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1B3BB1E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4C370B0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车棚钢结构合格率</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1324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4F40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46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80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B6743">
            <w:pPr>
              <w:rPr>
                <w:rFonts w:hint="eastAsia" w:ascii="宋体" w:hAnsi="宋体" w:eastAsia="宋体" w:cs="宋体"/>
                <w:i w:val="0"/>
                <w:iCs w:val="0"/>
                <w:color w:val="000000"/>
                <w:sz w:val="18"/>
                <w:szCs w:val="18"/>
                <w:u w:val="none"/>
              </w:rPr>
            </w:pPr>
          </w:p>
        </w:tc>
      </w:tr>
      <w:tr w14:paraId="5BDAE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62EF775D">
            <w:pPr>
              <w:jc w:val="center"/>
              <w:rPr>
                <w:rFonts w:hint="eastAsia" w:ascii="宋体" w:hAnsi="宋体" w:eastAsia="宋体" w:cs="宋体"/>
                <w:i w:val="0"/>
                <w:iCs w:val="0"/>
                <w:color w:val="333333"/>
                <w:sz w:val="18"/>
                <w:szCs w:val="18"/>
                <w:u w:val="none"/>
              </w:rPr>
            </w:pP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4A6CF46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5293475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车棚竣工及时率</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21E14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4E1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7E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26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0AB7">
            <w:pPr>
              <w:rPr>
                <w:rFonts w:hint="eastAsia" w:ascii="宋体" w:hAnsi="宋体" w:eastAsia="宋体" w:cs="宋体"/>
                <w:i w:val="0"/>
                <w:iCs w:val="0"/>
                <w:color w:val="000000"/>
                <w:sz w:val="18"/>
                <w:szCs w:val="18"/>
                <w:u w:val="none"/>
              </w:rPr>
            </w:pPr>
          </w:p>
        </w:tc>
      </w:tr>
      <w:tr w14:paraId="797FB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3AC4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514E3B6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3263DEA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光伏节能带动效应</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A3456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8CA1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45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947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44AD">
            <w:pPr>
              <w:rPr>
                <w:rFonts w:hint="eastAsia" w:ascii="宋体" w:hAnsi="宋体" w:eastAsia="宋体" w:cs="宋体"/>
                <w:i w:val="0"/>
                <w:iCs w:val="0"/>
                <w:color w:val="000000"/>
                <w:sz w:val="18"/>
                <w:szCs w:val="18"/>
                <w:u w:val="none"/>
              </w:rPr>
            </w:pPr>
          </w:p>
        </w:tc>
      </w:tr>
      <w:tr w14:paraId="07874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E92E0">
            <w:pPr>
              <w:jc w:val="center"/>
              <w:rPr>
                <w:rFonts w:hint="eastAsia" w:ascii="宋体" w:hAnsi="宋体" w:eastAsia="宋体" w:cs="宋体"/>
                <w:i w:val="0"/>
                <w:iCs w:val="0"/>
                <w:color w:val="333333"/>
                <w:sz w:val="18"/>
                <w:szCs w:val="18"/>
                <w:u w:val="none"/>
              </w:rPr>
            </w:pPr>
          </w:p>
        </w:tc>
        <w:tc>
          <w:tcPr>
            <w:tcW w:w="1625" w:type="dxa"/>
            <w:gridSpan w:val="2"/>
            <w:tcBorders>
              <w:top w:val="single" w:color="000000" w:sz="4" w:space="0"/>
              <w:left w:val="single" w:color="000000" w:sz="4" w:space="0"/>
              <w:bottom w:val="single" w:color="000000" w:sz="4" w:space="0"/>
              <w:right w:val="nil"/>
            </w:tcBorders>
            <w:shd w:val="clear" w:color="auto" w:fill="FFFFFF"/>
            <w:noWrap/>
            <w:vAlign w:val="center"/>
          </w:tcPr>
          <w:p w14:paraId="28E1157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61A9A1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车棚使用管理机制有效性</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86C5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37A29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311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84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80F53">
            <w:pPr>
              <w:rPr>
                <w:rFonts w:hint="eastAsia" w:ascii="宋体" w:hAnsi="宋体" w:eastAsia="宋体" w:cs="宋体"/>
                <w:i w:val="0"/>
                <w:iCs w:val="0"/>
                <w:color w:val="000000"/>
                <w:sz w:val="18"/>
                <w:szCs w:val="18"/>
                <w:u w:val="none"/>
              </w:rPr>
            </w:pPr>
          </w:p>
        </w:tc>
      </w:tr>
      <w:tr w14:paraId="5BFB7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3EAF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8E4E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070" w:type="dxa"/>
            <w:tcBorders>
              <w:top w:val="single" w:color="000000" w:sz="4" w:space="0"/>
              <w:left w:val="single" w:color="000000" w:sz="4" w:space="0"/>
              <w:bottom w:val="single" w:color="000000" w:sz="4" w:space="0"/>
              <w:right w:val="nil"/>
            </w:tcBorders>
            <w:shd w:val="clear" w:color="auto" w:fill="FFFFFF"/>
            <w:noWrap/>
            <w:vAlign w:val="center"/>
          </w:tcPr>
          <w:p w14:paraId="0BC52ED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职工满意度</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F953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2EF7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A8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3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2626B">
            <w:pPr>
              <w:rPr>
                <w:rFonts w:hint="eastAsia" w:ascii="宋体" w:hAnsi="宋体" w:eastAsia="宋体" w:cs="宋体"/>
                <w:i w:val="0"/>
                <w:iCs w:val="0"/>
                <w:color w:val="000000"/>
                <w:sz w:val="18"/>
                <w:szCs w:val="18"/>
                <w:u w:val="none"/>
              </w:rPr>
            </w:pPr>
          </w:p>
        </w:tc>
      </w:tr>
      <w:tr w14:paraId="5A39E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5F13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1C67C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B3B82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建设成本</w:t>
            </w:r>
          </w:p>
        </w:tc>
        <w:tc>
          <w:tcPr>
            <w:tcW w:w="12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E686D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25.02万元</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AEA41">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25.02万元</w:t>
            </w: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D98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107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E1BE">
            <w:pPr>
              <w:rPr>
                <w:rFonts w:hint="eastAsia" w:ascii="宋体" w:hAnsi="宋体" w:eastAsia="宋体" w:cs="宋体"/>
                <w:i w:val="0"/>
                <w:iCs w:val="0"/>
                <w:color w:val="000000"/>
                <w:sz w:val="18"/>
                <w:szCs w:val="18"/>
                <w:u w:val="none"/>
              </w:rPr>
            </w:pPr>
          </w:p>
        </w:tc>
      </w:tr>
    </w:tbl>
    <w:p w14:paraId="4152077E">
      <w:pPr>
        <w:pStyle w:val="2"/>
        <w:rPr>
          <w:rFonts w:hint="eastAsia" w:ascii="Times New Roman" w:hAnsi="Times New Roman" w:eastAsia="黑体" w:cs="黑体"/>
          <w:color w:val="FF0000"/>
          <w:sz w:val="32"/>
          <w:szCs w:val="32"/>
          <w:highlight w:val="none"/>
        </w:rPr>
      </w:pPr>
    </w:p>
    <w:tbl>
      <w:tblPr>
        <w:tblStyle w:val="15"/>
        <w:tblW w:w="931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68"/>
        <w:gridCol w:w="1305"/>
        <w:gridCol w:w="2235"/>
        <w:gridCol w:w="1380"/>
        <w:gridCol w:w="795"/>
        <w:gridCol w:w="1095"/>
        <w:gridCol w:w="660"/>
        <w:gridCol w:w="675"/>
      </w:tblGrid>
      <w:tr w14:paraId="07C58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313" w:type="dxa"/>
            <w:gridSpan w:val="8"/>
            <w:tcBorders>
              <w:top w:val="nil"/>
              <w:left w:val="nil"/>
              <w:bottom w:val="nil"/>
              <w:right w:val="nil"/>
            </w:tcBorders>
            <w:shd w:val="clear" w:color="auto" w:fill="auto"/>
            <w:noWrap/>
            <w:vAlign w:val="center"/>
          </w:tcPr>
          <w:p w14:paraId="0D91D2DF">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bookmarkStart w:id="49" w:name="_Toc15396618"/>
            <w:r>
              <w:rPr>
                <w:rFonts w:hint="eastAsia" w:ascii="宋体" w:hAnsi="宋体" w:eastAsia="宋体" w:cs="宋体"/>
                <w:b/>
                <w:bCs/>
                <w:i w:val="0"/>
                <w:iCs w:val="0"/>
                <w:color w:val="000000"/>
                <w:kern w:val="0"/>
                <w:sz w:val="36"/>
                <w:szCs w:val="36"/>
                <w:u w:val="none"/>
                <w:lang w:val="en-US" w:eastAsia="zh-CN" w:bidi="ar"/>
              </w:rPr>
              <w:t>区级项目支出绩效自评表3</w:t>
            </w:r>
          </w:p>
        </w:tc>
      </w:tr>
      <w:tr w14:paraId="25D4F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6A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5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1B7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公务接待专项费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15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55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1191F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0A2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5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C5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78E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1BE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26CE1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1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A3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D89D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73" w:type="dxa"/>
            <w:gridSpan w:val="2"/>
            <w:tcBorders>
              <w:top w:val="single" w:color="000000" w:sz="4" w:space="0"/>
              <w:left w:val="single" w:color="000000" w:sz="4" w:space="0"/>
              <w:bottom w:val="single" w:color="000000" w:sz="4" w:space="0"/>
              <w:right w:val="nil"/>
            </w:tcBorders>
            <w:shd w:val="clear" w:color="auto" w:fill="auto"/>
            <w:noWrap/>
            <w:vAlign w:val="center"/>
          </w:tcPr>
          <w:p w14:paraId="1EDDD94B">
            <w:pPr>
              <w:jc w:val="center"/>
              <w:rPr>
                <w:rFonts w:hint="eastAsia" w:ascii="宋体" w:hAnsi="宋体" w:eastAsia="宋体" w:cs="宋体"/>
                <w:i w:val="0"/>
                <w:iCs w:val="0"/>
                <w:color w:val="000000"/>
                <w:sz w:val="20"/>
                <w:szCs w:val="20"/>
                <w:u w:val="none"/>
              </w:rPr>
            </w:pP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32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66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88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748DA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AB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BC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613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D8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C01B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A6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FC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A82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60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97B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ADF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CB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78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13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3F7CF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79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9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444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4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CF0F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B0FBE">
            <w:pPr>
              <w:jc w:val="left"/>
              <w:rPr>
                <w:rFonts w:hint="eastAsia" w:ascii="宋体" w:hAnsi="宋体" w:eastAsia="宋体" w:cs="宋体"/>
                <w:i w:val="0"/>
                <w:iCs w:val="0"/>
                <w:color w:val="000000"/>
                <w:sz w:val="20"/>
                <w:szCs w:val="20"/>
                <w:u w:val="none"/>
              </w:rPr>
            </w:pPr>
          </w:p>
        </w:tc>
        <w:tc>
          <w:tcPr>
            <w:tcW w:w="4920" w:type="dxa"/>
            <w:gridSpan w:val="3"/>
            <w:tcBorders>
              <w:top w:val="single" w:color="000000" w:sz="4" w:space="0"/>
              <w:left w:val="single" w:color="000000" w:sz="4" w:space="0"/>
              <w:bottom w:val="nil"/>
              <w:right w:val="single" w:color="000000" w:sz="4" w:space="0"/>
            </w:tcBorders>
            <w:shd w:val="clear" w:color="auto" w:fill="auto"/>
            <w:vAlign w:val="center"/>
          </w:tcPr>
          <w:p w14:paraId="196393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承担全区区级重要及大型公务接待任务,确保支出规范,后勤保障</w:t>
            </w:r>
          </w:p>
        </w:tc>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4EE3C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完成全区区级重要及大型公务接待任务,确保支出规范,后勤保障</w:t>
            </w:r>
          </w:p>
        </w:tc>
      </w:tr>
      <w:tr w14:paraId="0CC27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E82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CA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1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B57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93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378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60" w:type="dxa"/>
            <w:tcBorders>
              <w:top w:val="single" w:color="000000" w:sz="4" w:space="0"/>
              <w:left w:val="nil"/>
              <w:bottom w:val="single" w:color="000000" w:sz="4" w:space="0"/>
              <w:right w:val="single" w:color="000000" w:sz="4" w:space="0"/>
            </w:tcBorders>
            <w:shd w:val="clear" w:color="auto" w:fill="auto"/>
            <w:noWrap/>
            <w:vAlign w:val="center"/>
          </w:tcPr>
          <w:p w14:paraId="2A9AD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3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5D88A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28F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4A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3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9094A">
            <w:pPr>
              <w:jc w:val="center"/>
              <w:rPr>
                <w:rFonts w:hint="eastAsia" w:ascii="宋体" w:hAnsi="宋体" w:eastAsia="宋体" w:cs="宋体"/>
                <w:i w:val="0"/>
                <w:iCs w:val="0"/>
                <w:color w:val="000000"/>
                <w:sz w:val="18"/>
                <w:szCs w:val="18"/>
                <w:u w:val="none"/>
              </w:rPr>
            </w:pPr>
          </w:p>
        </w:tc>
      </w:tr>
      <w:tr w14:paraId="48349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708"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A236F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FC15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26BE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07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A5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B049">
            <w:pPr>
              <w:rPr>
                <w:rFonts w:hint="eastAsia" w:ascii="宋体" w:hAnsi="宋体" w:eastAsia="宋体" w:cs="宋体"/>
                <w:i w:val="0"/>
                <w:iCs w:val="0"/>
                <w:color w:val="000000"/>
                <w:sz w:val="18"/>
                <w:szCs w:val="18"/>
                <w:u w:val="none"/>
              </w:rPr>
            </w:pPr>
          </w:p>
        </w:tc>
      </w:tr>
      <w:tr w14:paraId="1BFCE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68"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1204D55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232E81A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664E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公务接待费用结算准确率</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0CE9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813DA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67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6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AB00E">
            <w:pPr>
              <w:rPr>
                <w:rFonts w:hint="eastAsia" w:ascii="宋体" w:hAnsi="宋体" w:eastAsia="宋体" w:cs="宋体"/>
                <w:i w:val="0"/>
                <w:iCs w:val="0"/>
                <w:color w:val="000000"/>
                <w:sz w:val="18"/>
                <w:szCs w:val="18"/>
                <w:u w:val="none"/>
              </w:rPr>
            </w:pPr>
          </w:p>
        </w:tc>
      </w:tr>
      <w:tr w14:paraId="69F3B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168"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5D4C1C1B">
            <w:pPr>
              <w:jc w:val="center"/>
              <w:rPr>
                <w:rFonts w:hint="eastAsia" w:ascii="宋体" w:hAnsi="宋体" w:eastAsia="宋体" w:cs="宋体"/>
                <w:i w:val="0"/>
                <w:iCs w:val="0"/>
                <w:color w:val="333333"/>
                <w:sz w:val="18"/>
                <w:szCs w:val="18"/>
                <w:u w:val="none"/>
              </w:rPr>
            </w:pP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26182A4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63639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公务接待费用支付及时率</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4E29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D94E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505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8A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3BF74">
            <w:pPr>
              <w:rPr>
                <w:rFonts w:hint="eastAsia" w:ascii="宋体" w:hAnsi="宋体" w:eastAsia="宋体" w:cs="宋体"/>
                <w:i w:val="0"/>
                <w:iCs w:val="0"/>
                <w:color w:val="000000"/>
                <w:sz w:val="18"/>
                <w:szCs w:val="18"/>
                <w:u w:val="none"/>
              </w:rPr>
            </w:pPr>
          </w:p>
        </w:tc>
      </w:tr>
      <w:tr w14:paraId="14479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68"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942D2E3">
            <w:pPr>
              <w:jc w:val="center"/>
              <w:rPr>
                <w:rFonts w:hint="eastAsia" w:ascii="宋体" w:hAnsi="宋体" w:eastAsia="宋体" w:cs="宋体"/>
                <w:i w:val="0"/>
                <w:iCs w:val="0"/>
                <w:color w:val="333333"/>
                <w:sz w:val="18"/>
                <w:szCs w:val="18"/>
                <w:u w:val="none"/>
              </w:rPr>
            </w:pP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3FC8C4D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199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全年公务接待人次</w:t>
            </w:r>
          </w:p>
        </w:tc>
        <w:tc>
          <w:tcPr>
            <w:tcW w:w="1380" w:type="dxa"/>
            <w:tcBorders>
              <w:top w:val="nil"/>
              <w:left w:val="nil"/>
              <w:bottom w:val="nil"/>
              <w:right w:val="nil"/>
            </w:tcBorders>
            <w:shd w:val="clear" w:color="auto" w:fill="auto"/>
            <w:vAlign w:val="center"/>
          </w:tcPr>
          <w:p w14:paraId="026D7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≤1400人次</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0FF3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440人次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D7E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45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783C8">
            <w:pPr>
              <w:rPr>
                <w:rFonts w:hint="eastAsia" w:ascii="宋体" w:hAnsi="宋体" w:eastAsia="宋体" w:cs="宋体"/>
                <w:i w:val="0"/>
                <w:iCs w:val="0"/>
                <w:color w:val="000000"/>
                <w:sz w:val="18"/>
                <w:szCs w:val="18"/>
                <w:u w:val="none"/>
              </w:rPr>
            </w:pPr>
          </w:p>
        </w:tc>
      </w:tr>
      <w:tr w14:paraId="4659E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68"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1487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0E0551E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9F343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公务接待规范性</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9863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DD6A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0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72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A846">
            <w:pPr>
              <w:rPr>
                <w:rFonts w:hint="eastAsia" w:ascii="宋体" w:hAnsi="宋体" w:eastAsia="宋体" w:cs="宋体"/>
                <w:i w:val="0"/>
                <w:iCs w:val="0"/>
                <w:color w:val="000000"/>
                <w:sz w:val="18"/>
                <w:szCs w:val="18"/>
                <w:u w:val="none"/>
              </w:rPr>
            </w:pPr>
          </w:p>
        </w:tc>
      </w:tr>
      <w:tr w14:paraId="11478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168"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A4624D">
            <w:pPr>
              <w:jc w:val="center"/>
              <w:rPr>
                <w:rFonts w:hint="eastAsia" w:ascii="宋体" w:hAnsi="宋体" w:eastAsia="宋体" w:cs="宋体"/>
                <w:i w:val="0"/>
                <w:iCs w:val="0"/>
                <w:color w:val="333333"/>
                <w:sz w:val="18"/>
                <w:szCs w:val="18"/>
                <w:u w:val="none"/>
              </w:rPr>
            </w:pP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23E28F4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9EA74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公务接待管理机制健全性</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750C7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BEB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E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2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FCD9">
            <w:pPr>
              <w:rPr>
                <w:rFonts w:hint="eastAsia" w:ascii="宋体" w:hAnsi="宋体" w:eastAsia="宋体" w:cs="宋体"/>
                <w:i w:val="0"/>
                <w:iCs w:val="0"/>
                <w:color w:val="000000"/>
                <w:sz w:val="18"/>
                <w:szCs w:val="18"/>
                <w:u w:val="none"/>
              </w:rPr>
            </w:pPr>
          </w:p>
        </w:tc>
      </w:tr>
      <w:tr w14:paraId="4AB9A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7E08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47D76AA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F51E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公务接待对象满意度</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5231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EB7DD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E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96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C928C">
            <w:pPr>
              <w:rPr>
                <w:rFonts w:hint="eastAsia" w:ascii="宋体" w:hAnsi="宋体" w:eastAsia="宋体" w:cs="宋体"/>
                <w:i w:val="0"/>
                <w:iCs w:val="0"/>
                <w:color w:val="000000"/>
                <w:sz w:val="18"/>
                <w:szCs w:val="18"/>
                <w:u w:val="none"/>
              </w:rPr>
            </w:pPr>
          </w:p>
        </w:tc>
      </w:tr>
      <w:tr w14:paraId="00CD0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16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049B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305" w:type="dxa"/>
            <w:tcBorders>
              <w:top w:val="single" w:color="000000" w:sz="4" w:space="0"/>
              <w:left w:val="single" w:color="000000" w:sz="4" w:space="0"/>
              <w:bottom w:val="single" w:color="000000" w:sz="4" w:space="0"/>
              <w:right w:val="nil"/>
            </w:tcBorders>
            <w:shd w:val="clear" w:color="auto" w:fill="FFFFFF"/>
            <w:noWrap/>
            <w:vAlign w:val="center"/>
          </w:tcPr>
          <w:p w14:paraId="5AA821A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2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0EA3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公务接待费用控制数</w:t>
            </w:r>
          </w:p>
        </w:tc>
        <w:tc>
          <w:tcPr>
            <w:tcW w:w="13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33BA7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16万元</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EB3D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4.3万元</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7E81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74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7D7C">
            <w:pPr>
              <w:rPr>
                <w:rFonts w:hint="eastAsia" w:ascii="宋体" w:hAnsi="宋体" w:eastAsia="宋体" w:cs="宋体"/>
                <w:i w:val="0"/>
                <w:iCs w:val="0"/>
                <w:color w:val="000000"/>
                <w:sz w:val="18"/>
                <w:szCs w:val="18"/>
                <w:u w:val="none"/>
              </w:rPr>
            </w:pPr>
          </w:p>
        </w:tc>
      </w:tr>
    </w:tbl>
    <w:p w14:paraId="18E60D74">
      <w:pPr>
        <w:widowControl/>
        <w:jc w:val="both"/>
        <w:rPr>
          <w:rFonts w:hint="eastAsia" w:ascii="Times New Roman" w:hAnsi="Times New Roman" w:eastAsia="黑体"/>
          <w:color w:val="auto"/>
          <w:sz w:val="44"/>
          <w:szCs w:val="44"/>
          <w:highlight w:val="none"/>
        </w:rPr>
      </w:pPr>
    </w:p>
    <w:p w14:paraId="4BE8E3FA">
      <w:pPr>
        <w:rPr>
          <w:rFonts w:hint="eastAsia"/>
        </w:rPr>
      </w:pPr>
      <w:r>
        <w:rPr>
          <w:rFonts w:hint="eastAsia"/>
        </w:rPr>
        <w:br w:type="page"/>
      </w:r>
    </w:p>
    <w:p w14:paraId="06C7E4CC">
      <w:pPr>
        <w:pStyle w:val="2"/>
        <w:rPr>
          <w:rFonts w:hint="eastAsia"/>
        </w:rPr>
      </w:pPr>
    </w:p>
    <w:tbl>
      <w:tblPr>
        <w:tblStyle w:val="15"/>
        <w:tblW w:w="896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8"/>
        <w:gridCol w:w="740"/>
        <w:gridCol w:w="740"/>
        <w:gridCol w:w="2230"/>
        <w:gridCol w:w="1207"/>
        <w:gridCol w:w="940"/>
        <w:gridCol w:w="718"/>
        <w:gridCol w:w="615"/>
        <w:gridCol w:w="600"/>
      </w:tblGrid>
      <w:tr w14:paraId="7FBC3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968" w:type="dxa"/>
            <w:gridSpan w:val="9"/>
            <w:tcBorders>
              <w:top w:val="nil"/>
              <w:left w:val="nil"/>
              <w:bottom w:val="nil"/>
              <w:right w:val="nil"/>
            </w:tcBorders>
            <w:shd w:val="clear" w:color="auto" w:fill="auto"/>
            <w:noWrap/>
            <w:vAlign w:val="center"/>
          </w:tcPr>
          <w:p w14:paraId="458A3DB1">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区级项目支出绩效自评表4</w:t>
            </w:r>
          </w:p>
        </w:tc>
      </w:tr>
      <w:tr w14:paraId="497AF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B0C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FF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县级领导体检经费</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6D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7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FB1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4FC9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0A2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BE1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E7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7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B9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31A76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96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96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3557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18" w:type="dxa"/>
            <w:gridSpan w:val="2"/>
            <w:tcBorders>
              <w:top w:val="single" w:color="000000" w:sz="4" w:space="0"/>
              <w:left w:val="single" w:color="000000" w:sz="4" w:space="0"/>
              <w:bottom w:val="single" w:color="000000" w:sz="4" w:space="0"/>
              <w:right w:val="nil"/>
            </w:tcBorders>
            <w:shd w:val="clear" w:color="auto" w:fill="auto"/>
            <w:noWrap/>
            <w:vAlign w:val="center"/>
          </w:tcPr>
          <w:p w14:paraId="55EB7CB9">
            <w:pPr>
              <w:jc w:val="center"/>
              <w:rPr>
                <w:rFonts w:hint="eastAsia" w:ascii="宋体" w:hAnsi="宋体" w:eastAsia="宋体" w:cs="宋体"/>
                <w:i w:val="0"/>
                <w:iCs w:val="0"/>
                <w:color w:val="000000"/>
                <w:sz w:val="20"/>
                <w:szCs w:val="20"/>
                <w:u w:val="none"/>
              </w:rPr>
            </w:pPr>
          </w:p>
        </w:tc>
        <w:tc>
          <w:tcPr>
            <w:tcW w:w="29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3C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B4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9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1A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18EDA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EE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9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B0B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9.55</w:t>
            </w: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6F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9.55</w:t>
            </w:r>
          </w:p>
        </w:tc>
        <w:tc>
          <w:tcPr>
            <w:tcW w:w="19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25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4D9A0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4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9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6C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9.55</w:t>
            </w: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9E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9.55</w:t>
            </w:r>
          </w:p>
        </w:tc>
        <w:tc>
          <w:tcPr>
            <w:tcW w:w="19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97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2EA8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B9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9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89382">
            <w:pPr>
              <w:jc w:val="center"/>
              <w:rPr>
                <w:rFonts w:hint="eastAsia" w:ascii="宋体" w:hAnsi="宋体" w:eastAsia="宋体" w:cs="宋体"/>
                <w:i w:val="0"/>
                <w:iCs w:val="0"/>
                <w:color w:val="000000"/>
                <w:sz w:val="20"/>
                <w:szCs w:val="20"/>
                <w:u w:val="none"/>
              </w:rPr>
            </w:pPr>
          </w:p>
        </w:tc>
        <w:tc>
          <w:tcPr>
            <w:tcW w:w="2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E43F">
            <w:pPr>
              <w:jc w:val="center"/>
              <w:rPr>
                <w:rFonts w:hint="eastAsia" w:ascii="宋体" w:hAnsi="宋体" w:eastAsia="宋体" w:cs="宋体"/>
                <w:i w:val="0"/>
                <w:iCs w:val="0"/>
                <w:color w:val="000000"/>
                <w:sz w:val="20"/>
                <w:szCs w:val="20"/>
                <w:u w:val="none"/>
              </w:rPr>
            </w:pPr>
          </w:p>
        </w:tc>
        <w:tc>
          <w:tcPr>
            <w:tcW w:w="193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F4670">
            <w:pPr>
              <w:jc w:val="center"/>
              <w:rPr>
                <w:rFonts w:hint="eastAsia" w:ascii="宋体" w:hAnsi="宋体" w:eastAsia="宋体" w:cs="宋体"/>
                <w:i w:val="0"/>
                <w:iCs w:val="0"/>
                <w:color w:val="000000"/>
                <w:sz w:val="20"/>
                <w:szCs w:val="20"/>
                <w:u w:val="none"/>
              </w:rPr>
            </w:pPr>
          </w:p>
        </w:tc>
      </w:tr>
      <w:tr w14:paraId="4C4D0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20A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91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CD5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87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B5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751F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51B56">
            <w:pPr>
              <w:jc w:val="left"/>
              <w:rPr>
                <w:rFonts w:hint="eastAsia" w:ascii="宋体" w:hAnsi="宋体" w:eastAsia="宋体" w:cs="宋体"/>
                <w:i w:val="0"/>
                <w:iCs w:val="0"/>
                <w:color w:val="000000"/>
                <w:sz w:val="20"/>
                <w:szCs w:val="20"/>
                <w:u w:val="none"/>
              </w:rPr>
            </w:pPr>
          </w:p>
        </w:tc>
        <w:tc>
          <w:tcPr>
            <w:tcW w:w="4917" w:type="dxa"/>
            <w:gridSpan w:val="4"/>
            <w:tcBorders>
              <w:top w:val="single" w:color="000000" w:sz="4" w:space="0"/>
              <w:left w:val="single" w:color="000000" w:sz="4" w:space="0"/>
              <w:bottom w:val="nil"/>
              <w:right w:val="single" w:color="000000" w:sz="4" w:space="0"/>
            </w:tcBorders>
            <w:shd w:val="clear" w:color="auto" w:fill="auto"/>
            <w:vAlign w:val="center"/>
          </w:tcPr>
          <w:p w14:paraId="0D6C3F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开展县级领导身体健康体检服务，有效消除健康隐患，更好开展各项工作。</w:t>
            </w:r>
          </w:p>
        </w:tc>
        <w:tc>
          <w:tcPr>
            <w:tcW w:w="28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1DDA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完成所有县级领导身体健康体检服务，有效消除健康隐患，更好开展各项工作。</w:t>
            </w:r>
          </w:p>
        </w:tc>
      </w:tr>
      <w:tr w14:paraId="262EB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AE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93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D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4B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FB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005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15" w:type="dxa"/>
            <w:tcBorders>
              <w:top w:val="single" w:color="000000" w:sz="4" w:space="0"/>
              <w:left w:val="nil"/>
              <w:bottom w:val="single" w:color="000000" w:sz="4" w:space="0"/>
              <w:right w:val="single" w:color="000000" w:sz="4" w:space="0"/>
            </w:tcBorders>
            <w:shd w:val="clear" w:color="auto" w:fill="auto"/>
            <w:noWrap/>
            <w:vAlign w:val="center"/>
          </w:tcPr>
          <w:p w14:paraId="72BACD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4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6EB2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035" w:type="dxa"/>
            <w:gridSpan w:val="6"/>
            <w:tcBorders>
              <w:top w:val="single" w:color="000000" w:sz="4" w:space="0"/>
              <w:left w:val="single" w:color="000000" w:sz="4" w:space="0"/>
              <w:bottom w:val="single" w:color="auto" w:sz="4" w:space="0"/>
              <w:right w:val="single" w:color="000000" w:sz="4" w:space="0"/>
            </w:tcBorders>
            <w:shd w:val="clear" w:color="auto" w:fill="auto"/>
            <w:noWrap/>
            <w:vAlign w:val="center"/>
          </w:tcPr>
          <w:p w14:paraId="05B2FC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7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391FB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6221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4D0C">
            <w:pPr>
              <w:jc w:val="center"/>
              <w:rPr>
                <w:rFonts w:hint="eastAsia" w:ascii="宋体" w:hAnsi="宋体" w:eastAsia="宋体" w:cs="宋体"/>
                <w:i w:val="0"/>
                <w:iCs w:val="0"/>
                <w:color w:val="000000"/>
                <w:sz w:val="18"/>
                <w:szCs w:val="18"/>
                <w:u w:val="none"/>
              </w:rPr>
            </w:pPr>
          </w:p>
        </w:tc>
      </w:tr>
      <w:tr w14:paraId="2652F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888" w:type="dxa"/>
            <w:gridSpan w:val="4"/>
            <w:tcBorders>
              <w:top w:val="single" w:color="auto" w:sz="4" w:space="0"/>
              <w:left w:val="single" w:color="auto" w:sz="4" w:space="0"/>
              <w:bottom w:val="single" w:color="000000" w:sz="4" w:space="0"/>
              <w:right w:val="single" w:color="000000" w:sz="4" w:space="0"/>
            </w:tcBorders>
            <w:shd w:val="clear" w:color="auto" w:fill="FFFFFF"/>
            <w:noWrap/>
            <w:vAlign w:val="center"/>
          </w:tcPr>
          <w:p w14:paraId="5E3B814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207"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0686F66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0"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052452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1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F4409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2B798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33E9EA9D">
            <w:pPr>
              <w:rPr>
                <w:rFonts w:hint="eastAsia" w:ascii="宋体" w:hAnsi="宋体" w:eastAsia="宋体" w:cs="宋体"/>
                <w:i w:val="0"/>
                <w:iCs w:val="0"/>
                <w:color w:val="000000"/>
                <w:sz w:val="18"/>
                <w:szCs w:val="18"/>
                <w:u w:val="none"/>
              </w:rPr>
            </w:pPr>
          </w:p>
        </w:tc>
      </w:tr>
      <w:tr w14:paraId="21E04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vMerge w:val="restart"/>
            <w:tcBorders>
              <w:top w:val="single" w:color="000000" w:sz="4" w:space="0"/>
              <w:left w:val="single" w:color="auto" w:sz="4" w:space="0"/>
              <w:bottom w:val="nil"/>
              <w:right w:val="single" w:color="000000" w:sz="4" w:space="0"/>
            </w:tcBorders>
            <w:shd w:val="clear" w:color="auto" w:fill="FFFFFF"/>
            <w:vAlign w:val="center"/>
          </w:tcPr>
          <w:p w14:paraId="4ACC8FB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666F7EE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45F43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体检及时率</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4EF6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C87BB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FD8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09ED6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16873E0A">
            <w:pPr>
              <w:rPr>
                <w:rFonts w:hint="eastAsia" w:ascii="宋体" w:hAnsi="宋体" w:eastAsia="宋体" w:cs="宋体"/>
                <w:i w:val="0"/>
                <w:iCs w:val="0"/>
                <w:color w:val="000000"/>
                <w:sz w:val="18"/>
                <w:szCs w:val="18"/>
                <w:u w:val="none"/>
              </w:rPr>
            </w:pPr>
          </w:p>
        </w:tc>
      </w:tr>
      <w:tr w14:paraId="49357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vMerge w:val="continue"/>
            <w:tcBorders>
              <w:top w:val="single" w:color="000000" w:sz="4" w:space="0"/>
              <w:left w:val="single" w:color="auto" w:sz="4" w:space="0"/>
              <w:bottom w:val="nil"/>
              <w:right w:val="single" w:color="000000" w:sz="4" w:space="0"/>
            </w:tcBorders>
            <w:shd w:val="clear" w:color="auto" w:fill="FFFFFF"/>
            <w:vAlign w:val="center"/>
          </w:tcPr>
          <w:p w14:paraId="1B0740E0">
            <w:pPr>
              <w:jc w:val="center"/>
              <w:rPr>
                <w:rFonts w:hint="eastAsia" w:ascii="宋体" w:hAnsi="宋体" w:eastAsia="宋体" w:cs="宋体"/>
                <w:i w:val="0"/>
                <w:iCs w:val="0"/>
                <w:color w:val="333333"/>
                <w:sz w:val="18"/>
                <w:szCs w:val="18"/>
                <w:u w:val="none"/>
              </w:rPr>
            </w:pP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000A84A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F807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体检人数</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311B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51AD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40人</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6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6D8FF0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6B5E5C88">
            <w:pPr>
              <w:rPr>
                <w:rFonts w:hint="eastAsia" w:ascii="宋体" w:hAnsi="宋体" w:eastAsia="宋体" w:cs="宋体"/>
                <w:i w:val="0"/>
                <w:iCs w:val="0"/>
                <w:color w:val="000000"/>
                <w:sz w:val="18"/>
                <w:szCs w:val="18"/>
                <w:u w:val="none"/>
              </w:rPr>
            </w:pPr>
          </w:p>
        </w:tc>
      </w:tr>
      <w:tr w14:paraId="0C458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vMerge w:val="continue"/>
            <w:tcBorders>
              <w:top w:val="single" w:color="000000" w:sz="4" w:space="0"/>
              <w:left w:val="single" w:color="auto" w:sz="4" w:space="0"/>
              <w:bottom w:val="nil"/>
              <w:right w:val="single" w:color="000000" w:sz="4" w:space="0"/>
            </w:tcBorders>
            <w:shd w:val="clear" w:color="auto" w:fill="FFFFFF"/>
            <w:vAlign w:val="center"/>
          </w:tcPr>
          <w:p w14:paraId="14E6902D">
            <w:pPr>
              <w:jc w:val="center"/>
              <w:rPr>
                <w:rFonts w:hint="eastAsia" w:ascii="宋体" w:hAnsi="宋体" w:eastAsia="宋体" w:cs="宋体"/>
                <w:i w:val="0"/>
                <w:iCs w:val="0"/>
                <w:color w:val="333333"/>
                <w:sz w:val="18"/>
                <w:szCs w:val="18"/>
                <w:u w:val="none"/>
              </w:rPr>
            </w:pP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6DF54C7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23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B7695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体检数据准确率</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7ED0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82DA6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9C6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15F02C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7A85E11D">
            <w:pPr>
              <w:rPr>
                <w:rFonts w:hint="eastAsia" w:ascii="宋体" w:hAnsi="宋体" w:eastAsia="宋体" w:cs="宋体"/>
                <w:i w:val="0"/>
                <w:iCs w:val="0"/>
                <w:color w:val="000000"/>
                <w:sz w:val="18"/>
                <w:szCs w:val="18"/>
                <w:u w:val="none"/>
              </w:rPr>
            </w:pPr>
          </w:p>
        </w:tc>
      </w:tr>
      <w:tr w14:paraId="6602A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vMerge w:val="restart"/>
            <w:tcBorders>
              <w:top w:val="single" w:color="000000" w:sz="4" w:space="0"/>
              <w:left w:val="single" w:color="auto" w:sz="4" w:space="0"/>
              <w:bottom w:val="single" w:color="000000" w:sz="4" w:space="0"/>
              <w:right w:val="single" w:color="000000" w:sz="4" w:space="0"/>
            </w:tcBorders>
            <w:shd w:val="clear" w:color="auto" w:fill="FFFFFF"/>
            <w:noWrap/>
            <w:vAlign w:val="center"/>
          </w:tcPr>
          <w:p w14:paraId="21298C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092E5CF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230" w:type="dxa"/>
            <w:tcBorders>
              <w:top w:val="single" w:color="000000" w:sz="4" w:space="0"/>
              <w:left w:val="single" w:color="000000" w:sz="4" w:space="0"/>
              <w:bottom w:val="single" w:color="000000" w:sz="4" w:space="0"/>
              <w:right w:val="nil"/>
            </w:tcBorders>
            <w:shd w:val="clear" w:color="auto" w:fill="FFFFFF"/>
            <w:noWrap/>
            <w:vAlign w:val="center"/>
          </w:tcPr>
          <w:p w14:paraId="7602E62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消除健康隐患，保障服务工作水平</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77707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94F3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D4D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6C5B04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586D6437">
            <w:pPr>
              <w:rPr>
                <w:rFonts w:hint="eastAsia" w:ascii="宋体" w:hAnsi="宋体" w:eastAsia="宋体" w:cs="宋体"/>
                <w:i w:val="0"/>
                <w:iCs w:val="0"/>
                <w:color w:val="000000"/>
                <w:sz w:val="18"/>
                <w:szCs w:val="18"/>
                <w:u w:val="none"/>
              </w:rPr>
            </w:pPr>
          </w:p>
        </w:tc>
      </w:tr>
      <w:tr w14:paraId="2BF08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vMerge w:val="continue"/>
            <w:tcBorders>
              <w:top w:val="single" w:color="000000" w:sz="4" w:space="0"/>
              <w:left w:val="single" w:color="auto" w:sz="4" w:space="0"/>
              <w:bottom w:val="single" w:color="000000" w:sz="4" w:space="0"/>
              <w:right w:val="single" w:color="000000" w:sz="4" w:space="0"/>
            </w:tcBorders>
            <w:shd w:val="clear" w:color="auto" w:fill="FFFFFF"/>
            <w:noWrap/>
            <w:vAlign w:val="center"/>
          </w:tcPr>
          <w:p w14:paraId="115C4983">
            <w:pPr>
              <w:jc w:val="center"/>
              <w:rPr>
                <w:rFonts w:hint="eastAsia" w:ascii="宋体" w:hAnsi="宋体" w:eastAsia="宋体" w:cs="宋体"/>
                <w:i w:val="0"/>
                <w:iCs w:val="0"/>
                <w:color w:val="333333"/>
                <w:sz w:val="18"/>
                <w:szCs w:val="18"/>
                <w:u w:val="none"/>
              </w:rPr>
            </w:pP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0314FBD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230" w:type="dxa"/>
            <w:tcBorders>
              <w:top w:val="single" w:color="000000" w:sz="4" w:space="0"/>
              <w:left w:val="single" w:color="000000" w:sz="4" w:space="0"/>
              <w:bottom w:val="single" w:color="000000" w:sz="4" w:space="0"/>
              <w:right w:val="nil"/>
            </w:tcBorders>
            <w:shd w:val="clear" w:color="auto" w:fill="FFFFFF"/>
            <w:noWrap/>
            <w:vAlign w:val="center"/>
          </w:tcPr>
          <w:p w14:paraId="494B23C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县级领导健康体检保障率</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14331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BF674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B3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3DD47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3E99FF46">
            <w:pPr>
              <w:rPr>
                <w:rFonts w:hint="eastAsia" w:ascii="宋体" w:hAnsi="宋体" w:eastAsia="宋体" w:cs="宋体"/>
                <w:i w:val="0"/>
                <w:iCs w:val="0"/>
                <w:color w:val="000000"/>
                <w:sz w:val="18"/>
                <w:szCs w:val="18"/>
                <w:u w:val="none"/>
              </w:rPr>
            </w:pPr>
          </w:p>
        </w:tc>
      </w:tr>
      <w:tr w14:paraId="408E5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tcBorders>
              <w:top w:val="single" w:color="000000" w:sz="4" w:space="0"/>
              <w:left w:val="single" w:color="auto" w:sz="4" w:space="0"/>
              <w:bottom w:val="nil"/>
              <w:right w:val="single" w:color="000000" w:sz="4" w:space="0"/>
            </w:tcBorders>
            <w:shd w:val="clear" w:color="auto" w:fill="FFFFFF"/>
            <w:noWrap/>
            <w:vAlign w:val="center"/>
          </w:tcPr>
          <w:p w14:paraId="25676F6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80" w:type="dxa"/>
            <w:gridSpan w:val="2"/>
            <w:tcBorders>
              <w:top w:val="single" w:color="000000" w:sz="4" w:space="0"/>
              <w:left w:val="single" w:color="000000" w:sz="4" w:space="0"/>
              <w:bottom w:val="single" w:color="000000" w:sz="4" w:space="0"/>
              <w:right w:val="nil"/>
            </w:tcBorders>
            <w:shd w:val="clear" w:color="auto" w:fill="FFFFFF"/>
            <w:noWrap/>
            <w:vAlign w:val="center"/>
          </w:tcPr>
          <w:p w14:paraId="45B9EA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230" w:type="dxa"/>
            <w:tcBorders>
              <w:top w:val="single" w:color="000000" w:sz="4" w:space="0"/>
              <w:left w:val="single" w:color="000000" w:sz="4" w:space="0"/>
              <w:bottom w:val="single" w:color="000000" w:sz="4" w:space="0"/>
              <w:right w:val="nil"/>
            </w:tcBorders>
            <w:shd w:val="clear" w:color="auto" w:fill="FFFFFF"/>
            <w:noWrap/>
            <w:vAlign w:val="center"/>
          </w:tcPr>
          <w:p w14:paraId="473EBF1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参加体检人员满意度</w:t>
            </w:r>
          </w:p>
        </w:tc>
        <w:tc>
          <w:tcPr>
            <w:tcW w:w="12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0D2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9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7CAE0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06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nil"/>
              <w:bottom w:val="single" w:color="000000" w:sz="4" w:space="0"/>
              <w:right w:val="single" w:color="auto" w:sz="4" w:space="0"/>
            </w:tcBorders>
            <w:shd w:val="clear" w:color="auto" w:fill="auto"/>
            <w:noWrap/>
            <w:vAlign w:val="center"/>
          </w:tcPr>
          <w:p w14:paraId="1756E9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0AD6BA36">
            <w:pPr>
              <w:rPr>
                <w:rFonts w:hint="eastAsia" w:ascii="宋体" w:hAnsi="宋体" w:eastAsia="宋体" w:cs="宋体"/>
                <w:i w:val="0"/>
                <w:iCs w:val="0"/>
                <w:color w:val="000000"/>
                <w:sz w:val="18"/>
                <w:szCs w:val="18"/>
                <w:u w:val="none"/>
              </w:rPr>
            </w:pPr>
          </w:p>
        </w:tc>
      </w:tr>
      <w:tr w14:paraId="42DF9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78" w:type="dxa"/>
            <w:tcBorders>
              <w:top w:val="nil"/>
              <w:left w:val="single" w:color="auto" w:sz="4" w:space="0"/>
              <w:bottom w:val="single" w:color="auto" w:sz="4" w:space="0"/>
              <w:right w:val="nil"/>
            </w:tcBorders>
            <w:shd w:val="clear" w:color="auto" w:fill="FFFFFF"/>
            <w:noWrap/>
            <w:vAlign w:val="center"/>
          </w:tcPr>
          <w:p w14:paraId="204257A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80" w:type="dxa"/>
            <w:gridSpan w:val="2"/>
            <w:tcBorders>
              <w:top w:val="single" w:color="000000" w:sz="4" w:space="0"/>
              <w:left w:val="single" w:color="000000" w:sz="4" w:space="0"/>
              <w:bottom w:val="single" w:color="auto" w:sz="4" w:space="0"/>
              <w:right w:val="nil"/>
            </w:tcBorders>
            <w:shd w:val="clear" w:color="auto" w:fill="FFFFFF"/>
            <w:noWrap/>
            <w:vAlign w:val="center"/>
          </w:tcPr>
          <w:p w14:paraId="6DC3DEB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230" w:type="dxa"/>
            <w:tcBorders>
              <w:top w:val="single" w:color="000000" w:sz="4" w:space="0"/>
              <w:left w:val="nil"/>
              <w:bottom w:val="single" w:color="auto" w:sz="4" w:space="0"/>
              <w:right w:val="nil"/>
            </w:tcBorders>
            <w:shd w:val="clear" w:color="auto" w:fill="FFFFFF"/>
            <w:noWrap/>
            <w:vAlign w:val="center"/>
          </w:tcPr>
          <w:p w14:paraId="57BD478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体检费用控制数</w:t>
            </w:r>
          </w:p>
        </w:tc>
        <w:tc>
          <w:tcPr>
            <w:tcW w:w="1207"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1FB00B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≤20万元</w:t>
            </w:r>
          </w:p>
        </w:tc>
        <w:tc>
          <w:tcPr>
            <w:tcW w:w="94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22DE205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9.55万</w:t>
            </w:r>
          </w:p>
        </w:tc>
        <w:tc>
          <w:tcPr>
            <w:tcW w:w="7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FF8C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15"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37F456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auto" w:sz="4" w:space="0"/>
              <w:bottom w:val="single" w:color="000000" w:sz="4" w:space="0"/>
              <w:right w:val="single" w:color="000000" w:sz="4" w:space="0"/>
            </w:tcBorders>
            <w:shd w:val="clear" w:color="auto" w:fill="auto"/>
            <w:vAlign w:val="center"/>
          </w:tcPr>
          <w:p w14:paraId="4FFFB3C7">
            <w:pPr>
              <w:rPr>
                <w:rFonts w:hint="eastAsia" w:ascii="宋体" w:hAnsi="宋体" w:eastAsia="宋体" w:cs="宋体"/>
                <w:i w:val="0"/>
                <w:iCs w:val="0"/>
                <w:color w:val="000000"/>
                <w:sz w:val="18"/>
                <w:szCs w:val="18"/>
                <w:u w:val="none"/>
              </w:rPr>
            </w:pPr>
          </w:p>
        </w:tc>
      </w:tr>
    </w:tbl>
    <w:p w14:paraId="2E92DE31">
      <w:pPr>
        <w:widowControl/>
        <w:jc w:val="center"/>
        <w:rPr>
          <w:rFonts w:hint="eastAsia" w:ascii="Times New Roman" w:hAnsi="Times New Roman" w:eastAsia="黑体"/>
          <w:color w:val="auto"/>
          <w:sz w:val="44"/>
          <w:szCs w:val="44"/>
          <w:highlight w:val="none"/>
        </w:rPr>
      </w:pPr>
    </w:p>
    <w:p w14:paraId="5B0F26A4">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tbl>
      <w:tblPr>
        <w:tblStyle w:val="15"/>
        <w:tblW w:w="9465" w:type="dxa"/>
        <w:tblInd w:w="-10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210"/>
        <w:gridCol w:w="281"/>
        <w:gridCol w:w="889"/>
        <w:gridCol w:w="2385"/>
        <w:gridCol w:w="900"/>
        <w:gridCol w:w="1110"/>
        <w:gridCol w:w="1035"/>
        <w:gridCol w:w="615"/>
        <w:gridCol w:w="780"/>
      </w:tblGrid>
      <w:tr w14:paraId="1D976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465" w:type="dxa"/>
            <w:gridSpan w:val="10"/>
            <w:tcBorders>
              <w:top w:val="nil"/>
              <w:left w:val="nil"/>
              <w:bottom w:val="nil"/>
              <w:right w:val="nil"/>
            </w:tcBorders>
            <w:shd w:val="clear" w:color="auto" w:fill="auto"/>
            <w:noWrap/>
            <w:vAlign w:val="center"/>
          </w:tcPr>
          <w:p w14:paraId="5096E122">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区级项目支出绩效自评表5</w:t>
            </w:r>
          </w:p>
        </w:tc>
      </w:tr>
      <w:tr w14:paraId="48860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539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95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区政府后勤保障费</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5C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6FE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4799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C4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095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9D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285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19BA0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4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F4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8D3D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51" w:type="dxa"/>
            <w:gridSpan w:val="3"/>
            <w:tcBorders>
              <w:top w:val="single" w:color="000000" w:sz="4" w:space="0"/>
              <w:left w:val="single" w:color="000000" w:sz="4" w:space="0"/>
              <w:bottom w:val="single" w:color="000000" w:sz="4" w:space="0"/>
              <w:right w:val="nil"/>
            </w:tcBorders>
            <w:shd w:val="clear" w:color="auto" w:fill="auto"/>
            <w:noWrap/>
            <w:vAlign w:val="center"/>
          </w:tcPr>
          <w:p w14:paraId="0415514A">
            <w:pPr>
              <w:jc w:val="center"/>
              <w:rPr>
                <w:rFonts w:hint="eastAsia" w:ascii="宋体" w:hAnsi="宋体" w:eastAsia="宋体" w:cs="宋体"/>
                <w:i w:val="0"/>
                <w:iCs w:val="0"/>
                <w:color w:val="000000"/>
                <w:sz w:val="20"/>
                <w:szCs w:val="20"/>
                <w:u w:val="none"/>
              </w:rPr>
            </w:pP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ACA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6C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65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299F2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DD1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3B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2C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F4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2FDE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B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02C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DA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147.6</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F2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823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2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2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140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806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C2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68514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58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6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EB9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CE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5CB4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8DE2">
            <w:pPr>
              <w:jc w:val="left"/>
              <w:rPr>
                <w:rFonts w:hint="eastAsia" w:ascii="宋体" w:hAnsi="宋体" w:eastAsia="宋体" w:cs="宋体"/>
                <w:i w:val="0"/>
                <w:iCs w:val="0"/>
                <w:color w:val="000000"/>
                <w:sz w:val="20"/>
                <w:szCs w:val="20"/>
                <w:u w:val="none"/>
              </w:rPr>
            </w:pPr>
          </w:p>
        </w:tc>
        <w:tc>
          <w:tcPr>
            <w:tcW w:w="4665" w:type="dxa"/>
            <w:gridSpan w:val="5"/>
            <w:tcBorders>
              <w:top w:val="single" w:color="000000" w:sz="4" w:space="0"/>
              <w:left w:val="single" w:color="000000" w:sz="4" w:space="0"/>
              <w:bottom w:val="nil"/>
              <w:right w:val="single" w:color="000000" w:sz="4" w:space="0"/>
            </w:tcBorders>
            <w:shd w:val="clear" w:color="auto" w:fill="auto"/>
            <w:vAlign w:val="center"/>
          </w:tcPr>
          <w:p w14:paraId="07A915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保障区政府大院内职工就餐安全、方便，保障区政府机关食堂正常运行，做好区政府相关后勤保障工作，提高职工工作积极性，促进区政府各项工作正常推进。</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3E21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保障区政府大院内职工就餐安全、方便，保障区政府机关食堂正常运行，做好区政府相关后勤保障工作，提高职工工作积极性，促进区政府各项工作正常推进。</w:t>
            </w:r>
          </w:p>
        </w:tc>
      </w:tr>
      <w:tr w14:paraId="223B3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2A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39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22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68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DB1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16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15" w:type="dxa"/>
            <w:tcBorders>
              <w:top w:val="single" w:color="000000" w:sz="4" w:space="0"/>
              <w:left w:val="nil"/>
              <w:bottom w:val="single" w:color="000000" w:sz="4" w:space="0"/>
              <w:right w:val="single" w:color="000000" w:sz="4" w:space="0"/>
            </w:tcBorders>
            <w:shd w:val="clear" w:color="auto" w:fill="auto"/>
            <w:noWrap/>
            <w:vAlign w:val="center"/>
          </w:tcPr>
          <w:p w14:paraId="2CBAA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C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5D8E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03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204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C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0F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4B7C2">
            <w:pPr>
              <w:jc w:val="center"/>
              <w:rPr>
                <w:rFonts w:hint="eastAsia" w:ascii="宋体" w:hAnsi="宋体" w:eastAsia="宋体" w:cs="宋体"/>
                <w:i w:val="0"/>
                <w:iCs w:val="0"/>
                <w:color w:val="000000"/>
                <w:sz w:val="18"/>
                <w:szCs w:val="18"/>
                <w:u w:val="none"/>
              </w:rPr>
            </w:pPr>
          </w:p>
        </w:tc>
      </w:tr>
      <w:tr w14:paraId="67F96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02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93229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27F2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CC97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56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E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31D1">
            <w:pPr>
              <w:rPr>
                <w:rFonts w:hint="eastAsia" w:ascii="宋体" w:hAnsi="宋体" w:eastAsia="宋体" w:cs="宋体"/>
                <w:i w:val="0"/>
                <w:iCs w:val="0"/>
                <w:color w:val="000000"/>
                <w:sz w:val="18"/>
                <w:szCs w:val="18"/>
                <w:u w:val="none"/>
              </w:rPr>
            </w:pPr>
          </w:p>
        </w:tc>
      </w:tr>
      <w:tr w14:paraId="5CA4C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3D4E301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0600715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CD8E2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食堂每日服务人数</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F9C9E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200人</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088E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200人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34A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53F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0BE6">
            <w:pPr>
              <w:rPr>
                <w:rFonts w:hint="eastAsia" w:ascii="宋体" w:hAnsi="宋体" w:eastAsia="宋体" w:cs="宋体"/>
                <w:i w:val="0"/>
                <w:iCs w:val="0"/>
                <w:color w:val="000000"/>
                <w:sz w:val="18"/>
                <w:szCs w:val="18"/>
                <w:u w:val="none"/>
              </w:rPr>
            </w:pPr>
          </w:p>
        </w:tc>
      </w:tr>
      <w:tr w14:paraId="18C7A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463A5F01">
            <w:pPr>
              <w:jc w:val="center"/>
              <w:rPr>
                <w:rFonts w:hint="eastAsia" w:ascii="宋体" w:hAnsi="宋体" w:eastAsia="宋体" w:cs="宋体"/>
                <w:i w:val="0"/>
                <w:iCs w:val="0"/>
                <w:color w:val="333333"/>
                <w:sz w:val="18"/>
                <w:szCs w:val="18"/>
                <w:u w:val="none"/>
              </w:rPr>
            </w:pP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47C78A0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30FD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食堂就餐服务达标率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3E72A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91CD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882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57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D7BF">
            <w:pPr>
              <w:rPr>
                <w:rFonts w:hint="eastAsia" w:ascii="宋体" w:hAnsi="宋体" w:eastAsia="宋体" w:cs="宋体"/>
                <w:i w:val="0"/>
                <w:iCs w:val="0"/>
                <w:color w:val="000000"/>
                <w:sz w:val="18"/>
                <w:szCs w:val="18"/>
                <w:u w:val="none"/>
              </w:rPr>
            </w:pPr>
          </w:p>
        </w:tc>
      </w:tr>
      <w:tr w14:paraId="4A0B7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9FAE224">
            <w:pPr>
              <w:jc w:val="center"/>
              <w:rPr>
                <w:rFonts w:hint="eastAsia" w:ascii="宋体" w:hAnsi="宋体" w:eastAsia="宋体" w:cs="宋体"/>
                <w:i w:val="0"/>
                <w:iCs w:val="0"/>
                <w:color w:val="333333"/>
                <w:sz w:val="18"/>
                <w:szCs w:val="18"/>
                <w:u w:val="none"/>
              </w:rPr>
            </w:pP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030C003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3FE49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食堂全年维护及时率</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736F4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1AE49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05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CC9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8F8C">
            <w:pPr>
              <w:rPr>
                <w:rFonts w:hint="eastAsia" w:ascii="宋体" w:hAnsi="宋体" w:eastAsia="宋体" w:cs="宋体"/>
                <w:i w:val="0"/>
                <w:iCs w:val="0"/>
                <w:color w:val="000000"/>
                <w:sz w:val="18"/>
                <w:szCs w:val="18"/>
                <w:u w:val="none"/>
              </w:rPr>
            </w:pPr>
          </w:p>
        </w:tc>
      </w:tr>
      <w:tr w14:paraId="6B23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9CE4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14034CC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F756D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保障食堂正常运转</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EB96F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B4AD3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2A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63F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E5B7">
            <w:pPr>
              <w:rPr>
                <w:rFonts w:hint="eastAsia" w:ascii="宋体" w:hAnsi="宋体" w:eastAsia="宋体" w:cs="宋体"/>
                <w:i w:val="0"/>
                <w:iCs w:val="0"/>
                <w:color w:val="000000"/>
                <w:sz w:val="18"/>
                <w:szCs w:val="18"/>
                <w:u w:val="none"/>
              </w:rPr>
            </w:pPr>
          </w:p>
        </w:tc>
      </w:tr>
      <w:tr w14:paraId="03CA6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030E6">
            <w:pPr>
              <w:jc w:val="center"/>
              <w:rPr>
                <w:rFonts w:hint="eastAsia" w:ascii="宋体" w:hAnsi="宋体" w:eastAsia="宋体" w:cs="宋体"/>
                <w:i w:val="0"/>
                <w:iCs w:val="0"/>
                <w:color w:val="333333"/>
                <w:sz w:val="18"/>
                <w:szCs w:val="18"/>
                <w:u w:val="none"/>
              </w:rPr>
            </w:pPr>
          </w:p>
        </w:tc>
        <w:tc>
          <w:tcPr>
            <w:tcW w:w="1380" w:type="dxa"/>
            <w:gridSpan w:val="3"/>
            <w:tcBorders>
              <w:top w:val="single" w:color="000000" w:sz="4" w:space="0"/>
              <w:left w:val="single" w:color="000000" w:sz="4" w:space="0"/>
              <w:bottom w:val="single" w:color="000000" w:sz="4" w:space="0"/>
              <w:right w:val="nil"/>
            </w:tcBorders>
            <w:shd w:val="clear" w:color="auto" w:fill="FFFFFF"/>
            <w:noWrap/>
            <w:vAlign w:val="center"/>
          </w:tcPr>
          <w:p w14:paraId="3D2A6F6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5EAD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区政府后勤保障工作管理机制健全性</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717B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F0F84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9D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96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EC343">
            <w:pPr>
              <w:rPr>
                <w:rFonts w:hint="eastAsia" w:ascii="宋体" w:hAnsi="宋体" w:eastAsia="宋体" w:cs="宋体"/>
                <w:i w:val="0"/>
                <w:iCs w:val="0"/>
                <w:color w:val="000000"/>
                <w:sz w:val="18"/>
                <w:szCs w:val="18"/>
                <w:u w:val="none"/>
              </w:rPr>
            </w:pPr>
          </w:p>
        </w:tc>
      </w:tr>
      <w:tr w14:paraId="4FA86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D49E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EE005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49111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食堂就餐人员满意度</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655CD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62981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41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9A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6ACC8">
            <w:pPr>
              <w:rPr>
                <w:rFonts w:hint="eastAsia" w:ascii="宋体" w:hAnsi="宋体" w:eastAsia="宋体" w:cs="宋体"/>
                <w:i w:val="0"/>
                <w:iCs w:val="0"/>
                <w:color w:val="000000"/>
                <w:sz w:val="18"/>
                <w:szCs w:val="18"/>
                <w:u w:val="none"/>
              </w:rPr>
            </w:pPr>
          </w:p>
        </w:tc>
      </w:tr>
      <w:tr w14:paraId="322B4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2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3B45E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28F4A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B1685">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区政府后勤保障费用控制数</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6E12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170万元</w:t>
            </w:r>
          </w:p>
        </w:tc>
        <w:tc>
          <w:tcPr>
            <w:tcW w:w="11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5A610">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147.6万元</w:t>
            </w:r>
          </w:p>
        </w:tc>
        <w:tc>
          <w:tcPr>
            <w:tcW w:w="103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C2529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ED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26F2">
            <w:pPr>
              <w:rPr>
                <w:rFonts w:hint="eastAsia" w:ascii="宋体" w:hAnsi="宋体" w:eastAsia="宋体" w:cs="宋体"/>
                <w:i w:val="0"/>
                <w:iCs w:val="0"/>
                <w:color w:val="000000"/>
                <w:sz w:val="18"/>
                <w:szCs w:val="18"/>
                <w:u w:val="none"/>
              </w:rPr>
            </w:pPr>
          </w:p>
        </w:tc>
      </w:tr>
    </w:tbl>
    <w:p w14:paraId="65E82201">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p w14:paraId="74EB8D5E">
      <w:pPr>
        <w:pStyle w:val="2"/>
        <w:rPr>
          <w:rFonts w:hint="eastAsia"/>
        </w:rPr>
      </w:pPr>
    </w:p>
    <w:tbl>
      <w:tblPr>
        <w:tblStyle w:val="15"/>
        <w:tblW w:w="9255" w:type="dxa"/>
        <w:tblInd w:w="-1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0"/>
        <w:gridCol w:w="675"/>
        <w:gridCol w:w="129"/>
        <w:gridCol w:w="732"/>
        <w:gridCol w:w="2574"/>
        <w:gridCol w:w="180"/>
        <w:gridCol w:w="810"/>
        <w:gridCol w:w="180"/>
        <w:gridCol w:w="600"/>
        <w:gridCol w:w="945"/>
        <w:gridCol w:w="570"/>
        <w:gridCol w:w="720"/>
      </w:tblGrid>
      <w:tr w14:paraId="1186D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255" w:type="dxa"/>
            <w:gridSpan w:val="12"/>
            <w:tcBorders>
              <w:top w:val="nil"/>
              <w:left w:val="nil"/>
              <w:bottom w:val="nil"/>
              <w:right w:val="nil"/>
            </w:tcBorders>
            <w:shd w:val="clear" w:color="auto" w:fill="auto"/>
            <w:noWrap/>
            <w:vAlign w:val="center"/>
          </w:tcPr>
          <w:p w14:paraId="546AB02E">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区级项目支出绩效自评表6</w:t>
            </w:r>
          </w:p>
        </w:tc>
      </w:tr>
      <w:tr w14:paraId="08409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2BA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4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CC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公共机构节能建设经费</w:t>
            </w:r>
          </w:p>
        </w:tc>
        <w:tc>
          <w:tcPr>
            <w:tcW w:w="11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56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283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69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A8AB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951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4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96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1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649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83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A7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五通桥区机关事务服务中心</w:t>
            </w:r>
          </w:p>
        </w:tc>
      </w:tr>
      <w:tr w14:paraId="0B060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255"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3C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78B4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44" w:type="dxa"/>
            <w:gridSpan w:val="3"/>
            <w:tcBorders>
              <w:top w:val="single" w:color="000000" w:sz="4" w:space="0"/>
              <w:left w:val="single" w:color="000000" w:sz="4" w:space="0"/>
              <w:bottom w:val="single" w:color="000000" w:sz="4" w:space="0"/>
              <w:right w:val="nil"/>
            </w:tcBorders>
            <w:shd w:val="clear" w:color="auto" w:fill="auto"/>
            <w:noWrap/>
            <w:vAlign w:val="center"/>
          </w:tcPr>
          <w:p w14:paraId="7AE9DDEA">
            <w:pPr>
              <w:jc w:val="center"/>
              <w:rPr>
                <w:rFonts w:hint="eastAsia" w:ascii="宋体" w:hAnsi="宋体" w:eastAsia="宋体" w:cs="宋体"/>
                <w:i w:val="0"/>
                <w:iCs w:val="0"/>
                <w:color w:val="000000"/>
                <w:sz w:val="20"/>
                <w:szCs w:val="20"/>
                <w:u w:val="none"/>
              </w:rPr>
            </w:pP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8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5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34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4B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08FEC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66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F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15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94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A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33BB4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9F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33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15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AAA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7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1D5F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9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BD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1D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5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4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2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FBF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9F73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48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2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4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82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3F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2B9F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5"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D59B1">
            <w:pPr>
              <w:jc w:val="left"/>
              <w:rPr>
                <w:rFonts w:hint="eastAsia" w:ascii="宋体" w:hAnsi="宋体" w:eastAsia="宋体" w:cs="宋体"/>
                <w:i w:val="0"/>
                <w:iCs w:val="0"/>
                <w:color w:val="000000"/>
                <w:sz w:val="20"/>
                <w:szCs w:val="20"/>
                <w:u w:val="none"/>
              </w:rPr>
            </w:pPr>
          </w:p>
        </w:tc>
        <w:tc>
          <w:tcPr>
            <w:tcW w:w="4290" w:type="dxa"/>
            <w:gridSpan w:val="5"/>
            <w:tcBorders>
              <w:top w:val="single" w:color="000000" w:sz="4" w:space="0"/>
              <w:left w:val="single" w:color="000000" w:sz="4" w:space="0"/>
              <w:bottom w:val="nil"/>
              <w:right w:val="single" w:color="000000" w:sz="4" w:space="0"/>
            </w:tcBorders>
            <w:shd w:val="clear" w:color="auto" w:fill="auto"/>
            <w:vAlign w:val="center"/>
          </w:tcPr>
          <w:p w14:paraId="6498BC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预计投入2万元，指导全区公共机构开展节能机构创建、开展节能宣传等工作</w:t>
            </w:r>
          </w:p>
        </w:tc>
        <w:tc>
          <w:tcPr>
            <w:tcW w:w="38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5710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本年投入1.29万元，指导全区公共机构开展无废机关创建、节能宣传等工作</w:t>
            </w:r>
          </w:p>
        </w:tc>
      </w:tr>
      <w:tr w14:paraId="5D496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2C6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5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A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7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04B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8A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F32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9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分值/权重（百分制）</w:t>
            </w:r>
          </w:p>
        </w:tc>
        <w:tc>
          <w:tcPr>
            <w:tcW w:w="570" w:type="dxa"/>
            <w:tcBorders>
              <w:top w:val="single" w:color="000000" w:sz="4" w:space="0"/>
              <w:left w:val="nil"/>
              <w:bottom w:val="single" w:color="000000" w:sz="4" w:space="0"/>
              <w:right w:val="single" w:color="000000" w:sz="4" w:space="0"/>
            </w:tcBorders>
            <w:shd w:val="clear" w:color="auto" w:fill="auto"/>
            <w:noWrap/>
            <w:vAlign w:val="center"/>
          </w:tcPr>
          <w:p w14:paraId="53121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2E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5551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020"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36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C7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6E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1F419">
            <w:pPr>
              <w:jc w:val="center"/>
              <w:rPr>
                <w:rFonts w:hint="eastAsia" w:ascii="宋体" w:hAnsi="宋体" w:eastAsia="宋体" w:cs="宋体"/>
                <w:i w:val="0"/>
                <w:iCs w:val="0"/>
                <w:color w:val="000000"/>
                <w:sz w:val="18"/>
                <w:szCs w:val="18"/>
                <w:u w:val="none"/>
              </w:rPr>
            </w:pPr>
          </w:p>
        </w:tc>
      </w:tr>
      <w:tr w14:paraId="792EA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430" w:type="dxa"/>
            <w:gridSpan w:val="6"/>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DA09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8918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ED838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D7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F35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77DC7">
            <w:pPr>
              <w:rPr>
                <w:rFonts w:hint="eastAsia" w:ascii="宋体" w:hAnsi="宋体" w:eastAsia="宋体" w:cs="宋体"/>
                <w:i w:val="0"/>
                <w:iCs w:val="0"/>
                <w:color w:val="000000"/>
                <w:sz w:val="18"/>
                <w:szCs w:val="18"/>
                <w:u w:val="none"/>
              </w:rPr>
            </w:pPr>
          </w:p>
        </w:tc>
      </w:tr>
      <w:tr w14:paraId="11768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069D906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21E4A76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6FD34DB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节能宣传活动开展次数</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E3BB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2次</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066A0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2次</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CF9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3E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EB09">
            <w:pPr>
              <w:rPr>
                <w:rFonts w:hint="eastAsia" w:ascii="宋体" w:hAnsi="宋体" w:eastAsia="宋体" w:cs="宋体"/>
                <w:i w:val="0"/>
                <w:iCs w:val="0"/>
                <w:color w:val="000000"/>
                <w:sz w:val="18"/>
                <w:szCs w:val="18"/>
                <w:u w:val="none"/>
              </w:rPr>
            </w:pPr>
          </w:p>
        </w:tc>
      </w:tr>
      <w:tr w14:paraId="6656E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13A70358">
            <w:pPr>
              <w:jc w:val="center"/>
              <w:rPr>
                <w:rFonts w:hint="eastAsia" w:ascii="宋体" w:hAnsi="宋体" w:eastAsia="宋体" w:cs="宋体"/>
                <w:i w:val="0"/>
                <w:iCs w:val="0"/>
                <w:color w:val="333333"/>
                <w:sz w:val="18"/>
                <w:szCs w:val="18"/>
                <w:u w:val="none"/>
              </w:rPr>
            </w:pP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00EFA85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5D212F3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 </w:t>
            </w:r>
            <w:r>
              <w:rPr>
                <w:rFonts w:hint="eastAsia" w:ascii="宋体" w:hAnsi="宋体" w:eastAsia="宋体" w:cs="宋体"/>
                <w:i w:val="0"/>
                <w:iCs w:val="0"/>
                <w:color w:val="333333"/>
                <w:kern w:val="0"/>
                <w:sz w:val="18"/>
                <w:szCs w:val="18"/>
                <w:u w:val="none"/>
                <w:lang w:val="en-US" w:eastAsia="zh-CN" w:bidi="ar"/>
              </w:rPr>
              <w:br w:type="textWrapping"/>
            </w:r>
            <w:r>
              <w:rPr>
                <w:rFonts w:hint="eastAsia" w:ascii="宋体" w:hAnsi="宋体" w:eastAsia="宋体" w:cs="宋体"/>
                <w:i w:val="0"/>
                <w:iCs w:val="0"/>
                <w:color w:val="333333"/>
                <w:kern w:val="0"/>
                <w:sz w:val="18"/>
                <w:szCs w:val="18"/>
                <w:u w:val="none"/>
                <w:lang w:val="en-US" w:eastAsia="zh-CN" w:bidi="ar"/>
              </w:rPr>
              <w:t>公共机构数据统计表数据准确率</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D4D87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D4A3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8B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AE4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5A413">
            <w:pPr>
              <w:rPr>
                <w:rFonts w:hint="eastAsia" w:ascii="宋体" w:hAnsi="宋体" w:eastAsia="宋体" w:cs="宋体"/>
                <w:i w:val="0"/>
                <w:iCs w:val="0"/>
                <w:color w:val="000000"/>
                <w:sz w:val="18"/>
                <w:szCs w:val="18"/>
                <w:u w:val="none"/>
              </w:rPr>
            </w:pPr>
          </w:p>
        </w:tc>
      </w:tr>
      <w:tr w14:paraId="75CEB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3A3FAA21">
            <w:pPr>
              <w:jc w:val="center"/>
              <w:rPr>
                <w:rFonts w:hint="eastAsia" w:ascii="宋体" w:hAnsi="宋体" w:eastAsia="宋体" w:cs="宋体"/>
                <w:i w:val="0"/>
                <w:iCs w:val="0"/>
                <w:color w:val="333333"/>
                <w:sz w:val="18"/>
                <w:szCs w:val="18"/>
                <w:u w:val="none"/>
              </w:rPr>
            </w:pP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3F298FD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50BBF4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节能宣传资料质量合格率</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4482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EFA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F5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0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6DD28">
            <w:pPr>
              <w:rPr>
                <w:rFonts w:hint="eastAsia" w:ascii="宋体" w:hAnsi="宋体" w:eastAsia="宋体" w:cs="宋体"/>
                <w:i w:val="0"/>
                <w:iCs w:val="0"/>
                <w:color w:val="000000"/>
                <w:sz w:val="18"/>
                <w:szCs w:val="18"/>
                <w:u w:val="none"/>
              </w:rPr>
            </w:pPr>
          </w:p>
        </w:tc>
      </w:tr>
      <w:tr w14:paraId="2F33F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65926CC8">
            <w:pPr>
              <w:jc w:val="center"/>
              <w:rPr>
                <w:rFonts w:hint="eastAsia" w:ascii="宋体" w:hAnsi="宋体" w:eastAsia="宋体" w:cs="宋体"/>
                <w:i w:val="0"/>
                <w:iCs w:val="0"/>
                <w:color w:val="333333"/>
                <w:sz w:val="18"/>
                <w:szCs w:val="18"/>
                <w:u w:val="none"/>
              </w:rPr>
            </w:pP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1086FCE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23EA543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节能宣传活动开展及时率</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941B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6F126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F8F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4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3A9E">
            <w:pPr>
              <w:rPr>
                <w:rFonts w:hint="eastAsia" w:ascii="宋体" w:hAnsi="宋体" w:eastAsia="宋体" w:cs="宋体"/>
                <w:i w:val="0"/>
                <w:iCs w:val="0"/>
                <w:color w:val="000000"/>
                <w:sz w:val="18"/>
                <w:szCs w:val="18"/>
                <w:u w:val="none"/>
              </w:rPr>
            </w:pPr>
          </w:p>
        </w:tc>
      </w:tr>
      <w:tr w14:paraId="3B0E4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53DE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25411A4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5504FA0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公共机构节能示范单位影响性</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9BBBB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438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优</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6F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E6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FD07">
            <w:pPr>
              <w:rPr>
                <w:rFonts w:hint="eastAsia" w:ascii="宋体" w:hAnsi="宋体" w:eastAsia="宋体" w:cs="宋体"/>
                <w:i w:val="0"/>
                <w:iCs w:val="0"/>
                <w:color w:val="000000"/>
                <w:sz w:val="18"/>
                <w:szCs w:val="18"/>
                <w:u w:val="none"/>
              </w:rPr>
            </w:pPr>
          </w:p>
        </w:tc>
      </w:tr>
      <w:tr w14:paraId="6B188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DCAA54">
            <w:pPr>
              <w:jc w:val="center"/>
              <w:rPr>
                <w:rFonts w:hint="eastAsia" w:ascii="宋体" w:hAnsi="宋体" w:eastAsia="宋体" w:cs="宋体"/>
                <w:i w:val="0"/>
                <w:iCs w:val="0"/>
                <w:color w:val="333333"/>
                <w:sz w:val="18"/>
                <w:szCs w:val="18"/>
                <w:u w:val="none"/>
              </w:rPr>
            </w:pPr>
          </w:p>
        </w:tc>
        <w:tc>
          <w:tcPr>
            <w:tcW w:w="1536" w:type="dxa"/>
            <w:gridSpan w:val="3"/>
            <w:tcBorders>
              <w:top w:val="single" w:color="000000" w:sz="4" w:space="0"/>
              <w:left w:val="single" w:color="000000" w:sz="4" w:space="0"/>
              <w:bottom w:val="single" w:color="000000" w:sz="4" w:space="0"/>
              <w:right w:val="nil"/>
            </w:tcBorders>
            <w:shd w:val="clear" w:color="auto" w:fill="FFFFFF"/>
            <w:noWrap/>
            <w:vAlign w:val="center"/>
          </w:tcPr>
          <w:p w14:paraId="45EF0D2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6FEF64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公共机构节能示范单位建设机制健全性</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80A15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6C184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3D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7F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ECA8">
            <w:pPr>
              <w:rPr>
                <w:rFonts w:hint="eastAsia" w:ascii="宋体" w:hAnsi="宋体" w:eastAsia="宋体" w:cs="宋体"/>
                <w:i w:val="0"/>
                <w:iCs w:val="0"/>
                <w:color w:val="000000"/>
                <w:sz w:val="18"/>
                <w:szCs w:val="18"/>
                <w:u w:val="none"/>
              </w:rPr>
            </w:pPr>
          </w:p>
        </w:tc>
      </w:tr>
      <w:tr w14:paraId="73F6B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CDBE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36"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3BFA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754" w:type="dxa"/>
            <w:gridSpan w:val="2"/>
            <w:tcBorders>
              <w:top w:val="single" w:color="000000" w:sz="4" w:space="0"/>
              <w:left w:val="single" w:color="000000" w:sz="4" w:space="0"/>
              <w:bottom w:val="single" w:color="000000" w:sz="4" w:space="0"/>
              <w:right w:val="nil"/>
            </w:tcBorders>
            <w:shd w:val="clear" w:color="auto" w:fill="FFFFFF"/>
            <w:noWrap/>
            <w:vAlign w:val="center"/>
          </w:tcPr>
          <w:p w14:paraId="29FFB19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节能管理指导单位满意度</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1EBB8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99%</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5F21F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42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6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85549">
            <w:pPr>
              <w:rPr>
                <w:rFonts w:hint="eastAsia" w:ascii="宋体" w:hAnsi="宋体" w:eastAsia="宋体" w:cs="宋体"/>
                <w:i w:val="0"/>
                <w:iCs w:val="0"/>
                <w:color w:val="000000"/>
                <w:sz w:val="18"/>
                <w:szCs w:val="18"/>
                <w:u w:val="none"/>
              </w:rPr>
            </w:pPr>
          </w:p>
        </w:tc>
      </w:tr>
      <w:tr w14:paraId="1B0E4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1920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536"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D7EE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275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65B2B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公共机构节能建设经费控制数</w:t>
            </w:r>
          </w:p>
        </w:tc>
        <w:tc>
          <w:tcPr>
            <w:tcW w:w="8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9B18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2万元</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DC25A">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1.29万元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E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05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BB8B3">
            <w:pPr>
              <w:rPr>
                <w:rFonts w:hint="eastAsia" w:ascii="宋体" w:hAnsi="宋体" w:eastAsia="宋体" w:cs="宋体"/>
                <w:i w:val="0"/>
                <w:iCs w:val="0"/>
                <w:color w:val="000000"/>
                <w:sz w:val="18"/>
                <w:szCs w:val="18"/>
                <w:u w:val="none"/>
              </w:rPr>
            </w:pPr>
          </w:p>
        </w:tc>
      </w:tr>
    </w:tbl>
    <w:p w14:paraId="711A53BC">
      <w:pPr>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br w:type="page"/>
      </w:r>
    </w:p>
    <w:p w14:paraId="1DC4E659">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48"/>
      <w:bookmarkEnd w:id="49"/>
      <w:bookmarkStart w:id="50" w:name="_Toc15396619"/>
    </w:p>
    <w:p w14:paraId="32F0C34C">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339D7AA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0"/>
    </w:p>
    <w:p w14:paraId="77E92BEE">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1" w:name="_Toc15396620"/>
      <w:r>
        <w:rPr>
          <w:rFonts w:hint="eastAsia" w:ascii="Times New Roman" w:hAnsi="Times New Roman" w:eastAsia="仿宋_GB2312" w:cs="仿宋_GB2312"/>
          <w:color w:val="auto"/>
          <w:sz w:val="32"/>
          <w:szCs w:val="32"/>
          <w:highlight w:val="none"/>
        </w:rPr>
        <w:t>二、收入决算表</w:t>
      </w:r>
      <w:bookmarkEnd w:id="51"/>
    </w:p>
    <w:p w14:paraId="7A5700D3">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2" w:name="_Toc15396621"/>
      <w:r>
        <w:rPr>
          <w:rFonts w:hint="eastAsia" w:ascii="Times New Roman" w:hAnsi="Times New Roman" w:eastAsia="仿宋_GB2312" w:cs="仿宋_GB2312"/>
          <w:color w:val="auto"/>
          <w:sz w:val="32"/>
          <w:szCs w:val="32"/>
          <w:highlight w:val="none"/>
        </w:rPr>
        <w:t>三、支出决算表</w:t>
      </w:r>
      <w:bookmarkEnd w:id="52"/>
    </w:p>
    <w:p w14:paraId="5F1A344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3" w:name="_Toc15396622"/>
      <w:r>
        <w:rPr>
          <w:rFonts w:hint="eastAsia" w:ascii="Times New Roman" w:hAnsi="Times New Roman" w:eastAsia="仿宋_GB2312" w:cs="仿宋_GB2312"/>
          <w:color w:val="auto"/>
          <w:sz w:val="32"/>
          <w:szCs w:val="32"/>
          <w:highlight w:val="none"/>
        </w:rPr>
        <w:t>四、财政拨款收入支出决算总表</w:t>
      </w:r>
      <w:bookmarkEnd w:id="53"/>
    </w:p>
    <w:p w14:paraId="5C9FF948">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3"/>
      <w:r>
        <w:rPr>
          <w:rFonts w:hint="eastAsia" w:ascii="Times New Roman" w:hAnsi="Times New Roman" w:eastAsia="仿宋_GB2312" w:cs="仿宋_GB2312"/>
          <w:color w:val="auto"/>
          <w:sz w:val="32"/>
          <w:szCs w:val="32"/>
          <w:highlight w:val="none"/>
        </w:rPr>
        <w:t>五、财政拨款支出决算明细表</w:t>
      </w:r>
      <w:bookmarkEnd w:id="54"/>
      <w:bookmarkStart w:id="55" w:name="_Toc15396624"/>
    </w:p>
    <w:p w14:paraId="357DC25C">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5"/>
    </w:p>
    <w:p w14:paraId="591ABE5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5"/>
      <w:r>
        <w:rPr>
          <w:rFonts w:hint="eastAsia" w:ascii="Times New Roman" w:hAnsi="Times New Roman" w:eastAsia="仿宋_GB2312" w:cs="仿宋_GB2312"/>
          <w:color w:val="auto"/>
          <w:sz w:val="32"/>
          <w:szCs w:val="32"/>
          <w:highlight w:val="none"/>
        </w:rPr>
        <w:t>七、一般公共预算财政拨款支出决算明细表</w:t>
      </w:r>
      <w:bookmarkEnd w:id="56"/>
    </w:p>
    <w:p w14:paraId="27633050">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6"/>
      <w:r>
        <w:rPr>
          <w:rFonts w:hint="eastAsia" w:ascii="Times New Roman" w:hAnsi="Times New Roman" w:eastAsia="仿宋_GB2312" w:cs="仿宋_GB2312"/>
          <w:color w:val="auto"/>
          <w:sz w:val="32"/>
          <w:szCs w:val="32"/>
          <w:highlight w:val="none"/>
        </w:rPr>
        <w:t>八、一般公共预算财政拨款基本支出决算表</w:t>
      </w:r>
      <w:bookmarkEnd w:id="57"/>
    </w:p>
    <w:p w14:paraId="52913BA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7"/>
      <w:r>
        <w:rPr>
          <w:rFonts w:hint="eastAsia" w:ascii="Times New Roman" w:hAnsi="Times New Roman" w:eastAsia="仿宋_GB2312" w:cs="仿宋_GB2312"/>
          <w:color w:val="auto"/>
          <w:sz w:val="32"/>
          <w:szCs w:val="32"/>
          <w:highlight w:val="none"/>
        </w:rPr>
        <w:t>九、一般公共预算财政拨款项目支出决算表</w:t>
      </w:r>
      <w:bookmarkEnd w:id="58"/>
    </w:p>
    <w:p w14:paraId="47DDC752">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28"/>
      <w:r>
        <w:rPr>
          <w:rFonts w:hint="eastAsia" w:ascii="Times New Roman" w:hAnsi="Times New Roman" w:eastAsia="仿宋_GB2312" w:cs="仿宋_GB2312"/>
          <w:color w:val="auto"/>
          <w:sz w:val="32"/>
          <w:szCs w:val="32"/>
          <w:highlight w:val="none"/>
        </w:rPr>
        <w:t>十、</w:t>
      </w:r>
      <w:bookmarkEnd w:id="59"/>
      <w:r>
        <w:rPr>
          <w:rFonts w:hint="eastAsia" w:ascii="Times New Roman" w:hAnsi="Times New Roman" w:eastAsia="仿宋_GB2312" w:cs="仿宋_GB2312"/>
          <w:color w:val="auto"/>
          <w:sz w:val="32"/>
          <w:szCs w:val="32"/>
          <w:highlight w:val="none"/>
        </w:rPr>
        <w:t>政府性基金预算财政拨款收入支出决算表</w:t>
      </w:r>
    </w:p>
    <w:p w14:paraId="2A2D1AA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9"/>
      <w:r>
        <w:rPr>
          <w:rFonts w:hint="eastAsia" w:ascii="Times New Roman" w:hAnsi="Times New Roman" w:eastAsia="仿宋_GB2312" w:cs="仿宋_GB2312"/>
          <w:color w:val="auto"/>
          <w:sz w:val="32"/>
          <w:szCs w:val="32"/>
          <w:highlight w:val="none"/>
        </w:rPr>
        <w:t>十一、</w:t>
      </w:r>
      <w:bookmarkEnd w:id="60"/>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5A304F6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30"/>
      <w:r>
        <w:rPr>
          <w:rFonts w:hint="eastAsia" w:ascii="Times New Roman" w:hAnsi="Times New Roman" w:eastAsia="仿宋_GB2312" w:cs="仿宋_GB2312"/>
          <w:color w:val="auto"/>
          <w:sz w:val="32"/>
          <w:szCs w:val="32"/>
          <w:highlight w:val="none"/>
        </w:rPr>
        <w:t>十二、</w:t>
      </w:r>
      <w:bookmarkEnd w:id="61"/>
      <w:r>
        <w:rPr>
          <w:rFonts w:hint="eastAsia" w:ascii="Times New Roman" w:hAnsi="Times New Roman" w:eastAsia="仿宋_GB2312" w:cs="仿宋_GB2312"/>
          <w:color w:val="auto"/>
          <w:sz w:val="32"/>
          <w:szCs w:val="32"/>
          <w:highlight w:val="none"/>
          <w:lang w:eastAsia="zh-CN"/>
        </w:rPr>
        <w:t>国有资本经营预算财政拨款支出决算表</w:t>
      </w:r>
    </w:p>
    <w:p w14:paraId="1E3116C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2" w:name="_Toc15396631"/>
      <w:r>
        <w:rPr>
          <w:rFonts w:hint="eastAsia" w:ascii="Times New Roman" w:hAnsi="Times New Roman" w:eastAsia="仿宋_GB2312" w:cs="仿宋_GB2312"/>
          <w:color w:val="auto"/>
          <w:sz w:val="32"/>
          <w:szCs w:val="32"/>
          <w:highlight w:val="none"/>
        </w:rPr>
        <w:t>十三、</w:t>
      </w:r>
      <w:bookmarkEnd w:id="62"/>
      <w:r>
        <w:rPr>
          <w:rFonts w:hint="eastAsia" w:ascii="Times New Roman" w:hAnsi="Times New Roman" w:eastAsia="仿宋_GB2312" w:cs="仿宋_GB2312"/>
          <w:color w:val="auto"/>
          <w:sz w:val="32"/>
          <w:szCs w:val="32"/>
          <w:highlight w:val="none"/>
          <w:lang w:eastAsia="zh-CN"/>
        </w:rPr>
        <w:t>财政拨款“三公”经费支出决算表</w:t>
      </w:r>
    </w:p>
    <w:p w14:paraId="02EC49D0">
      <w:pPr>
        <w:rPr>
          <w:rFonts w:hint="eastAsia" w:ascii="Times New Roman" w:hAnsi="Times New Roman"/>
          <w:lang w:eastAsia="zh-CN"/>
        </w:rPr>
      </w:pPr>
    </w:p>
    <w:sectPr>
      <w:footerReference r:id="rId8" w:type="first"/>
      <w:footerReference r:id="rId7" w:type="default"/>
      <w:pgSz w:w="11906" w:h="16838"/>
      <w:pgMar w:top="1440" w:right="1463" w:bottom="1440" w:left="1463"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2039">
    <w:pPr>
      <w:pStyle w:val="1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57688">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203ED">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197203ED">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41E21">
    <w:pPr>
      <w:pStyle w:val="1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F39CF">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55D0">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EE955D0">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0C8DBBF3">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6AA86">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1ED273">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E1ED273">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9B7B8">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0C304B2"/>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D2D24CF"/>
    <w:rsid w:val="1E312DEB"/>
    <w:rsid w:val="1E740ACF"/>
    <w:rsid w:val="1F5E5444"/>
    <w:rsid w:val="1FF35744"/>
    <w:rsid w:val="1FF6BC77"/>
    <w:rsid w:val="2186353C"/>
    <w:rsid w:val="23860B96"/>
    <w:rsid w:val="240371BF"/>
    <w:rsid w:val="244F3473"/>
    <w:rsid w:val="24C97D99"/>
    <w:rsid w:val="25A718F0"/>
    <w:rsid w:val="25BB59F6"/>
    <w:rsid w:val="260F557C"/>
    <w:rsid w:val="26970054"/>
    <w:rsid w:val="27201559"/>
    <w:rsid w:val="281408E2"/>
    <w:rsid w:val="28B82217"/>
    <w:rsid w:val="29FD04D3"/>
    <w:rsid w:val="2B1B776B"/>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700C3E"/>
    <w:rsid w:val="3CEBA265"/>
    <w:rsid w:val="3D6A7BFC"/>
    <w:rsid w:val="3D98207C"/>
    <w:rsid w:val="3DEE7CF3"/>
    <w:rsid w:val="3E740A63"/>
    <w:rsid w:val="3E78745D"/>
    <w:rsid w:val="3EE17838"/>
    <w:rsid w:val="3F55381A"/>
    <w:rsid w:val="3F7F7599"/>
    <w:rsid w:val="3FF4CAE0"/>
    <w:rsid w:val="3FF7B227"/>
    <w:rsid w:val="40C02882"/>
    <w:rsid w:val="42252F8F"/>
    <w:rsid w:val="44E268DA"/>
    <w:rsid w:val="450D13D7"/>
    <w:rsid w:val="45506656"/>
    <w:rsid w:val="47B24801"/>
    <w:rsid w:val="486A6C7A"/>
    <w:rsid w:val="4A627F82"/>
    <w:rsid w:val="4A8652C7"/>
    <w:rsid w:val="4A9B54D3"/>
    <w:rsid w:val="4B0E749A"/>
    <w:rsid w:val="4B2477C4"/>
    <w:rsid w:val="4B495732"/>
    <w:rsid w:val="4B4F25DA"/>
    <w:rsid w:val="4BE068DB"/>
    <w:rsid w:val="4D577224"/>
    <w:rsid w:val="4DBF1CEB"/>
    <w:rsid w:val="4DF0007C"/>
    <w:rsid w:val="4EAB630A"/>
    <w:rsid w:val="4ECE2238"/>
    <w:rsid w:val="4F833267"/>
    <w:rsid w:val="4FE9BD67"/>
    <w:rsid w:val="4FFB052F"/>
    <w:rsid w:val="50CD6D52"/>
    <w:rsid w:val="537E6D0A"/>
    <w:rsid w:val="53F74C96"/>
    <w:rsid w:val="54AA6CBC"/>
    <w:rsid w:val="55170BA8"/>
    <w:rsid w:val="553218C9"/>
    <w:rsid w:val="55A86D44"/>
    <w:rsid w:val="567E1AA5"/>
    <w:rsid w:val="56E47B74"/>
    <w:rsid w:val="57175D52"/>
    <w:rsid w:val="57BD3DD4"/>
    <w:rsid w:val="598844B7"/>
    <w:rsid w:val="5AF92295"/>
    <w:rsid w:val="5B250254"/>
    <w:rsid w:val="5BDD79E6"/>
    <w:rsid w:val="5BF561CA"/>
    <w:rsid w:val="5BFF5DFC"/>
    <w:rsid w:val="5CD71FC4"/>
    <w:rsid w:val="5D1F11B5"/>
    <w:rsid w:val="5D695134"/>
    <w:rsid w:val="5DAE1B18"/>
    <w:rsid w:val="5DE7D9E5"/>
    <w:rsid w:val="5ECEC941"/>
    <w:rsid w:val="5F805704"/>
    <w:rsid w:val="5FBF9FF3"/>
    <w:rsid w:val="5FCD4E2C"/>
    <w:rsid w:val="5FEF394A"/>
    <w:rsid w:val="5FF67715"/>
    <w:rsid w:val="62510116"/>
    <w:rsid w:val="62BF3928"/>
    <w:rsid w:val="63B3701E"/>
    <w:rsid w:val="647F5392"/>
    <w:rsid w:val="65E66580"/>
    <w:rsid w:val="664B1D71"/>
    <w:rsid w:val="664B4E8E"/>
    <w:rsid w:val="67277B67"/>
    <w:rsid w:val="67627CF7"/>
    <w:rsid w:val="6773197D"/>
    <w:rsid w:val="67AA3209"/>
    <w:rsid w:val="698D0931"/>
    <w:rsid w:val="6A7FE5F3"/>
    <w:rsid w:val="6B053271"/>
    <w:rsid w:val="6B6B26EA"/>
    <w:rsid w:val="6B8A3FC6"/>
    <w:rsid w:val="6BDD78B3"/>
    <w:rsid w:val="6C155DA9"/>
    <w:rsid w:val="6C4A05C8"/>
    <w:rsid w:val="6C6834A4"/>
    <w:rsid w:val="6C8742B8"/>
    <w:rsid w:val="6DBD6DD9"/>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6A5C"/>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A3D57"/>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3"/>
    <w:qFormat/>
    <w:uiPriority w:val="9"/>
    <w:rPr>
      <w:rFonts w:ascii="Times New Roman" w:hAnsi="Times New Roman"/>
      <w:b/>
      <w:bCs/>
      <w:kern w:val="44"/>
      <w:sz w:val="44"/>
      <w:szCs w:val="44"/>
    </w:rPr>
  </w:style>
  <w:style w:type="character" w:customStyle="1" w:styleId="29">
    <w:name w:val="标题 2 Char"/>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character" w:customStyle="1" w:styleId="32">
    <w:name w:val="标题 3 Char"/>
    <w:basedOn w:val="16"/>
    <w:link w:val="5"/>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5">
    <w:name w:val="标题 2 字符"/>
    <w:basedOn w:val="16"/>
    <w:link w:val="4"/>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800" b="1" i="0" u="none" strike="noStrike" kern="1200" baseline="0">
                <a:solidFill>
                  <a:sysClr val="windowText" lastClr="000000"/>
                </a:solidFill>
                <a:latin typeface="+mn-lt"/>
                <a:ea typeface="+mn-ea"/>
                <a:cs typeface="+mn-cs"/>
              </a:defRPr>
            </a:pPr>
            <a:r>
              <a:rPr lang="zh-CN" altLang="en-US"/>
              <a:t>收支决算总计变动</a:t>
            </a:r>
            <a:endParaRPr lang="zh-CN" altLang="en-US"/>
          </a:p>
        </c:rich>
      </c:tx>
      <c:layout/>
      <c:overlay val="0"/>
    </c:title>
    <c:autoTitleDeleted val="0"/>
    <c:plotArea>
      <c:layout>
        <c:manualLayout>
          <c:layoutTarget val="inner"/>
          <c:xMode val="edge"/>
          <c:yMode val="edge"/>
          <c:x val="0.0395622895622896"/>
          <c:y val="0.371993148005773"/>
          <c:w val="0.925925925925926"/>
          <c:h val="0.493927125506073"/>
        </c:manualLayout>
      </c:layout>
      <c:barChart>
        <c:barDir val="col"/>
        <c:grouping val="stacked"/>
        <c:varyColors val="0"/>
        <c:ser>
          <c:idx val="0"/>
          <c:order val="0"/>
          <c:tx>
            <c:strRef>
              <c:f>Sheet1!$B$1</c:f>
              <c:strCache>
                <c:ptCount val="1"/>
                <c:pt idx="0">
                  <c:v>收支总计</c:v>
                </c:pt>
              </c:strCache>
            </c:strRef>
          </c:tx>
          <c:invertIfNegative val="0"/>
          <c:dLbls>
            <c:dLbl>
              <c:idx val="0"/>
              <c:layout>
                <c:manualLayout>
                  <c:x val="-0.0178872053872054"/>
                  <c:y val="-0.27113702623906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solidFill>
                        <a:latin typeface="+mn-lt"/>
                        <a:ea typeface="+mn-ea"/>
                        <a:cs typeface="+mn-cs"/>
                      </a:defRPr>
                    </a:pPr>
                    <a:r>
                      <a:rPr lang="en-US" altLang="zh-CN"/>
                      <a:t>302.25</a:t>
                    </a:r>
                    <a:endParaRPr lang="en-US" altLang="zh-CN"/>
                  </a:p>
                </c:rich>
              </c:tx>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00773147019796"/>
                  <c:y val="-0.280579655022752"/>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solidFill>
                        <a:latin typeface="+mn-lt"/>
                        <a:ea typeface="+mn-ea"/>
                        <a:cs typeface="+mn-cs"/>
                      </a:defRPr>
                    </a:pPr>
                    <a:r>
                      <a:rPr lang="en-US" altLang="zh-CN"/>
                      <a:t>332.59</a:t>
                    </a:r>
                    <a:endParaRPr lang="en-US" altLang="zh-CN"/>
                  </a:p>
                </c:rich>
              </c:tx>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Sheet1!$A$2:$A$5</c:f>
              <c:numCache>
                <c:formatCode>General</c:formatCode>
                <c:ptCount val="4"/>
                <c:pt idx="0">
                  <c:v>2023</c:v>
                </c:pt>
                <c:pt idx="1">
                  <c:v>2024</c:v>
                </c:pt>
              </c:numCache>
            </c:numRef>
          </c:cat>
          <c:val>
            <c:numRef>
              <c:f>Sheet1!$B$2:$B$5</c:f>
              <c:numCache>
                <c:formatCode>General</c:formatCode>
                <c:ptCount val="4"/>
                <c:pt idx="0">
                  <c:v>302.25</c:v>
                </c:pt>
                <c:pt idx="1">
                  <c:v>332.59</c:v>
                </c:pt>
              </c:numCache>
            </c:numRef>
          </c:val>
        </c:ser>
        <c:ser>
          <c:idx val="1"/>
          <c:order val="1"/>
          <c:tx>
            <c:strRef>
              <c:f>Sheet1!$C$1</c:f>
              <c:strCache>
                <c:ptCount val="1"/>
                <c:pt idx="0">
                  <c:v>列1</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Sheet1!$A$2:$A$5</c:f>
              <c:numCache>
                <c:formatCode>General</c:formatCode>
                <c:ptCount val="4"/>
                <c:pt idx="0">
                  <c:v>2023</c:v>
                </c:pt>
                <c:pt idx="1">
                  <c:v>2024</c:v>
                </c:pt>
              </c:numCache>
            </c:numRef>
          </c:cat>
          <c:val>
            <c:numRef>
              <c:f>Sheet1!$C$2:$C$5</c:f>
              <c:numCache>
                <c:formatCode>General</c:formatCode>
                <c:ptCount val="4"/>
              </c:numCache>
            </c:numRef>
          </c:val>
        </c:ser>
        <c:ser>
          <c:idx val="2"/>
          <c:order val="2"/>
          <c:tx>
            <c:strRef>
              <c:f>Sheet1!$D$1</c:f>
              <c:strCache>
                <c:ptCount val="1"/>
                <c:pt idx="0">
                  <c:v>列2</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Sheet1!$A$2:$A$5</c:f>
              <c:numCache>
                <c:formatCode>General</c:formatCode>
                <c:ptCount val="4"/>
                <c:pt idx="0">
                  <c:v>2023</c:v>
                </c:pt>
                <c:pt idx="1">
                  <c:v>2024</c:v>
                </c:pt>
              </c:numCache>
            </c:numRef>
          </c:cat>
          <c:val>
            <c:numRef>
              <c:f>Sheet1!$D$2:$D$5</c:f>
              <c:numCache>
                <c:formatCode>General</c:formatCode>
                <c:ptCount val="4"/>
              </c:numCache>
            </c:numRef>
          </c:val>
        </c:ser>
        <c:dLbls>
          <c:showLegendKey val="0"/>
          <c:showVal val="1"/>
          <c:showCatName val="0"/>
          <c:showSerName val="0"/>
          <c:showPercent val="0"/>
          <c:showBubbleSize val="0"/>
        </c:dLbls>
        <c:gapWidth val="150"/>
        <c:overlap val="100"/>
        <c:axId val="327004928"/>
        <c:axId val="327006464"/>
      </c:barChart>
      <c:catAx>
        <c:axId val="327004928"/>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327006464"/>
        <c:crosses val="autoZero"/>
        <c:auto val="1"/>
        <c:lblAlgn val="ctr"/>
        <c:lblOffset val="100"/>
        <c:noMultiLvlLbl val="0"/>
      </c:catAx>
      <c:valAx>
        <c:axId val="327006464"/>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327004928"/>
        <c:crosses val="autoZero"/>
        <c:crossBetween val="between"/>
      </c:valAx>
    </c:plotArea>
    <c:legend>
      <c:legendPos val="t"/>
      <c:legendEntry>
        <c:idx val="1"/>
        <c:delete val="1"/>
      </c:legendEntry>
      <c:legendEntry>
        <c:idx val="2"/>
        <c:delete val="1"/>
      </c:legendEntry>
      <c:layout/>
      <c:overlay val="0"/>
      <c:txPr>
        <a:bodyPr rot="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legend>
    <c:plotVisOnly val="1"/>
    <c:dispBlanksAs val="gap"/>
    <c:showDLblsOverMax val="0"/>
    <c:extLst>
      <c:ext uri="{0b15fc19-7d7d-44ad-8c2d-2c3a37ce22c3}">
        <chartProps xmlns="https://web.wps.cn/et/2018/main" chartId="{ac6edcee-992e-4cca-afc3-1c2e5a7d8ed2}"/>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本年收入</c:v>
                </c:pt>
              </c:strCache>
            </c:strRef>
          </c:tx>
          <c:explosion val="0"/>
          <c:dPt>
            <c:idx val="0"/>
            <c:bubble3D val="0"/>
          </c:dPt>
          <c:dLbls>
            <c:dLbl>
              <c:idx val="0"/>
              <c:layout>
                <c:manualLayout>
                  <c:x val="0.124148445587728"/>
                  <c:y val="-0.02647108197769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0"/>
          <c:showVal val="0"/>
          <c:showCatName val="0"/>
          <c:showSerName val="0"/>
          <c:showPercent val="1"/>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7f8cc6db-2269-4dda-9dff-2fe15a7722e9}"/>
      </c:ext>
    </c:extLst>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8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本年支出</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Lbls>
            <c:dLbl>
              <c:idx val="0"/>
              <c:layout/>
              <c:tx>
                <c:rich>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r>
                      <a:rPr lang="en-US" altLang="zh-CN"/>
                      <a:t>37.58</a:t>
                    </a:r>
                    <a:r>
                      <a:t>%</a:t>
                    </a:r>
                  </a:p>
                </c:rich>
              </c:tx>
              <c:dLblPos val="ctr"/>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r>
                      <a:rPr lang="en-US" altLang="zh-CN"/>
                      <a:t>62.42</a:t>
                    </a:r>
                    <a:r>
                      <a:t>%</a:t>
                    </a:r>
                  </a:p>
                </c:rich>
              </c:tx>
              <c:dLblPos val="ctr"/>
              <c:showLegendKey val="0"/>
              <c:showVal val="0"/>
              <c:showCatName val="0"/>
              <c:showSerName val="0"/>
              <c:showPercent val="1"/>
              <c:showBubbleSize val="0"/>
              <c:extLst>
                <c:ext xmlns:c15="http://schemas.microsoft.com/office/drawing/2012/chart" uri="{CE6537A1-D6FC-4f65-9D91-7224C49458BB}"/>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基本支出</c:v>
                </c:pt>
                <c:pt idx="1">
                  <c:v>项目支出</c:v>
                </c:pt>
              </c:strCache>
            </c:strRef>
          </c:cat>
          <c:val>
            <c:numRef>
              <c:f>Sheet1!$B$2:$B$3</c:f>
              <c:numCache>
                <c:formatCode>0.00_ </c:formatCode>
                <c:ptCount val="2"/>
                <c:pt idx="0">
                  <c:v>37.58</c:v>
                </c:pt>
                <c:pt idx="1" c:formatCode="General">
                  <c:v>62.41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adec19ff-68c2-48f9-925e-a24762e1b255}"/>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财政拨款收支决算变动</a:t>
            </a:r>
          </a:p>
        </c:rich>
      </c:tx>
      <c:layout>
        <c:manualLayout>
          <c:xMode val="edge"/>
          <c:yMode val="edge"/>
          <c:x val="0.297385620915033"/>
          <c:y val="0.0073764445537251"/>
        </c:manualLayout>
      </c:layout>
      <c:overlay val="0"/>
      <c:spPr>
        <a:noFill/>
        <a:ln>
          <a:noFill/>
        </a:ln>
        <a:effectLst/>
      </c:spPr>
    </c:title>
    <c:autoTitleDeleted val="0"/>
    <c:plotArea>
      <c:layout>
        <c:manualLayout>
          <c:layoutTarget val="inner"/>
          <c:xMode val="edge"/>
          <c:yMode val="edge"/>
          <c:x val="0.0755117567438483"/>
          <c:y val="0.140527307770562"/>
          <c:w val="0.903079085217836"/>
          <c:h val="0.66082268370607"/>
        </c:manualLayout>
      </c:layout>
      <c:barChart>
        <c:barDir val="col"/>
        <c:grouping val="clustered"/>
        <c:varyColors val="0"/>
        <c:ser>
          <c:idx val="0"/>
          <c:order val="0"/>
          <c:tx>
            <c:strRef>
              <c:f>Sheet1!$B$1</c:f>
              <c:strCache>
                <c:ptCount val="1"/>
                <c:pt idx="0">
                  <c:v>财政拨款收支决算</c:v>
                </c:pt>
              </c:strCache>
            </c:strRef>
          </c:tx>
          <c:spPr>
            <a:solidFill>
              <a:schemeClr val="accent2"/>
            </a:solidFill>
            <a:ln>
              <a:noFill/>
            </a:ln>
            <a:effectLst/>
          </c:spPr>
          <c:invertIfNegative val="0"/>
          <c:dLbls>
            <c:dLbl>
              <c:idx val="0"/>
              <c:layout/>
              <c:dLblPos val="outEnd"/>
              <c:showLegendKey val="0"/>
              <c:showVal val="1"/>
              <c:showCatName val="0"/>
              <c:showSerName val="0"/>
              <c:showPercent val="0"/>
              <c:showBubbleSize val="0"/>
              <c:extLst>
                <c:ext xmlns:c15="http://schemas.microsoft.com/office/drawing/2012/chart" uri="{CE6537A1-D6FC-4f65-9D91-7224C49458BB}"/>
              </c:extLst>
            </c:dLbl>
            <c:dLbl>
              <c:idx val="1"/>
              <c:layout/>
              <c:dLblPos val="outEnd"/>
              <c:showLegendKey val="0"/>
              <c:showVal val="1"/>
              <c:showCatName val="0"/>
              <c:showSerName val="0"/>
              <c:showPercent val="0"/>
              <c:showBubbleSize val="0"/>
              <c:extLst>
                <c:ext xmlns:c15="http://schemas.microsoft.com/office/drawing/2012/chart" uri="{CE6537A1-D6FC-4f65-9D91-7224C49458BB}"/>
              </c:extLst>
            </c:dLbl>
            <c:dLbl>
              <c:idx val="2"/>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2023</c:v>
                </c:pt>
                <c:pt idx="1">
                  <c:v>2024</c:v>
                </c:pt>
              </c:numCache>
            </c:numRef>
          </c:cat>
          <c:val>
            <c:numRef>
              <c:f>Sheet1!$B$2:$B$4</c:f>
              <c:numCache>
                <c:formatCode>General</c:formatCode>
                <c:ptCount val="3"/>
                <c:pt idx="0">
                  <c:v>302.25</c:v>
                </c:pt>
                <c:pt idx="1">
                  <c:v>332.59</c:v>
                </c:pt>
                <c:pt idx="2">
                  <c:v>0</c:v>
                </c:pt>
              </c:numCache>
            </c:numRef>
          </c:val>
        </c:ser>
        <c:dLbls>
          <c:showLegendKey val="0"/>
          <c:showVal val="1"/>
          <c:showCatName val="0"/>
          <c:showSerName val="0"/>
          <c:showPercent val="0"/>
          <c:showBubbleSize val="0"/>
        </c:dLbls>
        <c:gapWidth val="219"/>
        <c:overlap val="-27"/>
        <c:axId val="331519488"/>
        <c:axId val="331521024"/>
      </c:barChart>
      <c:catAx>
        <c:axId val="33151948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1521024"/>
        <c:crosses val="autoZero"/>
        <c:auto val="1"/>
        <c:lblAlgn val="ctr"/>
        <c:lblOffset val="100"/>
        <c:noMultiLvlLbl val="0"/>
      </c:catAx>
      <c:valAx>
        <c:axId val="331521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151948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ea5cd48-46ee-47ce-aacd-047e27ab9c2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zh-CN" sz="1200"/>
              <a:t>一般公共预算财政拨款支出决算变动</a:t>
            </a:r>
            <a:endParaRPr lang="zh-CN" sz="1200"/>
          </a:p>
        </c:rich>
      </c:tx>
      <c:layout>
        <c:manualLayout>
          <c:xMode val="edge"/>
          <c:yMode val="edge"/>
          <c:x val="0.23118978921961"/>
          <c:y val="0.049382716049383"/>
        </c:manualLayout>
      </c:layout>
      <c:overlay val="0"/>
    </c:title>
    <c:autoTitleDeleted val="0"/>
    <c:plotArea>
      <c:layout/>
      <c:barChart>
        <c:barDir val="col"/>
        <c:grouping val="clustered"/>
        <c:varyColors val="0"/>
        <c:ser>
          <c:idx val="0"/>
          <c:order val="0"/>
          <c:tx>
            <c:strRef>
              <c:f>Sheet1!$B$1</c:f>
              <c:strCache>
                <c:ptCount val="1"/>
                <c:pt idx="0">
                  <c:v>财政拨款收支决算</c:v>
                </c:pt>
              </c:strCache>
            </c:strRef>
          </c:tx>
          <c:invertIfNegative val="0"/>
          <c:dLbls>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altLang="zh-CN"/>
                      <a:t>单位：万元</a:t>
                    </a:r>
                    <a:endParaRPr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2023</c:v>
                </c:pt>
                <c:pt idx="1">
                  <c:v>2024</c:v>
                </c:pt>
              </c:numCache>
            </c:numRef>
          </c:cat>
          <c:val>
            <c:numRef>
              <c:f>Sheet1!$B$2:$B$4</c:f>
              <c:numCache>
                <c:formatCode>General</c:formatCode>
                <c:ptCount val="3"/>
                <c:pt idx="0">
                  <c:v>302.25</c:v>
                </c:pt>
                <c:pt idx="1">
                  <c:v>332.59</c:v>
                </c:pt>
                <c:pt idx="2">
                  <c:v>0</c:v>
                </c:pt>
              </c:numCache>
            </c:numRef>
          </c:val>
        </c:ser>
        <c:dLbls>
          <c:showLegendKey val="0"/>
          <c:showVal val="1"/>
          <c:showCatName val="0"/>
          <c:showSerName val="0"/>
          <c:showPercent val="0"/>
          <c:showBubbleSize val="0"/>
        </c:dLbls>
        <c:gapWidth val="150"/>
        <c:overlap val="-25"/>
        <c:axId val="331287552"/>
        <c:axId val="331334400"/>
      </c:barChart>
      <c:catAx>
        <c:axId val="331287552"/>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31334400"/>
        <c:crosses val="autoZero"/>
        <c:auto val="1"/>
        <c:lblAlgn val="ctr"/>
        <c:lblOffset val="100"/>
        <c:noMultiLvlLbl val="0"/>
      </c:catAx>
      <c:valAx>
        <c:axId val="331334400"/>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331287552"/>
        <c:crosses val="autoZero"/>
        <c:crossBetween val="between"/>
      </c:valAx>
    </c:plotArea>
    <c:plotVisOnly val="1"/>
    <c:dispBlanksAs val="gap"/>
    <c:showDLblsOverMax val="0"/>
    <c:extLst>
      <c:ext uri="{0b15fc19-7d7d-44ad-8c2d-2c3a37ce22c3}">
        <chartProps xmlns="https://web.wps.cn/et/2018/main" chartId="{163aeeed-508d-4ab7-a6bd-fcdc74436f9a}"/>
      </c:ext>
    </c:extLst>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t>一</a:t>
            </a:r>
            <a:r>
              <a:rPr sz="1050"/>
              <a:t>般公共预算财政拨款支出</a:t>
            </a:r>
            <a:endParaRPr sz="1050"/>
          </a:p>
        </c:rich>
      </c:tx>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154959258218601"/>
          <c:y val="0.284729064039409"/>
          <c:w val="0.718600730542287"/>
          <c:h val="0.581034482758621"/>
        </c:manualLayout>
      </c:layout>
      <c:pie3DChart>
        <c:varyColors val="1"/>
        <c:ser>
          <c:idx val="0"/>
          <c:order val="0"/>
          <c:tx>
            <c:strRef>
              <c:f>Sheet1!$B$1</c:f>
              <c:strCache>
                <c:ptCount val="1"/>
                <c:pt idx="0">
                  <c:v>一般公共预算财政拨款支出</c:v>
                </c:pt>
              </c:strCache>
            </c:strRef>
          </c:tx>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Pt>
            <c:idx val="3"/>
            <c:bubble3D val="0"/>
            <c:spPr>
              <a:solidFill>
                <a:schemeClr val="accent4"/>
              </a:solidFill>
              <a:ln w="25400">
                <a:solidFill>
                  <a:schemeClr val="lt1"/>
                </a:solidFill>
              </a:ln>
              <a:effectLst/>
              <a:scene3d>
                <a:camera prst="orthographicFront"/>
                <a:lightRig rig="threePt" dir="t"/>
              </a:scene3d>
              <a:sp3d contourW="25400"/>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一般公共服务</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90.95</a:t>
                    </a:r>
                    <a:r>
                      <a:t>%</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dLbl>
              <c:idx val="1"/>
              <c:layout>
                <c:manualLayout>
                  <c:x val="-0.103325794548962"/>
                  <c:y val="0.10484926339047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社会保障和就业支出</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5.05</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119074631092458"/>
                  <c:y val="-0.0485269359454004"/>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卫生健康支出</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1.2</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06033807592299"/>
                  <c:y val="-0.024535634054092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住房保障支出</a:t>
                    </a:r>
                  </a:p>
                  <a:p>
                    <a:pPr defTabSz="914400">
                      <a:defRPr lang="zh-CN" sz="900" b="0" i="0" u="none" strike="noStrike" kern="1200" baseline="0">
                        <a:solidFill>
                          <a:schemeClr val="tx1">
                            <a:lumMod val="75000"/>
                            <a:lumOff val="25000"/>
                          </a:schemeClr>
                        </a:solidFill>
                        <a:latin typeface="+mn-lt"/>
                        <a:ea typeface="+mn-ea"/>
                        <a:cs typeface="+mn-cs"/>
                      </a:defRPr>
                    </a:pPr>
                    <a:r>
                      <a:rPr lang="en-US" altLang="zh-CN"/>
                      <a:t>2.8</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c:v>
                </c:pt>
                <c:pt idx="1">
                  <c:v>社会保障和就业支出</c:v>
                </c:pt>
                <c:pt idx="2">
                  <c:v>卫生健康支出</c:v>
                </c:pt>
                <c:pt idx="3">
                  <c:v>住房保障支出</c:v>
                </c:pt>
              </c:strCache>
            </c:strRef>
          </c:cat>
          <c:val>
            <c:numRef>
              <c:f>Sheet1!$B$2:$B$5</c:f>
              <c:numCache>
                <c:formatCode>General</c:formatCode>
                <c:ptCount val="4"/>
                <c:pt idx="0">
                  <c:v>90.95</c:v>
                </c:pt>
                <c:pt idx="1">
                  <c:v>5.05</c:v>
                </c:pt>
                <c:pt idx="2">
                  <c:v>1.2</c:v>
                </c:pt>
                <c:pt idx="3">
                  <c:v>2.8</c:v>
                </c:pt>
              </c:numCache>
            </c:numRef>
          </c:val>
        </c:ser>
        <c:dLbls>
          <c:showLegendKey val="0"/>
          <c:showVal val="0"/>
          <c:showCatName val="1"/>
          <c:showSerName val="0"/>
          <c:showPercent val="0"/>
          <c:showBubbleSize val="0"/>
        </c:dLbls>
      </c:pie3DChart>
      <c:spPr>
        <a:noFill/>
        <a:ln>
          <a:noFill/>
        </a:ln>
        <a:effectLst/>
      </c:spPr>
    </c:plotArea>
    <c:legend>
      <c:legendPos val="b"/>
      <c:legendEntry>
        <c:idx val="0"/>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2f02f2c8-6abf-4b53-a9a1-c1978adf027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xPr>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p>
      </c:txPr>
    </c:title>
    <c:autoTitleDeleted val="0"/>
    <c:view3D>
      <c:rotX val="30"/>
      <c:rotY val="0"/>
      <c:depthPercent val="100"/>
      <c:rAngAx val="0"/>
      <c:perspective val="30"/>
    </c:view3D>
    <c:floor>
      <c:thickness val="0"/>
    </c:floor>
    <c:sideWall>
      <c:thickness val="0"/>
    </c:sideWall>
    <c:backWall>
      <c:thickness val="0"/>
    </c:backWall>
    <c:plotArea>
      <c:layout>
        <c:manualLayout>
          <c:layoutTarget val="inner"/>
          <c:xMode val="edge"/>
          <c:yMode val="edge"/>
          <c:x val="0.0895402298850575"/>
          <c:y val="0.444069333333333"/>
          <c:w val="0.824367816091954"/>
          <c:h val="0.462528"/>
        </c:manualLayout>
      </c:layout>
      <c:pie3DChart>
        <c:varyColors val="1"/>
        <c:ser>
          <c:idx val="0"/>
          <c:order val="0"/>
          <c:tx>
            <c:strRef>
              <c:f>Sheet1!$B$1</c:f>
              <c:strCache>
                <c:ptCount val="1"/>
                <c:pt idx="0">
                  <c:v>三公经费财政拨款支出</c:v>
                </c:pt>
              </c:strCache>
            </c:strRef>
          </c:tx>
          <c:explosion val="0"/>
          <c:dPt>
            <c:idx val="0"/>
            <c:bubble3D val="0"/>
          </c:dPt>
          <c:dPt>
            <c:idx val="1"/>
            <c:bubble3D val="0"/>
          </c:dPt>
          <c:dPt>
            <c:idx val="2"/>
            <c:bubble3D val="0"/>
          </c:dPt>
          <c:dPt>
            <c:idx val="3"/>
            <c:bubble3D val="0"/>
          </c:dPt>
          <c:dLbls>
            <c:dLbl>
              <c:idx val="1"/>
              <c:layout>
                <c:manualLayout>
                  <c:x val="-0.0599867635080098"/>
                  <c:y val="0.0232298162729659"/>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0</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100%</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Sheet1!$A$2:$A$5</c:f>
              <c:strCache>
                <c:ptCount val="3"/>
                <c:pt idx="0">
                  <c:v>公出国（境）费支出</c:v>
                </c:pt>
                <c:pt idx="1">
                  <c:v>公务用车购置及运行维护费</c:v>
                </c:pt>
                <c:pt idx="2">
                  <c:v>公务接待费支出</c:v>
                </c:pt>
              </c:strCache>
            </c:strRef>
          </c:cat>
          <c:val>
            <c:numRef>
              <c:f>Sheet1!$B$2:$B$5</c:f>
              <c:numCache>
                <c:formatCode>General</c:formatCode>
                <c:ptCount val="4"/>
                <c:pt idx="0">
                  <c:v>0</c:v>
                </c:pt>
                <c:pt idx="1">
                  <c:v>0</c:v>
                </c:pt>
                <c:pt idx="2">
                  <c:v>100</c:v>
                </c:pt>
              </c:numCache>
            </c:numRef>
          </c:val>
        </c:ser>
        <c:dLbls>
          <c:showLegendKey val="0"/>
          <c:showVal val="0"/>
          <c:showCatName val="0"/>
          <c:showSerName val="0"/>
          <c:showPercent val="1"/>
          <c:showBubbleSize val="0"/>
        </c:dLbls>
      </c:pie3DChart>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30321acd-7b1d-41a8-9cb4-f465d56339a7}"/>
      </c:ext>
    </c:extLst>
  </c:chart>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withinLinear" id="4">
  <a:schemeClr val="accent2"/>
  <a:schemeClr val="accent2"/>
  <a:schemeClr val="accent2"/>
  <a:schemeClr val="accent2"/>
  <a:schemeClr val="accent2"/>
  <a:schemeClr val="accent2"/>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1299</Words>
  <Characters>7410</Characters>
  <Lines>61</Lines>
  <Paragraphs>17</Paragraphs>
  <TotalTime>4</TotalTime>
  <ScaleCrop>false</ScaleCrop>
  <LinksUpToDate>false</LinksUpToDate>
  <CharactersWithSpaces>8692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Administrator</cp:lastModifiedBy>
  <cp:lastPrinted>2025-10-28T08:18:11Z</cp:lastPrinted>
  <dcterms:modified xsi:type="dcterms:W3CDTF">2025-10-28T08:20:09Z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9447C5B99CC04BB28C660A3C4B20ECA1_13</vt:lpwstr>
  </property>
  <property fmtid="{D5CDD505-2E9C-101B-9397-08002B2CF9AE}" pid="4" name="KSOTemplateDocerSaveRecord">
    <vt:lpwstr>eyJoZGlkIjoiMzc3MTk0ZGI5NDRmNGE4NjdkMDg5ODZiMDMyOTNjNWIifQ==</vt:lpwstr>
  </property>
</Properties>
</file>