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乐山市五通桥区财政局机关</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2026单位预算编制说明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微软雅黑" w:cs="微软雅黑"/>
          <w:b/>
          <w:bCs/>
          <w:sz w:val="48"/>
          <w:szCs w:val="48"/>
          <w:lang w:val="en-US" w:eastAsia="zh-CN"/>
        </w:rPr>
      </w:pPr>
      <w:r>
        <w:rPr>
          <w:rFonts w:hint="eastAsia" w:ascii="宋体" w:hAnsi="宋体" w:eastAsia="微软雅黑" w:cs="微软雅黑"/>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微软雅黑" w:cs="微软雅黑"/>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微软雅黑" w:cs="微软雅黑"/>
              <w:b/>
              <w:bCs/>
              <w:sz w:val="48"/>
              <w:szCs w:val="48"/>
              <w:lang w:val="en-US" w:eastAsia="zh-CN"/>
            </w:rPr>
            <w:fldChar w:fldCharType="begin"/>
          </w:r>
          <w:r>
            <w:rPr>
              <w:rFonts w:hint="eastAsia" w:ascii="宋体" w:hAnsi="宋体" w:eastAsia="微软雅黑" w:cs="微软雅黑"/>
              <w:b/>
              <w:bCs/>
              <w:sz w:val="48"/>
              <w:szCs w:val="48"/>
              <w:lang w:val="en-US" w:eastAsia="zh-CN"/>
            </w:rPr>
            <w:instrText xml:space="preserve">TOC \o "1-3" \h \u </w:instrText>
          </w:r>
          <w:r>
            <w:rPr>
              <w:rFonts w:hint="eastAsia" w:ascii="宋体" w:hAnsi="宋体" w:eastAsia="微软雅黑" w:cs="微软雅黑"/>
              <w:b/>
              <w:bCs/>
              <w:sz w:val="48"/>
              <w:szCs w:val="48"/>
              <w:lang w:val="en-US" w:eastAsia="zh-CN"/>
            </w:rPr>
            <w:fldChar w:fldCharType="separate"/>
          </w: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_Toc8888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第一部分 单位概况</w:t>
          </w:r>
          <w:r>
            <w:tab/>
          </w:r>
          <w:r>
            <w:fldChar w:fldCharType="begin"/>
          </w:r>
          <w:r>
            <w:instrText xml:space="preserve"> PAGEREF _Toc8888 \h </w:instrText>
          </w:r>
          <w:r>
            <w:fldChar w:fldCharType="separate"/>
          </w:r>
          <w:r>
            <w:t>1</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_Toc13594 </w:instrText>
          </w:r>
          <w:r>
            <w:rPr>
              <w:rFonts w:hint="eastAsia" w:ascii="宋体" w:hAnsi="宋体" w:eastAsia="微软雅黑" w:cs="微软雅黑"/>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_Toc13594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_Toc8177 </w:instrText>
          </w:r>
          <w:r>
            <w:rPr>
              <w:rFonts w:hint="eastAsia" w:ascii="宋体" w:hAnsi="宋体" w:eastAsia="微软雅黑" w:cs="微软雅黑"/>
              <w:bCs/>
              <w:szCs w:val="48"/>
              <w:lang w:val="en-US" w:eastAsia="zh-CN"/>
            </w:rPr>
            <w:fldChar w:fldCharType="separate"/>
          </w:r>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r>
            <w:tab/>
          </w:r>
          <w:r>
            <w:fldChar w:fldCharType="begin"/>
          </w:r>
          <w:r>
            <w:instrText xml:space="preserve"> PAGEREF _Toc8177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_Toc933 </w:instrText>
          </w:r>
          <w:r>
            <w:rPr>
              <w:rFonts w:hint="eastAsia" w:ascii="宋体" w:hAnsi="宋体" w:eastAsia="微软雅黑" w:cs="微软雅黑"/>
              <w:bCs/>
              <w:szCs w:val="48"/>
              <w:lang w:val="en-US" w:eastAsia="zh-CN"/>
            </w:rPr>
            <w:fldChar w:fldCharType="separate"/>
          </w:r>
          <w:r>
            <w:rPr>
              <w:rFonts w:ascii="宋体" w:hAnsi="宋体"/>
            </w:rPr>
            <w:t>（二）</w:t>
          </w:r>
          <w:r>
            <w:rPr>
              <w:rFonts w:hint="eastAsia" w:ascii="宋体" w:hAnsi="宋体"/>
              <w:lang w:val="en-US" w:eastAsia="zh-CN"/>
            </w:rPr>
            <w:t>单位202</w:t>
          </w:r>
          <w:r>
            <w:rPr>
              <w:rFonts w:hint="eastAsia"/>
              <w:lang w:val="en-US" w:eastAsia="zh-CN"/>
            </w:rPr>
            <w:t>6</w:t>
          </w:r>
          <w:r>
            <w:rPr>
              <w:rFonts w:ascii="宋体" w:hAnsi="宋体"/>
            </w:rPr>
            <w:t>年重点工</w:t>
          </w:r>
          <w:r>
            <w:rPr>
              <w:rFonts w:hint="eastAsia" w:ascii="宋体" w:hAnsi="宋体"/>
            </w:rPr>
            <w:t>作</w:t>
          </w:r>
          <w:r>
            <w:tab/>
          </w:r>
          <w:r>
            <w:fldChar w:fldCharType="begin"/>
          </w:r>
          <w:r>
            <w:instrText xml:space="preserve"> PAGEREF _Toc933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_Toc3404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 xml:space="preserve">第二部分 </w:t>
          </w:r>
          <w:r>
            <w:tab/>
          </w:r>
          <w:r>
            <w:fldChar w:fldCharType="begin"/>
          </w:r>
          <w:r>
            <w:instrText xml:space="preserve"> PAGEREF _Toc3404 \h </w:instrText>
          </w:r>
          <w:r>
            <w:fldChar w:fldCharType="separate"/>
          </w:r>
          <w:r>
            <w:t>3</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_Toc11710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一、收支预算总表</w:t>
          </w:r>
          <w:r>
            <w:tab/>
          </w:r>
          <w:r>
            <w:fldChar w:fldCharType="begin"/>
          </w:r>
          <w:r>
            <w:instrText xml:space="preserve"> PAGEREF _Toc11710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_Toc16677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二、单位收入总表</w:t>
          </w:r>
          <w:r>
            <w:tab/>
          </w:r>
          <w:r>
            <w:fldChar w:fldCharType="begin"/>
          </w:r>
          <w:r>
            <w:instrText xml:space="preserve"> PAGEREF _Toc16677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_Toc25068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三、单位支出总表</w:t>
          </w:r>
          <w:r>
            <w:tab/>
          </w:r>
          <w:r>
            <w:fldChar w:fldCharType="begin"/>
          </w:r>
          <w:r>
            <w:instrText xml:space="preserve"> PAGEREF _Toc25068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四、财政拨款预算总表</w:t>
          </w:r>
          <w:r>
            <w:tab/>
          </w:r>
          <w:r>
            <w:fldChar w:fldCharType="begin"/>
          </w:r>
          <w:r>
            <w:instrText xml:space="preserve"> PAGEREF _Toc791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_Toc6082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五、财政拨款支出预算表（单位经济分类科目）</w:t>
          </w:r>
          <w:r>
            <w:tab/>
          </w:r>
          <w:r>
            <w:fldChar w:fldCharType="begin"/>
          </w:r>
          <w:r>
            <w:instrText xml:space="preserve"> PAGEREF _Toc6082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_Toc10537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六、一般公共预算支出预算表</w:t>
          </w:r>
          <w:r>
            <w:tab/>
          </w:r>
          <w:r>
            <w:fldChar w:fldCharType="begin"/>
          </w:r>
          <w:r>
            <w:instrText xml:space="preserve"> PAGEREF _Toc10537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七、一般公共预算基本支出预算表</w:t>
          </w:r>
          <w:r>
            <w:tab/>
          </w:r>
          <w:r>
            <w:fldChar w:fldCharType="begin"/>
          </w:r>
          <w:r>
            <w:instrText xml:space="preserve"> PAGEREF _Toc7917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_Toc14124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八、一般公共预算项目支出预算表</w:t>
          </w:r>
          <w:r>
            <w:tab/>
          </w:r>
          <w:r>
            <w:fldChar w:fldCharType="begin"/>
          </w:r>
          <w:r>
            <w:instrText xml:space="preserve"> PAGEREF _Toc14124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_Toc23421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九、一般公共预算“三公”经费支出预算表</w:t>
          </w:r>
          <w:r>
            <w:tab/>
          </w:r>
          <w:r>
            <w:fldChar w:fldCharType="begin"/>
          </w:r>
          <w:r>
            <w:instrText xml:space="preserve"> PAGEREF _Toc23421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_Toc23114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十、政府性基金预算支出预算表</w:t>
          </w:r>
          <w:r>
            <w:tab/>
          </w:r>
          <w:r>
            <w:fldChar w:fldCharType="begin"/>
          </w:r>
          <w:r>
            <w:instrText xml:space="preserve"> PAGEREF _Toc23114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_Toc16851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十一、政府性基金预算“三公”经费支出预算表</w:t>
          </w:r>
          <w:r>
            <w:tab/>
          </w:r>
          <w:r>
            <w:fldChar w:fldCharType="begin"/>
          </w:r>
          <w:r>
            <w:instrText xml:space="preserve"> PAGEREF _Toc16851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_Toc10714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十二、国有资本经营预算支出预算表</w:t>
          </w:r>
          <w:r>
            <w:tab/>
          </w:r>
          <w:r>
            <w:fldChar w:fldCharType="begin"/>
          </w:r>
          <w:r>
            <w:instrText xml:space="preserve"> PAGEREF _Toc10714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_Toc30355 </w:instrText>
          </w:r>
          <w:r>
            <w:rPr>
              <w:rFonts w:hint="eastAsia" w:ascii="宋体" w:hAnsi="宋体" w:eastAsia="微软雅黑" w:cs="微软雅黑"/>
              <w:bCs/>
              <w:szCs w:val="48"/>
              <w:lang w:val="en-US" w:eastAsia="zh-CN"/>
            </w:rPr>
            <w:fldChar w:fldCharType="separate"/>
          </w:r>
          <w:r>
            <w:rPr>
              <w:rFonts w:hint="eastAsia" w:ascii="宋体" w:hAnsi="宋体"/>
              <w:bCs/>
              <w:lang w:val="en-US" w:eastAsia="zh-CN"/>
            </w:rPr>
            <w:t>以上所有表格详见单位说明后附件。</w:t>
          </w:r>
          <w:r>
            <w:tab/>
          </w:r>
          <w:r>
            <w:fldChar w:fldCharType="begin"/>
          </w:r>
          <w:r>
            <w:instrText xml:space="preserve"> PAGEREF _Toc30355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_Toc8170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 xml:space="preserve">第三部分 </w:t>
          </w:r>
          <w:r>
            <w:rPr>
              <w:rFonts w:hint="eastAsia" w:eastAsia="微软雅黑" w:cs="微软雅黑"/>
              <w:szCs w:val="52"/>
              <w:lang w:val="en-US" w:eastAsia="zh-CN"/>
            </w:rPr>
            <w:t>财政局机关</w:t>
          </w:r>
          <w:r>
            <w:rPr>
              <w:rFonts w:hint="eastAsia" w:ascii="宋体" w:hAnsi="宋体" w:eastAsia="微软雅黑" w:cs="微软雅黑"/>
              <w:szCs w:val="52"/>
              <w:lang w:val="en-US" w:eastAsia="zh-CN"/>
            </w:rPr>
            <w:t>202</w:t>
          </w:r>
          <w:r>
            <w:rPr>
              <w:rFonts w:hint="eastAsia" w:eastAsia="微软雅黑" w:cs="微软雅黑"/>
              <w:szCs w:val="52"/>
              <w:lang w:val="en-US" w:eastAsia="zh-CN"/>
            </w:rPr>
            <w:t>6</w:t>
          </w:r>
          <w:r>
            <w:rPr>
              <w:rFonts w:hint="eastAsia" w:ascii="宋体" w:hAnsi="宋体" w:eastAsia="微软雅黑" w:cs="微软雅黑"/>
              <w:szCs w:val="52"/>
              <w:lang w:val="en-US" w:eastAsia="zh-CN"/>
            </w:rPr>
            <w:t>年</w:t>
          </w:r>
          <w:r>
            <w:rPr>
              <w:rFonts w:hint="eastAsia" w:ascii="宋体" w:hAnsi="宋体" w:eastAsia="微软雅黑" w:cs="微软雅黑"/>
              <w:bCs/>
              <w:szCs w:val="48"/>
              <w:lang w:val="en-US" w:eastAsia="zh-CN"/>
            </w:rPr>
            <w:fldChar w:fldCharType="end"/>
          </w: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_Toc23434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单位预算情况说明</w:t>
          </w:r>
          <w:r>
            <w:tab/>
          </w:r>
          <w:r>
            <w:fldChar w:fldCharType="begin"/>
          </w:r>
          <w:r>
            <w:instrText xml:space="preserve"> PAGEREF _Toc23434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_Toc3886 </w:instrText>
          </w:r>
          <w:r>
            <w:rPr>
              <w:rFonts w:hint="eastAsia" w:ascii="宋体" w:hAnsi="宋体" w:eastAsia="微软雅黑" w:cs="微软雅黑"/>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_Toc3886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_Toc22636 </w:instrText>
          </w:r>
          <w:r>
            <w:rPr>
              <w:rFonts w:hint="eastAsia" w:ascii="宋体" w:hAnsi="宋体" w:eastAsia="微软雅黑" w:cs="微软雅黑"/>
              <w:bCs/>
              <w:szCs w:val="48"/>
              <w:lang w:val="en-US" w:eastAsia="zh-CN"/>
            </w:rPr>
            <w:fldChar w:fldCharType="separate"/>
          </w:r>
          <w:r>
            <w:rPr>
              <w:rFonts w:ascii="宋体" w:hAnsi="宋体"/>
            </w:rPr>
            <w:t>（一）收入预算情况</w:t>
          </w:r>
          <w:r>
            <w:tab/>
          </w:r>
          <w:r>
            <w:fldChar w:fldCharType="begin"/>
          </w:r>
          <w:r>
            <w:instrText xml:space="preserve"> PAGEREF _Toc22636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_Toc18724 </w:instrText>
          </w:r>
          <w:r>
            <w:rPr>
              <w:rFonts w:hint="eastAsia" w:ascii="宋体" w:hAnsi="宋体" w:eastAsia="微软雅黑" w:cs="微软雅黑"/>
              <w:bCs/>
              <w:szCs w:val="48"/>
              <w:lang w:val="en-US" w:eastAsia="zh-CN"/>
            </w:rPr>
            <w:fldChar w:fldCharType="separate"/>
          </w:r>
          <w:r>
            <w:rPr>
              <w:rFonts w:ascii="宋体" w:hAnsi="宋体"/>
            </w:rPr>
            <w:t>（二）支出预算情况</w:t>
          </w:r>
          <w:r>
            <w:tab/>
          </w:r>
          <w:r>
            <w:fldChar w:fldCharType="begin"/>
          </w:r>
          <w:r>
            <w:instrText xml:space="preserve"> PAGEREF _Toc18724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_Toc26322 </w:instrText>
          </w:r>
          <w:r>
            <w:rPr>
              <w:rFonts w:hint="eastAsia" w:ascii="宋体" w:hAnsi="宋体" w:eastAsia="微软雅黑" w:cs="微软雅黑"/>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_Toc26322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_Toc32440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三</w:t>
          </w:r>
          <w:r>
            <w:rPr>
              <w:rFonts w:hint="eastAsia" w:ascii="宋体" w:hAnsi="宋体" w:eastAsia="黑体"/>
            </w:rPr>
            <w:t>、一般公共预算基本支出情况说明</w:t>
          </w:r>
          <w:r>
            <w:tab/>
          </w:r>
          <w:r>
            <w:fldChar w:fldCharType="begin"/>
          </w:r>
          <w:r>
            <w:instrText xml:space="preserve"> PAGEREF _Toc32440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_Toc25317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四</w:t>
          </w:r>
          <w:r>
            <w:rPr>
              <w:rFonts w:hint="eastAsia" w:ascii="宋体" w:hAnsi="宋体" w:eastAsia="黑体"/>
            </w:rPr>
            <w:t>、政府性基金预算支出情况说明</w:t>
          </w:r>
          <w:r>
            <w:tab/>
          </w:r>
          <w:r>
            <w:fldChar w:fldCharType="begin"/>
          </w:r>
          <w:r>
            <w:instrText xml:space="preserve"> PAGEREF _Toc25317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_Toc30383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五、</w:t>
          </w:r>
          <w:r>
            <w:rPr>
              <w:rFonts w:hint="eastAsia" w:ascii="宋体" w:hAnsi="宋体" w:eastAsia="黑体"/>
            </w:rPr>
            <w:t>国有资本经营预算情况说明</w:t>
          </w:r>
          <w:r>
            <w:tab/>
          </w:r>
          <w:r>
            <w:fldChar w:fldCharType="begin"/>
          </w:r>
          <w:r>
            <w:instrText xml:space="preserve"> PAGEREF _Toc30383 \h </w:instrText>
          </w:r>
          <w:r>
            <w:fldChar w:fldCharType="separate"/>
          </w:r>
          <w:r>
            <w:t>8</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_Toc28306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第四部分  名词解释</w:t>
          </w:r>
          <w:r>
            <w:tab/>
          </w:r>
          <w:r>
            <w:fldChar w:fldCharType="begin"/>
          </w:r>
          <w:r>
            <w:instrText xml:space="preserve"> PAGEREF _Toc28306 \h </w:instrText>
          </w:r>
          <w:r>
            <w:fldChar w:fldCharType="separate"/>
          </w:r>
          <w:r>
            <w:t>9</w:t>
          </w:r>
          <w:r>
            <w:fldChar w:fldCharType="end"/>
          </w:r>
          <w:r>
            <w:rPr>
              <w:rFonts w:hint="eastAsia" w:ascii="宋体" w:hAnsi="宋体" w:eastAsia="微软雅黑" w:cs="微软雅黑"/>
              <w:bCs/>
              <w:szCs w:val="48"/>
              <w:lang w:val="en-US" w:eastAsia="zh-CN"/>
            </w:rPr>
            <w:fldChar w:fldCharType="end"/>
          </w:r>
        </w:p>
        <w:p>
          <w:pPr>
            <w:pStyle w:val="4"/>
            <w:tabs>
              <w:tab w:val="left" w:pos="4798"/>
            </w:tabs>
            <w:jc w:val="both"/>
            <w:rPr>
              <w:rFonts w:hint="eastAsia" w:ascii="宋体" w:hAnsi="宋体" w:eastAsia="微软雅黑" w:cs="微软雅黑"/>
              <w:b/>
              <w:bCs/>
              <w:sz w:val="48"/>
              <w:szCs w:val="48"/>
              <w:lang w:val="en-US" w:eastAsia="zh-CN"/>
            </w:rPr>
          </w:pPr>
          <w:r>
            <w:rPr>
              <w:rFonts w:hint="eastAsia" w:ascii="宋体" w:hAnsi="宋体" w:eastAsia="微软雅黑" w:cs="微软雅黑"/>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微软雅黑" w:cs="微软雅黑"/>
          <w:b/>
          <w:bCs/>
          <w:sz w:val="52"/>
          <w:szCs w:val="52"/>
          <w:lang w:val="en-US" w:eastAsia="zh-CN"/>
        </w:rPr>
      </w:pPr>
      <w:bookmarkStart w:id="0" w:name="_Toc8888"/>
      <w:r>
        <w:rPr>
          <w:rFonts w:hint="eastAsia" w:ascii="宋体" w:hAnsi="宋体" w:eastAsia="微软雅黑" w:cs="微软雅黑"/>
          <w:b/>
          <w:bCs/>
          <w:sz w:val="52"/>
          <w:szCs w:val="52"/>
          <w:lang w:val="en-US" w:eastAsia="zh-CN"/>
        </w:rPr>
        <w:t>单位概况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35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8177"/>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bookmarkEnd w:id="2"/>
    </w:p>
    <w:p>
      <w:pPr>
        <w:pStyle w:val="4"/>
        <w:spacing w:before="3" w:line="350" w:lineRule="auto"/>
        <w:ind w:right="263" w:firstLine="639"/>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区财政局负责贯彻落实党中央、省委和市委关于财政工作的方针政策和区委决策部署，在履行职责过程中坚持和加强党对财政工作的集中统一领导。主要职责是</w:t>
      </w:r>
      <w:r>
        <w:rPr>
          <w:rFonts w:hint="eastAsia" w:ascii="宋体" w:hAnsi="宋体" w:cs="仿宋_GB2312"/>
          <w:sz w:val="32"/>
          <w:szCs w:val="22"/>
          <w:lang w:val="en-US" w:eastAsia="zh-CN" w:bidi="zh-CN"/>
        </w:rPr>
        <w:t>：</w:t>
      </w:r>
      <w:r>
        <w:rPr>
          <w:rFonts w:hint="eastAsia" w:ascii="宋体" w:hAnsi="宋体" w:eastAsia="仿宋_GB2312" w:cs="仿宋_GB2312"/>
          <w:sz w:val="32"/>
          <w:szCs w:val="22"/>
          <w:lang w:val="en-US" w:eastAsia="zh-CN" w:bidi="zh-CN"/>
        </w:rPr>
        <w:t>承担各项财政收支管理责任。负责政府非税收入管理。执行国库管理制度、国库集中收付制度，指导和监督国库业务，按规定开展国库现金管理工作。负责办理和监督财政性经济发展支出、政府性投资项目的财政拨款，负责投资评审管理工作，参与拟订政府性建设投资的有关政策，负责有关政策性补贴和专项储备资金财政管理工作。组织执行政府债务管理制度和政策，制定具体管理办法，负责管理政府债务，防范财政风险。统筹、协调推进全区金融业服务实体经济、防控金融风险、深化金融改革工作。推动政府与金融机构合作。负责财政监督工作。负责管理全区的会计工作，监督和规范会计行为，组织实施国家统一的会计制度。负责财政宣传和财政信息管理系统工作。</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933"/>
      <w:r>
        <w:rPr>
          <w:rFonts w:ascii="宋体" w:hAnsi="宋体"/>
        </w:rPr>
        <w:t>（二）</w:t>
      </w:r>
      <w:r>
        <w:rPr>
          <w:rFonts w:hint="eastAsia" w:ascii="宋体" w:hAnsi="宋体"/>
          <w:lang w:val="en-US" w:eastAsia="zh-CN"/>
        </w:rPr>
        <w:t>单位2026</w:t>
      </w:r>
      <w:r>
        <w:rPr>
          <w:rFonts w:ascii="宋体" w:hAnsi="宋体"/>
        </w:rPr>
        <w:t>年重点工</w:t>
      </w:r>
      <w:r>
        <w:rPr>
          <w:rFonts w:hint="eastAsia" w:ascii="宋体" w:hAnsi="宋体"/>
        </w:rPr>
        <w:t>作</w:t>
      </w:r>
      <w:bookmarkEnd w:id="3"/>
    </w:p>
    <w:p>
      <w:pPr>
        <w:pStyle w:val="4"/>
        <w:spacing w:before="3" w:line="350" w:lineRule="auto"/>
        <w:ind w:right="263" w:firstLine="639"/>
        <w:rPr>
          <w:rFonts w:hint="eastAsia" w:ascii="宋体" w:hAnsi="宋体" w:eastAsia="仿宋_GB2312" w:cs="仿宋_GB2312"/>
          <w:sz w:val="32"/>
          <w:szCs w:val="22"/>
          <w:lang w:val="en-US" w:eastAsia="zh-CN" w:bidi="zh-CN"/>
        </w:rPr>
      </w:pPr>
      <w:bookmarkStart w:id="4" w:name="_Toc20578"/>
      <w:r>
        <w:rPr>
          <w:rFonts w:hint="eastAsia" w:ascii="宋体" w:hAnsi="宋体" w:eastAsia="仿宋_GB2312" w:cs="仿宋_GB2312"/>
          <w:sz w:val="32"/>
          <w:szCs w:val="22"/>
          <w:lang w:val="en-US" w:eastAsia="zh-CN" w:bidi="zh-CN"/>
        </w:rPr>
        <w:t>1.严纪律，抓常态，不断强化作风建设。2.保收入，稳预期，筑牢财政平稳运行基石。3.抓关键，调结构，强化财政资金保障功能。4.转方式，谋升级，发挥财政资金建设效益。5.重绩效，严执行，高位推动绩效管理与监督。6.守底线，谋联动，防范化解债务重大风险。</w:t>
      </w:r>
    </w:p>
    <w:bookmarkEnd w:id="4"/>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微软雅黑" w:cs="微软雅黑"/>
          <w:b/>
          <w:bCs/>
          <w:sz w:val="52"/>
          <w:szCs w:val="52"/>
          <w:lang w:val="en-US" w:eastAsia="zh-CN"/>
        </w:rPr>
      </w:pPr>
      <w:bookmarkStart w:id="5" w:name="_Toc3404"/>
      <w:bookmarkEnd w:id="5"/>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bCs/>
          <w:sz w:val="52"/>
          <w:szCs w:val="52"/>
          <w:lang w:val="en-US" w:eastAsia="zh-CN"/>
        </w:rPr>
      </w:pPr>
      <w:r>
        <w:rPr>
          <w:rFonts w:hint="eastAsia" w:ascii="宋体" w:hAnsi="宋体" w:eastAsia="微软雅黑" w:cs="微软雅黑"/>
          <w:b/>
          <w:bCs/>
          <w:sz w:val="52"/>
          <w:szCs w:val="52"/>
          <w:lang w:val="en-US" w:eastAsia="zh-CN"/>
        </w:rPr>
        <w:t>财政局机关2026年单位预算表</w:t>
      </w:r>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bookmarkStart w:id="7" w:name="_Toc11710"/>
      <w:r>
        <w:rPr>
          <w:rFonts w:hint="eastAsia" w:ascii="宋体" w:hAnsi="宋体"/>
          <w:sz w:val="32"/>
          <w:lang w:val="en-US" w:eastAsia="zh-CN"/>
        </w:rPr>
        <w:t>一、收支预算总表</w:t>
      </w:r>
      <w:bookmarkEnd w:id="6"/>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bookmarkStart w:id="9" w:name="_Toc16677"/>
      <w:r>
        <w:rPr>
          <w:rFonts w:hint="eastAsia" w:ascii="宋体" w:hAnsi="宋体"/>
          <w:sz w:val="32"/>
          <w:lang w:val="en-US" w:eastAsia="zh-CN"/>
        </w:rPr>
        <w:t>二、</w:t>
      </w:r>
      <w:bookmarkEnd w:id="8"/>
      <w:bookmarkStart w:id="10" w:name="_Toc24022"/>
      <w:r>
        <w:rPr>
          <w:rFonts w:hint="eastAsia" w:ascii="宋体" w:hAnsi="宋体"/>
          <w:sz w:val="32"/>
          <w:lang w:val="en-US" w:eastAsia="zh-CN"/>
        </w:rPr>
        <w:t>单位收入总表</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5068"/>
      <w:r>
        <w:rPr>
          <w:rFonts w:hint="eastAsia" w:ascii="宋体" w:hAnsi="宋体"/>
          <w:sz w:val="32"/>
          <w:lang w:val="en-US" w:eastAsia="zh-CN"/>
        </w:rPr>
        <w:t>三、</w:t>
      </w:r>
      <w:bookmarkEnd w:id="10"/>
      <w:bookmarkStart w:id="12" w:name="_Toc28846"/>
      <w:r>
        <w:rPr>
          <w:rFonts w:hint="eastAsia" w:ascii="宋体" w:hAnsi="宋体"/>
          <w:sz w:val="32"/>
          <w:lang w:val="en-US" w:eastAsia="zh-CN"/>
        </w:rPr>
        <w:t>单位支出总表</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791"/>
      <w:r>
        <w:rPr>
          <w:rFonts w:hint="eastAsia" w:ascii="宋体" w:hAnsi="宋体"/>
          <w:sz w:val="32"/>
          <w:lang w:val="en-US" w:eastAsia="zh-CN"/>
        </w:rPr>
        <w:t>四、财政拨款预算总表</w:t>
      </w:r>
      <w:bookmarkEnd w:id="12"/>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6817"/>
      <w:bookmarkStart w:id="15" w:name="_Toc6082"/>
      <w:r>
        <w:rPr>
          <w:rFonts w:hint="eastAsia" w:ascii="宋体" w:hAnsi="宋体"/>
          <w:sz w:val="32"/>
          <w:lang w:val="en-US" w:eastAsia="zh-CN"/>
        </w:rPr>
        <w:t>五、</w:t>
      </w:r>
      <w:bookmarkEnd w:id="14"/>
      <w:bookmarkStart w:id="16" w:name="_Toc12197"/>
      <w:r>
        <w:rPr>
          <w:rFonts w:hint="eastAsia" w:ascii="宋体" w:hAnsi="宋体"/>
          <w:sz w:val="32"/>
          <w:lang w:val="en-US" w:eastAsia="zh-CN"/>
        </w:rPr>
        <w:t>财政拨款支出预算表（单位经济分类科目）</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0537"/>
      <w:r>
        <w:rPr>
          <w:rFonts w:hint="eastAsia" w:ascii="宋体" w:hAnsi="宋体"/>
          <w:sz w:val="32"/>
          <w:lang w:val="en-US" w:eastAsia="zh-CN"/>
        </w:rPr>
        <w:t>六、</w:t>
      </w:r>
      <w:bookmarkEnd w:id="16"/>
      <w:bookmarkStart w:id="18" w:name="_Toc19152"/>
      <w:r>
        <w:rPr>
          <w:rFonts w:hint="eastAsia" w:ascii="宋体" w:hAnsi="宋体"/>
          <w:sz w:val="32"/>
          <w:lang w:val="en-US" w:eastAsia="zh-CN"/>
        </w:rPr>
        <w:t>一般公共预算支出预算表</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7917"/>
      <w:r>
        <w:rPr>
          <w:rFonts w:hint="eastAsia" w:ascii="宋体" w:hAnsi="宋体"/>
          <w:sz w:val="32"/>
          <w:lang w:val="en-US" w:eastAsia="zh-CN"/>
        </w:rPr>
        <w:t>七、</w:t>
      </w:r>
      <w:bookmarkEnd w:id="18"/>
      <w:bookmarkStart w:id="20" w:name="_Toc29240"/>
      <w:r>
        <w:rPr>
          <w:rFonts w:hint="eastAsia" w:ascii="宋体" w:hAnsi="宋体"/>
          <w:sz w:val="32"/>
          <w:lang w:val="en-US" w:eastAsia="zh-CN"/>
        </w:rPr>
        <w:t>一般公共预算基本支出预算表</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4124"/>
      <w:r>
        <w:rPr>
          <w:rFonts w:hint="eastAsia" w:ascii="宋体" w:hAnsi="宋体"/>
          <w:sz w:val="32"/>
          <w:lang w:val="en-US" w:eastAsia="zh-CN"/>
        </w:rPr>
        <w:t>八、</w:t>
      </w:r>
      <w:bookmarkEnd w:id="20"/>
      <w:r>
        <w:rPr>
          <w:rFonts w:hint="eastAsia" w:ascii="宋体" w:hAnsi="宋体"/>
          <w:sz w:val="32"/>
          <w:lang w:val="en-US" w:eastAsia="zh-CN"/>
        </w:rPr>
        <w:t>一般公共预算项目支出预算表</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30708"/>
      <w:bookmarkStart w:id="23" w:name="_Toc23421"/>
      <w:r>
        <w:rPr>
          <w:rFonts w:hint="eastAsia" w:ascii="宋体" w:hAnsi="宋体"/>
          <w:sz w:val="32"/>
          <w:lang w:val="en-US" w:eastAsia="zh-CN"/>
        </w:rPr>
        <w:t>九、</w:t>
      </w:r>
      <w:bookmarkEnd w:id="22"/>
      <w:bookmarkStart w:id="24" w:name="_Toc32474"/>
      <w:r>
        <w:rPr>
          <w:rFonts w:hint="eastAsia" w:ascii="宋体" w:hAnsi="宋体"/>
          <w:sz w:val="32"/>
          <w:lang w:val="en-US" w:eastAsia="zh-CN"/>
        </w:rPr>
        <w:t>一般公共预算“三公”经费支出预算表</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3114"/>
      <w:r>
        <w:rPr>
          <w:rFonts w:hint="eastAsia" w:ascii="宋体" w:hAnsi="宋体"/>
          <w:sz w:val="32"/>
          <w:lang w:val="en-US" w:eastAsia="zh-CN"/>
        </w:rPr>
        <w:t>十、</w:t>
      </w:r>
      <w:bookmarkEnd w:id="24"/>
      <w:bookmarkStart w:id="26" w:name="_Toc15884"/>
      <w:r>
        <w:rPr>
          <w:rFonts w:hint="eastAsia" w:ascii="宋体" w:hAnsi="宋体"/>
          <w:sz w:val="32"/>
          <w:lang w:val="en-US" w:eastAsia="zh-CN"/>
        </w:rPr>
        <w:t>政府性基金预算支出预算表</w:t>
      </w:r>
      <w:bookmarkEnd w:id="25"/>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6851"/>
      <w:r>
        <w:rPr>
          <w:rFonts w:hint="eastAsia" w:ascii="宋体" w:hAnsi="宋体"/>
          <w:sz w:val="32"/>
          <w:lang w:val="en-US" w:eastAsia="zh-CN"/>
        </w:rPr>
        <w:t>十一、</w:t>
      </w:r>
      <w:bookmarkEnd w:id="26"/>
      <w:bookmarkStart w:id="28" w:name="_Toc28730"/>
      <w:r>
        <w:rPr>
          <w:rFonts w:hint="eastAsia" w:ascii="宋体" w:hAnsi="宋体"/>
          <w:sz w:val="32"/>
          <w:lang w:val="en-US" w:eastAsia="zh-CN"/>
        </w:rPr>
        <w:t>政府性基金预算“三公”经费支出预算表</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0714"/>
      <w:r>
        <w:rPr>
          <w:rFonts w:hint="eastAsia" w:ascii="宋体" w:hAnsi="宋体"/>
          <w:sz w:val="32"/>
          <w:lang w:val="en-US" w:eastAsia="zh-CN"/>
        </w:rPr>
        <w:t>十二、</w:t>
      </w:r>
      <w:bookmarkEnd w:id="28"/>
      <w:bookmarkStart w:id="30" w:name="_Toc2069"/>
      <w:r>
        <w:rPr>
          <w:rFonts w:hint="eastAsia" w:ascii="宋体" w:hAnsi="宋体"/>
          <w:sz w:val="32"/>
          <w:lang w:val="en-US" w:eastAsia="zh-CN"/>
        </w:rPr>
        <w:t>国有资本经营预算支出预算表</w:t>
      </w:r>
      <w:bookmarkEnd w:id="29"/>
      <w:bookmarkEnd w:id="30"/>
      <w:bookmarkStart w:id="31" w:name="_Toc1645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2" w:name="_Toc30355"/>
      <w:r>
        <w:rPr>
          <w:rFonts w:hint="eastAsia" w:ascii="宋体" w:hAnsi="宋体"/>
          <w:b/>
          <w:bCs/>
          <w:sz w:val="32"/>
          <w:lang w:val="en-US" w:eastAsia="zh-CN"/>
        </w:rPr>
        <w:t>以上所有表格详见单位说明后附件。</w:t>
      </w:r>
      <w:bookmarkEnd w:id="31"/>
      <w:bookmarkEnd w:id="32"/>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微软雅黑" w:cs="微软雅黑"/>
          <w:sz w:val="52"/>
          <w:szCs w:val="52"/>
          <w:lang w:val="en-US" w:eastAsia="zh-CN"/>
        </w:rPr>
      </w:pPr>
      <w:bookmarkStart w:id="33" w:name="_Toc8170"/>
      <w:r>
        <w:rPr>
          <w:rFonts w:hint="eastAsia" w:ascii="宋体" w:hAnsi="宋体" w:eastAsia="微软雅黑" w:cs="微软雅黑"/>
          <w:sz w:val="52"/>
          <w:szCs w:val="52"/>
          <w:lang w:val="en-US" w:eastAsia="zh-CN"/>
        </w:rPr>
        <w:t>财政局机关2026年</w:t>
      </w:r>
      <w:bookmarkEnd w:id="33"/>
    </w:p>
    <w:p>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4" w:name="_Toc1047"/>
      <w:bookmarkStart w:id="35" w:name="_Toc23434"/>
      <w:r>
        <w:rPr>
          <w:rFonts w:hint="eastAsia" w:ascii="宋体" w:hAnsi="宋体" w:eastAsia="微软雅黑" w:cs="微软雅黑"/>
          <w:sz w:val="52"/>
          <w:szCs w:val="52"/>
          <w:lang w:val="en-US" w:eastAsia="zh-CN"/>
        </w:rPr>
        <w:t>单位预算情况说明</w:t>
      </w:r>
      <w:bookmarkEnd w:id="34"/>
      <w:bookmarkEnd w:id="35"/>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3886"/>
      <w:r>
        <w:rPr>
          <w:rFonts w:hint="eastAsia" w:ascii="宋体" w:hAnsi="宋体" w:eastAsia="黑体"/>
          <w:color w:val="333333"/>
        </w:rPr>
        <w:t>一、收支预算情况说明</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按照综合预算的原则，财政单位所有收入和支出均纳入单位预算管理。收入包括：一般公共预算拨款收入981.06万元；支出包括：一般公共服务支出877.67万元。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2636"/>
      <w:bookmarkStart w:id="38" w:name="_Toc20181"/>
      <w:r>
        <w:rPr>
          <w:rFonts w:ascii="宋体" w:hAnsi="宋体"/>
        </w:rPr>
        <w:t>（一）收入预算情况</w:t>
      </w:r>
      <w:bookmarkEnd w:id="37"/>
      <w:bookmarkEnd w:id="38"/>
      <w:bookmarkStart w:id="46" w:name="_GoBack"/>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财政局2026年收入预算981.06万元，其中：上年结转0万元，占0%；一般公共预算拨款收入981.06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8724"/>
      <w:bookmarkStart w:id="40" w:name="_Toc30757"/>
      <w:r>
        <w:rPr>
          <w:rFonts w:ascii="宋体" w:hAnsi="宋体"/>
        </w:rPr>
        <w:t>（二）支出预算情况</w:t>
      </w:r>
      <w:bookmarkEnd w:id="39"/>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财政局2026年支出预算981.06万元，其中：人员支出318.05万元，日常公用支出62.01万元，专项支出601万元。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26322"/>
      <w:r>
        <w:rPr>
          <w:rFonts w:hint="eastAsia" w:ascii="宋体" w:hAnsi="宋体" w:eastAsia="黑体"/>
          <w:color w:val="333333"/>
        </w:rPr>
        <w:t>二、财政拨款收支预算情况说明</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财政局2026年财政拨款收支预算总数981.06万元。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其中：基本支出380.06万元，占38.74%；项目支出601万元，占61.26%。</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基本支出，是用于保障财政机关、下属事业单位等机构正常运转的日常支出，包括基本工资、津贴补贴等人员经费以及办公费、印刷费、水电费、办公设备购置等日常公用经费。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项目支出，是用于保障财政机关、下属事业单位等机构为完成特定的行政工作任务或事业发展目标，用于专项业务工作的经费支出。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2" w:name="_Toc32440"/>
      <w:r>
        <w:rPr>
          <w:rFonts w:hint="eastAsia" w:ascii="宋体" w:hAnsi="宋体" w:eastAsia="黑体"/>
          <w:color w:val="333333"/>
          <w:lang w:val="en-US" w:eastAsia="zh-CN"/>
        </w:rPr>
        <w:t>三</w:t>
      </w:r>
      <w:r>
        <w:rPr>
          <w:rFonts w:hint="eastAsia" w:ascii="宋体" w:hAnsi="宋体" w:eastAsia="黑体"/>
          <w:color w:val="333333"/>
        </w:rPr>
        <w:t>、一般公共预算基本支出情况说明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财政局2026年一般公共预算基本支出380.06万元，其中：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318.05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62.01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3" w:name="_Toc25317"/>
      <w:r>
        <w:rPr>
          <w:rFonts w:hint="eastAsia" w:ascii="宋体" w:hAnsi="宋体" w:eastAsia="黑体"/>
          <w:color w:val="333333"/>
          <w:lang w:val="en-US" w:eastAsia="zh-CN"/>
        </w:rPr>
        <w:t>四</w:t>
      </w:r>
      <w:r>
        <w:rPr>
          <w:rFonts w:hint="eastAsia" w:ascii="宋体" w:hAnsi="宋体" w:eastAsia="黑体"/>
          <w:color w:val="333333"/>
        </w:rPr>
        <w:t>、政府性基金预算支出情况说明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财政局2026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4" w:name="_Toc30383"/>
      <w:r>
        <w:rPr>
          <w:rFonts w:hint="eastAsia" w:ascii="宋体" w:hAnsi="宋体" w:eastAsia="黑体"/>
          <w:color w:val="333333"/>
          <w:lang w:val="en-US" w:eastAsia="zh-CN"/>
        </w:rPr>
        <w:t>五、</w:t>
      </w:r>
      <w:r>
        <w:rPr>
          <w:rFonts w:hint="eastAsia" w:ascii="宋体" w:hAnsi="宋体" w:eastAsia="黑体"/>
          <w:color w:val="333333"/>
        </w:rPr>
        <w:t>国有资本经营预算情况说明</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财政局2026年国有资本经营预算拨款安排支出0万元,较上年预算数持平。</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微软雅黑" w:cs="微软雅黑"/>
          <w:sz w:val="52"/>
          <w:szCs w:val="52"/>
          <w:lang w:val="en-US" w:eastAsia="zh-CN"/>
        </w:rPr>
      </w:pPr>
      <w:bookmarkStart w:id="45" w:name="_Toc28306"/>
      <w:r>
        <w:rPr>
          <w:rFonts w:hint="eastAsia" w:ascii="宋体" w:hAnsi="宋体" w:eastAsia="微软雅黑" w:cs="微软雅黑"/>
          <w:sz w:val="52"/>
          <w:szCs w:val="52"/>
          <w:lang w:val="en-US" w:eastAsia="zh-CN"/>
        </w:rPr>
        <w:t>第四部分  名词解释</w:t>
      </w:r>
      <w:bookmarkEnd w:id="45"/>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10.社会保障和就业（类）行政事业单位离退休（款）机关事业单位基本养老保险缴费支出（项）：指单位实施养老保险制度由单位缴纳的养老保险费的支出。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11.社会保障和就业（类）行政事业单位离退休（款）机关事业单位职业年金缴费支出（项）：指单位实施养老保险制度由单位缴纳的职业年金的支出。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63C71D4-FBFA-4AA1-A984-1EA82A9A21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CE394BD3-F045-4F16-8382-E23C1AA53539}"/>
  </w:font>
  <w:font w:name="仿宋_GB2312">
    <w:panose1 w:val="02010609030101010101"/>
    <w:charset w:val="86"/>
    <w:family w:val="modern"/>
    <w:pitch w:val="default"/>
    <w:sig w:usb0="00000001" w:usb1="080E0000" w:usb2="00000000" w:usb3="00000000" w:csb0="00040000" w:csb1="00000000"/>
    <w:embedRegular r:id="rId3" w:fontKey="{44BABBA7-1CF8-4B5C-89D8-760462C912C4}"/>
  </w:font>
  <w:font w:name="微软雅黑">
    <w:panose1 w:val="020B0503020204020204"/>
    <w:charset w:val="86"/>
    <w:family w:val="auto"/>
    <w:pitch w:val="default"/>
    <w:sig w:usb0="80000287" w:usb1="2ACF3C50" w:usb2="00000016" w:usb3="00000000" w:csb0="0004001F" w:csb1="00000000"/>
    <w:embedRegular r:id="rId4" w:fontKey="{BEB15199-DE46-47A6-AD35-5A8C7EF1F1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4BD4256"/>
    <w:rsid w:val="07F4667F"/>
    <w:rsid w:val="08F93370"/>
    <w:rsid w:val="0AA12680"/>
    <w:rsid w:val="0CCB4B63"/>
    <w:rsid w:val="116A55A1"/>
    <w:rsid w:val="11A33E63"/>
    <w:rsid w:val="12252451"/>
    <w:rsid w:val="133C4D5C"/>
    <w:rsid w:val="13B73D80"/>
    <w:rsid w:val="13CB5FFB"/>
    <w:rsid w:val="18D94D16"/>
    <w:rsid w:val="1B5E3E72"/>
    <w:rsid w:val="1C4565B4"/>
    <w:rsid w:val="1E9115A9"/>
    <w:rsid w:val="207F7CDD"/>
    <w:rsid w:val="20D9567F"/>
    <w:rsid w:val="21211D8E"/>
    <w:rsid w:val="240622C9"/>
    <w:rsid w:val="241565BF"/>
    <w:rsid w:val="247F2477"/>
    <w:rsid w:val="25922371"/>
    <w:rsid w:val="2BD66371"/>
    <w:rsid w:val="2F01645C"/>
    <w:rsid w:val="3170631D"/>
    <w:rsid w:val="34AD46FA"/>
    <w:rsid w:val="361E5856"/>
    <w:rsid w:val="3868501C"/>
    <w:rsid w:val="39771422"/>
    <w:rsid w:val="3A8B5922"/>
    <w:rsid w:val="40D91972"/>
    <w:rsid w:val="467A3B2C"/>
    <w:rsid w:val="47E77FAB"/>
    <w:rsid w:val="490C5278"/>
    <w:rsid w:val="4D3C563B"/>
    <w:rsid w:val="5211246F"/>
    <w:rsid w:val="52687140"/>
    <w:rsid w:val="54BB49E6"/>
    <w:rsid w:val="54C30EEA"/>
    <w:rsid w:val="5543046B"/>
    <w:rsid w:val="57503CCA"/>
    <w:rsid w:val="5830295E"/>
    <w:rsid w:val="58EE6347"/>
    <w:rsid w:val="595E3E2E"/>
    <w:rsid w:val="5AE90F4A"/>
    <w:rsid w:val="5B65451D"/>
    <w:rsid w:val="685F7C35"/>
    <w:rsid w:val="6BC67B35"/>
    <w:rsid w:val="6BCE3A9E"/>
    <w:rsid w:val="6C30060F"/>
    <w:rsid w:val="7209340F"/>
    <w:rsid w:val="72A439A3"/>
    <w:rsid w:val="76A30804"/>
    <w:rsid w:val="7C6130B2"/>
    <w:rsid w:val="7D7038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5241</Words>
  <Characters>6214</Characters>
  <TotalTime>3</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2026-03-04T02:57:20Z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