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微软雅黑" w:cs="微软雅黑"/>
          <w:b w:val="0"/>
          <w:bCs w:val="0"/>
          <w:sz w:val="52"/>
          <w:szCs w:val="52"/>
          <w:shd w:val="clear" w:color="auto" w:fill="auto"/>
          <w:lang w:val="en-US" w:eastAsia="zh-CN"/>
        </w:rPr>
      </w:pPr>
      <w:r>
        <w:rPr>
          <w:rFonts w:hint="eastAsia" w:ascii="宋体" w:hAnsi="宋体" w:eastAsia="微软雅黑" w:cs="微软雅黑"/>
          <w:b w:val="0"/>
          <w:bCs w:val="0"/>
          <w:sz w:val="52"/>
          <w:szCs w:val="52"/>
          <w:shd w:val="clear" w:color="auto" w:fill="auto"/>
          <w:lang w:val="en-US" w:eastAsia="zh-CN"/>
        </w:rPr>
        <w:t>乐山市五通桥区票据管理中心</w:t>
      </w: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微软雅黑" w:cs="微软雅黑"/>
          <w:b w:val="0"/>
          <w:bCs w:val="0"/>
          <w:sz w:val="52"/>
          <w:szCs w:val="52"/>
          <w:shd w:val="clear" w:color="auto" w:fill="auto"/>
          <w:lang w:val="en-US" w:eastAsia="zh-CN"/>
        </w:rPr>
      </w:pPr>
      <w:r>
        <w:rPr>
          <w:rFonts w:hint="eastAsia" w:ascii="宋体" w:hAnsi="宋体" w:eastAsia="微软雅黑" w:cs="微软雅黑"/>
          <w:b w:val="0"/>
          <w:bCs w:val="0"/>
          <w:sz w:val="52"/>
          <w:szCs w:val="52"/>
          <w:shd w:val="clear" w:color="auto" w:fill="auto"/>
          <w:lang w:val="en-US" w:eastAsia="zh-CN"/>
        </w:rPr>
        <w:t>2026单位预算编制说明</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4"/>
        <w:spacing w:before="2"/>
        <w:rPr>
          <w:rFonts w:ascii="宋体" w:hAnsi="宋体"/>
          <w:sz w:val="4"/>
        </w:rPr>
      </w:pPr>
    </w:p>
    <w:p>
      <w:pPr>
        <w:pStyle w:val="4"/>
        <w:tabs>
          <w:tab w:val="left" w:pos="4798"/>
        </w:tabs>
        <w:jc w:val="center"/>
        <w:rPr>
          <w:rFonts w:hint="eastAsia" w:ascii="宋体" w:hAnsi="宋体" w:eastAsia="微软雅黑" w:cs="微软雅黑"/>
          <w:b/>
          <w:bCs/>
          <w:sz w:val="48"/>
          <w:szCs w:val="48"/>
          <w:lang w:val="en-US" w:eastAsia="zh-CN"/>
        </w:rPr>
      </w:pPr>
      <w:r>
        <w:rPr>
          <w:rFonts w:hint="eastAsia" w:ascii="宋体" w:hAnsi="宋体" w:eastAsia="微软雅黑" w:cs="微软雅黑"/>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微软雅黑" w:cs="微软雅黑"/>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p>
        <w:p>
          <w:pPr>
            <w:pStyle w:val="8"/>
            <w:tabs>
              <w:tab w:val="right" w:leader="dot" w:pos="9812"/>
            </w:tabs>
          </w:pPr>
          <w:r>
            <w:rPr>
              <w:rFonts w:hint="eastAsia" w:ascii="宋体" w:hAnsi="宋体" w:eastAsia="微软雅黑" w:cs="微软雅黑"/>
              <w:b/>
              <w:bCs/>
              <w:sz w:val="48"/>
              <w:szCs w:val="48"/>
              <w:lang w:val="en-US" w:eastAsia="zh-CN"/>
            </w:rPr>
            <w:fldChar w:fldCharType="begin"/>
          </w:r>
          <w:r>
            <w:rPr>
              <w:rFonts w:hint="eastAsia" w:ascii="宋体" w:hAnsi="宋体" w:eastAsia="微软雅黑" w:cs="微软雅黑"/>
              <w:b/>
              <w:bCs/>
              <w:sz w:val="48"/>
              <w:szCs w:val="48"/>
              <w:lang w:val="en-US" w:eastAsia="zh-CN"/>
            </w:rPr>
            <w:instrText xml:space="preserve">TOC \o "1-3" \h \u </w:instrText>
          </w:r>
          <w:r>
            <w:rPr>
              <w:rFonts w:hint="eastAsia" w:ascii="宋体" w:hAnsi="宋体" w:eastAsia="微软雅黑" w:cs="微软雅黑"/>
              <w:b/>
              <w:bCs/>
              <w:sz w:val="48"/>
              <w:szCs w:val="48"/>
              <w:lang w:val="en-US" w:eastAsia="zh-CN"/>
            </w:rPr>
            <w:fldChar w:fldCharType="separate"/>
          </w: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_Toc8888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bCs/>
              <w:szCs w:val="52"/>
              <w:lang w:val="en-US" w:eastAsia="zh-CN"/>
            </w:rPr>
            <w:t>第一部分 单位概况</w:t>
          </w:r>
          <w:r>
            <w:tab/>
          </w:r>
          <w:r>
            <w:fldChar w:fldCharType="begin"/>
          </w:r>
          <w:r>
            <w:instrText xml:space="preserve"> PAGEREF _Toc8888 \h </w:instrText>
          </w:r>
          <w:r>
            <w:fldChar w:fldCharType="separate"/>
          </w:r>
          <w:r>
            <w:t>1</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_Toc13594 </w:instrText>
          </w:r>
          <w:r>
            <w:rPr>
              <w:rFonts w:hint="eastAsia" w:ascii="宋体" w:hAnsi="宋体" w:eastAsia="微软雅黑" w:cs="微软雅黑"/>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_Toc13594 \h </w:instrText>
          </w:r>
          <w:r>
            <w:fldChar w:fldCharType="separate"/>
          </w:r>
          <w:r>
            <w:t>2</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_Toc8177 </w:instrText>
          </w:r>
          <w:r>
            <w:rPr>
              <w:rFonts w:hint="eastAsia" w:ascii="宋体" w:hAnsi="宋体" w:eastAsia="微软雅黑" w:cs="微软雅黑"/>
              <w:bCs/>
              <w:szCs w:val="48"/>
              <w:lang w:val="en-US" w:eastAsia="zh-CN"/>
            </w:rPr>
            <w:fldChar w:fldCharType="separate"/>
          </w:r>
          <w:r>
            <w:rPr>
              <w:rFonts w:ascii="宋体" w:hAnsi="宋体"/>
            </w:rPr>
            <w:t>（一</w:t>
          </w:r>
          <w:r>
            <w:rPr>
              <w:rFonts w:hint="eastAsia" w:ascii="宋体" w:hAnsi="宋体"/>
              <w:lang w:eastAsia="zh-CN"/>
            </w:rPr>
            <w:t>）</w:t>
          </w:r>
          <w:r>
            <w:rPr>
              <w:rFonts w:hint="eastAsia" w:ascii="宋体" w:hAnsi="宋体"/>
              <w:lang w:val="en-US" w:eastAsia="zh-CN"/>
            </w:rPr>
            <w:t>单位</w:t>
          </w:r>
          <w:r>
            <w:rPr>
              <w:rFonts w:ascii="宋体" w:hAnsi="宋体"/>
            </w:rPr>
            <w:t>职能简介</w:t>
          </w:r>
          <w:r>
            <w:tab/>
          </w:r>
          <w:r>
            <w:fldChar w:fldCharType="begin"/>
          </w:r>
          <w:r>
            <w:instrText xml:space="preserve"> PAGEREF _Toc8177 \h </w:instrText>
          </w:r>
          <w:r>
            <w:fldChar w:fldCharType="separate"/>
          </w:r>
          <w:r>
            <w:t>2</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_Toc933 </w:instrText>
          </w:r>
          <w:r>
            <w:rPr>
              <w:rFonts w:hint="eastAsia" w:ascii="宋体" w:hAnsi="宋体" w:eastAsia="微软雅黑" w:cs="微软雅黑"/>
              <w:bCs/>
              <w:szCs w:val="48"/>
              <w:lang w:val="en-US" w:eastAsia="zh-CN"/>
            </w:rPr>
            <w:fldChar w:fldCharType="separate"/>
          </w:r>
          <w:r>
            <w:rPr>
              <w:rFonts w:ascii="宋体" w:hAnsi="宋体"/>
            </w:rPr>
            <w:t>（二）</w:t>
          </w:r>
          <w:r>
            <w:rPr>
              <w:rFonts w:hint="eastAsia" w:ascii="宋体" w:hAnsi="宋体"/>
              <w:lang w:val="en-US" w:eastAsia="zh-CN"/>
            </w:rPr>
            <w:t>单位</w:t>
          </w:r>
          <w:r>
            <w:rPr>
              <w:rFonts w:hint="eastAsia"/>
              <w:lang w:val="en-US" w:eastAsia="zh-CN"/>
            </w:rPr>
            <w:t>2026</w:t>
          </w:r>
          <w:r>
            <w:rPr>
              <w:rFonts w:ascii="宋体" w:hAnsi="宋体"/>
            </w:rPr>
            <w:t>年重点工</w:t>
          </w:r>
          <w:r>
            <w:rPr>
              <w:rFonts w:hint="eastAsia" w:ascii="宋体" w:hAnsi="宋体"/>
            </w:rPr>
            <w:t>作</w:t>
          </w:r>
          <w:r>
            <w:tab/>
          </w:r>
          <w:r>
            <w:fldChar w:fldCharType="begin"/>
          </w:r>
          <w:r>
            <w:instrText xml:space="preserve"> PAGEREF _Toc933 \h </w:instrText>
          </w:r>
          <w:r>
            <w:fldChar w:fldCharType="separate"/>
          </w:r>
          <w:r>
            <w:t>2</w:t>
          </w:r>
          <w:r>
            <w:fldChar w:fldCharType="end"/>
          </w:r>
          <w:r>
            <w:rPr>
              <w:rFonts w:hint="eastAsia" w:ascii="宋体" w:hAnsi="宋体" w:eastAsia="微软雅黑" w:cs="微软雅黑"/>
              <w:bCs/>
              <w:szCs w:val="48"/>
              <w:lang w:val="en-US" w:eastAsia="zh-CN"/>
            </w:rPr>
            <w:fldChar w:fldCharType="end"/>
          </w:r>
        </w:p>
        <w:p>
          <w:pPr>
            <w:pStyle w:val="8"/>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_Toc3404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bCs/>
              <w:szCs w:val="52"/>
              <w:lang w:val="en-US" w:eastAsia="zh-CN"/>
            </w:rPr>
            <w:t xml:space="preserve">第二部分 </w:t>
          </w:r>
          <w:r>
            <w:tab/>
          </w:r>
          <w:r>
            <w:fldChar w:fldCharType="begin"/>
          </w:r>
          <w:r>
            <w:instrText xml:space="preserve"> PAGEREF _Toc3404 \h </w:instrText>
          </w:r>
          <w:r>
            <w:fldChar w:fldCharType="separate"/>
          </w:r>
          <w:r>
            <w:t>3</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_Toc11710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一、收支预算总表</w:t>
          </w:r>
          <w:r>
            <w:tab/>
          </w:r>
          <w:r>
            <w:fldChar w:fldCharType="begin"/>
          </w:r>
          <w:r>
            <w:instrText xml:space="preserve"> PAGEREF _Toc11710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_Toc16677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二、单位收入总表</w:t>
          </w:r>
          <w:r>
            <w:tab/>
          </w:r>
          <w:r>
            <w:fldChar w:fldCharType="begin"/>
          </w:r>
          <w:r>
            <w:instrText xml:space="preserve"> PAGEREF _Toc16677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_Toc25068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三、单位支出总表</w:t>
          </w:r>
          <w:r>
            <w:tab/>
          </w:r>
          <w:r>
            <w:fldChar w:fldCharType="begin"/>
          </w:r>
          <w:r>
            <w:instrText xml:space="preserve"> PAGEREF _Toc25068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_Toc791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四、财政拨款预算总表</w:t>
          </w:r>
          <w:r>
            <w:tab/>
          </w:r>
          <w:r>
            <w:fldChar w:fldCharType="begin"/>
          </w:r>
          <w:r>
            <w:instrText xml:space="preserve"> PAGEREF _Toc791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_Toc6082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五、财政拨款支出预算表（单位经济分类科目）</w:t>
          </w:r>
          <w:r>
            <w:tab/>
          </w:r>
          <w:r>
            <w:fldChar w:fldCharType="begin"/>
          </w:r>
          <w:r>
            <w:instrText xml:space="preserve"> PAGEREF _Toc6082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_Toc10537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六、一般公共预算支出预算表</w:t>
          </w:r>
          <w:r>
            <w:tab/>
          </w:r>
          <w:r>
            <w:fldChar w:fldCharType="begin"/>
          </w:r>
          <w:r>
            <w:instrText xml:space="preserve"> PAGEREF _Toc10537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_Toc7917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七、一般公共预算基本支出预算表</w:t>
          </w:r>
          <w:r>
            <w:tab/>
          </w:r>
          <w:r>
            <w:fldChar w:fldCharType="begin"/>
          </w:r>
          <w:r>
            <w:instrText xml:space="preserve"> PAGEREF _Toc7917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_Toc14124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八、一般公共预算项目支出预算表</w:t>
          </w:r>
          <w:r>
            <w:tab/>
          </w:r>
          <w:r>
            <w:fldChar w:fldCharType="begin"/>
          </w:r>
          <w:r>
            <w:instrText xml:space="preserve"> PAGEREF _Toc14124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_Toc23421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九、一般公共预算“三公”经费支出预算表</w:t>
          </w:r>
          <w:r>
            <w:tab/>
          </w:r>
          <w:r>
            <w:fldChar w:fldCharType="begin"/>
          </w:r>
          <w:r>
            <w:instrText xml:space="preserve"> PAGEREF _Toc23421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_Toc23114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十、政府性基金预算支出预算表</w:t>
          </w:r>
          <w:r>
            <w:tab/>
          </w:r>
          <w:r>
            <w:fldChar w:fldCharType="begin"/>
          </w:r>
          <w:r>
            <w:instrText xml:space="preserve"> PAGEREF _Toc23114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_Toc16851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十一、政府性基金预算“三公”经费支出预算表</w:t>
          </w:r>
          <w:r>
            <w:tab/>
          </w:r>
          <w:r>
            <w:fldChar w:fldCharType="begin"/>
          </w:r>
          <w:r>
            <w:instrText xml:space="preserve"> PAGEREF _Toc16851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_Toc10714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十二、国有资本经营预算支出预算表</w:t>
          </w:r>
          <w:r>
            <w:tab/>
          </w:r>
          <w:r>
            <w:fldChar w:fldCharType="begin"/>
          </w:r>
          <w:r>
            <w:instrText xml:space="preserve"> PAGEREF _Toc10714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_Toc30355 </w:instrText>
          </w:r>
          <w:r>
            <w:rPr>
              <w:rFonts w:hint="eastAsia" w:ascii="宋体" w:hAnsi="宋体" w:eastAsia="微软雅黑" w:cs="微软雅黑"/>
              <w:bCs/>
              <w:szCs w:val="48"/>
              <w:lang w:val="en-US" w:eastAsia="zh-CN"/>
            </w:rPr>
            <w:fldChar w:fldCharType="separate"/>
          </w:r>
          <w:r>
            <w:rPr>
              <w:rFonts w:hint="eastAsia" w:ascii="宋体" w:hAnsi="宋体"/>
              <w:bCs/>
              <w:lang w:val="en-US" w:eastAsia="zh-CN"/>
            </w:rPr>
            <w:t>以上所有表格详见单位说明后附件。</w:t>
          </w:r>
          <w:r>
            <w:tab/>
          </w:r>
          <w:r>
            <w:fldChar w:fldCharType="begin"/>
          </w:r>
          <w:r>
            <w:instrText xml:space="preserve"> PAGEREF _Toc30355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8"/>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_Toc8170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szCs w:val="52"/>
              <w:lang w:val="en-US" w:eastAsia="zh-CN"/>
            </w:rPr>
            <w:t xml:space="preserve">第三部分 </w:t>
          </w:r>
          <w:r>
            <w:rPr>
              <w:rFonts w:hint="eastAsia" w:eastAsia="微软雅黑" w:cs="微软雅黑"/>
              <w:szCs w:val="52"/>
              <w:lang w:val="en-US" w:eastAsia="zh-CN"/>
            </w:rPr>
            <w:t>票据管理中心2026</w:t>
          </w:r>
          <w:r>
            <w:rPr>
              <w:rFonts w:hint="eastAsia" w:ascii="宋体" w:hAnsi="宋体" w:eastAsia="微软雅黑" w:cs="微软雅黑"/>
              <w:szCs w:val="52"/>
              <w:lang w:val="en-US" w:eastAsia="zh-CN"/>
            </w:rPr>
            <w:t>年</w:t>
          </w:r>
          <w:r>
            <w:tab/>
          </w:r>
          <w:r>
            <w:fldChar w:fldCharType="begin"/>
          </w:r>
          <w:r>
            <w:instrText xml:space="preserve"> PAGEREF _Toc8170 \h </w:instrText>
          </w:r>
          <w:r>
            <w:fldChar w:fldCharType="separate"/>
          </w:r>
          <w:r>
            <w:t>5</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_Toc23434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szCs w:val="52"/>
              <w:lang w:val="en-US" w:eastAsia="zh-CN"/>
            </w:rPr>
            <w:t>单位预算情况说明</w:t>
          </w:r>
          <w:r>
            <w:tab/>
          </w:r>
          <w:r>
            <w:fldChar w:fldCharType="begin"/>
          </w:r>
          <w:r>
            <w:instrText xml:space="preserve"> PAGEREF _Toc23434 \h </w:instrText>
          </w:r>
          <w:r>
            <w:fldChar w:fldCharType="separate"/>
          </w:r>
          <w:r>
            <w:t>5</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_Toc3886 </w:instrText>
          </w:r>
          <w:r>
            <w:rPr>
              <w:rFonts w:hint="eastAsia" w:ascii="宋体" w:hAnsi="宋体" w:eastAsia="微软雅黑" w:cs="微软雅黑"/>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_Toc3886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_Toc22636 </w:instrText>
          </w:r>
          <w:r>
            <w:rPr>
              <w:rFonts w:hint="eastAsia" w:ascii="宋体" w:hAnsi="宋体" w:eastAsia="微软雅黑" w:cs="微软雅黑"/>
              <w:bCs/>
              <w:szCs w:val="48"/>
              <w:lang w:val="en-US" w:eastAsia="zh-CN"/>
            </w:rPr>
            <w:fldChar w:fldCharType="separate"/>
          </w:r>
          <w:r>
            <w:rPr>
              <w:rFonts w:ascii="宋体" w:hAnsi="宋体"/>
            </w:rPr>
            <w:t>（一）收入预算情况</w:t>
          </w:r>
          <w:r>
            <w:tab/>
          </w:r>
          <w:r>
            <w:fldChar w:fldCharType="begin"/>
          </w:r>
          <w:r>
            <w:instrText xml:space="preserve"> PAGEREF _Toc22636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_Toc18724 </w:instrText>
          </w:r>
          <w:r>
            <w:rPr>
              <w:rFonts w:hint="eastAsia" w:ascii="宋体" w:hAnsi="宋体" w:eastAsia="微软雅黑" w:cs="微软雅黑"/>
              <w:bCs/>
              <w:szCs w:val="48"/>
              <w:lang w:val="en-US" w:eastAsia="zh-CN"/>
            </w:rPr>
            <w:fldChar w:fldCharType="separate"/>
          </w:r>
          <w:r>
            <w:rPr>
              <w:rFonts w:ascii="宋体" w:hAnsi="宋体"/>
            </w:rPr>
            <w:t>（二）支出预算情况</w:t>
          </w:r>
          <w:r>
            <w:tab/>
          </w:r>
          <w:r>
            <w:fldChar w:fldCharType="begin"/>
          </w:r>
          <w:r>
            <w:instrText xml:space="preserve"> PAGEREF _Toc18724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_Toc26322 </w:instrText>
          </w:r>
          <w:r>
            <w:rPr>
              <w:rFonts w:hint="eastAsia" w:ascii="宋体" w:hAnsi="宋体" w:eastAsia="微软雅黑" w:cs="微软雅黑"/>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_Toc26322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_Toc32440 </w:instrText>
          </w:r>
          <w:r>
            <w:rPr>
              <w:rFonts w:hint="eastAsia" w:ascii="宋体" w:hAnsi="宋体" w:eastAsia="微软雅黑" w:cs="微软雅黑"/>
              <w:bCs/>
              <w:szCs w:val="48"/>
              <w:lang w:val="en-US" w:eastAsia="zh-CN"/>
            </w:rPr>
            <w:fldChar w:fldCharType="separate"/>
          </w:r>
          <w:r>
            <w:rPr>
              <w:rFonts w:hint="eastAsia" w:ascii="宋体" w:hAnsi="宋体" w:eastAsia="黑体"/>
              <w:lang w:val="en-US" w:eastAsia="zh-CN"/>
            </w:rPr>
            <w:t>三</w:t>
          </w:r>
          <w:r>
            <w:rPr>
              <w:rFonts w:hint="eastAsia" w:ascii="宋体" w:hAnsi="宋体" w:eastAsia="黑体"/>
            </w:rPr>
            <w:t>、一般公共预算基本支出情况说明</w:t>
          </w:r>
          <w:r>
            <w:tab/>
          </w:r>
          <w:r>
            <w:fldChar w:fldCharType="begin"/>
          </w:r>
          <w:r>
            <w:instrText xml:space="preserve"> PAGEREF _Toc32440 \h </w:instrText>
          </w:r>
          <w:r>
            <w:fldChar w:fldCharType="separate"/>
          </w:r>
          <w:r>
            <w:t>7</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_Toc25317 </w:instrText>
          </w:r>
          <w:r>
            <w:rPr>
              <w:rFonts w:hint="eastAsia" w:ascii="宋体" w:hAnsi="宋体" w:eastAsia="微软雅黑" w:cs="微软雅黑"/>
              <w:bCs/>
              <w:szCs w:val="48"/>
              <w:lang w:val="en-US" w:eastAsia="zh-CN"/>
            </w:rPr>
            <w:fldChar w:fldCharType="separate"/>
          </w:r>
          <w:r>
            <w:rPr>
              <w:rFonts w:hint="eastAsia" w:ascii="宋体" w:hAnsi="宋体" w:eastAsia="黑体"/>
              <w:lang w:val="en-US" w:eastAsia="zh-CN"/>
            </w:rPr>
            <w:t>四</w:t>
          </w:r>
          <w:r>
            <w:rPr>
              <w:rFonts w:hint="eastAsia" w:ascii="宋体" w:hAnsi="宋体" w:eastAsia="黑体"/>
            </w:rPr>
            <w:t>、政府性基金预算支出情况说明</w:t>
          </w:r>
          <w:r>
            <w:tab/>
          </w:r>
          <w:r>
            <w:fldChar w:fldCharType="begin"/>
          </w:r>
          <w:r>
            <w:instrText xml:space="preserve"> PAGEREF _Toc25317 \h </w:instrText>
          </w:r>
          <w:r>
            <w:fldChar w:fldCharType="separate"/>
          </w:r>
          <w:r>
            <w:t>7</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_Toc30383 </w:instrText>
          </w:r>
          <w:r>
            <w:rPr>
              <w:rFonts w:hint="eastAsia" w:ascii="宋体" w:hAnsi="宋体" w:eastAsia="微软雅黑" w:cs="微软雅黑"/>
              <w:bCs/>
              <w:szCs w:val="48"/>
              <w:lang w:val="en-US" w:eastAsia="zh-CN"/>
            </w:rPr>
            <w:fldChar w:fldCharType="separate"/>
          </w:r>
          <w:r>
            <w:rPr>
              <w:rFonts w:hint="eastAsia" w:ascii="宋体" w:hAnsi="宋体" w:eastAsia="黑体"/>
              <w:lang w:val="en-US" w:eastAsia="zh-CN"/>
            </w:rPr>
            <w:t>五、</w:t>
          </w:r>
          <w:r>
            <w:rPr>
              <w:rFonts w:hint="eastAsia" w:ascii="宋体" w:hAnsi="宋体" w:eastAsia="黑体"/>
            </w:rPr>
            <w:t>国有资本经营预算情况说明</w:t>
          </w:r>
          <w:r>
            <w:tab/>
          </w:r>
          <w:r>
            <w:fldChar w:fldCharType="begin"/>
          </w:r>
          <w:r>
            <w:instrText xml:space="preserve"> PAGEREF _Toc30383 \h </w:instrText>
          </w:r>
          <w:r>
            <w:fldChar w:fldCharType="separate"/>
          </w:r>
          <w:r>
            <w:t>8</w:t>
          </w:r>
          <w:r>
            <w:fldChar w:fldCharType="end"/>
          </w:r>
          <w:r>
            <w:rPr>
              <w:rFonts w:hint="eastAsia" w:ascii="宋体" w:hAnsi="宋体" w:eastAsia="微软雅黑" w:cs="微软雅黑"/>
              <w:bCs/>
              <w:szCs w:val="48"/>
              <w:lang w:val="en-US" w:eastAsia="zh-CN"/>
            </w:rPr>
            <w:fldChar w:fldCharType="end"/>
          </w:r>
        </w:p>
        <w:p>
          <w:pPr>
            <w:pStyle w:val="8"/>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_Toc28306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szCs w:val="52"/>
              <w:lang w:val="en-US" w:eastAsia="zh-CN"/>
            </w:rPr>
            <w:t>第四部分  名词解释</w:t>
          </w:r>
          <w:r>
            <w:tab/>
          </w:r>
          <w:r>
            <w:fldChar w:fldCharType="begin"/>
          </w:r>
          <w:r>
            <w:instrText xml:space="preserve"> PAGEREF _Toc28306 \h </w:instrText>
          </w:r>
          <w:r>
            <w:fldChar w:fldCharType="separate"/>
          </w:r>
          <w:r>
            <w:t>9</w:t>
          </w:r>
          <w:r>
            <w:fldChar w:fldCharType="end"/>
          </w:r>
          <w:r>
            <w:rPr>
              <w:rFonts w:hint="eastAsia" w:ascii="宋体" w:hAnsi="宋体" w:eastAsia="微软雅黑" w:cs="微软雅黑"/>
              <w:bCs/>
              <w:szCs w:val="48"/>
              <w:lang w:val="en-US" w:eastAsia="zh-CN"/>
            </w:rPr>
            <w:fldChar w:fldCharType="end"/>
          </w:r>
        </w:p>
        <w:p>
          <w:pPr>
            <w:pStyle w:val="4"/>
            <w:tabs>
              <w:tab w:val="left" w:pos="4798"/>
            </w:tabs>
            <w:jc w:val="both"/>
            <w:rPr>
              <w:rFonts w:hint="eastAsia" w:ascii="宋体" w:hAnsi="宋体" w:eastAsia="微软雅黑" w:cs="微软雅黑"/>
              <w:b/>
              <w:bCs/>
              <w:sz w:val="48"/>
              <w:szCs w:val="48"/>
              <w:lang w:val="en-US" w:eastAsia="zh-CN"/>
            </w:rPr>
          </w:pPr>
          <w:r>
            <w:rPr>
              <w:rFonts w:hint="eastAsia" w:ascii="宋体" w:hAnsi="宋体" w:eastAsia="微软雅黑" w:cs="微软雅黑"/>
              <w:bCs/>
              <w:szCs w:val="48"/>
              <w:lang w:val="en-US" w:eastAsia="zh-CN"/>
            </w:rPr>
            <w:fldChar w:fldCharType="end"/>
          </w:r>
        </w:p>
      </w:sdtContent>
    </w:sdt>
    <w:p>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spacing w:before="3"/>
        <w:rPr>
          <w:rFonts w:ascii="宋体" w:hAnsi="宋体"/>
          <w:sz w:val="28"/>
        </w:rPr>
      </w:pPr>
    </w:p>
    <w:p>
      <w:pPr>
        <w:pStyle w:val="4"/>
        <w:numPr>
          <w:ilvl w:val="0"/>
          <w:numId w:val="1"/>
        </w:numPr>
        <w:jc w:val="center"/>
        <w:outlineLvl w:val="0"/>
        <w:rPr>
          <w:rFonts w:hint="eastAsia" w:ascii="宋体" w:hAnsi="宋体" w:eastAsia="微软雅黑" w:cs="微软雅黑"/>
          <w:b/>
          <w:bCs/>
          <w:sz w:val="52"/>
          <w:szCs w:val="52"/>
          <w:lang w:val="en-US" w:eastAsia="zh-CN"/>
        </w:rPr>
      </w:pPr>
      <w:bookmarkStart w:id="0" w:name="_Toc8888"/>
      <w:r>
        <w:rPr>
          <w:rFonts w:hint="eastAsia" w:ascii="宋体" w:hAnsi="宋体" w:eastAsia="微软雅黑" w:cs="微软雅黑"/>
          <w:b/>
          <w:bCs/>
          <w:sz w:val="52"/>
          <w:szCs w:val="52"/>
          <w:lang w:val="en-US" w:eastAsia="zh-CN"/>
        </w:rPr>
        <w:t>单位概况</w:t>
      </w:r>
      <w:bookmarkEnd w:id="0"/>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3594"/>
      <w:r>
        <w:rPr>
          <w:rFonts w:hint="eastAsia" w:ascii="宋体" w:hAnsi="宋体" w:eastAsia="黑体"/>
          <w:color w:val="333333"/>
        </w:rPr>
        <w:t>一、基本职能及主要工作</w:t>
      </w:r>
      <w:bookmarkEnd w:id="1"/>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8177"/>
      <w:r>
        <w:rPr>
          <w:rFonts w:ascii="宋体" w:hAnsi="宋体"/>
        </w:rPr>
        <w:t>（一</w:t>
      </w:r>
      <w:r>
        <w:rPr>
          <w:rFonts w:hint="eastAsia" w:ascii="宋体" w:hAnsi="宋体"/>
          <w:lang w:eastAsia="zh-CN"/>
        </w:rPr>
        <w:t>）</w:t>
      </w:r>
      <w:r>
        <w:rPr>
          <w:rFonts w:hint="eastAsia" w:ascii="宋体" w:hAnsi="宋体"/>
          <w:lang w:val="en-US" w:eastAsia="zh-CN"/>
        </w:rPr>
        <w:t>单位</w:t>
      </w:r>
      <w:r>
        <w:rPr>
          <w:rFonts w:ascii="宋体" w:hAnsi="宋体"/>
        </w:rPr>
        <w:t>职能简介</w:t>
      </w:r>
      <w:bookmarkEnd w:id="2"/>
    </w:p>
    <w:p>
      <w:pPr>
        <w:pStyle w:val="4"/>
        <w:spacing w:before="56" w:line="350" w:lineRule="auto"/>
        <w:ind w:right="263" w:firstLine="639"/>
      </w:pPr>
      <w:bookmarkStart w:id="3" w:name="_Toc933"/>
      <w:r>
        <w:t>管理财政票据。</w:t>
      </w:r>
    </w:p>
    <w:p>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r>
        <w:rPr>
          <w:rFonts w:ascii="宋体" w:hAnsi="宋体"/>
        </w:rPr>
        <w:t>（二）</w:t>
      </w:r>
      <w:r>
        <w:rPr>
          <w:rFonts w:hint="eastAsia" w:ascii="宋体" w:hAnsi="宋体"/>
          <w:lang w:val="en-US" w:eastAsia="zh-CN"/>
        </w:rPr>
        <w:t>单位2026</w:t>
      </w:r>
      <w:r>
        <w:rPr>
          <w:rFonts w:ascii="宋体" w:hAnsi="宋体"/>
        </w:rPr>
        <w:t>年重点工</w:t>
      </w:r>
      <w:r>
        <w:rPr>
          <w:rFonts w:hint="eastAsia" w:ascii="宋体" w:hAnsi="宋体"/>
        </w:rPr>
        <w:t>作</w:t>
      </w:r>
      <w:bookmarkEnd w:id="3"/>
    </w:p>
    <w:p>
      <w:pPr>
        <w:pStyle w:val="4"/>
        <w:spacing w:before="3" w:line="350" w:lineRule="auto"/>
        <w:ind w:right="263" w:firstLine="639"/>
        <w:rPr>
          <w:rFonts w:hint="eastAsia" w:ascii="宋体" w:hAnsi="宋体" w:eastAsia="仿宋_GB2312" w:cs="仿宋_GB2312"/>
          <w:sz w:val="32"/>
          <w:szCs w:val="22"/>
          <w:lang w:val="en-US" w:eastAsia="zh-CN" w:bidi="zh-CN"/>
        </w:rPr>
      </w:pPr>
      <w:bookmarkStart w:id="4" w:name="_Toc20578"/>
      <w:r>
        <w:rPr>
          <w:rFonts w:hint="eastAsia" w:ascii="宋体" w:hAnsi="宋体" w:eastAsia="仿宋_GB2312" w:cs="仿宋_GB2312"/>
          <w:sz w:val="32"/>
          <w:szCs w:val="22"/>
          <w:lang w:val="en-US" w:eastAsia="zh-CN" w:bidi="zh-CN"/>
        </w:rPr>
        <w:t>1.严纪律，抓常态，不断强化作风建设。2.保收入，稳预期，筑牢财政平稳运行基石。3.抓关键，调结构，强化财政资金保障功能。4.转方式，谋升级，发挥财政资金建设效益。5.重绩效，严执行，高位推动绩效管理与监督。6.守底线，谋联动，防范化解债务重大风险。</w:t>
      </w:r>
    </w:p>
    <w:bookmarkEnd w:id="4"/>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jc w:val="center"/>
        <w:outlineLvl w:val="0"/>
        <w:rPr>
          <w:rFonts w:hint="default" w:ascii="宋体" w:hAnsi="宋体" w:eastAsia="微软雅黑" w:cs="微软雅黑"/>
          <w:b/>
          <w:bCs/>
          <w:sz w:val="52"/>
          <w:szCs w:val="52"/>
          <w:lang w:val="en-US" w:eastAsia="zh-CN"/>
        </w:rPr>
      </w:pPr>
      <w:bookmarkStart w:id="5" w:name="_Toc3404"/>
      <w:bookmarkEnd w:id="5"/>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微软雅黑" w:cs="微软雅黑"/>
          <w:b/>
          <w:bCs/>
          <w:sz w:val="52"/>
          <w:szCs w:val="52"/>
          <w:lang w:val="en-US" w:eastAsia="zh-CN"/>
        </w:rPr>
      </w:pPr>
      <w:r>
        <w:rPr>
          <w:rFonts w:hint="eastAsia" w:ascii="宋体" w:hAnsi="宋体" w:eastAsia="微软雅黑" w:cs="微软雅黑"/>
          <w:b/>
          <w:bCs/>
          <w:sz w:val="52"/>
          <w:szCs w:val="52"/>
          <w:lang w:val="en-US" w:eastAsia="zh-CN"/>
        </w:rPr>
        <w:t>票据管理中心2026年单位预算表</w:t>
      </w:r>
    </w:p>
    <w:p>
      <w:pPr>
        <w:rPr>
          <w:rFonts w:hint="eastAsia" w:ascii="宋体" w:hAnsi="宋体"/>
          <w:sz w:val="32"/>
          <w:lang w:val="en-US" w:eastAsia="zh-CN"/>
        </w:rPr>
      </w:pPr>
      <w:r>
        <w:rPr>
          <w:rFonts w:ascii="宋体" w:hAnsi="宋体"/>
          <w:color w:val="333333"/>
        </w:rPr>
        <w:br w:type="page"/>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1710"/>
      <w:bookmarkStart w:id="7" w:name="_Toc19525"/>
      <w:r>
        <w:rPr>
          <w:rFonts w:hint="eastAsia" w:ascii="宋体" w:hAnsi="宋体"/>
          <w:sz w:val="32"/>
          <w:lang w:val="en-US" w:eastAsia="zh-CN"/>
        </w:rPr>
        <w:t>一、收支预算总表</w:t>
      </w:r>
      <w:bookmarkEnd w:id="6"/>
      <w:bookmarkEnd w:id="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535"/>
      <w:bookmarkStart w:id="9" w:name="_Toc16677"/>
      <w:r>
        <w:rPr>
          <w:rFonts w:hint="eastAsia" w:ascii="宋体" w:hAnsi="宋体"/>
          <w:sz w:val="32"/>
          <w:lang w:val="en-US" w:eastAsia="zh-CN"/>
        </w:rPr>
        <w:t>二、</w:t>
      </w:r>
      <w:bookmarkEnd w:id="8"/>
      <w:bookmarkStart w:id="10" w:name="_Toc24022"/>
      <w:r>
        <w:rPr>
          <w:rFonts w:hint="eastAsia" w:ascii="宋体" w:hAnsi="宋体"/>
          <w:sz w:val="32"/>
          <w:lang w:val="en-US" w:eastAsia="zh-CN"/>
        </w:rPr>
        <w:t>单位收入总表</w:t>
      </w:r>
      <w:bookmarkEnd w:id="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5068"/>
      <w:r>
        <w:rPr>
          <w:rFonts w:hint="eastAsia" w:ascii="宋体" w:hAnsi="宋体"/>
          <w:sz w:val="32"/>
          <w:lang w:val="en-US" w:eastAsia="zh-CN"/>
        </w:rPr>
        <w:t>三、</w:t>
      </w:r>
      <w:bookmarkEnd w:id="10"/>
      <w:bookmarkStart w:id="12" w:name="_Toc28846"/>
      <w:r>
        <w:rPr>
          <w:rFonts w:hint="eastAsia" w:ascii="宋体" w:hAnsi="宋体"/>
          <w:sz w:val="32"/>
          <w:lang w:val="en-US" w:eastAsia="zh-CN"/>
        </w:rPr>
        <w:t>单位支出总表</w:t>
      </w:r>
      <w:bookmarkEnd w:id="1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791"/>
      <w:r>
        <w:rPr>
          <w:rFonts w:hint="eastAsia" w:ascii="宋体" w:hAnsi="宋体"/>
          <w:sz w:val="32"/>
          <w:lang w:val="en-US" w:eastAsia="zh-CN"/>
        </w:rPr>
        <w:t>四、财政拨款预算总表</w:t>
      </w:r>
      <w:bookmarkEnd w:id="12"/>
      <w:bookmarkEnd w:id="1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26817"/>
      <w:bookmarkStart w:id="15" w:name="_Toc6082"/>
      <w:r>
        <w:rPr>
          <w:rFonts w:hint="eastAsia" w:ascii="宋体" w:hAnsi="宋体"/>
          <w:sz w:val="32"/>
          <w:lang w:val="en-US" w:eastAsia="zh-CN"/>
        </w:rPr>
        <w:t>五、</w:t>
      </w:r>
      <w:bookmarkEnd w:id="14"/>
      <w:bookmarkStart w:id="16" w:name="_Toc12197"/>
      <w:r>
        <w:rPr>
          <w:rFonts w:hint="eastAsia" w:ascii="宋体" w:hAnsi="宋体"/>
          <w:sz w:val="32"/>
          <w:lang w:val="en-US" w:eastAsia="zh-CN"/>
        </w:rPr>
        <w:t>财政拨款支出预算表（单位经济分类科目）</w:t>
      </w:r>
      <w:bookmarkEnd w:id="1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0537"/>
      <w:r>
        <w:rPr>
          <w:rFonts w:hint="eastAsia" w:ascii="宋体" w:hAnsi="宋体"/>
          <w:sz w:val="32"/>
          <w:lang w:val="en-US" w:eastAsia="zh-CN"/>
        </w:rPr>
        <w:t>六、</w:t>
      </w:r>
      <w:bookmarkEnd w:id="16"/>
      <w:bookmarkStart w:id="18" w:name="_Toc19152"/>
      <w:r>
        <w:rPr>
          <w:rFonts w:hint="eastAsia" w:ascii="宋体" w:hAnsi="宋体"/>
          <w:sz w:val="32"/>
          <w:lang w:val="en-US" w:eastAsia="zh-CN"/>
        </w:rPr>
        <w:t>一般公共预算支出预算表</w:t>
      </w:r>
      <w:bookmarkEnd w:id="1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7917"/>
      <w:r>
        <w:rPr>
          <w:rFonts w:hint="eastAsia" w:ascii="宋体" w:hAnsi="宋体"/>
          <w:sz w:val="32"/>
          <w:lang w:val="en-US" w:eastAsia="zh-CN"/>
        </w:rPr>
        <w:t>七、</w:t>
      </w:r>
      <w:bookmarkEnd w:id="18"/>
      <w:bookmarkStart w:id="20" w:name="_Toc29240"/>
      <w:r>
        <w:rPr>
          <w:rFonts w:hint="eastAsia" w:ascii="宋体" w:hAnsi="宋体"/>
          <w:sz w:val="32"/>
          <w:lang w:val="en-US" w:eastAsia="zh-CN"/>
        </w:rPr>
        <w:t>一般公共预算基本支出预算表</w:t>
      </w:r>
      <w:bookmarkEnd w:id="1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14124"/>
      <w:r>
        <w:rPr>
          <w:rFonts w:hint="eastAsia" w:ascii="宋体" w:hAnsi="宋体"/>
          <w:sz w:val="32"/>
          <w:lang w:val="en-US" w:eastAsia="zh-CN"/>
        </w:rPr>
        <w:t>八、</w:t>
      </w:r>
      <w:bookmarkEnd w:id="20"/>
      <w:r>
        <w:rPr>
          <w:rFonts w:hint="eastAsia" w:ascii="宋体" w:hAnsi="宋体"/>
          <w:sz w:val="32"/>
          <w:lang w:val="en-US" w:eastAsia="zh-CN"/>
        </w:rPr>
        <w:t>一般公共预算项目支出预算表</w:t>
      </w:r>
      <w:bookmarkEnd w:id="2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2" w:name="_Toc30708"/>
      <w:bookmarkStart w:id="23" w:name="_Toc23421"/>
      <w:r>
        <w:rPr>
          <w:rFonts w:hint="eastAsia" w:ascii="宋体" w:hAnsi="宋体"/>
          <w:sz w:val="32"/>
          <w:lang w:val="en-US" w:eastAsia="zh-CN"/>
        </w:rPr>
        <w:t>九、</w:t>
      </w:r>
      <w:bookmarkEnd w:id="22"/>
      <w:bookmarkStart w:id="24" w:name="_Toc32474"/>
      <w:r>
        <w:rPr>
          <w:rFonts w:hint="eastAsia" w:ascii="宋体" w:hAnsi="宋体"/>
          <w:sz w:val="32"/>
          <w:lang w:val="en-US" w:eastAsia="zh-CN"/>
        </w:rPr>
        <w:t>一般公共预算“三公”经费支出预算表</w:t>
      </w:r>
      <w:bookmarkEnd w:id="2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23114"/>
      <w:r>
        <w:rPr>
          <w:rFonts w:hint="eastAsia" w:ascii="宋体" w:hAnsi="宋体"/>
          <w:sz w:val="32"/>
          <w:lang w:val="en-US" w:eastAsia="zh-CN"/>
        </w:rPr>
        <w:t>十、</w:t>
      </w:r>
      <w:bookmarkEnd w:id="24"/>
      <w:bookmarkStart w:id="26" w:name="_Toc15884"/>
      <w:r>
        <w:rPr>
          <w:rFonts w:hint="eastAsia" w:ascii="宋体" w:hAnsi="宋体"/>
          <w:sz w:val="32"/>
          <w:lang w:val="en-US" w:eastAsia="zh-CN"/>
        </w:rPr>
        <w:t>政府性基金预算支出预算表</w:t>
      </w:r>
      <w:bookmarkEnd w:id="25"/>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16851"/>
      <w:r>
        <w:rPr>
          <w:rFonts w:hint="eastAsia" w:ascii="宋体" w:hAnsi="宋体"/>
          <w:sz w:val="32"/>
          <w:lang w:val="en-US" w:eastAsia="zh-CN"/>
        </w:rPr>
        <w:t>十一、</w:t>
      </w:r>
      <w:bookmarkEnd w:id="26"/>
      <w:bookmarkStart w:id="28" w:name="_Toc28730"/>
      <w:r>
        <w:rPr>
          <w:rFonts w:hint="eastAsia" w:ascii="宋体" w:hAnsi="宋体"/>
          <w:sz w:val="32"/>
          <w:lang w:val="en-US" w:eastAsia="zh-CN"/>
        </w:rPr>
        <w:t>政府性基金预算“三公”经费支出预算表</w:t>
      </w:r>
      <w:bookmarkEnd w:id="2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10714"/>
      <w:r>
        <w:rPr>
          <w:rFonts w:hint="eastAsia" w:ascii="宋体" w:hAnsi="宋体"/>
          <w:sz w:val="32"/>
          <w:lang w:val="en-US" w:eastAsia="zh-CN"/>
        </w:rPr>
        <w:t>十二、</w:t>
      </w:r>
      <w:bookmarkEnd w:id="28"/>
      <w:bookmarkStart w:id="30" w:name="_Toc2069"/>
      <w:r>
        <w:rPr>
          <w:rFonts w:hint="eastAsia" w:ascii="宋体" w:hAnsi="宋体"/>
          <w:sz w:val="32"/>
          <w:lang w:val="en-US" w:eastAsia="zh-CN"/>
        </w:rPr>
        <w:t>国有资本经营预算支出预算表</w:t>
      </w:r>
      <w:bookmarkEnd w:id="29"/>
      <w:bookmarkEnd w:id="30"/>
      <w:bookmarkStart w:id="31" w:name="_Toc1645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2" w:name="_Toc30355"/>
      <w:r>
        <w:rPr>
          <w:rFonts w:hint="eastAsia" w:ascii="宋体" w:hAnsi="宋体"/>
          <w:b/>
          <w:bCs/>
          <w:sz w:val="32"/>
          <w:lang w:val="en-US" w:eastAsia="zh-CN"/>
        </w:rPr>
        <w:t>以上所有表格详见单位说明后附件。</w:t>
      </w:r>
      <w:bookmarkEnd w:id="31"/>
      <w:bookmarkEnd w:id="32"/>
    </w:p>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spacing w:before="6"/>
        <w:ind w:left="0" w:leftChars="0" w:firstLine="0" w:firstLineChars="0"/>
        <w:jc w:val="center"/>
        <w:outlineLvl w:val="0"/>
        <w:rPr>
          <w:rFonts w:hint="eastAsia" w:ascii="宋体" w:hAnsi="宋体" w:eastAsia="微软雅黑" w:cs="微软雅黑"/>
          <w:sz w:val="52"/>
          <w:szCs w:val="52"/>
          <w:lang w:val="en-US" w:eastAsia="zh-CN"/>
        </w:rPr>
      </w:pPr>
      <w:bookmarkStart w:id="33" w:name="_Toc8170"/>
      <w:r>
        <w:rPr>
          <w:rFonts w:hint="eastAsia" w:ascii="宋体" w:hAnsi="宋体" w:eastAsia="微软雅黑" w:cs="微软雅黑"/>
          <w:sz w:val="52"/>
          <w:szCs w:val="52"/>
          <w:lang w:val="en-US" w:eastAsia="zh-CN"/>
        </w:rPr>
        <w:t>票据管理中心2026年</w:t>
      </w:r>
      <w:bookmarkEnd w:id="33"/>
    </w:p>
    <w:p>
      <w:pPr>
        <w:pStyle w:val="4"/>
        <w:numPr>
          <w:ilvl w:val="0"/>
          <w:numId w:val="0"/>
        </w:numPr>
        <w:spacing w:before="6"/>
        <w:ind w:leftChars="0" w:right="0" w:rightChars="0"/>
        <w:jc w:val="center"/>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4" w:name="_Toc23434"/>
      <w:bookmarkStart w:id="35" w:name="_Toc1047"/>
      <w:r>
        <w:rPr>
          <w:rFonts w:hint="eastAsia" w:ascii="宋体" w:hAnsi="宋体" w:eastAsia="微软雅黑" w:cs="微软雅黑"/>
          <w:sz w:val="52"/>
          <w:szCs w:val="52"/>
          <w:lang w:val="en-US" w:eastAsia="zh-CN"/>
        </w:rPr>
        <w:t>单位预算情况说明</w:t>
      </w:r>
      <w:bookmarkEnd w:id="34"/>
      <w:bookmarkEnd w:id="35"/>
    </w:p>
    <w:p>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3886"/>
      <w:r>
        <w:rPr>
          <w:rFonts w:hint="eastAsia" w:ascii="宋体" w:hAnsi="宋体" w:eastAsia="黑体"/>
          <w:color w:val="333333"/>
        </w:rPr>
        <w:t>一、收支预算情况说明</w:t>
      </w:r>
      <w:bookmarkEnd w:id="3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按照综合预算的原则，财政单位所有收入和支出均纳入单位预算管理。收入包括：一般公共预算拨款收入32.28万元；支出包括：一般公共服务支出23.68万元。</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7" w:name="_Toc22636"/>
      <w:bookmarkStart w:id="38" w:name="_Toc20181"/>
      <w:r>
        <w:rPr>
          <w:rFonts w:ascii="宋体" w:hAnsi="宋体"/>
        </w:rPr>
        <w:t>（一）收入预算情况</w:t>
      </w:r>
      <w:bookmarkEnd w:id="37"/>
      <w:bookmarkEnd w:id="3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票据管理中心2026年收入预算32.28万元，其中：上年结转0万元，占0%；一般公共预算拨款收入32.28万元，占100%；政府基金预算拨款收入0万元，占0%；事业收入0万元，占0%；事业单位经营收入0万元，占0%；其他收入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18724"/>
      <w:bookmarkStart w:id="40" w:name="_Toc30757"/>
      <w:r>
        <w:rPr>
          <w:rFonts w:ascii="宋体" w:hAnsi="宋体"/>
        </w:rPr>
        <w:t>（二）支出预算情况</w:t>
      </w:r>
      <w:bookmarkEnd w:id="39"/>
      <w:bookmarkEnd w:id="4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票据管理中心2026年支出预算32.28万元，其中：人员支出19.96万元，日常公用支出3.32万元，专项支出9万元。</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1" w:name="_Toc26322"/>
      <w:r>
        <w:rPr>
          <w:rFonts w:hint="eastAsia" w:ascii="宋体" w:hAnsi="宋体" w:eastAsia="黑体"/>
          <w:color w:val="333333"/>
        </w:rPr>
        <w:t>二、财政拨款收支预算情况说明</w:t>
      </w:r>
      <w:bookmarkEnd w:id="4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票据管理中心2026年财政拨款收支预算总数32.28万元。</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其中：基本支出23.28万元，占72.12%；项目支出9万元，占27.88%。</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基本支出，是用于保障财政机关、下属事业单位等机构正常运转的日常支出，包括基本工资、津贴补贴等人员经费以及办公费、印刷费、水电费、办公设备购置等日常公用经费。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项目支出，是用于保障财政机关、下属事业单位等机构为完成特定的行政工作任务或事业发展目标，用于专项业务工作的经费支出。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42" w:name="_Toc32440"/>
      <w:r>
        <w:rPr>
          <w:rFonts w:hint="eastAsia" w:ascii="宋体" w:hAnsi="宋体" w:eastAsia="黑体"/>
          <w:color w:val="333333"/>
          <w:lang w:val="en-US" w:eastAsia="zh-CN"/>
        </w:rPr>
        <w:t>三</w:t>
      </w:r>
      <w:r>
        <w:rPr>
          <w:rFonts w:hint="eastAsia" w:ascii="宋体" w:hAnsi="宋体" w:eastAsia="黑体"/>
          <w:color w:val="333333"/>
        </w:rPr>
        <w:t>、一般公共预算基本支出情况说明</w:t>
      </w:r>
      <w:bookmarkEnd w:id="4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票据管理中心2026年一般公共预算基本支出32.28万元，其中：</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19.96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公用经费3.32</w:t>
      </w:r>
      <w:bookmarkStart w:id="46" w:name="_GoBack"/>
      <w:bookmarkEnd w:id="46"/>
      <w:r>
        <w:rPr>
          <w:rFonts w:hint="eastAsia" w:ascii="宋体" w:hAnsi="宋体"/>
          <w:sz w:val="32"/>
          <w:lang w:val="en-US" w:eastAsia="zh-CN"/>
        </w:rPr>
        <w:t>万元，主要包括：主要包括：办公费、印刷费、水费、电费、邮电费、差旅费、维修（护）费、会议费、培训费、公务接待费、劳务费、工会经费、福利费、公务用车运行维护费、其他交通费、其他商品和服务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43" w:name="_Toc25317"/>
      <w:r>
        <w:rPr>
          <w:rFonts w:hint="eastAsia" w:ascii="宋体" w:hAnsi="宋体" w:eastAsia="黑体"/>
          <w:color w:val="333333"/>
          <w:lang w:val="en-US" w:eastAsia="zh-CN"/>
        </w:rPr>
        <w:t>四</w:t>
      </w:r>
      <w:r>
        <w:rPr>
          <w:rFonts w:hint="eastAsia" w:ascii="宋体" w:hAnsi="宋体" w:eastAsia="黑体"/>
          <w:color w:val="333333"/>
        </w:rPr>
        <w:t>、政府性基金预算支出情况说明</w:t>
      </w:r>
      <w:bookmarkEnd w:id="4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票据管理中心2026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44" w:name="_Toc30383"/>
      <w:r>
        <w:rPr>
          <w:rFonts w:hint="eastAsia" w:ascii="宋体" w:hAnsi="宋体" w:eastAsia="黑体"/>
          <w:color w:val="333333"/>
          <w:lang w:val="en-US" w:eastAsia="zh-CN"/>
        </w:rPr>
        <w:t>五、</w:t>
      </w:r>
      <w:r>
        <w:rPr>
          <w:rFonts w:hint="eastAsia" w:ascii="宋体" w:hAnsi="宋体" w:eastAsia="黑体"/>
          <w:color w:val="333333"/>
        </w:rPr>
        <w:t>国有资本经营预算情况说明</w:t>
      </w:r>
      <w:bookmarkEnd w:id="4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票据管理中心2026年国有资本经营预算拨款安排支出0万元,较上年预算数持平。</w:t>
      </w:r>
    </w:p>
    <w:p>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jc w:val="center"/>
        <w:outlineLvl w:val="0"/>
        <w:rPr>
          <w:rFonts w:hint="eastAsia" w:ascii="宋体" w:hAnsi="宋体" w:eastAsia="微软雅黑" w:cs="微软雅黑"/>
          <w:sz w:val="52"/>
          <w:szCs w:val="52"/>
          <w:lang w:val="en-US" w:eastAsia="zh-CN"/>
        </w:rPr>
      </w:pPr>
      <w:bookmarkStart w:id="45" w:name="_Toc28306"/>
      <w:r>
        <w:rPr>
          <w:rFonts w:hint="eastAsia" w:ascii="宋体" w:hAnsi="宋体" w:eastAsia="微软雅黑" w:cs="微软雅黑"/>
          <w:sz w:val="52"/>
          <w:szCs w:val="52"/>
          <w:lang w:val="en-US" w:eastAsia="zh-CN"/>
        </w:rPr>
        <w:t>第四部分  名词解释</w:t>
      </w:r>
      <w:bookmarkEnd w:id="45"/>
    </w:p>
    <w:p>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10.社会保障和就业（类）行政事业单位离退休（款）机关事业单位基本养老保险缴费支出（项）：指单位实施养老保险制度由单位缴纳的养老保险费的支出。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11.社会保障和就业（类）行政事业单位离退休（款）机关事业单位职业年金缴费支出（项）：指单位实施养老保险制度由单位缴纳的职业年金的支出。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单位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70FF29C6-3DF3-4FC8-AD51-520F44D4FC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61C77A20-800F-4A1B-BF8F-1394F4822443}"/>
  </w:font>
  <w:font w:name="仿宋_GB2312">
    <w:panose1 w:val="02010609030101010101"/>
    <w:charset w:val="86"/>
    <w:family w:val="modern"/>
    <w:pitch w:val="default"/>
    <w:sig w:usb0="00000001" w:usb1="080E0000" w:usb2="00000000" w:usb3="00000000" w:csb0="00040000" w:csb1="00000000"/>
    <w:embedRegular r:id="rId3" w:fontKey="{43C6C146-E60C-41C0-AA44-390D577421D5}"/>
  </w:font>
  <w:font w:name="微软雅黑">
    <w:panose1 w:val="020B0503020204020204"/>
    <w:charset w:val="86"/>
    <w:family w:val="auto"/>
    <w:pitch w:val="default"/>
    <w:sig w:usb0="80000287" w:usb1="2ACF3C50" w:usb2="00000016" w:usb3="00000000" w:csb0="0004001F" w:csb1="00000000"/>
    <w:embedRegular r:id="rId4" w:fontKey="{430938AA-01CF-4DE3-B508-E6FA6762608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ED1707"/>
    <w:rsid w:val="02F925FF"/>
    <w:rsid w:val="07F4667F"/>
    <w:rsid w:val="08F93370"/>
    <w:rsid w:val="0AA12680"/>
    <w:rsid w:val="116A55A1"/>
    <w:rsid w:val="11A33E63"/>
    <w:rsid w:val="133C4D5C"/>
    <w:rsid w:val="13B73D80"/>
    <w:rsid w:val="13CB5FFB"/>
    <w:rsid w:val="18D94D16"/>
    <w:rsid w:val="1B5E3E72"/>
    <w:rsid w:val="1C4565B4"/>
    <w:rsid w:val="1E9115A9"/>
    <w:rsid w:val="20D9567F"/>
    <w:rsid w:val="21211D8E"/>
    <w:rsid w:val="240622C9"/>
    <w:rsid w:val="247F2477"/>
    <w:rsid w:val="25922371"/>
    <w:rsid w:val="2BD66371"/>
    <w:rsid w:val="2F01645C"/>
    <w:rsid w:val="3170631D"/>
    <w:rsid w:val="34AD46FA"/>
    <w:rsid w:val="361E5856"/>
    <w:rsid w:val="3868501C"/>
    <w:rsid w:val="3A8B5922"/>
    <w:rsid w:val="40D91972"/>
    <w:rsid w:val="44663053"/>
    <w:rsid w:val="467A3B2C"/>
    <w:rsid w:val="47E77FAB"/>
    <w:rsid w:val="490C5278"/>
    <w:rsid w:val="4BBC79DD"/>
    <w:rsid w:val="4D3C563B"/>
    <w:rsid w:val="5211246F"/>
    <w:rsid w:val="52687140"/>
    <w:rsid w:val="54BB49E6"/>
    <w:rsid w:val="54C30EEA"/>
    <w:rsid w:val="5543046B"/>
    <w:rsid w:val="57503CCA"/>
    <w:rsid w:val="57AA6963"/>
    <w:rsid w:val="5830295E"/>
    <w:rsid w:val="58EE6347"/>
    <w:rsid w:val="595E3E2E"/>
    <w:rsid w:val="5AE90F4A"/>
    <w:rsid w:val="5B65451D"/>
    <w:rsid w:val="685F7C35"/>
    <w:rsid w:val="6BCE3A9E"/>
    <w:rsid w:val="718F18FF"/>
    <w:rsid w:val="7209340F"/>
    <w:rsid w:val="76A30804"/>
    <w:rsid w:val="7C6130B2"/>
    <w:rsid w:val="7D7038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iPriority w:val="0"/>
  </w:style>
  <w:style w:type="paragraph" w:styleId="9">
    <w:name w:val="toc 2"/>
    <w:basedOn w:val="1"/>
    <w:next w:val="1"/>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5241</Words>
  <Characters>6214</Characters>
  <TotalTime>3</TotalTime>
  <ScaleCrop>false</ScaleCrop>
  <LinksUpToDate>false</LinksUpToDate>
  <CharactersWithSpaces>6454</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dcterms:modified xsi:type="dcterms:W3CDTF">2026-03-04T02:43:49Z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2052-12.8.2.15292</vt:lpwstr>
  </property>
  <property fmtid="{D5CDD505-2E9C-101B-9397-08002B2CF9AE}" pid="6" name="ICV">
    <vt:lpwstr>19A6489293D14499A2E447A850DEABA6</vt:lpwstr>
  </property>
</Properties>
</file>