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32"/>
        <w:gridCol w:w="948"/>
        <w:gridCol w:w="2040"/>
        <w:gridCol w:w="1284"/>
        <w:gridCol w:w="2352"/>
        <w:gridCol w:w="1836"/>
        <w:gridCol w:w="1680"/>
        <w:gridCol w:w="1236"/>
        <w:gridCol w:w="1008"/>
        <w:gridCol w:w="1320"/>
      </w:tblGrid>
      <w:tr w14:paraId="56B5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E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五通桥区审计局主动公开事项目录</w:t>
            </w:r>
            <w:bookmarkEnd w:id="0"/>
          </w:p>
        </w:tc>
      </w:tr>
      <w:tr w14:paraId="2A4E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36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公开渠道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公开责任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监督电话</w:t>
            </w:r>
          </w:p>
        </w:tc>
      </w:tr>
      <w:tr w14:paraId="510B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5C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4A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AD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B8E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CA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4D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B6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32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60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法定公开事项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机关简介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3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依据“三定”方案及职责调整情况确定的本单位最新法定职能、机构设置和分工；领导姓名、职务和分工；办公地址、办公时间、联系方式。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□行政法规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《政府信息公开条例》第二十条第二款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区政府网站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五通桥区审计局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4221473</w:t>
            </w:r>
          </w:p>
        </w:tc>
      </w:tr>
      <w:tr w14:paraId="6F75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8ECC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财务信息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预算决算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财政预算、决算信息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□行政法规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《预算法》第十四条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《政府信息公开条例》第二十条第七款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其他-四川省政府信息公开网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B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五通桥区审计局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财政与行政事业审计股、办公室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4221473</w:t>
            </w:r>
          </w:p>
        </w:tc>
      </w:tr>
      <w:tr w14:paraId="7367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781E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政府信息公开年报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3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□行政法规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□行政规范性文件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《政府信息公开条例》第四十九条、五十条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《中华人民共和国政府信息公开工作年度报告格式》（国办公开办函〔2021〕30号）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5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其他互联网平台：四川政务服务网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每年1月31日公开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五通桥区审计局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4221473</w:t>
            </w:r>
          </w:p>
        </w:tc>
      </w:tr>
      <w:tr w14:paraId="4D23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年度审计报告和年度审计整改报告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E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□行政法规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1.《中华人民共和国审计法》第四十条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2.《中华人民共和国审计法实施条例》第三十三条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3.《四川省审计结果公告办法》第六条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3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区政府网站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向人大常委会报告后不超过15日公开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E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五通桥区审计局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财政与行政事业审计股、办公室（法规股）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4221473</w:t>
            </w:r>
          </w:p>
        </w:tc>
      </w:tr>
      <w:tr w14:paraId="1C1C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5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（2025年6月制）</w:t>
            </w:r>
          </w:p>
        </w:tc>
      </w:tr>
    </w:tbl>
    <w:p w14:paraId="531EBB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51AC1EB-EF77-42FB-BCAD-DD81C24962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5177E0-794F-4A83-BAD2-DFF211027E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F29C4"/>
    <w:rsid w:val="4CB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2025-06-24T09:55:00Z</dcterms:created>
  <dc:creator>Administrator</dc:creator>
  <cp:lastModifiedBy>余欢</cp:lastModifiedBy>
  <dcterms:modified xsi:type="dcterms:W3CDTF">2025-06-24T10:03:02Z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994CC966DA2049218094DF2F9AB845E4_11</vt:lpwstr>
  </property>
  <property fmtid="{D5CDD505-2E9C-101B-9397-08002B2CF9AE}" pid="4" name="KSOTemplateDocerSaveRecord">
    <vt:lpwstr>eyJoZGlkIjoiMmJmZTU0MGU5ZDhkZTkzMWNiOTAxNDYzZTgxY2UwNTEiLCJ1c2VySWQiOiIxNDg0NTY3NDU0In0=</vt:lpwstr>
  </property>
</Properties>
</file>