
<file path=[Content_Types].xml><?xml version="1.0" encoding="utf-8"?>
<Types xmlns="http://schemas.openxmlformats.org/package/2006/content-types">
  <Default Extension="xml" ContentType="application/xml"/>
  <Default Extension="bin" ContentType="application/vnd.openxmlformats-officedocument.oleObject"/>
  <Default Extension="jpeg" ContentType="image/jpeg"/>
  <Default Extension="JPG" ContentType="image/.jpg"/>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4"/>
        <w:rPr>
          <w:b w:val="0"/>
          <w:bCs w:val="0"/>
        </w:rPr>
      </w:pPr>
      <w:bookmarkStart w:id="0" w:name="_Toc219172777"/>
      <w:bookmarkStart w:id="1" w:name="_Toc208304020"/>
      <w:bookmarkStart w:id="2" w:name="_Toc218393533"/>
      <w:bookmarkStart w:id="3" w:name="_Toc216856714"/>
      <w:bookmarkStart w:id="4" w:name="_Toc241243944"/>
      <w:bookmarkStart w:id="5" w:name="_Toc264182711"/>
      <w:bookmarkStart w:id="6" w:name="_Toc241174082"/>
      <w:bookmarkStart w:id="7" w:name="_Toc217356959"/>
      <w:bookmarkStart w:id="8" w:name="_Toc215467571"/>
      <w:bookmarkStart w:id="9" w:name="_Toc208605426"/>
      <w:bookmarkStart w:id="10" w:name="_Toc241833762"/>
      <w:bookmarkStart w:id="11" w:name="_Toc211240229"/>
      <w:bookmarkStart w:id="12" w:name="_Toc232323011"/>
      <w:bookmarkStart w:id="13" w:name="_Toc216865910"/>
      <w:bookmarkStart w:id="14" w:name="_Toc225948086"/>
      <w:bookmarkStart w:id="15" w:name="_Toc227034368"/>
      <w:bookmarkStart w:id="16" w:name="_Toc225605703"/>
      <w:bookmarkStart w:id="17" w:name="_Toc245841750"/>
      <w:bookmarkStart w:id="18" w:name="_Toc264181142"/>
      <w:bookmarkStart w:id="19" w:name="_Toc26402"/>
      <w:bookmarkStart w:id="20" w:name="_Toc14412"/>
      <w:bookmarkStart w:id="21" w:name="_Toc30285"/>
      <w:bookmarkStart w:id="22" w:name="_Toc7887"/>
      <w:bookmarkStart w:id="23" w:name="_Toc391556361"/>
      <w:bookmarkStart w:id="24" w:name="_Toc1365"/>
      <w:bookmarkStart w:id="25" w:name="_Toc29481"/>
      <w:bookmarkStart w:id="26" w:name="_Toc28078"/>
      <w:r>
        <w:rPr>
          <w:rFonts w:hint="eastAsia" w:ascii="黑体" w:hAnsi="黑体" w:eastAsia="黑体" w:cs="黑体"/>
          <w:b w:val="0"/>
          <w:bCs w:val="0"/>
        </w:rPr>
        <w:t>目录</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pPr>
        <w:pStyle w:val="25"/>
        <w:tabs>
          <w:tab w:val="right" w:leader="dot" w:pos="9071"/>
        </w:tabs>
        <w:spacing w:line="360" w:lineRule="auto"/>
        <w:rPr>
          <w:sz w:val="28"/>
          <w:szCs w:val="28"/>
        </w:rPr>
      </w:pPr>
      <w:r>
        <w:rPr>
          <w:b w:val="0"/>
          <w:sz w:val="28"/>
          <w:szCs w:val="28"/>
        </w:rPr>
        <w:fldChar w:fldCharType="begin"/>
      </w:r>
      <w:r>
        <w:rPr>
          <w:b w:val="0"/>
          <w:sz w:val="28"/>
          <w:szCs w:val="28"/>
        </w:rPr>
        <w:instrText xml:space="preserve">TOC \o "1-2" \h  \u </w:instrText>
      </w:r>
      <w:r>
        <w:rPr>
          <w:b w:val="0"/>
          <w:sz w:val="28"/>
          <w:szCs w:val="28"/>
        </w:rPr>
        <w:fldChar w:fldCharType="separate"/>
      </w:r>
      <w:r>
        <w:fldChar w:fldCharType="begin"/>
      </w:r>
      <w:r>
        <w:instrText xml:space="preserve"> HYPERLINK \l "_Toc17862" </w:instrText>
      </w:r>
      <w:r>
        <w:fldChar w:fldCharType="separate"/>
      </w:r>
      <w:r>
        <w:rPr>
          <w:sz w:val="28"/>
          <w:szCs w:val="28"/>
        </w:rPr>
        <w:t>1综合说明</w:t>
      </w:r>
      <w:r>
        <w:rPr>
          <w:sz w:val="28"/>
          <w:szCs w:val="28"/>
        </w:rPr>
        <w:tab/>
      </w:r>
      <w:r>
        <w:rPr>
          <w:sz w:val="28"/>
          <w:szCs w:val="28"/>
        </w:rPr>
        <w:fldChar w:fldCharType="begin"/>
      </w:r>
      <w:r>
        <w:rPr>
          <w:sz w:val="28"/>
          <w:szCs w:val="28"/>
        </w:rPr>
        <w:instrText xml:space="preserve"> PAGEREF _Toc17862 \h </w:instrText>
      </w:r>
      <w:r>
        <w:rPr>
          <w:sz w:val="28"/>
          <w:szCs w:val="28"/>
        </w:rPr>
        <w:fldChar w:fldCharType="separate"/>
      </w:r>
      <w:r>
        <w:rPr>
          <w:sz w:val="28"/>
          <w:szCs w:val="28"/>
        </w:rPr>
        <w:t>1</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"_Toc25314" </w:instrText>
      </w:r>
      <w:r>
        <w:fldChar w:fldCharType="separate"/>
      </w:r>
      <w:r>
        <w:rPr>
          <w:sz w:val="28"/>
          <w:szCs w:val="28"/>
        </w:rPr>
        <w:t>1.1区域简况</w:t>
      </w:r>
      <w:r>
        <w:rPr>
          <w:sz w:val="28"/>
          <w:szCs w:val="28"/>
        </w:rPr>
        <w:tab/>
      </w:r>
      <w:r>
        <w:rPr>
          <w:sz w:val="28"/>
          <w:szCs w:val="28"/>
        </w:rPr>
        <w:fldChar w:fldCharType="begin"/>
      </w:r>
      <w:r>
        <w:rPr>
          <w:sz w:val="28"/>
          <w:szCs w:val="28"/>
        </w:rPr>
        <w:instrText xml:space="preserve"> PAGEREF _Toc25314 \h </w:instrText>
      </w:r>
      <w:r>
        <w:rPr>
          <w:sz w:val="28"/>
          <w:szCs w:val="28"/>
        </w:rPr>
        <w:fldChar w:fldCharType="separate"/>
      </w:r>
      <w:r>
        <w:rPr>
          <w:sz w:val="28"/>
          <w:szCs w:val="28"/>
        </w:rPr>
        <w:t>1</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"_Toc16628" </w:instrText>
      </w:r>
      <w:r>
        <w:fldChar w:fldCharType="separate"/>
      </w:r>
      <w:r>
        <w:rPr>
          <w:sz w:val="28"/>
          <w:szCs w:val="28"/>
        </w:rPr>
        <w:t>1.2</w:t>
      </w:r>
      <w:r>
        <w:rPr>
          <w:sz w:val="28"/>
          <w:szCs w:val="28"/>
          <w:shd w:val="clear" w:color="auto" w:fill="FFFFFF"/>
        </w:rPr>
        <w:t>编制依据</w:t>
      </w:r>
      <w:r>
        <w:rPr>
          <w:sz w:val="28"/>
          <w:szCs w:val="28"/>
        </w:rPr>
        <w:tab/>
      </w:r>
      <w:r>
        <w:rPr>
          <w:sz w:val="28"/>
          <w:szCs w:val="28"/>
        </w:rPr>
        <w:fldChar w:fldCharType="begin"/>
      </w:r>
      <w:r>
        <w:rPr>
          <w:sz w:val="28"/>
          <w:szCs w:val="28"/>
        </w:rPr>
        <w:instrText xml:space="preserve"> PAGEREF _Toc16628 \h </w:instrText>
      </w:r>
      <w:r>
        <w:rPr>
          <w:sz w:val="28"/>
          <w:szCs w:val="28"/>
        </w:rPr>
        <w:fldChar w:fldCharType="separate"/>
      </w:r>
      <w:r>
        <w:rPr>
          <w:sz w:val="28"/>
          <w:szCs w:val="28"/>
        </w:rPr>
        <w:t>14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"_Toc5120" </w:instrText>
      </w:r>
      <w:r>
        <w:fldChar w:fldCharType="separate"/>
      </w:r>
      <w:r>
        <w:rPr>
          <w:sz w:val="28"/>
          <w:szCs w:val="28"/>
        </w:rPr>
        <w:t>1.3设计水平年</w:t>
      </w:r>
      <w:r>
        <w:rPr>
          <w:sz w:val="28"/>
          <w:szCs w:val="28"/>
        </w:rPr>
        <w:tab/>
      </w:r>
      <w:r>
        <w:rPr>
          <w:sz w:val="28"/>
          <w:szCs w:val="28"/>
        </w:rPr>
        <w:fldChar w:fldCharType="begin"/>
      </w:r>
      <w:r>
        <w:rPr>
          <w:sz w:val="28"/>
          <w:szCs w:val="28"/>
        </w:rPr>
        <w:instrText xml:space="preserve"> PAGEREF _Toc5120 \h </w:instrText>
      </w:r>
      <w:r>
        <w:rPr>
          <w:sz w:val="28"/>
          <w:szCs w:val="28"/>
        </w:rPr>
        <w:fldChar w:fldCharType="separate"/>
      </w:r>
      <w:r>
        <w:rPr>
          <w:sz w:val="28"/>
          <w:szCs w:val="28"/>
        </w:rPr>
        <w:t>15</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"_Toc27334" </w:instrText>
      </w:r>
      <w:r>
        <w:fldChar w:fldCharType="separate"/>
      </w:r>
      <w:r>
        <w:rPr>
          <w:sz w:val="28"/>
          <w:szCs w:val="28"/>
        </w:rPr>
        <w:t>1.4水土流失防治责任范围</w:t>
      </w:r>
      <w:r>
        <w:rPr>
          <w:sz w:val="28"/>
          <w:szCs w:val="28"/>
        </w:rPr>
        <w:tab/>
      </w:r>
      <w:r>
        <w:rPr>
          <w:sz w:val="28"/>
          <w:szCs w:val="28"/>
        </w:rPr>
        <w:fldChar w:fldCharType="begin"/>
      </w:r>
      <w:r>
        <w:rPr>
          <w:sz w:val="28"/>
          <w:szCs w:val="28"/>
        </w:rPr>
        <w:instrText xml:space="preserve"> PAGEREF _Toc27334 \h </w:instrText>
      </w:r>
      <w:r>
        <w:rPr>
          <w:sz w:val="28"/>
          <w:szCs w:val="28"/>
        </w:rPr>
        <w:fldChar w:fldCharType="separate"/>
      </w:r>
      <w:r>
        <w:rPr>
          <w:sz w:val="28"/>
          <w:szCs w:val="28"/>
        </w:rPr>
        <w:t>15</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"_Toc28582" </w:instrText>
      </w:r>
      <w:r>
        <w:fldChar w:fldCharType="separate"/>
      </w:r>
      <w:r>
        <w:rPr>
          <w:sz w:val="28"/>
          <w:szCs w:val="28"/>
        </w:rPr>
        <w:t>1.5水土流失防治目标</w:t>
      </w:r>
      <w:r>
        <w:rPr>
          <w:sz w:val="28"/>
          <w:szCs w:val="28"/>
        </w:rPr>
        <w:tab/>
      </w:r>
      <w:r>
        <w:rPr>
          <w:sz w:val="28"/>
          <w:szCs w:val="28"/>
        </w:rPr>
        <w:fldChar w:fldCharType="begin"/>
      </w:r>
      <w:r>
        <w:rPr>
          <w:sz w:val="28"/>
          <w:szCs w:val="28"/>
        </w:rPr>
        <w:instrText xml:space="preserve"> PAGEREF _Toc28582 \h </w:instrText>
      </w:r>
      <w:r>
        <w:rPr>
          <w:sz w:val="28"/>
          <w:szCs w:val="28"/>
        </w:rPr>
        <w:fldChar w:fldCharType="separate"/>
      </w:r>
      <w:r>
        <w:rPr>
          <w:sz w:val="28"/>
          <w:szCs w:val="28"/>
        </w:rPr>
        <w:t>16</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"_Toc6813" </w:instrText>
      </w:r>
      <w:r>
        <w:fldChar w:fldCharType="separate"/>
      </w:r>
      <w:r>
        <w:rPr>
          <w:sz w:val="28"/>
          <w:szCs w:val="28"/>
        </w:rPr>
        <w:t>1.6项目水土保持评价结论</w:t>
      </w:r>
      <w:r>
        <w:rPr>
          <w:sz w:val="28"/>
          <w:szCs w:val="28"/>
        </w:rPr>
        <w:tab/>
      </w:r>
      <w:r>
        <w:rPr>
          <w:sz w:val="28"/>
          <w:szCs w:val="28"/>
        </w:rPr>
        <w:fldChar w:fldCharType="begin"/>
      </w:r>
      <w:r>
        <w:rPr>
          <w:sz w:val="28"/>
          <w:szCs w:val="28"/>
        </w:rPr>
        <w:instrText xml:space="preserve"> PAGEREF _Toc6813 \h </w:instrText>
      </w:r>
      <w:r>
        <w:rPr>
          <w:sz w:val="28"/>
          <w:szCs w:val="28"/>
        </w:rPr>
        <w:fldChar w:fldCharType="separate"/>
      </w:r>
      <w:r>
        <w:rPr>
          <w:sz w:val="28"/>
          <w:szCs w:val="28"/>
        </w:rPr>
        <w:t>17</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"_Toc11623" </w:instrText>
      </w:r>
      <w:r>
        <w:fldChar w:fldCharType="separate"/>
      </w:r>
      <w:r>
        <w:rPr>
          <w:sz w:val="28"/>
          <w:szCs w:val="28"/>
        </w:rPr>
        <w:t>1.7水土流失预测结果</w:t>
      </w:r>
      <w:r>
        <w:rPr>
          <w:sz w:val="28"/>
          <w:szCs w:val="28"/>
        </w:rPr>
        <w:tab/>
      </w:r>
      <w:r>
        <w:rPr>
          <w:sz w:val="28"/>
          <w:szCs w:val="28"/>
        </w:rPr>
        <w:fldChar w:fldCharType="begin"/>
      </w:r>
      <w:r>
        <w:rPr>
          <w:sz w:val="28"/>
          <w:szCs w:val="28"/>
        </w:rPr>
        <w:instrText xml:space="preserve"> PAGEREF _Toc11623 \h </w:instrText>
      </w:r>
      <w:r>
        <w:rPr>
          <w:sz w:val="28"/>
          <w:szCs w:val="28"/>
        </w:rPr>
        <w:fldChar w:fldCharType="separate"/>
      </w:r>
      <w:r>
        <w:rPr>
          <w:sz w:val="28"/>
          <w:szCs w:val="28"/>
        </w:rPr>
        <w:t>19</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"_Toc14506" </w:instrText>
      </w:r>
      <w:r>
        <w:fldChar w:fldCharType="separate"/>
      </w:r>
      <w:r>
        <w:rPr>
          <w:sz w:val="28"/>
          <w:szCs w:val="28"/>
        </w:rPr>
        <w:t>1.8水土保持措施布设成果</w:t>
      </w:r>
      <w:r>
        <w:rPr>
          <w:sz w:val="28"/>
          <w:szCs w:val="28"/>
        </w:rPr>
        <w:tab/>
      </w:r>
      <w:r>
        <w:rPr>
          <w:sz w:val="28"/>
          <w:szCs w:val="28"/>
        </w:rPr>
        <w:fldChar w:fldCharType="begin"/>
      </w:r>
      <w:r>
        <w:rPr>
          <w:sz w:val="28"/>
          <w:szCs w:val="28"/>
        </w:rPr>
        <w:instrText xml:space="preserve"> PAGEREF _Toc14506 \h </w:instrText>
      </w:r>
      <w:r>
        <w:rPr>
          <w:sz w:val="28"/>
          <w:szCs w:val="28"/>
        </w:rPr>
        <w:fldChar w:fldCharType="separate"/>
      </w:r>
      <w:r>
        <w:rPr>
          <w:sz w:val="28"/>
          <w:szCs w:val="28"/>
        </w:rPr>
        <w:t>20</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"_Toc4079" </w:instrText>
      </w:r>
      <w:r>
        <w:fldChar w:fldCharType="separate"/>
      </w:r>
      <w:r>
        <w:rPr>
          <w:sz w:val="28"/>
          <w:szCs w:val="28"/>
        </w:rPr>
        <w:t>1.9水土保持监测方案</w:t>
      </w:r>
      <w:r>
        <w:rPr>
          <w:sz w:val="28"/>
          <w:szCs w:val="28"/>
        </w:rPr>
        <w:tab/>
      </w:r>
      <w:r>
        <w:rPr>
          <w:sz w:val="28"/>
          <w:szCs w:val="28"/>
        </w:rPr>
        <w:fldChar w:fldCharType="begin"/>
      </w:r>
      <w:r>
        <w:rPr>
          <w:sz w:val="28"/>
          <w:szCs w:val="28"/>
        </w:rPr>
        <w:instrText xml:space="preserve"> PAGEREF _Toc4079 \h </w:instrText>
      </w:r>
      <w:r>
        <w:rPr>
          <w:sz w:val="28"/>
          <w:szCs w:val="28"/>
        </w:rPr>
        <w:fldChar w:fldCharType="separate"/>
      </w:r>
      <w:r>
        <w:rPr>
          <w:sz w:val="28"/>
          <w:szCs w:val="28"/>
        </w:rPr>
        <w:t>24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"_Toc4899" </w:instrText>
      </w:r>
      <w:r>
        <w:fldChar w:fldCharType="separate"/>
      </w:r>
      <w:r>
        <w:rPr>
          <w:sz w:val="28"/>
          <w:szCs w:val="28"/>
        </w:rPr>
        <w:t>1.10水土保持投资及效益分析成果</w:t>
      </w:r>
      <w:r>
        <w:rPr>
          <w:sz w:val="28"/>
          <w:szCs w:val="28"/>
        </w:rPr>
        <w:tab/>
      </w:r>
      <w:r>
        <w:rPr>
          <w:sz w:val="28"/>
          <w:szCs w:val="28"/>
        </w:rPr>
        <w:fldChar w:fldCharType="begin"/>
      </w:r>
      <w:r>
        <w:rPr>
          <w:sz w:val="28"/>
          <w:szCs w:val="28"/>
        </w:rPr>
        <w:instrText xml:space="preserve"> PAGEREF _Toc4899 \h </w:instrText>
      </w:r>
      <w:r>
        <w:rPr>
          <w:sz w:val="28"/>
          <w:szCs w:val="28"/>
        </w:rPr>
        <w:fldChar w:fldCharType="separate"/>
      </w:r>
      <w:r>
        <w:rPr>
          <w:sz w:val="28"/>
          <w:szCs w:val="28"/>
        </w:rPr>
        <w:t>24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"_Toc20977" </w:instrText>
      </w:r>
      <w:r>
        <w:fldChar w:fldCharType="separate"/>
      </w:r>
      <w:r>
        <w:rPr>
          <w:sz w:val="28"/>
          <w:szCs w:val="28"/>
        </w:rPr>
        <w:t>1.11结论</w:t>
      </w:r>
      <w:r>
        <w:rPr>
          <w:sz w:val="28"/>
          <w:szCs w:val="28"/>
        </w:rPr>
        <w:tab/>
      </w:r>
      <w:r>
        <w:rPr>
          <w:sz w:val="28"/>
          <w:szCs w:val="28"/>
        </w:rPr>
        <w:fldChar w:fldCharType="begin"/>
      </w:r>
      <w:r>
        <w:rPr>
          <w:sz w:val="28"/>
          <w:szCs w:val="28"/>
        </w:rPr>
        <w:instrText xml:space="preserve"> PAGEREF _Toc20977 \h </w:instrText>
      </w:r>
      <w:r>
        <w:rPr>
          <w:sz w:val="28"/>
          <w:szCs w:val="28"/>
        </w:rPr>
        <w:fldChar w:fldCharType="separate"/>
      </w:r>
      <w:r>
        <w:rPr>
          <w:sz w:val="28"/>
          <w:szCs w:val="28"/>
        </w:rPr>
        <w:t>24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"_Toc20985" </w:instrText>
      </w:r>
      <w:r>
        <w:fldChar w:fldCharType="separate"/>
      </w:r>
      <w:r>
        <w:rPr>
          <w:bCs/>
          <w:sz w:val="28"/>
          <w:szCs w:val="28"/>
        </w:rPr>
        <w:t>1.12水土保持方案特性表</w:t>
      </w:r>
      <w:r>
        <w:rPr>
          <w:sz w:val="28"/>
          <w:szCs w:val="28"/>
        </w:rPr>
        <w:tab/>
      </w:r>
      <w:r>
        <w:rPr>
          <w:sz w:val="28"/>
          <w:szCs w:val="28"/>
        </w:rPr>
        <w:fldChar w:fldCharType="begin"/>
      </w:r>
      <w:r>
        <w:rPr>
          <w:sz w:val="28"/>
          <w:szCs w:val="28"/>
        </w:rPr>
        <w:instrText xml:space="preserve"> PAGEREF _Toc20985 \h </w:instrText>
      </w:r>
      <w:r>
        <w:rPr>
          <w:sz w:val="28"/>
          <w:szCs w:val="28"/>
        </w:rPr>
        <w:fldChar w:fldCharType="separate"/>
      </w:r>
      <w:r>
        <w:rPr>
          <w:sz w:val="28"/>
          <w:szCs w:val="28"/>
        </w:rPr>
        <w:t>27</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"_Toc7031" </w:instrText>
      </w:r>
      <w:r>
        <w:fldChar w:fldCharType="separate"/>
      </w:r>
      <w:r>
        <w:rPr>
          <w:sz w:val="28"/>
          <w:szCs w:val="28"/>
        </w:rPr>
        <w:t>2区域概况</w:t>
      </w:r>
      <w:r>
        <w:rPr>
          <w:sz w:val="28"/>
          <w:szCs w:val="28"/>
        </w:rPr>
        <w:tab/>
      </w:r>
      <w:r>
        <w:rPr>
          <w:sz w:val="28"/>
          <w:szCs w:val="28"/>
        </w:rPr>
        <w:fldChar w:fldCharType="begin"/>
      </w:r>
      <w:r>
        <w:rPr>
          <w:sz w:val="28"/>
          <w:szCs w:val="28"/>
        </w:rPr>
        <w:instrText xml:space="preserve"> PAGEREF _Toc7031 \h </w:instrText>
      </w:r>
      <w:r>
        <w:rPr>
          <w:sz w:val="28"/>
          <w:szCs w:val="28"/>
        </w:rPr>
        <w:fldChar w:fldCharType="separate"/>
      </w:r>
      <w:r>
        <w:rPr>
          <w:sz w:val="28"/>
          <w:szCs w:val="28"/>
        </w:rPr>
        <w:t>29</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"_Toc9577" </w:instrText>
      </w:r>
      <w:r>
        <w:fldChar w:fldCharType="separate"/>
      </w:r>
      <w:r>
        <w:rPr>
          <w:sz w:val="28"/>
          <w:szCs w:val="28"/>
        </w:rPr>
        <w:t>2.1区域组成及工程布置</w:t>
      </w:r>
      <w:r>
        <w:rPr>
          <w:sz w:val="28"/>
          <w:szCs w:val="28"/>
        </w:rPr>
        <w:tab/>
      </w:r>
      <w:r>
        <w:rPr>
          <w:sz w:val="28"/>
          <w:szCs w:val="28"/>
        </w:rPr>
        <w:fldChar w:fldCharType="begin"/>
      </w:r>
      <w:r>
        <w:rPr>
          <w:sz w:val="28"/>
          <w:szCs w:val="28"/>
        </w:rPr>
        <w:instrText xml:space="preserve"> PAGEREF _Toc9577 \h </w:instrText>
      </w:r>
      <w:r>
        <w:rPr>
          <w:sz w:val="28"/>
          <w:szCs w:val="28"/>
        </w:rPr>
        <w:fldChar w:fldCharType="separate"/>
      </w:r>
      <w:r>
        <w:rPr>
          <w:sz w:val="28"/>
          <w:szCs w:val="28"/>
        </w:rPr>
        <w:t>29</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"_Toc19138" </w:instrText>
      </w:r>
      <w:r>
        <w:fldChar w:fldCharType="separate"/>
      </w:r>
      <w:r>
        <w:rPr>
          <w:sz w:val="28"/>
          <w:szCs w:val="28"/>
        </w:rPr>
        <w:t>2.2施工组织</w:t>
      </w:r>
      <w:r>
        <w:rPr>
          <w:sz w:val="28"/>
          <w:szCs w:val="28"/>
        </w:rPr>
        <w:tab/>
      </w:r>
      <w:r>
        <w:rPr>
          <w:sz w:val="28"/>
          <w:szCs w:val="28"/>
        </w:rPr>
        <w:fldChar w:fldCharType="begin"/>
      </w:r>
      <w:r>
        <w:rPr>
          <w:sz w:val="28"/>
          <w:szCs w:val="28"/>
        </w:rPr>
        <w:instrText xml:space="preserve"> PAGEREF _Toc19138 \h </w:instrText>
      </w:r>
      <w:r>
        <w:rPr>
          <w:sz w:val="28"/>
          <w:szCs w:val="28"/>
        </w:rPr>
        <w:fldChar w:fldCharType="separate"/>
      </w:r>
      <w:r>
        <w:rPr>
          <w:sz w:val="28"/>
          <w:szCs w:val="28"/>
        </w:rPr>
        <w:t>74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"_Toc28122" </w:instrText>
      </w:r>
      <w:r>
        <w:fldChar w:fldCharType="separate"/>
      </w:r>
      <w:r>
        <w:rPr>
          <w:sz w:val="28"/>
          <w:szCs w:val="28"/>
        </w:rPr>
        <w:t>2.3工程占地</w:t>
      </w:r>
      <w:r>
        <w:rPr>
          <w:sz w:val="28"/>
          <w:szCs w:val="28"/>
        </w:rPr>
        <w:tab/>
      </w:r>
      <w:r>
        <w:rPr>
          <w:sz w:val="28"/>
          <w:szCs w:val="28"/>
        </w:rPr>
        <w:fldChar w:fldCharType="begin"/>
      </w:r>
      <w:r>
        <w:rPr>
          <w:sz w:val="28"/>
          <w:szCs w:val="28"/>
        </w:rPr>
        <w:instrText xml:space="preserve"> PAGEREF _Toc28122 \h </w:instrText>
      </w:r>
      <w:r>
        <w:rPr>
          <w:sz w:val="28"/>
          <w:szCs w:val="28"/>
        </w:rPr>
        <w:fldChar w:fldCharType="separate"/>
      </w:r>
      <w:r>
        <w:rPr>
          <w:sz w:val="28"/>
          <w:szCs w:val="28"/>
        </w:rPr>
        <w:t>88</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"_Toc29980" </w:instrText>
      </w:r>
      <w:r>
        <w:fldChar w:fldCharType="separate"/>
      </w:r>
      <w:r>
        <w:rPr>
          <w:sz w:val="28"/>
          <w:szCs w:val="28"/>
        </w:rPr>
        <w:t>2.4土石方平衡</w:t>
      </w:r>
      <w:r>
        <w:rPr>
          <w:sz w:val="28"/>
          <w:szCs w:val="28"/>
        </w:rPr>
        <w:tab/>
      </w:r>
      <w:r>
        <w:rPr>
          <w:sz w:val="28"/>
          <w:szCs w:val="28"/>
        </w:rPr>
        <w:fldChar w:fldCharType="begin"/>
      </w:r>
      <w:r>
        <w:rPr>
          <w:sz w:val="28"/>
          <w:szCs w:val="28"/>
        </w:rPr>
        <w:instrText xml:space="preserve"> PAGEREF _Toc29980 \h </w:instrText>
      </w:r>
      <w:r>
        <w:rPr>
          <w:sz w:val="28"/>
          <w:szCs w:val="28"/>
        </w:rPr>
        <w:fldChar w:fldCharType="separate"/>
      </w:r>
      <w:r>
        <w:rPr>
          <w:sz w:val="28"/>
          <w:szCs w:val="28"/>
        </w:rPr>
        <w:t>91</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"_Toc20453" </w:instrText>
      </w:r>
      <w:r>
        <w:fldChar w:fldCharType="separate"/>
      </w:r>
      <w:r>
        <w:rPr>
          <w:sz w:val="28"/>
          <w:szCs w:val="28"/>
        </w:rPr>
        <w:t>2.5拆迁（移民）安置与专项设施改（迁）建</w:t>
      </w:r>
      <w:r>
        <w:rPr>
          <w:sz w:val="28"/>
          <w:szCs w:val="28"/>
        </w:rPr>
        <w:tab/>
      </w:r>
      <w:r>
        <w:rPr>
          <w:sz w:val="28"/>
          <w:szCs w:val="28"/>
        </w:rPr>
        <w:fldChar w:fldCharType="begin"/>
      </w:r>
      <w:r>
        <w:rPr>
          <w:sz w:val="28"/>
          <w:szCs w:val="28"/>
        </w:rPr>
        <w:instrText xml:space="preserve"> PAGEREF _Toc20453 \h </w:instrText>
      </w:r>
      <w:r>
        <w:rPr>
          <w:sz w:val="28"/>
          <w:szCs w:val="28"/>
        </w:rPr>
        <w:fldChar w:fldCharType="separate"/>
      </w:r>
      <w:r>
        <w:rPr>
          <w:sz w:val="28"/>
          <w:szCs w:val="28"/>
        </w:rPr>
        <w:t>109</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"_Toc26444" </w:instrText>
      </w:r>
      <w:r>
        <w:fldChar w:fldCharType="separate"/>
      </w:r>
      <w:r>
        <w:rPr>
          <w:sz w:val="28"/>
          <w:szCs w:val="28"/>
        </w:rPr>
        <w:t>2.6施工进度</w:t>
      </w:r>
      <w:r>
        <w:rPr>
          <w:sz w:val="28"/>
          <w:szCs w:val="28"/>
        </w:rPr>
        <w:tab/>
      </w:r>
      <w:r>
        <w:rPr>
          <w:sz w:val="28"/>
          <w:szCs w:val="28"/>
        </w:rPr>
        <w:fldChar w:fldCharType="begin"/>
      </w:r>
      <w:r>
        <w:rPr>
          <w:sz w:val="28"/>
          <w:szCs w:val="28"/>
        </w:rPr>
        <w:instrText xml:space="preserve"> PAGEREF _Toc26444 \h </w:instrText>
      </w:r>
      <w:r>
        <w:rPr>
          <w:sz w:val="28"/>
          <w:szCs w:val="28"/>
        </w:rPr>
        <w:fldChar w:fldCharType="separate"/>
      </w:r>
      <w:r>
        <w:rPr>
          <w:sz w:val="28"/>
          <w:szCs w:val="28"/>
        </w:rPr>
        <w:t>109</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"_Toc32132" </w:instrText>
      </w:r>
      <w:r>
        <w:fldChar w:fldCharType="separate"/>
      </w:r>
      <w:r>
        <w:rPr>
          <w:sz w:val="28"/>
          <w:szCs w:val="28"/>
        </w:rPr>
        <w:t>2.7自然概况</w:t>
      </w:r>
      <w:r>
        <w:rPr>
          <w:sz w:val="28"/>
          <w:szCs w:val="28"/>
        </w:rPr>
        <w:tab/>
      </w:r>
      <w:r>
        <w:rPr>
          <w:sz w:val="28"/>
          <w:szCs w:val="28"/>
        </w:rPr>
        <w:fldChar w:fldCharType="begin"/>
      </w:r>
      <w:r>
        <w:rPr>
          <w:sz w:val="28"/>
          <w:szCs w:val="28"/>
        </w:rPr>
        <w:instrText xml:space="preserve"> PAGEREF _Toc32132 \h </w:instrText>
      </w:r>
      <w:r>
        <w:rPr>
          <w:sz w:val="28"/>
          <w:szCs w:val="28"/>
        </w:rPr>
        <w:fldChar w:fldCharType="separate"/>
      </w:r>
      <w:r>
        <w:rPr>
          <w:sz w:val="28"/>
          <w:szCs w:val="28"/>
        </w:rPr>
        <w:t>110</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"_Toc27270" </w:instrText>
      </w:r>
      <w:r>
        <w:fldChar w:fldCharType="separate"/>
      </w:r>
      <w:r>
        <w:rPr>
          <w:sz w:val="28"/>
          <w:szCs w:val="28"/>
        </w:rPr>
        <w:t>3项目水土保持评价</w:t>
      </w:r>
      <w:r>
        <w:rPr>
          <w:sz w:val="28"/>
          <w:szCs w:val="28"/>
        </w:rPr>
        <w:tab/>
      </w:r>
      <w:r>
        <w:rPr>
          <w:sz w:val="28"/>
          <w:szCs w:val="28"/>
        </w:rPr>
        <w:fldChar w:fldCharType="begin"/>
      </w:r>
      <w:r>
        <w:rPr>
          <w:sz w:val="28"/>
          <w:szCs w:val="28"/>
        </w:rPr>
        <w:instrText xml:space="preserve"> PAGEREF _Toc27270 \h </w:instrText>
      </w:r>
      <w:r>
        <w:rPr>
          <w:sz w:val="28"/>
          <w:szCs w:val="28"/>
        </w:rPr>
        <w:fldChar w:fldCharType="separate"/>
      </w:r>
      <w:r>
        <w:rPr>
          <w:sz w:val="28"/>
          <w:szCs w:val="28"/>
        </w:rPr>
        <w:t>125</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"_Toc1455" </w:instrText>
      </w:r>
      <w:r>
        <w:fldChar w:fldCharType="separate"/>
      </w:r>
      <w:r>
        <w:rPr>
          <w:sz w:val="28"/>
          <w:szCs w:val="28"/>
        </w:rPr>
        <w:t>3.1主体工程选址（线）水土保持评价</w:t>
      </w:r>
      <w:r>
        <w:rPr>
          <w:sz w:val="28"/>
          <w:szCs w:val="28"/>
        </w:rPr>
        <w:tab/>
      </w:r>
      <w:r>
        <w:rPr>
          <w:sz w:val="28"/>
          <w:szCs w:val="28"/>
        </w:rPr>
        <w:fldChar w:fldCharType="begin"/>
      </w:r>
      <w:r>
        <w:rPr>
          <w:sz w:val="28"/>
          <w:szCs w:val="28"/>
        </w:rPr>
        <w:instrText xml:space="preserve"> PAGEREF _Toc1455 \h </w:instrText>
      </w:r>
      <w:r>
        <w:rPr>
          <w:sz w:val="28"/>
          <w:szCs w:val="28"/>
        </w:rPr>
        <w:fldChar w:fldCharType="separate"/>
      </w:r>
      <w:r>
        <w:rPr>
          <w:sz w:val="28"/>
          <w:szCs w:val="28"/>
        </w:rPr>
        <w:t>125</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"_Toc31253" </w:instrText>
      </w:r>
      <w:r>
        <w:fldChar w:fldCharType="separate"/>
      </w:r>
      <w:r>
        <w:rPr>
          <w:sz w:val="28"/>
          <w:szCs w:val="28"/>
        </w:rPr>
        <w:t>3.2建设方案与布局水土保持评价</w:t>
      </w:r>
      <w:r>
        <w:rPr>
          <w:sz w:val="28"/>
          <w:szCs w:val="28"/>
        </w:rPr>
        <w:tab/>
      </w:r>
      <w:r>
        <w:rPr>
          <w:sz w:val="28"/>
          <w:szCs w:val="28"/>
        </w:rPr>
        <w:fldChar w:fldCharType="begin"/>
      </w:r>
      <w:r>
        <w:rPr>
          <w:sz w:val="28"/>
          <w:szCs w:val="28"/>
        </w:rPr>
        <w:instrText xml:space="preserve"> PAGEREF _Toc31253 \h </w:instrText>
      </w:r>
      <w:r>
        <w:rPr>
          <w:sz w:val="28"/>
          <w:szCs w:val="28"/>
        </w:rPr>
        <w:fldChar w:fldCharType="separate"/>
      </w:r>
      <w:r>
        <w:rPr>
          <w:sz w:val="28"/>
          <w:szCs w:val="28"/>
        </w:rPr>
        <w:t>128</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"_Toc17909" </w:instrText>
      </w:r>
      <w:r>
        <w:fldChar w:fldCharType="separate"/>
      </w:r>
      <w:r>
        <w:rPr>
          <w:sz w:val="28"/>
          <w:szCs w:val="28"/>
        </w:rPr>
        <w:t>3.3主体工程设计中水土保持措施界定</w:t>
      </w:r>
      <w:r>
        <w:rPr>
          <w:sz w:val="28"/>
          <w:szCs w:val="28"/>
        </w:rPr>
        <w:tab/>
      </w:r>
      <w:r>
        <w:rPr>
          <w:sz w:val="28"/>
          <w:szCs w:val="28"/>
        </w:rPr>
        <w:fldChar w:fldCharType="begin"/>
      </w:r>
      <w:r>
        <w:rPr>
          <w:sz w:val="28"/>
          <w:szCs w:val="28"/>
        </w:rPr>
        <w:instrText xml:space="preserve"> PAGEREF _Toc17909 \h </w:instrText>
      </w:r>
      <w:r>
        <w:rPr>
          <w:sz w:val="28"/>
          <w:szCs w:val="28"/>
        </w:rPr>
        <w:fldChar w:fldCharType="separate"/>
      </w:r>
      <w:r>
        <w:rPr>
          <w:sz w:val="28"/>
          <w:szCs w:val="28"/>
        </w:rPr>
        <w:t>142</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"_Toc14091" </w:instrText>
      </w:r>
      <w:r>
        <w:fldChar w:fldCharType="separate"/>
      </w:r>
      <w:r>
        <w:rPr>
          <w:sz w:val="28"/>
          <w:szCs w:val="28"/>
        </w:rPr>
        <w:t>3.4已实施的水土保持措施分析评价</w:t>
      </w:r>
      <w:r>
        <w:rPr>
          <w:sz w:val="28"/>
          <w:szCs w:val="28"/>
        </w:rPr>
        <w:tab/>
      </w:r>
      <w:r>
        <w:rPr>
          <w:sz w:val="28"/>
          <w:szCs w:val="28"/>
        </w:rPr>
        <w:fldChar w:fldCharType="begin"/>
      </w:r>
      <w:r>
        <w:rPr>
          <w:sz w:val="28"/>
          <w:szCs w:val="28"/>
        </w:rPr>
        <w:instrText xml:space="preserve"> PAGEREF _Toc14091 \h </w:instrText>
      </w:r>
      <w:r>
        <w:rPr>
          <w:sz w:val="28"/>
          <w:szCs w:val="28"/>
        </w:rPr>
        <w:fldChar w:fldCharType="separate"/>
      </w:r>
      <w:r>
        <w:rPr>
          <w:sz w:val="28"/>
          <w:szCs w:val="28"/>
        </w:rPr>
        <w:t>144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"_Toc13783" </w:instrText>
      </w:r>
      <w:r>
        <w:fldChar w:fldCharType="separate"/>
      </w:r>
      <w:r>
        <w:rPr>
          <w:sz w:val="28"/>
          <w:szCs w:val="28"/>
        </w:rPr>
        <w:t>3.5园区水土保持分析评价结论</w:t>
      </w:r>
      <w:r>
        <w:rPr>
          <w:sz w:val="28"/>
          <w:szCs w:val="28"/>
        </w:rPr>
        <w:tab/>
      </w:r>
      <w:r>
        <w:rPr>
          <w:sz w:val="28"/>
          <w:szCs w:val="28"/>
        </w:rPr>
        <w:fldChar w:fldCharType="begin"/>
      </w:r>
      <w:r>
        <w:rPr>
          <w:sz w:val="28"/>
          <w:szCs w:val="28"/>
        </w:rPr>
        <w:instrText xml:space="preserve"> PAGEREF _Toc13783 \h </w:instrText>
      </w:r>
      <w:r>
        <w:rPr>
          <w:sz w:val="28"/>
          <w:szCs w:val="28"/>
        </w:rPr>
        <w:fldChar w:fldCharType="separate"/>
      </w:r>
      <w:r>
        <w:rPr>
          <w:sz w:val="28"/>
          <w:szCs w:val="28"/>
        </w:rPr>
        <w:t>144</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"_Toc4794" </w:instrText>
      </w:r>
      <w:r>
        <w:fldChar w:fldCharType="separate"/>
      </w:r>
      <w:r>
        <w:rPr>
          <w:sz w:val="28"/>
          <w:szCs w:val="28"/>
        </w:rPr>
        <w:t>4水土流失分析与调查、预测</w:t>
      </w:r>
      <w:r>
        <w:rPr>
          <w:sz w:val="28"/>
          <w:szCs w:val="28"/>
        </w:rPr>
        <w:tab/>
      </w:r>
      <w:r>
        <w:rPr>
          <w:sz w:val="28"/>
          <w:szCs w:val="28"/>
        </w:rPr>
        <w:fldChar w:fldCharType="begin"/>
      </w:r>
      <w:r>
        <w:rPr>
          <w:sz w:val="28"/>
          <w:szCs w:val="28"/>
        </w:rPr>
        <w:instrText xml:space="preserve"> PAGEREF _Toc4794 \h </w:instrText>
      </w:r>
      <w:r>
        <w:rPr>
          <w:sz w:val="28"/>
          <w:szCs w:val="28"/>
        </w:rPr>
        <w:fldChar w:fldCharType="separate"/>
      </w:r>
      <w:r>
        <w:rPr>
          <w:sz w:val="28"/>
          <w:szCs w:val="28"/>
        </w:rPr>
        <w:t>146</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"_Toc16871" </w:instrText>
      </w:r>
      <w:r>
        <w:fldChar w:fldCharType="separate"/>
      </w:r>
      <w:r>
        <w:rPr>
          <w:sz w:val="28"/>
          <w:szCs w:val="28"/>
        </w:rPr>
        <w:t>4.1水土流失现状</w:t>
      </w:r>
      <w:r>
        <w:rPr>
          <w:sz w:val="28"/>
          <w:szCs w:val="28"/>
        </w:rPr>
        <w:tab/>
      </w:r>
      <w:r>
        <w:rPr>
          <w:sz w:val="28"/>
          <w:szCs w:val="28"/>
        </w:rPr>
        <w:fldChar w:fldCharType="begin"/>
      </w:r>
      <w:r>
        <w:rPr>
          <w:sz w:val="28"/>
          <w:szCs w:val="28"/>
        </w:rPr>
        <w:instrText xml:space="preserve"> PAGEREF _Toc16871 \h </w:instrText>
      </w:r>
      <w:r>
        <w:rPr>
          <w:sz w:val="28"/>
          <w:szCs w:val="28"/>
        </w:rPr>
        <w:fldChar w:fldCharType="separate"/>
      </w:r>
      <w:r>
        <w:rPr>
          <w:sz w:val="28"/>
          <w:szCs w:val="28"/>
        </w:rPr>
        <w:t>146</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"_Toc11727" </w:instrText>
      </w:r>
      <w:r>
        <w:fldChar w:fldCharType="separate"/>
      </w:r>
      <w:r>
        <w:rPr>
          <w:sz w:val="28"/>
          <w:szCs w:val="28"/>
        </w:rPr>
        <w:t>4.2水土流失影响因素分析</w:t>
      </w:r>
      <w:r>
        <w:rPr>
          <w:sz w:val="28"/>
          <w:szCs w:val="28"/>
        </w:rPr>
        <w:tab/>
      </w:r>
      <w:r>
        <w:rPr>
          <w:sz w:val="28"/>
          <w:szCs w:val="28"/>
        </w:rPr>
        <w:fldChar w:fldCharType="begin"/>
      </w:r>
      <w:r>
        <w:rPr>
          <w:sz w:val="28"/>
          <w:szCs w:val="28"/>
        </w:rPr>
        <w:instrText xml:space="preserve"> PAGEREF _Toc11727 \h </w:instrText>
      </w:r>
      <w:r>
        <w:rPr>
          <w:sz w:val="28"/>
          <w:szCs w:val="28"/>
        </w:rPr>
        <w:fldChar w:fldCharType="separate"/>
      </w:r>
      <w:r>
        <w:rPr>
          <w:sz w:val="28"/>
          <w:szCs w:val="28"/>
        </w:rPr>
        <w:t>149</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"_Toc23804" </w:instrText>
      </w:r>
      <w:r>
        <w:fldChar w:fldCharType="separate"/>
      </w:r>
      <w:r>
        <w:rPr>
          <w:sz w:val="28"/>
          <w:szCs w:val="28"/>
        </w:rPr>
        <w:t>4.3土壤流失量调查及预测</w:t>
      </w:r>
      <w:r>
        <w:rPr>
          <w:sz w:val="28"/>
          <w:szCs w:val="28"/>
        </w:rPr>
        <w:tab/>
      </w:r>
      <w:r>
        <w:rPr>
          <w:sz w:val="28"/>
          <w:szCs w:val="28"/>
        </w:rPr>
        <w:fldChar w:fldCharType="begin"/>
      </w:r>
      <w:r>
        <w:rPr>
          <w:sz w:val="28"/>
          <w:szCs w:val="28"/>
        </w:rPr>
        <w:instrText xml:space="preserve"> PAGEREF _Toc23804 \h </w:instrText>
      </w:r>
      <w:r>
        <w:rPr>
          <w:sz w:val="28"/>
          <w:szCs w:val="28"/>
        </w:rPr>
        <w:fldChar w:fldCharType="separate"/>
      </w:r>
      <w:r>
        <w:rPr>
          <w:sz w:val="28"/>
          <w:szCs w:val="28"/>
        </w:rPr>
        <w:t>151</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"_Toc6453" </w:instrText>
      </w:r>
      <w:r>
        <w:fldChar w:fldCharType="separate"/>
      </w:r>
      <w:r>
        <w:rPr>
          <w:sz w:val="28"/>
          <w:szCs w:val="28"/>
        </w:rPr>
        <w:t>4.4水土流失危害分析</w:t>
      </w:r>
      <w:r>
        <w:rPr>
          <w:sz w:val="28"/>
          <w:szCs w:val="28"/>
        </w:rPr>
        <w:tab/>
      </w:r>
      <w:r>
        <w:rPr>
          <w:sz w:val="28"/>
          <w:szCs w:val="28"/>
        </w:rPr>
        <w:fldChar w:fldCharType="begin"/>
      </w:r>
      <w:r>
        <w:rPr>
          <w:sz w:val="28"/>
          <w:szCs w:val="28"/>
        </w:rPr>
        <w:instrText xml:space="preserve"> PAGEREF _Toc6453 \h </w:instrText>
      </w:r>
      <w:r>
        <w:rPr>
          <w:sz w:val="28"/>
          <w:szCs w:val="28"/>
        </w:rPr>
        <w:fldChar w:fldCharType="separate"/>
      </w:r>
      <w:r>
        <w:rPr>
          <w:sz w:val="28"/>
          <w:szCs w:val="28"/>
        </w:rPr>
        <w:t>157</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"_Toc24576" </w:instrText>
      </w:r>
      <w:r>
        <w:fldChar w:fldCharType="separate"/>
      </w:r>
      <w:r>
        <w:rPr>
          <w:sz w:val="28"/>
          <w:szCs w:val="28"/>
        </w:rPr>
        <w:t>4.5指导性意见</w:t>
      </w:r>
      <w:r>
        <w:rPr>
          <w:sz w:val="28"/>
          <w:szCs w:val="28"/>
        </w:rPr>
        <w:tab/>
      </w:r>
      <w:r>
        <w:rPr>
          <w:sz w:val="28"/>
          <w:szCs w:val="28"/>
        </w:rPr>
        <w:fldChar w:fldCharType="begin"/>
      </w:r>
      <w:r>
        <w:rPr>
          <w:sz w:val="28"/>
          <w:szCs w:val="28"/>
        </w:rPr>
        <w:instrText xml:space="preserve"> PAGEREF _Toc24576 \h </w:instrText>
      </w:r>
      <w:r>
        <w:rPr>
          <w:sz w:val="28"/>
          <w:szCs w:val="28"/>
        </w:rPr>
        <w:fldChar w:fldCharType="separate"/>
      </w:r>
      <w:r>
        <w:rPr>
          <w:sz w:val="28"/>
          <w:szCs w:val="28"/>
        </w:rPr>
        <w:t>159</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"_Toc20272" </w:instrText>
      </w:r>
      <w:r>
        <w:fldChar w:fldCharType="separate"/>
      </w:r>
      <w:r>
        <w:rPr>
          <w:sz w:val="28"/>
          <w:szCs w:val="28"/>
        </w:rPr>
        <w:t>5水土保持措施</w:t>
      </w:r>
      <w:r>
        <w:rPr>
          <w:sz w:val="28"/>
          <w:szCs w:val="28"/>
        </w:rPr>
        <w:tab/>
      </w:r>
      <w:r>
        <w:rPr>
          <w:sz w:val="28"/>
          <w:szCs w:val="28"/>
        </w:rPr>
        <w:fldChar w:fldCharType="begin"/>
      </w:r>
      <w:r>
        <w:rPr>
          <w:sz w:val="28"/>
          <w:szCs w:val="28"/>
        </w:rPr>
        <w:instrText xml:space="preserve"> PAGEREF _Toc20272 \h </w:instrText>
      </w:r>
      <w:r>
        <w:rPr>
          <w:sz w:val="28"/>
          <w:szCs w:val="28"/>
        </w:rPr>
        <w:fldChar w:fldCharType="separate"/>
      </w:r>
      <w:r>
        <w:rPr>
          <w:sz w:val="28"/>
          <w:szCs w:val="28"/>
        </w:rPr>
        <w:t>161</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"_Toc21786" </w:instrText>
      </w:r>
      <w:r>
        <w:fldChar w:fldCharType="separate"/>
      </w:r>
      <w:r>
        <w:rPr>
          <w:sz w:val="28"/>
          <w:szCs w:val="28"/>
        </w:rPr>
        <w:t>5.1防治分区划分</w:t>
      </w:r>
      <w:r>
        <w:rPr>
          <w:sz w:val="28"/>
          <w:szCs w:val="28"/>
        </w:rPr>
        <w:tab/>
      </w:r>
      <w:r>
        <w:rPr>
          <w:sz w:val="28"/>
          <w:szCs w:val="28"/>
        </w:rPr>
        <w:fldChar w:fldCharType="begin"/>
      </w:r>
      <w:r>
        <w:rPr>
          <w:sz w:val="28"/>
          <w:szCs w:val="28"/>
        </w:rPr>
        <w:instrText xml:space="preserve"> PAGEREF _Toc21786 \h </w:instrText>
      </w:r>
      <w:r>
        <w:rPr>
          <w:sz w:val="28"/>
          <w:szCs w:val="28"/>
        </w:rPr>
        <w:fldChar w:fldCharType="separate"/>
      </w:r>
      <w:r>
        <w:rPr>
          <w:sz w:val="28"/>
          <w:szCs w:val="28"/>
        </w:rPr>
        <w:t>161</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"_Toc11867" </w:instrText>
      </w:r>
      <w:r>
        <w:fldChar w:fldCharType="separate"/>
      </w:r>
      <w:r>
        <w:rPr>
          <w:sz w:val="28"/>
          <w:szCs w:val="28"/>
        </w:rPr>
        <w:t>5.2措施总体布局</w:t>
      </w:r>
      <w:r>
        <w:rPr>
          <w:sz w:val="28"/>
          <w:szCs w:val="28"/>
        </w:rPr>
        <w:tab/>
      </w:r>
      <w:r>
        <w:rPr>
          <w:sz w:val="28"/>
          <w:szCs w:val="28"/>
        </w:rPr>
        <w:fldChar w:fldCharType="begin"/>
      </w:r>
      <w:r>
        <w:rPr>
          <w:sz w:val="28"/>
          <w:szCs w:val="28"/>
        </w:rPr>
        <w:instrText xml:space="preserve"> PAGEREF _Toc11867 \h </w:instrText>
      </w:r>
      <w:r>
        <w:rPr>
          <w:sz w:val="28"/>
          <w:szCs w:val="28"/>
        </w:rPr>
        <w:fldChar w:fldCharType="separate"/>
      </w:r>
      <w:r>
        <w:rPr>
          <w:sz w:val="28"/>
          <w:szCs w:val="28"/>
        </w:rPr>
        <w:t>162</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"_Toc29001" </w:instrText>
      </w:r>
      <w:r>
        <w:fldChar w:fldCharType="separate"/>
      </w:r>
      <w:r>
        <w:rPr>
          <w:sz w:val="28"/>
          <w:szCs w:val="28"/>
        </w:rPr>
        <w:t>5.3分区措施布设</w:t>
      </w:r>
      <w:r>
        <w:rPr>
          <w:sz w:val="28"/>
          <w:szCs w:val="28"/>
        </w:rPr>
        <w:tab/>
      </w:r>
      <w:r>
        <w:rPr>
          <w:sz w:val="28"/>
          <w:szCs w:val="28"/>
        </w:rPr>
        <w:fldChar w:fldCharType="begin"/>
      </w:r>
      <w:r>
        <w:rPr>
          <w:sz w:val="28"/>
          <w:szCs w:val="28"/>
        </w:rPr>
        <w:instrText xml:space="preserve"> PAGEREF _Toc29001 \h </w:instrText>
      </w:r>
      <w:r>
        <w:rPr>
          <w:sz w:val="28"/>
          <w:szCs w:val="28"/>
        </w:rPr>
        <w:fldChar w:fldCharType="separate"/>
      </w:r>
      <w:r>
        <w:rPr>
          <w:sz w:val="28"/>
          <w:szCs w:val="28"/>
        </w:rPr>
        <w:t>168</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"_Toc19809" </w:instrText>
      </w:r>
      <w:r>
        <w:fldChar w:fldCharType="separate"/>
      </w:r>
      <w:r>
        <w:rPr>
          <w:sz w:val="28"/>
          <w:szCs w:val="28"/>
        </w:rPr>
        <w:t>5.4防治措施工程量汇总</w:t>
      </w:r>
      <w:r>
        <w:rPr>
          <w:sz w:val="28"/>
          <w:szCs w:val="28"/>
        </w:rPr>
        <w:tab/>
      </w:r>
      <w:r>
        <w:rPr>
          <w:sz w:val="28"/>
          <w:szCs w:val="28"/>
        </w:rPr>
        <w:fldChar w:fldCharType="begin"/>
      </w:r>
      <w:r>
        <w:rPr>
          <w:sz w:val="28"/>
          <w:szCs w:val="28"/>
        </w:rPr>
        <w:instrText xml:space="preserve"> PAGEREF _Toc19809 \h </w:instrText>
      </w:r>
      <w:r>
        <w:rPr>
          <w:sz w:val="28"/>
          <w:szCs w:val="28"/>
        </w:rPr>
        <w:fldChar w:fldCharType="separate"/>
      </w:r>
      <w:r>
        <w:rPr>
          <w:sz w:val="28"/>
          <w:szCs w:val="28"/>
        </w:rPr>
        <w:t>196</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"_Toc22436" </w:instrText>
      </w:r>
      <w:r>
        <w:fldChar w:fldCharType="separate"/>
      </w:r>
      <w:r>
        <w:rPr>
          <w:sz w:val="28"/>
          <w:szCs w:val="28"/>
        </w:rPr>
        <w:t>5.5施工要求</w:t>
      </w:r>
      <w:r>
        <w:rPr>
          <w:sz w:val="28"/>
          <w:szCs w:val="28"/>
        </w:rPr>
        <w:tab/>
      </w:r>
      <w:r>
        <w:rPr>
          <w:sz w:val="28"/>
          <w:szCs w:val="28"/>
        </w:rPr>
        <w:fldChar w:fldCharType="begin"/>
      </w:r>
      <w:r>
        <w:rPr>
          <w:sz w:val="28"/>
          <w:szCs w:val="28"/>
        </w:rPr>
        <w:instrText xml:space="preserve"> PAGEREF _Toc22436 \h </w:instrText>
      </w:r>
      <w:r>
        <w:rPr>
          <w:sz w:val="28"/>
          <w:szCs w:val="28"/>
        </w:rPr>
        <w:fldChar w:fldCharType="separate"/>
      </w:r>
      <w:r>
        <w:rPr>
          <w:sz w:val="28"/>
          <w:szCs w:val="28"/>
        </w:rPr>
        <w:t>200</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"_Toc30120" </w:instrText>
      </w:r>
      <w:r>
        <w:fldChar w:fldCharType="separate"/>
      </w:r>
      <w:r>
        <w:rPr>
          <w:sz w:val="28"/>
          <w:szCs w:val="28"/>
        </w:rPr>
        <w:t>6水土保持监测</w:t>
      </w:r>
      <w:r>
        <w:rPr>
          <w:sz w:val="28"/>
          <w:szCs w:val="28"/>
        </w:rPr>
        <w:tab/>
      </w:r>
      <w:r>
        <w:rPr>
          <w:sz w:val="28"/>
          <w:szCs w:val="28"/>
        </w:rPr>
        <w:fldChar w:fldCharType="begin"/>
      </w:r>
      <w:r>
        <w:rPr>
          <w:sz w:val="28"/>
          <w:szCs w:val="28"/>
        </w:rPr>
        <w:instrText xml:space="preserve"> PAGEREF _Toc30120 \h </w:instrText>
      </w:r>
      <w:r>
        <w:rPr>
          <w:sz w:val="28"/>
          <w:szCs w:val="28"/>
        </w:rPr>
        <w:fldChar w:fldCharType="separate"/>
      </w:r>
      <w:r>
        <w:rPr>
          <w:sz w:val="28"/>
          <w:szCs w:val="28"/>
        </w:rPr>
        <w:t>202</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"_Toc23521" </w:instrText>
      </w:r>
      <w:r>
        <w:fldChar w:fldCharType="separate"/>
      </w:r>
      <w:r>
        <w:rPr>
          <w:sz w:val="28"/>
          <w:szCs w:val="28"/>
        </w:rPr>
        <w:t>6.1监测范围和时段</w:t>
      </w:r>
      <w:r>
        <w:rPr>
          <w:sz w:val="28"/>
          <w:szCs w:val="28"/>
        </w:rPr>
        <w:tab/>
      </w:r>
      <w:r>
        <w:rPr>
          <w:sz w:val="28"/>
          <w:szCs w:val="28"/>
        </w:rPr>
        <w:fldChar w:fldCharType="begin"/>
      </w:r>
      <w:r>
        <w:rPr>
          <w:sz w:val="28"/>
          <w:szCs w:val="28"/>
        </w:rPr>
        <w:instrText xml:space="preserve"> PAGEREF _Toc23521 \h </w:instrText>
      </w:r>
      <w:r>
        <w:rPr>
          <w:sz w:val="28"/>
          <w:szCs w:val="28"/>
        </w:rPr>
        <w:fldChar w:fldCharType="separate"/>
      </w:r>
      <w:r>
        <w:rPr>
          <w:sz w:val="28"/>
          <w:szCs w:val="28"/>
        </w:rPr>
        <w:t>202</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"_Toc17492" </w:instrText>
      </w:r>
      <w:r>
        <w:fldChar w:fldCharType="separate"/>
      </w:r>
      <w:r>
        <w:rPr>
          <w:sz w:val="28"/>
          <w:szCs w:val="28"/>
        </w:rPr>
        <w:t>6.2监测内容和方法</w:t>
      </w:r>
      <w:r>
        <w:rPr>
          <w:sz w:val="28"/>
          <w:szCs w:val="28"/>
        </w:rPr>
        <w:tab/>
      </w:r>
      <w:r>
        <w:rPr>
          <w:sz w:val="28"/>
          <w:szCs w:val="28"/>
        </w:rPr>
        <w:fldChar w:fldCharType="begin"/>
      </w:r>
      <w:r>
        <w:rPr>
          <w:sz w:val="28"/>
          <w:szCs w:val="28"/>
        </w:rPr>
        <w:instrText xml:space="preserve"> PAGEREF _Toc17492 \h </w:instrText>
      </w:r>
      <w:r>
        <w:rPr>
          <w:sz w:val="28"/>
          <w:szCs w:val="28"/>
        </w:rPr>
        <w:fldChar w:fldCharType="separate"/>
      </w:r>
      <w:r>
        <w:rPr>
          <w:sz w:val="28"/>
          <w:szCs w:val="28"/>
        </w:rPr>
        <w:t>203</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"_Toc26067" </w:instrText>
      </w:r>
      <w:r>
        <w:fldChar w:fldCharType="separate"/>
      </w:r>
      <w:r>
        <w:rPr>
          <w:sz w:val="28"/>
          <w:szCs w:val="28"/>
        </w:rPr>
        <w:t>6.3监测点位布设</w:t>
      </w:r>
      <w:r>
        <w:rPr>
          <w:sz w:val="28"/>
          <w:szCs w:val="28"/>
        </w:rPr>
        <w:tab/>
      </w:r>
      <w:r>
        <w:rPr>
          <w:sz w:val="28"/>
          <w:szCs w:val="28"/>
        </w:rPr>
        <w:fldChar w:fldCharType="begin"/>
      </w:r>
      <w:r>
        <w:rPr>
          <w:sz w:val="28"/>
          <w:szCs w:val="28"/>
        </w:rPr>
        <w:instrText xml:space="preserve"> PAGEREF _Toc26067 \h </w:instrText>
      </w:r>
      <w:r>
        <w:rPr>
          <w:sz w:val="28"/>
          <w:szCs w:val="28"/>
        </w:rPr>
        <w:fldChar w:fldCharType="separate"/>
      </w:r>
      <w:r>
        <w:rPr>
          <w:sz w:val="28"/>
          <w:szCs w:val="28"/>
        </w:rPr>
        <w:t>206</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"_Toc11327" </w:instrText>
      </w:r>
      <w:r>
        <w:fldChar w:fldCharType="separate"/>
      </w:r>
      <w:r>
        <w:rPr>
          <w:sz w:val="28"/>
          <w:szCs w:val="28"/>
        </w:rPr>
        <w:t>6.4监测实施条件和成果</w:t>
      </w:r>
      <w:r>
        <w:rPr>
          <w:sz w:val="28"/>
          <w:szCs w:val="28"/>
        </w:rPr>
        <w:tab/>
      </w:r>
      <w:r>
        <w:rPr>
          <w:sz w:val="28"/>
          <w:szCs w:val="28"/>
        </w:rPr>
        <w:fldChar w:fldCharType="begin"/>
      </w:r>
      <w:r>
        <w:rPr>
          <w:sz w:val="28"/>
          <w:szCs w:val="28"/>
        </w:rPr>
        <w:instrText xml:space="preserve"> PAGEREF _Toc11327 \h </w:instrText>
      </w:r>
      <w:r>
        <w:rPr>
          <w:sz w:val="28"/>
          <w:szCs w:val="28"/>
        </w:rPr>
        <w:fldChar w:fldCharType="separate"/>
      </w:r>
      <w:r>
        <w:rPr>
          <w:sz w:val="28"/>
          <w:szCs w:val="28"/>
        </w:rPr>
        <w:t>210</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"_Toc26099" </w:instrText>
      </w:r>
      <w:r>
        <w:fldChar w:fldCharType="separate"/>
      </w:r>
      <w:r>
        <w:rPr>
          <w:sz w:val="28"/>
          <w:szCs w:val="28"/>
        </w:rPr>
        <w:t>7水土保持投资估算及效益分析</w:t>
      </w:r>
      <w:r>
        <w:rPr>
          <w:sz w:val="28"/>
          <w:szCs w:val="28"/>
        </w:rPr>
        <w:tab/>
      </w:r>
      <w:r>
        <w:rPr>
          <w:sz w:val="28"/>
          <w:szCs w:val="28"/>
        </w:rPr>
        <w:fldChar w:fldCharType="begin"/>
      </w:r>
      <w:r>
        <w:rPr>
          <w:sz w:val="28"/>
          <w:szCs w:val="28"/>
        </w:rPr>
        <w:instrText xml:space="preserve"> PAGEREF _Toc26099 \h </w:instrText>
      </w:r>
      <w:r>
        <w:rPr>
          <w:sz w:val="28"/>
          <w:szCs w:val="28"/>
        </w:rPr>
        <w:fldChar w:fldCharType="separate"/>
      </w:r>
      <w:r>
        <w:rPr>
          <w:sz w:val="28"/>
          <w:szCs w:val="28"/>
        </w:rPr>
        <w:t>213</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"_Toc10462" </w:instrText>
      </w:r>
      <w:r>
        <w:fldChar w:fldCharType="separate"/>
      </w:r>
      <w:r>
        <w:rPr>
          <w:sz w:val="28"/>
          <w:szCs w:val="28"/>
        </w:rPr>
        <w:t>7.1投资估算</w:t>
      </w:r>
      <w:r>
        <w:rPr>
          <w:sz w:val="28"/>
          <w:szCs w:val="28"/>
        </w:rPr>
        <w:tab/>
      </w:r>
      <w:r>
        <w:rPr>
          <w:sz w:val="28"/>
          <w:szCs w:val="28"/>
        </w:rPr>
        <w:fldChar w:fldCharType="begin"/>
      </w:r>
      <w:r>
        <w:rPr>
          <w:sz w:val="28"/>
          <w:szCs w:val="28"/>
        </w:rPr>
        <w:instrText xml:space="preserve"> PAGEREF _Toc10462 \h </w:instrText>
      </w:r>
      <w:r>
        <w:rPr>
          <w:sz w:val="28"/>
          <w:szCs w:val="28"/>
        </w:rPr>
        <w:fldChar w:fldCharType="separate"/>
      </w:r>
      <w:r>
        <w:rPr>
          <w:sz w:val="28"/>
          <w:szCs w:val="28"/>
        </w:rPr>
        <w:t>213</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"_Toc2877" </w:instrText>
      </w:r>
      <w:r>
        <w:fldChar w:fldCharType="separate"/>
      </w:r>
      <w:r>
        <w:rPr>
          <w:sz w:val="28"/>
          <w:szCs w:val="28"/>
        </w:rPr>
        <w:t>7.2效益分析</w:t>
      </w:r>
      <w:r>
        <w:rPr>
          <w:sz w:val="28"/>
          <w:szCs w:val="28"/>
        </w:rPr>
        <w:tab/>
      </w:r>
      <w:r>
        <w:rPr>
          <w:sz w:val="28"/>
          <w:szCs w:val="28"/>
        </w:rPr>
        <w:fldChar w:fldCharType="begin"/>
      </w:r>
      <w:r>
        <w:rPr>
          <w:sz w:val="28"/>
          <w:szCs w:val="28"/>
        </w:rPr>
        <w:instrText xml:space="preserve"> PAGEREF _Toc2877 \h </w:instrText>
      </w:r>
      <w:r>
        <w:rPr>
          <w:sz w:val="28"/>
          <w:szCs w:val="28"/>
        </w:rPr>
        <w:fldChar w:fldCharType="separate"/>
      </w:r>
      <w:r>
        <w:rPr>
          <w:sz w:val="28"/>
          <w:szCs w:val="28"/>
        </w:rPr>
        <w:t>229</w:t>
      </w:r>
      <w:r>
        <w:rPr>
          <w:sz w:val="28"/>
          <w:szCs w:val="28"/>
        </w:rPr>
        <w:fldChar w:fldCharType="end"/>
      </w:r>
      <w:r>
        <w:rPr>
          <w:sz w:val="28"/>
          <w:szCs w:val="28"/>
        </w:rPr>
        <w:fldChar w:fldCharType="end"/>
      </w:r>
    </w:p>
    <w:p>
      <w:pPr>
        <w:pStyle w:val="25"/>
        <w:tabs>
          <w:tab w:val="right" w:leader="dot" w:pos="9071"/>
        </w:tabs>
        <w:spacing w:line="360" w:lineRule="auto"/>
        <w:rPr>
          <w:sz w:val="28"/>
          <w:szCs w:val="28"/>
        </w:rPr>
      </w:pPr>
      <w:r>
        <w:fldChar w:fldCharType="begin"/>
      </w:r>
      <w:r>
        <w:instrText xml:space="preserve"> HYPERLINK \l "_Toc12589" </w:instrText>
      </w:r>
      <w:r>
        <w:fldChar w:fldCharType="separate"/>
      </w:r>
      <w:r>
        <w:rPr>
          <w:sz w:val="28"/>
          <w:szCs w:val="28"/>
        </w:rPr>
        <w:t>8水土保持管理</w:t>
      </w:r>
      <w:r>
        <w:rPr>
          <w:sz w:val="28"/>
          <w:szCs w:val="28"/>
        </w:rPr>
        <w:tab/>
      </w:r>
      <w:r>
        <w:rPr>
          <w:sz w:val="28"/>
          <w:szCs w:val="28"/>
        </w:rPr>
        <w:fldChar w:fldCharType="begin"/>
      </w:r>
      <w:r>
        <w:rPr>
          <w:sz w:val="28"/>
          <w:szCs w:val="28"/>
        </w:rPr>
        <w:instrText xml:space="preserve"> PAGEREF _Toc12589 \h </w:instrText>
      </w:r>
      <w:r>
        <w:rPr>
          <w:sz w:val="28"/>
          <w:szCs w:val="28"/>
        </w:rPr>
        <w:fldChar w:fldCharType="separate"/>
      </w:r>
      <w:r>
        <w:rPr>
          <w:sz w:val="28"/>
          <w:szCs w:val="28"/>
        </w:rPr>
        <w:t>232</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"_Toc11493" </w:instrText>
      </w:r>
      <w:r>
        <w:fldChar w:fldCharType="separate"/>
      </w:r>
      <w:r>
        <w:rPr>
          <w:sz w:val="28"/>
          <w:szCs w:val="28"/>
        </w:rPr>
        <w:t>8.1组织管理</w:t>
      </w:r>
      <w:r>
        <w:rPr>
          <w:sz w:val="28"/>
          <w:szCs w:val="28"/>
        </w:rPr>
        <w:tab/>
      </w:r>
      <w:r>
        <w:rPr>
          <w:sz w:val="28"/>
          <w:szCs w:val="28"/>
        </w:rPr>
        <w:fldChar w:fldCharType="begin"/>
      </w:r>
      <w:r>
        <w:rPr>
          <w:sz w:val="28"/>
          <w:szCs w:val="28"/>
        </w:rPr>
        <w:instrText xml:space="preserve"> PAGEREF _Toc11493 \h </w:instrText>
      </w:r>
      <w:r>
        <w:rPr>
          <w:sz w:val="28"/>
          <w:szCs w:val="28"/>
        </w:rPr>
        <w:fldChar w:fldCharType="separate"/>
      </w:r>
      <w:r>
        <w:rPr>
          <w:sz w:val="28"/>
          <w:szCs w:val="28"/>
        </w:rPr>
        <w:t>232</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"_Toc13078" </w:instrText>
      </w:r>
      <w:r>
        <w:fldChar w:fldCharType="separate"/>
      </w:r>
      <w:r>
        <w:rPr>
          <w:sz w:val="28"/>
          <w:szCs w:val="28"/>
        </w:rPr>
        <w:t>8.2后续设计</w:t>
      </w:r>
      <w:r>
        <w:rPr>
          <w:sz w:val="28"/>
          <w:szCs w:val="28"/>
        </w:rPr>
        <w:tab/>
      </w:r>
      <w:r>
        <w:rPr>
          <w:sz w:val="28"/>
          <w:szCs w:val="28"/>
        </w:rPr>
        <w:fldChar w:fldCharType="begin"/>
      </w:r>
      <w:r>
        <w:rPr>
          <w:sz w:val="28"/>
          <w:szCs w:val="28"/>
        </w:rPr>
        <w:instrText xml:space="preserve"> PAGEREF _Toc13078 \h </w:instrText>
      </w:r>
      <w:r>
        <w:rPr>
          <w:sz w:val="28"/>
          <w:szCs w:val="28"/>
        </w:rPr>
        <w:fldChar w:fldCharType="separate"/>
      </w:r>
      <w:r>
        <w:rPr>
          <w:sz w:val="28"/>
          <w:szCs w:val="28"/>
        </w:rPr>
        <w:t>233</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"_Toc11945" </w:instrText>
      </w:r>
      <w:r>
        <w:fldChar w:fldCharType="separate"/>
      </w:r>
      <w:r>
        <w:rPr>
          <w:sz w:val="28"/>
          <w:szCs w:val="28"/>
        </w:rPr>
        <w:t>8.3水土保持监测</w:t>
      </w:r>
      <w:r>
        <w:rPr>
          <w:sz w:val="28"/>
          <w:szCs w:val="28"/>
        </w:rPr>
        <w:tab/>
      </w:r>
      <w:r>
        <w:rPr>
          <w:sz w:val="28"/>
          <w:szCs w:val="28"/>
        </w:rPr>
        <w:fldChar w:fldCharType="begin"/>
      </w:r>
      <w:r>
        <w:rPr>
          <w:sz w:val="28"/>
          <w:szCs w:val="28"/>
        </w:rPr>
        <w:instrText xml:space="preserve"> PAGEREF _Toc11945 \h </w:instrText>
      </w:r>
      <w:r>
        <w:rPr>
          <w:sz w:val="28"/>
          <w:szCs w:val="28"/>
        </w:rPr>
        <w:fldChar w:fldCharType="separate"/>
      </w:r>
      <w:r>
        <w:rPr>
          <w:sz w:val="28"/>
          <w:szCs w:val="28"/>
        </w:rPr>
        <w:t>234</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"_Toc25326" </w:instrText>
      </w:r>
      <w:r>
        <w:fldChar w:fldCharType="separate"/>
      </w:r>
      <w:r>
        <w:rPr>
          <w:sz w:val="28"/>
          <w:szCs w:val="28"/>
        </w:rPr>
        <w:t>8.4水土保持监理</w:t>
      </w:r>
      <w:r>
        <w:rPr>
          <w:sz w:val="28"/>
          <w:szCs w:val="28"/>
        </w:rPr>
        <w:tab/>
      </w:r>
      <w:r>
        <w:rPr>
          <w:sz w:val="28"/>
          <w:szCs w:val="28"/>
        </w:rPr>
        <w:fldChar w:fldCharType="begin"/>
      </w:r>
      <w:r>
        <w:rPr>
          <w:sz w:val="28"/>
          <w:szCs w:val="28"/>
        </w:rPr>
        <w:instrText xml:space="preserve"> PAGEREF _Toc25326 \h </w:instrText>
      </w:r>
      <w:r>
        <w:rPr>
          <w:sz w:val="28"/>
          <w:szCs w:val="28"/>
        </w:rPr>
        <w:fldChar w:fldCharType="separate"/>
      </w:r>
      <w:r>
        <w:rPr>
          <w:sz w:val="28"/>
          <w:szCs w:val="28"/>
        </w:rPr>
        <w:t>235</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"_Toc7378" </w:instrText>
      </w:r>
      <w:r>
        <w:fldChar w:fldCharType="separate"/>
      </w:r>
      <w:r>
        <w:rPr>
          <w:sz w:val="28"/>
          <w:szCs w:val="28"/>
        </w:rPr>
        <w:t>8.5水土保持施工</w:t>
      </w:r>
      <w:r>
        <w:rPr>
          <w:sz w:val="28"/>
          <w:szCs w:val="28"/>
        </w:rPr>
        <w:tab/>
      </w:r>
      <w:r>
        <w:rPr>
          <w:sz w:val="28"/>
          <w:szCs w:val="28"/>
        </w:rPr>
        <w:fldChar w:fldCharType="begin"/>
      </w:r>
      <w:r>
        <w:rPr>
          <w:sz w:val="28"/>
          <w:szCs w:val="28"/>
        </w:rPr>
        <w:instrText xml:space="preserve"> PAGEREF _Toc7378 \h </w:instrText>
      </w:r>
      <w:r>
        <w:rPr>
          <w:sz w:val="28"/>
          <w:szCs w:val="28"/>
        </w:rPr>
        <w:fldChar w:fldCharType="separate"/>
      </w:r>
      <w:r>
        <w:rPr>
          <w:sz w:val="28"/>
          <w:szCs w:val="28"/>
        </w:rPr>
        <w:t>236</w:t>
      </w:r>
      <w:r>
        <w:rPr>
          <w:sz w:val="28"/>
          <w:szCs w:val="28"/>
        </w:rPr>
        <w:fldChar w:fldCharType="end"/>
      </w:r>
      <w:r>
        <w:rPr>
          <w:sz w:val="28"/>
          <w:szCs w:val="28"/>
        </w:rPr>
        <w:fldChar w:fldCharType="end"/>
      </w:r>
    </w:p>
    <w:p>
      <w:pPr>
        <w:pStyle w:val="29"/>
        <w:tabs>
          <w:tab w:val="right" w:leader="dot" w:pos="9071"/>
        </w:tabs>
        <w:spacing w:line="360" w:lineRule="auto"/>
        <w:ind w:firstLine="480"/>
        <w:rPr>
          <w:sz w:val="28"/>
          <w:szCs w:val="28"/>
        </w:rPr>
      </w:pPr>
      <w:r>
        <w:fldChar w:fldCharType="begin"/>
      </w:r>
      <w:r>
        <w:instrText xml:space="preserve"> HYPERLINK \l "_Toc18430" </w:instrText>
      </w:r>
      <w:r>
        <w:fldChar w:fldCharType="separate"/>
      </w:r>
      <w:r>
        <w:rPr>
          <w:sz w:val="28"/>
          <w:szCs w:val="28"/>
        </w:rPr>
        <w:t>8.6水土保持设施验收</w:t>
      </w:r>
      <w:r>
        <w:rPr>
          <w:sz w:val="28"/>
          <w:szCs w:val="28"/>
        </w:rPr>
        <w:tab/>
      </w:r>
      <w:r>
        <w:rPr>
          <w:sz w:val="28"/>
          <w:szCs w:val="28"/>
        </w:rPr>
        <w:fldChar w:fldCharType="begin"/>
      </w:r>
      <w:r>
        <w:rPr>
          <w:sz w:val="28"/>
          <w:szCs w:val="28"/>
        </w:rPr>
        <w:instrText xml:space="preserve"> PAGEREF _Toc18430 \h </w:instrText>
      </w:r>
      <w:r>
        <w:rPr>
          <w:sz w:val="28"/>
          <w:szCs w:val="28"/>
        </w:rPr>
        <w:fldChar w:fldCharType="separate"/>
      </w:r>
      <w:r>
        <w:rPr>
          <w:sz w:val="28"/>
          <w:szCs w:val="28"/>
        </w:rPr>
        <w:t>237</w:t>
      </w:r>
      <w:r>
        <w:rPr>
          <w:sz w:val="28"/>
          <w:szCs w:val="28"/>
        </w:rPr>
        <w:fldChar w:fldCharType="end"/>
      </w:r>
      <w:r>
        <w:rPr>
          <w:sz w:val="28"/>
          <w:szCs w:val="28"/>
        </w:rPr>
        <w:fldChar w:fldCharType="end"/>
      </w:r>
    </w:p>
    <w:p>
      <w:pPr>
        <w:pStyle w:val="72"/>
      </w:pPr>
      <w:r>
        <w:rPr>
          <w:sz w:val="28"/>
          <w:szCs w:val="28"/>
        </w:rPr>
        <w:fldChar w:fldCharType="end"/>
      </w:r>
    </w:p>
    <w:p>
      <w:pPr>
        <w:ind w:firstLine="480"/>
      </w:pPr>
      <w:r>
        <w:br w:type="page"/>
      </w:r>
    </w:p>
    <w:p>
      <w:pPr>
        <w:pStyle w:val="72"/>
      </w:pPr>
      <w:r>
        <w:t>附表：</w:t>
      </w:r>
    </w:p>
    <w:p>
      <w:pPr>
        <w:ind w:firstLine="540" w:firstLineChars="225"/>
      </w:pPr>
      <w:r>
        <w:t>附表1：单价分析表</w:t>
      </w:r>
    </w:p>
    <w:p>
      <w:pPr>
        <w:pStyle w:val="72"/>
      </w:pPr>
      <w:r>
        <w:t>附件：</w:t>
      </w:r>
    </w:p>
    <w:p>
      <w:pPr>
        <w:ind w:firstLine="540" w:firstLineChars="225"/>
      </w:pPr>
      <w:r>
        <w:t>附件1：委托书</w:t>
      </w:r>
    </w:p>
    <w:p>
      <w:pPr>
        <w:ind w:firstLine="540" w:firstLineChars="225"/>
      </w:pPr>
      <w:r>
        <w:t>附件2：乐山市五通桥区人民政府关于乐山五通桥化工园区总体规划（2022-2035年）相关事宜议定事项的通知（五府定〔2022〕489号）</w:t>
      </w:r>
    </w:p>
    <w:p>
      <w:pPr>
        <w:ind w:firstLine="540" w:firstLineChars="225"/>
      </w:pPr>
      <w:r>
        <w:t>附件3：乐山市五通桥区人民政府关于五通桥新型工业基地控制性详细规划的批复（五府复〔2023〕31号）</w:t>
      </w:r>
    </w:p>
    <w:p>
      <w:pPr>
        <w:ind w:firstLine="540" w:firstLineChars="225"/>
      </w:pPr>
      <w:r>
        <w:t>附件4：乐山市五通桥区人民政府关于乐山五通桥化工园区产业发展规划议定事项的通知（五府定〔2022〕252号）</w:t>
      </w:r>
    </w:p>
    <w:p>
      <w:pPr>
        <w:ind w:firstLine="540" w:firstLineChars="225"/>
      </w:pPr>
      <w:r>
        <w:t>附件5：五通桥化工园区与新型工业基地关系的说明</w:t>
      </w:r>
    </w:p>
    <w:p>
      <w:pPr>
        <w:ind w:firstLine="540" w:firstLineChars="225"/>
      </w:pPr>
      <w:r>
        <w:t>附件6：乐山市人民政府关于设立五通桥新型工业基地的批复（乐府函复〔2019〕25号）</w:t>
      </w:r>
    </w:p>
    <w:p>
      <w:pPr>
        <w:ind w:firstLine="540" w:firstLineChars="225"/>
      </w:pPr>
      <w:r>
        <w:t>附件7：乐山市人民政府办公室关于调整五通桥新型工业基地规划范围议定事项的通知（乐府常定〔2020〕13号）</w:t>
      </w:r>
    </w:p>
    <w:p>
      <w:pPr>
        <w:ind w:firstLine="540" w:firstLineChars="225"/>
      </w:pPr>
      <w:r>
        <w:t>附件8：同意五通桥新型工业基地规划面积修正的文件</w:t>
      </w:r>
    </w:p>
    <w:p>
      <w:pPr>
        <w:ind w:firstLine="540" w:firstLineChars="225"/>
      </w:pPr>
      <w:r>
        <w:t>附件9：五通桥区省级化工园区申报认定推进工作会会议纪要</w:t>
      </w:r>
    </w:p>
    <w:p>
      <w:pPr>
        <w:ind w:firstLine="540" w:firstLineChars="225"/>
      </w:pPr>
      <w:r>
        <w:t>附件10：乐山市自然资源和规划局关于乐山五通桥化工园区认定用地情况的初审报告（乐市自然资规〔2022〕21号）</w:t>
      </w:r>
    </w:p>
    <w:p>
      <w:pPr>
        <w:ind w:firstLine="540" w:firstLineChars="225"/>
      </w:pPr>
      <w:r>
        <w:t>附件11：乐山市五通桥区人民政府关于五通桥新型工业基地防洪排涝专项规划议定事项的通知</w:t>
      </w:r>
    </w:p>
    <w:p>
      <w:pPr>
        <w:ind w:firstLine="540" w:firstLineChars="225"/>
      </w:pPr>
      <w:r>
        <w:t>附件12：乐山市林业和园林局关于确认乐山五通桥化工园区与五通桥区自然保护地位置关系的函</w:t>
      </w:r>
    </w:p>
    <w:p>
      <w:pPr>
        <w:ind w:firstLine="540" w:firstLineChars="225"/>
      </w:pPr>
      <w:r>
        <w:t>附件13：乐山市五通桥区水务局关于对乐山五通桥化园区是否涉及全国水土保持监测网络中的水土保持监测站点.重点试验区及国家确定的水士保持长期定位观测站的情况说明</w:t>
      </w:r>
    </w:p>
    <w:p>
      <w:pPr>
        <w:ind w:firstLine="540" w:firstLineChars="225"/>
      </w:pPr>
      <w:r>
        <w:t>附件14：乐山市水务局关于乐山五通桥化工园区周边10公里内长江干支河流情况的复函</w:t>
      </w:r>
    </w:p>
    <w:p>
      <w:pPr>
        <w:ind w:firstLine="540" w:firstLineChars="225"/>
      </w:pPr>
      <w:r>
        <w:t>附件15：乐山市五通桥区水务局、乐山市五通桥区自然资源局关于乐山五通桥化工园区范围线内不涉及敏感区的情况说明</w:t>
      </w:r>
    </w:p>
    <w:p>
      <w:pPr>
        <w:ind w:firstLine="540" w:firstLineChars="225"/>
      </w:pPr>
      <w:r>
        <w:t>附件16：五通桥区自然资源局关于乐山五通桥化工园区是否位于地质灾害易发区的情况说明</w:t>
      </w:r>
    </w:p>
    <w:p>
      <w:pPr>
        <w:ind w:firstLine="540" w:firstLineChars="225"/>
      </w:pPr>
      <w:r>
        <w:t>附件17：乐山市生态环境局关于确认乐山五通桥化工园区《中华人民共和国长江保护法》执行情况的说明</w:t>
      </w:r>
    </w:p>
    <w:p>
      <w:pPr>
        <w:ind w:firstLine="540" w:firstLineChars="225"/>
      </w:pPr>
      <w:r>
        <w:t>附件18：乐山市生态环境局关于乐山五通桥化工区相关情况的说明</w:t>
      </w:r>
    </w:p>
    <w:p>
      <w:pPr>
        <w:ind w:firstLine="540" w:firstLineChars="225"/>
      </w:pPr>
      <w:r>
        <w:t>附件19：乐山市生态环境局关于乐山五通桥化工园区申请认定化工园区审查意见</w:t>
      </w:r>
    </w:p>
    <w:p>
      <w:pPr>
        <w:ind w:firstLine="540" w:firstLineChars="225"/>
      </w:pPr>
      <w:r>
        <w:t>附件20：四川省生态环境厅关于印发《五通桥新型工业基地总体规划环境影响报告书》审查意见的函（川环建函〔2020〕58号）</w:t>
      </w:r>
    </w:p>
    <w:p>
      <w:pPr>
        <w:ind w:firstLine="540" w:firstLineChars="225"/>
      </w:pPr>
      <w:r>
        <w:t>附件21：五通桥新型工业基地建设用地地质灾害危险性评估报告</w:t>
      </w:r>
    </w:p>
    <w:p>
      <w:pPr>
        <w:ind w:firstLine="540" w:firstLineChars="225"/>
      </w:pPr>
      <w:r>
        <w:t>附件22：乐山五通桥化工园区压覆矿产工作协调会会议纪要（会议纪要第39期）</w:t>
      </w:r>
    </w:p>
    <w:p>
      <w:pPr>
        <w:ind w:firstLine="540" w:firstLineChars="225"/>
      </w:pPr>
      <w:r>
        <w:t>附件23：四川省交通运输厅道路运输管理局关于对乐山五通桥化工园区对外危险货物运输风险论证报告的意见</w:t>
      </w:r>
    </w:p>
    <w:p>
      <w:pPr>
        <w:ind w:firstLine="540" w:firstLineChars="225"/>
      </w:pPr>
      <w:r>
        <w:t>附件24：土石方中转场边坡及挡土墙稳定性计算书</w:t>
      </w:r>
    </w:p>
    <w:p>
      <w:pPr>
        <w:ind w:firstLine="540" w:firstLineChars="225"/>
      </w:pPr>
      <w:r>
        <w:t>附件25：乐山五通桥化工园区己缴纳水土保持补偿费情况统计表</w:t>
      </w:r>
    </w:p>
    <w:p>
      <w:pPr>
        <w:ind w:firstLine="540" w:firstLineChars="225"/>
      </w:pPr>
      <w:r>
        <w:t>附件26：乐山市五通桥区水务局关于高笋坝水库报废的情况说明</w:t>
      </w:r>
    </w:p>
    <w:p>
      <w:pPr>
        <w:ind w:firstLine="540" w:firstLineChars="225"/>
      </w:pPr>
      <w:r>
        <w:t>附件27：责令停止违法行为通知书</w:t>
      </w:r>
    </w:p>
    <w:p>
      <w:pPr>
        <w:ind w:firstLine="540" w:firstLineChars="225"/>
      </w:pPr>
      <w:r>
        <w:t xml:space="preserve">附件28 </w:t>
      </w:r>
      <w:r>
        <w:rPr>
          <w:rFonts w:hint="eastAsia"/>
        </w:rPr>
        <w:t>：</w:t>
      </w:r>
      <w:r>
        <w:t>关于乐山五通桥区化工园区内矿山采空区的情况说明</w:t>
      </w:r>
    </w:p>
    <w:p>
      <w:pPr>
        <w:ind w:firstLine="540" w:firstLineChars="225"/>
      </w:pPr>
      <w:r>
        <w:t>附件2</w:t>
      </w:r>
      <w:r>
        <w:rPr>
          <w:rFonts w:hint="eastAsia"/>
        </w:rPr>
        <w:t>9：</w:t>
      </w:r>
      <w:r>
        <w:t>关于乐山市五通桥区化工园区林业手续办理的说明</w:t>
      </w:r>
    </w:p>
    <w:p>
      <w:pPr>
        <w:ind w:firstLine="540" w:firstLineChars="225"/>
        <w:rPr>
          <w:rFonts w:hint="eastAsia"/>
        </w:rPr>
      </w:pPr>
      <w:r>
        <w:rPr>
          <w:rFonts w:hint="eastAsia"/>
        </w:rPr>
        <w:t>附件30 中共乐山市委机构编制委员会办公室关于乐山高新区五通桥基地党工委（管委会）更名的批复（乐编办发〔2023〕14号）</w:t>
      </w:r>
    </w:p>
    <w:p>
      <w:pPr>
        <w:ind w:firstLine="540" w:firstLineChars="225"/>
      </w:pPr>
      <w:r>
        <w:rPr>
          <w:rFonts w:hint="eastAsia"/>
        </w:rPr>
        <w:t>附件3</w:t>
      </w:r>
      <w:r>
        <w:rPr>
          <w:rFonts w:hint="eastAsia"/>
          <w:lang w:val="en-US" w:eastAsia="zh-CN"/>
        </w:rPr>
        <w:t>1</w:t>
      </w:r>
      <w:r>
        <w:rPr>
          <w:rFonts w:hint="eastAsia"/>
        </w:rPr>
        <w:t>：乐山五通桥化工园区水土保持区域评估报告技术评审意见</w:t>
      </w:r>
      <w:bookmarkStart w:id="232" w:name="_GoBack"/>
      <w:bookmarkEnd w:id="232"/>
    </w:p>
    <w:p>
      <w:pPr>
        <w:pStyle w:val="72"/>
      </w:pPr>
      <w:r>
        <w:t>附图：</w:t>
      </w:r>
    </w:p>
    <w:p>
      <w:pPr>
        <w:ind w:firstLine="540" w:firstLineChars="225"/>
      </w:pPr>
      <w:r>
        <w:t>附图1：项目地理位置图</w:t>
      </w:r>
    </w:p>
    <w:p>
      <w:pPr>
        <w:ind w:firstLine="540" w:firstLineChars="225"/>
      </w:pPr>
      <w:r>
        <w:t>附图2：项目区水系图</w:t>
      </w:r>
    </w:p>
    <w:p>
      <w:pPr>
        <w:ind w:firstLine="540" w:firstLineChars="225"/>
      </w:pPr>
      <w:r>
        <w:t>附图3：项目区土壤侵蚀强度分布图</w:t>
      </w:r>
    </w:p>
    <w:p>
      <w:pPr>
        <w:ind w:firstLine="540" w:firstLineChars="225"/>
      </w:pPr>
      <w:r>
        <w:t>附图4：园区用地布局规划图</w:t>
      </w:r>
    </w:p>
    <w:p>
      <w:pPr>
        <w:ind w:firstLine="540" w:firstLineChars="225"/>
      </w:pPr>
      <w:r>
        <w:t>附图5：园区绿线管控规划图</w:t>
      </w:r>
    </w:p>
    <w:p>
      <w:pPr>
        <w:ind w:firstLine="540" w:firstLineChars="225"/>
      </w:pPr>
      <w:r>
        <w:t>附图6：园区建设时序引导图</w:t>
      </w:r>
    </w:p>
    <w:p>
      <w:pPr>
        <w:ind w:firstLine="540" w:firstLineChars="225"/>
      </w:pPr>
      <w:r>
        <w:t>附图7：园区道路工程规划图</w:t>
      </w:r>
    </w:p>
    <w:p>
      <w:pPr>
        <w:ind w:firstLine="540" w:firstLineChars="225"/>
      </w:pPr>
      <w:r>
        <w:t>附图8：园区竖向工程规划图</w:t>
      </w:r>
    </w:p>
    <w:p>
      <w:pPr>
        <w:ind w:firstLine="540" w:firstLineChars="225"/>
      </w:pPr>
      <w:r>
        <w:t>附图9：园区雨水工程规划图</w:t>
      </w:r>
    </w:p>
    <w:p>
      <w:pPr>
        <w:ind w:firstLine="540" w:firstLineChars="225"/>
      </w:pPr>
      <w:r>
        <w:t>附图10：园区防治分区、措施总体布设及监测点位布局图</w:t>
      </w:r>
    </w:p>
    <w:p>
      <w:pPr>
        <w:ind w:firstLine="540" w:firstLineChars="225"/>
      </w:pPr>
      <w:r>
        <w:t>附图11：土石方中转场水土保持措施布设图</w:t>
      </w:r>
    </w:p>
    <w:p>
      <w:pPr>
        <w:ind w:firstLine="540" w:firstLineChars="225"/>
      </w:pPr>
      <w:r>
        <w:t>附图12：土石方中转场水土保持措施典型设计图</w:t>
      </w:r>
    </w:p>
    <w:p>
      <w:pPr>
        <w:ind w:firstLine="540" w:firstLineChars="225"/>
      </w:pPr>
      <w:r>
        <w:t>附图13：表土中转场水土保持典型设计图</w:t>
      </w:r>
    </w:p>
    <w:p>
      <w:pPr>
        <w:ind w:firstLine="540" w:firstLineChars="225"/>
      </w:pPr>
      <w:r>
        <w:t>附图14：沉沙池及排水沟典型设计图</w:t>
      </w:r>
    </w:p>
    <w:p>
      <w:pPr>
        <w:ind w:firstLine="540" w:firstLineChars="225"/>
      </w:pPr>
      <w:r>
        <w:t>附图15：沉沙池及洗车池典型设计图</w:t>
      </w:r>
    </w:p>
    <w:p>
      <w:pPr>
        <w:ind w:firstLine="540" w:firstLineChars="225"/>
      </w:pPr>
      <w:r>
        <w:t>附图16：施工场地水土保持措施典型设计图</w:t>
      </w:r>
    </w:p>
    <w:p>
      <w:pPr>
        <w:ind w:firstLine="540" w:firstLineChars="225"/>
      </w:pPr>
      <w:r>
        <w:t>附图17：管道开挖典型断面水土保持措施设计图</w:t>
      </w:r>
    </w:p>
    <w:p>
      <w:pPr>
        <w:ind w:firstLine="540" w:firstLineChars="225"/>
      </w:pPr>
      <w:r>
        <w:t>附图18：项目典型地形剖面图</w:t>
      </w:r>
    </w:p>
    <w:p>
      <w:pPr>
        <w:ind w:firstLine="540" w:firstLineChars="225"/>
      </w:pPr>
      <w:r>
        <w:t>附图19：路基支挡、边坡防护设计图</w:t>
      </w:r>
    </w:p>
    <w:p>
      <w:pPr>
        <w:ind w:firstLine="540" w:firstLineChars="225"/>
        <w:sectPr>
          <w:headerReference r:id="rId7" w:type="first"/>
          <w:footerReference r:id="rId10" w:type="first"/>
          <w:headerReference r:id="rId5" w:type="default"/>
          <w:footerReference r:id="rId8" w:type="default"/>
          <w:headerReference r:id="rId6" w:type="even"/>
          <w:footerReference r:id="rId9" w:type="even"/>
          <w:pgSz w:w="11905" w:h="16838"/>
          <w:pgMar w:top="1417" w:right="1417" w:bottom="1417" w:left="1417" w:header="850" w:footer="992" w:gutter="0"/>
          <w:pgNumType w:fmt="upperRoman" w:start="1"/>
          <w:cols w:space="720" w:num="1"/>
          <w:docGrid w:linePitch="312" w:charSpace="0"/>
        </w:sectPr>
      </w:pPr>
    </w:p>
    <w:p>
      <w:pPr>
        <w:pStyle w:val="4"/>
      </w:pPr>
      <w:bookmarkStart w:id="27" w:name="_Toc17862"/>
      <w:bookmarkStart w:id="28" w:name="_Toc365048253"/>
      <w:r>
        <w:t>1综合说明</w:t>
      </w:r>
      <w:bookmarkEnd w:id="27"/>
    </w:p>
    <w:p>
      <w:pPr>
        <w:pStyle w:val="5"/>
      </w:pPr>
      <w:bookmarkStart w:id="29" w:name="_Toc25314"/>
      <w:r>
        <w:t>1.1区域简况</w:t>
      </w:r>
      <w:bookmarkEnd w:id="29"/>
    </w:p>
    <w:p>
      <w:pPr>
        <w:pStyle w:val="6"/>
      </w:pPr>
      <w:r>
        <w:t>1.1.1区域基本情况</w:t>
      </w:r>
    </w:p>
    <w:p>
      <w:pPr>
        <w:pStyle w:val="7"/>
      </w:pPr>
      <w:r>
        <w:t>1.1.1.1建设必要性</w:t>
      </w:r>
    </w:p>
    <w:p>
      <w:pPr>
        <w:ind w:firstLine="482"/>
        <w:rPr>
          <w:kern w:val="0"/>
        </w:rPr>
      </w:pPr>
      <w:r>
        <w:rPr>
          <w:b/>
          <w:bCs/>
          <w:kern w:val="0"/>
        </w:rPr>
        <w:t>1、区域建设必要性</w:t>
      </w:r>
    </w:p>
    <w:p>
      <w:pPr>
        <w:ind w:firstLine="480"/>
        <w:rPr>
          <w:kern w:val="0"/>
        </w:rPr>
      </w:pPr>
      <w:r>
        <w:rPr>
          <w:kern w:val="0"/>
        </w:rPr>
        <w:t>为全面贯彻新发展理念，服务国家碳达峰、碳中和战略布局，充分发挥四川清洁能源资源优势和产业发展基础优势，着力培育支撑高质量发展的绿色低碳新动能，四川省委十一届十次全会结合省情实际决定：大力发展晶硅光伏产业，建设世界级晶硅光伏产业基地。推动成（都）乐（山）眉（山）晶硅光伏产业一体化发展，建设乐山“中国绿色硅谷”。乐山市委在市第八次党代会上提出“坚持旅游兴市、产业强市战略，聚焦三大任务、优化四区布局、实现五个提升”的发展思路和安排部署，建设全省区域中心城市、“中国绿色硅谷”和世界重要旅游目的地。以乐山高新区为龙头，以五通桥、夹江、沙湾、犍为、峨眉等产业基地为支撑，壮大光电信息、民用核技术、新型建材、绿色化工、食品饮料五大产业集群，建设具有核心竞争力的先进制造业集聚区。明确支持五通桥区重点发展晶硅光伏、绿色化工、稀土新材料，争创国家级经济开发区，建设“中国绿色硅谷”核心区。</w:t>
      </w:r>
    </w:p>
    <w:p>
      <w:pPr>
        <w:ind w:firstLine="480"/>
      </w:pPr>
      <w:r>
        <w:rPr>
          <w:kern w:val="0"/>
        </w:rPr>
        <w:t>五通桥区坚定不移贯彻新发展理念，围绕市委“旅游兴市、产业强市”战略部署，坚持“工业强区”战略，以新型工业化为主导，以提升产业层次、延长产业链条、增强规模效益等为重点，抢抓省、市加快构建“5+1”“4+1”现代产业体系重大机遇，大力推动晶硅光伏、精细化工、稀土新材料三大主导产业向中高端迈进，稳步提升产业核心竞争力与整体带动力，加速工业高端优质、绿色低碳发展，打造全省循环经济示范区。</w:t>
      </w:r>
      <w:r>
        <w:t>乐山五通桥化工园区（以下简称“园区”）的建设是积极贯彻落实省委、市委赋予园区建设“中国绿色硅谷”核心区的重要任务，是持续增强基地工业生产要素保障，是有序引导特色优势产业向工业基地集聚集约集群发展，是科学指导基地发展建设，适应规划管理的需要。</w:t>
      </w:r>
    </w:p>
    <w:p>
      <w:pPr>
        <w:ind w:firstLine="482"/>
        <w:rPr>
          <w:b/>
          <w:bCs/>
        </w:rPr>
      </w:pPr>
      <w:r>
        <w:rPr>
          <w:b/>
          <w:bCs/>
        </w:rPr>
        <w:t>2、水土保持区域评估开展必要性</w:t>
      </w:r>
    </w:p>
    <w:p>
      <w:pPr>
        <w:ind w:firstLine="480"/>
      </w:pPr>
      <w:r>
        <w:t>2019年5月，水利部发文《水利部关于进一步深化“放管服”改革全面加强水土保持监管的意见》（水保〔2019〕160号）。意在深化简政放权，精简优化审批。推行水土保持区域评估，明确开发区管理机构在“五通一平”之前编制水土保持区域评估报告，报批准设立开发区的同级人民政府水行政主管部门或者其他审批部门审批。水土保持区域评估报告应当明确水土流失防治的任务和责任主体。开发区内入驻项目水土保持方案实行承诺制或备案制管理，由开发区管理机构督促建设单位落实水土流失防治责任和义务。2020年7月，水利部先后发布《水利部办公厅关于实施生产建设项目水土保持信用监管“两单”制度的通知》（办水保〔2020〕157号）和《水利部办公厅关于做好生产建设项目水土保持承诺制管理的通知》（办水保〔2020〕160号）。作为水土保持“放管服”的配套制度，加强事中事后的监管。开发区编制水土保持区域评估报告后，开发区生产建设项目采用承诺制，需配套信用监管“两单”制度，进行监督管理。</w:t>
      </w:r>
    </w:p>
    <w:p>
      <w:pPr>
        <w:ind w:firstLine="480"/>
      </w:pPr>
      <w:r>
        <w:t>根据《四川省水利厅关于推行水土保持区域评估制度的通知》（川水函〔2020〕1246号）、《水利部办公厅关于进一步优化开发区内生产建设项目水土保持管理工作的意见》（办水保〔2020〕235号）等规定，开发区管理机构应在开发区“五通一平”前依据批准的控制性详细规划编制水土保持区域评估报告，报批准设立开发区的同级人民政府水行政主管部门或者其他审批部门审批，开发建设总期限超过5年的开发区，应当分期编报、办理水土保持区域评估批准手续。开发区有明确的分期（区）开发建设规划的，可分期（区）编报水土保持区域评估报告。入驻开发区的生产建设项目共享水土保持区域评估成果，其水土保持方案实行承诺制管理，由生产建设单位在项目开工建设前，按规定编制水土保持方案报告书（或报告表），从省级水行政主管部门水土保持方案专家库中自行选取至少一名专家签署是否同意意见，并进行自主公开后，向具有相应水土保持方案审批权限的审批部门提交申请材料，审批部门按承诺制管理要求办理，具体办理程序按照办水保〔2020〕160号文执行。开发区管理机构应按照批准的水土保持区域评估报告实施水土保持监测和水土保持监理。开发区内生产建设项目的水土保持监测和水土保持监理，由生产建设单位开展，或由开发区管理机构统一开展。开发区管理机构统一实施的公共基础设施、“五通一平”工程，应当由开发区管理机构按照批准的水土保持区域评估报告开展水土保持设施自主验收，并向审批评估报告的水行政主管部门报备。入驻开发区的生产建设项目由生产建设单位在项目投产使用前开展水土保持设施自主验收，并向原方案审批水行政主管部门报备，报备时只需提供水土保持设施验收鉴定书。</w:t>
      </w:r>
    </w:p>
    <w:p>
      <w:pPr>
        <w:pStyle w:val="7"/>
      </w:pPr>
      <w:r>
        <w:t>1.1.1.2区域规划发展背景</w:t>
      </w:r>
    </w:p>
    <w:p>
      <w:pPr>
        <w:ind w:firstLine="480"/>
        <w:rPr>
          <w:bCs/>
        </w:rPr>
      </w:pPr>
      <w:r>
        <w:rPr>
          <w:bCs/>
        </w:rPr>
        <w:t>乐山市五通桥区工业发展历史悠久，按照乐山市“一总部三基地”的工业发展格局，乐山市是四川重要的工业基地，四川省化工基地，轻工部十大原料基地之一。2004年行政区划大调整后，五通桥区总面积474平方公里，辖11个镇1个乡。</w:t>
      </w:r>
    </w:p>
    <w:p>
      <w:pPr>
        <w:ind w:firstLine="480"/>
        <w:rPr>
          <w:bCs/>
        </w:rPr>
      </w:pPr>
      <w:r>
        <w:rPr>
          <w:bCs/>
        </w:rPr>
        <w:t>2019年9月18日，乐山市人民政府以“乐山市人民政府关于设立五通桥新型工业基地的批复（乐府函复〔2019〕25号）”，同意设立五通桥新型工业基地，重点发展光电信息、精细化工、稀土新材料三大主导产业，配套发展现代物流、科技服务等生产性服务业</w:t>
      </w:r>
      <w:r>
        <w:rPr>
          <w:rFonts w:hint="eastAsia"/>
          <w:bCs/>
        </w:rPr>
        <w:t>。</w:t>
      </w:r>
      <w:r>
        <w:rPr>
          <w:bCs/>
        </w:rPr>
        <w:t>详见附件</w:t>
      </w:r>
      <w:r>
        <w:rPr>
          <w:rFonts w:hint="eastAsia"/>
          <w:bCs/>
        </w:rPr>
        <w:t>6</w:t>
      </w:r>
      <w:r>
        <w:rPr>
          <w:bCs/>
        </w:rPr>
        <w:t>。</w:t>
      </w:r>
    </w:p>
    <w:p>
      <w:pPr>
        <w:ind w:firstLine="480"/>
        <w:rPr>
          <w:szCs w:val="21"/>
          <w:lang w:val="zh-CN"/>
        </w:rPr>
      </w:pPr>
      <w:r>
        <w:rPr>
          <w:bCs/>
        </w:rPr>
        <w:t>2020年5月1日，乐山市人民政府办公室以“乐山市人民政府办公室办公通知（B〔2020〕秘书三科-42号）”，同意了乐山市五通桥区人民政府关于修正五通桥新型工业基地规划面积的请示，规划面积修正为26.64km</w:t>
      </w:r>
      <w:r>
        <w:rPr>
          <w:bCs/>
          <w:vertAlign w:val="superscript"/>
        </w:rPr>
        <w:t>2</w:t>
      </w:r>
      <w:r>
        <w:rPr>
          <w:bCs/>
        </w:rPr>
        <w:t>。详见附件8。五通桥新型工业基地</w:t>
      </w:r>
      <w:r>
        <w:rPr>
          <w:szCs w:val="21"/>
          <w:lang w:val="zh-CN"/>
        </w:rPr>
        <w:t>位于岷江岸线1km以外乐山市五通桥区最南端，建设区南抵金粟城镇区北部，北以五犍沐快速路为界，东至金粟镇刘家山村以西山脚，西至杨柳镇青龙村、瓦窑村边界。主要涉及金粟镇的张家山村、共裕村、老龙坝村、平桥村、会云村、井房坳村、印盒山村、五一村、庙儿山村、金江村，杨柳镇的红豆村，辉山镇的六塘村、民安村和杏林村。</w:t>
      </w:r>
    </w:p>
    <w:p>
      <w:pPr>
        <w:ind w:firstLine="480"/>
        <w:rPr>
          <w:bCs/>
        </w:rPr>
      </w:pPr>
      <w:r>
        <w:rPr>
          <w:bCs/>
        </w:rPr>
        <w:t>2022年5月30日，乐山市五通桥区人民政府组织召开了五通桥区省级化工园区申报认定工作推进会，确定乐山高新区五通桥基地管理委员会作为业主单位，牵头推进申报省级化工园区的工作，并于2022年6月6日形成会议纪要，详见附件9。</w:t>
      </w:r>
    </w:p>
    <w:p>
      <w:pPr>
        <w:ind w:firstLine="480"/>
        <w:rPr>
          <w:bCs/>
        </w:rPr>
      </w:pPr>
      <w:r>
        <w:rPr>
          <w:bCs/>
        </w:rPr>
        <w:t>2022年10月，乐山高新区五通桥基地管理委员会委托重庆同丰工程管理咨询有限公司编制完成了《乐山五通桥化工园区总体规划（2022-2035）》，并于10月27日取得乐山市五通桥区人民政府“关于乐山五通桥化工园区总体规划（2022-2035）相关事宜议定事项的通知”（五府定〔2022〕489号），“通知”同意《乐山五通桥化工园区总体规划（2022-2035）》按程序办理。乐山五通桥化工园区总体规划中确定了园区名称为“乐山五通桥化工园区”、园区占地范围为“</w:t>
      </w:r>
      <w:r>
        <w:rPr>
          <w:szCs w:val="21"/>
        </w:rPr>
        <w:t>11.29km</w:t>
      </w:r>
      <w:r>
        <w:rPr>
          <w:szCs w:val="21"/>
          <w:vertAlign w:val="superscript"/>
        </w:rPr>
        <w:t>2</w:t>
      </w:r>
      <w:r>
        <w:rPr>
          <w:bCs/>
        </w:rPr>
        <w:t>”，位于新型工业基地内。乐山市五通桥区人民政府关于乐山五通桥化工园区总体规划（2022-2035年）相关事宜议定事项的通知（五府定〔2022〕489号）</w:t>
      </w:r>
      <w:r>
        <w:rPr>
          <w:rFonts w:hint="eastAsia"/>
          <w:bCs/>
        </w:rPr>
        <w:t>，</w:t>
      </w:r>
      <w:r>
        <w:rPr>
          <w:bCs/>
        </w:rPr>
        <w:t>详见附件3。</w:t>
      </w:r>
    </w:p>
    <w:p>
      <w:pPr>
        <w:ind w:firstLine="480"/>
        <w:sectPr>
          <w:headerReference r:id="rId11" w:type="default"/>
          <w:footerReference r:id="rId13" w:type="default"/>
          <w:headerReference r:id="rId12" w:type="even"/>
          <w:footerReference r:id="rId14" w:type="even"/>
          <w:pgSz w:w="11905" w:h="16838"/>
          <w:pgMar w:top="1417" w:right="1417" w:bottom="1417" w:left="1417" w:header="850" w:footer="992" w:gutter="0"/>
          <w:pgNumType w:start="1"/>
          <w:cols w:space="720" w:num="1"/>
          <w:docGrid w:linePitch="312" w:charSpace="0"/>
        </w:sectPr>
      </w:pPr>
      <w:r>
        <w:rPr>
          <w:bCs/>
        </w:rPr>
        <w:t>2022年10月，乐山高新区五通桥基地管理委员会委托乐山市城乡规划设计院有限公司编制完成了《五通桥新型工业基地控制性详细规划》，详规中明确了五通桥新型工业基地范围为16.13</w:t>
      </w:r>
      <w:r>
        <w:rPr>
          <w:szCs w:val="21"/>
        </w:rPr>
        <w:t>km</w:t>
      </w:r>
      <w:r>
        <w:rPr>
          <w:szCs w:val="21"/>
          <w:vertAlign w:val="superscript"/>
        </w:rPr>
        <w:t>2</w:t>
      </w:r>
      <w:r>
        <w:rPr>
          <w:bCs/>
        </w:rPr>
        <w:t>，</w:t>
      </w:r>
      <w:r>
        <w:t>整体规划期限为2022年~2035年，其中近期为2022年~2025年；远期为2026年~2035年。本次水土保持区域评估报告服务期取2022年~2025年，设计水平年为服务期后一年，即2026年。详规报告于2023年1月28日取得乐山市五通桥区人民政府关于五通桥新型工业基地控制性详细规划的批复（五府复〔2023〕31号）。</w:t>
      </w:r>
      <w:r>
        <w:rPr>
          <w:bCs/>
        </w:rPr>
        <w:t>“批复”同意《五通桥新型工业基地控制性详细规划》按程序办理。详见附件2。五通桥化工园区与五通桥新型工业基地的位置关系详见章节2.1.1.2。</w:t>
      </w:r>
    </w:p>
    <w:p>
      <w:pPr>
        <w:pStyle w:val="102"/>
        <w:spacing w:before="211"/>
      </w:pPr>
      <w:r>
        <w:rPr>
          <w:szCs w:val="21"/>
        </w:rPr>
        <w:t>表1.1-1</w:t>
      </w:r>
      <w:r>
        <w:rPr>
          <w:bCs/>
        </w:rPr>
        <w:t>乐山五通桥化工园区</w:t>
      </w:r>
      <w:r>
        <w:t>历史沿革一览表</w:t>
      </w:r>
    </w:p>
    <w:tbl>
      <w:tblPr>
        <w:tblStyle w:val="107"/>
        <w:tblW w:w="5045" w:type="pct"/>
        <w:tblInd w:w="0" w:type="dxa"/>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Layout w:type="autofit"/>
        <w:tblCellMar>
          <w:top w:w="0" w:type="dxa"/>
          <w:left w:w="0" w:type="dxa"/>
          <w:bottom w:w="0" w:type="dxa"/>
          <w:right w:w="0" w:type="dxa"/>
        </w:tblCellMar>
      </w:tblPr>
      <w:tblGrid>
        <w:gridCol w:w="728"/>
        <w:gridCol w:w="449"/>
        <w:gridCol w:w="982"/>
        <w:gridCol w:w="546"/>
        <w:gridCol w:w="838"/>
        <w:gridCol w:w="982"/>
        <w:gridCol w:w="453"/>
        <w:gridCol w:w="9162"/>
      </w:tblGrid>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511" w:hRule="atLeast"/>
          <w:tblHeader/>
        </w:trPr>
        <w:tc>
          <w:tcPr>
            <w:tcW w:w="257" w:type="pct"/>
            <w:vAlign w:val="center"/>
          </w:tcPr>
          <w:p>
            <w:pPr>
              <w:pStyle w:val="99"/>
              <w:spacing w:line="240" w:lineRule="auto"/>
              <w:rPr>
                <w:b/>
                <w:bCs/>
              </w:rPr>
            </w:pPr>
            <w:r>
              <w:rPr>
                <w:b/>
                <w:bCs/>
              </w:rPr>
              <w:t>时间</w:t>
            </w:r>
          </w:p>
        </w:tc>
        <w:tc>
          <w:tcPr>
            <w:tcW w:w="159" w:type="pct"/>
            <w:vAlign w:val="center"/>
          </w:tcPr>
          <w:p>
            <w:pPr>
              <w:pStyle w:val="99"/>
              <w:spacing w:line="240" w:lineRule="auto"/>
              <w:rPr>
                <w:b/>
                <w:bCs/>
              </w:rPr>
            </w:pPr>
            <w:r>
              <w:rPr>
                <w:b/>
                <w:bCs/>
              </w:rPr>
              <w:t>名称</w:t>
            </w:r>
          </w:p>
        </w:tc>
        <w:tc>
          <w:tcPr>
            <w:tcW w:w="347" w:type="pct"/>
            <w:vAlign w:val="center"/>
          </w:tcPr>
          <w:p>
            <w:pPr>
              <w:pStyle w:val="99"/>
              <w:spacing w:line="240" w:lineRule="auto"/>
              <w:rPr>
                <w:b/>
                <w:bCs/>
              </w:rPr>
            </w:pPr>
            <w:r>
              <w:rPr>
                <w:b/>
                <w:bCs/>
              </w:rPr>
              <w:t>规划范围</w:t>
            </w:r>
          </w:p>
        </w:tc>
        <w:tc>
          <w:tcPr>
            <w:tcW w:w="193" w:type="pct"/>
            <w:vAlign w:val="center"/>
          </w:tcPr>
          <w:p>
            <w:pPr>
              <w:pStyle w:val="99"/>
              <w:spacing w:line="240" w:lineRule="auto"/>
              <w:rPr>
                <w:b/>
                <w:bCs/>
              </w:rPr>
            </w:pPr>
            <w:r>
              <w:rPr>
                <w:b/>
                <w:bCs/>
              </w:rPr>
              <w:t>面积km</w:t>
            </w:r>
            <w:r>
              <w:rPr>
                <w:b/>
                <w:bCs/>
                <w:vertAlign w:val="superscript"/>
              </w:rPr>
              <w:t>2</w:t>
            </w:r>
          </w:p>
        </w:tc>
        <w:tc>
          <w:tcPr>
            <w:tcW w:w="296" w:type="pct"/>
            <w:vAlign w:val="center"/>
          </w:tcPr>
          <w:p>
            <w:pPr>
              <w:pStyle w:val="99"/>
              <w:spacing w:line="240" w:lineRule="auto"/>
              <w:rPr>
                <w:b/>
                <w:bCs/>
              </w:rPr>
            </w:pPr>
            <w:r>
              <w:rPr>
                <w:b/>
                <w:bCs/>
              </w:rPr>
              <w:t>产业定位</w:t>
            </w:r>
          </w:p>
        </w:tc>
        <w:tc>
          <w:tcPr>
            <w:tcW w:w="347" w:type="pct"/>
            <w:vAlign w:val="center"/>
          </w:tcPr>
          <w:p>
            <w:pPr>
              <w:pStyle w:val="99"/>
              <w:spacing w:line="240" w:lineRule="auto"/>
              <w:rPr>
                <w:b/>
                <w:bCs/>
              </w:rPr>
            </w:pPr>
            <w:r>
              <w:rPr>
                <w:b/>
                <w:bCs/>
              </w:rPr>
              <w:t>设立依据</w:t>
            </w:r>
          </w:p>
        </w:tc>
        <w:tc>
          <w:tcPr>
            <w:tcW w:w="160" w:type="pct"/>
            <w:vAlign w:val="center"/>
          </w:tcPr>
          <w:p>
            <w:pPr>
              <w:pStyle w:val="99"/>
              <w:spacing w:line="240" w:lineRule="auto"/>
              <w:rPr>
                <w:b/>
                <w:bCs/>
              </w:rPr>
            </w:pPr>
            <w:r>
              <w:rPr>
                <w:b/>
                <w:bCs/>
              </w:rPr>
              <w:t>园区等级</w:t>
            </w:r>
          </w:p>
        </w:tc>
        <w:tc>
          <w:tcPr>
            <w:tcW w:w="3238" w:type="pct"/>
            <w:vAlign w:val="center"/>
          </w:tcPr>
          <w:p>
            <w:pPr>
              <w:pStyle w:val="99"/>
              <w:spacing w:line="240" w:lineRule="auto"/>
              <w:rPr>
                <w:b/>
                <w:bCs/>
              </w:rPr>
            </w:pPr>
            <w:r>
              <w:rPr>
                <w:b/>
                <w:bCs/>
              </w:rPr>
              <w:t>位置关系图</w:t>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c>
          <w:tcPr>
            <w:tcW w:w="257" w:type="pct"/>
            <w:vAlign w:val="center"/>
          </w:tcPr>
          <w:p>
            <w:pPr>
              <w:pStyle w:val="99"/>
              <w:spacing w:line="240" w:lineRule="auto"/>
            </w:pPr>
            <w:r>
              <w:t>2019.9.18（设立）</w:t>
            </w:r>
          </w:p>
        </w:tc>
        <w:tc>
          <w:tcPr>
            <w:tcW w:w="159" w:type="pct"/>
            <w:vAlign w:val="center"/>
          </w:tcPr>
          <w:p>
            <w:pPr>
              <w:pStyle w:val="99"/>
              <w:spacing w:line="240" w:lineRule="auto"/>
              <w:rPr>
                <w:bCs/>
              </w:rPr>
            </w:pPr>
            <w:r>
              <w:rPr>
                <w:bCs/>
              </w:rPr>
              <w:t>五通桥新型工业基地</w:t>
            </w:r>
          </w:p>
        </w:tc>
        <w:tc>
          <w:tcPr>
            <w:tcW w:w="347" w:type="pct"/>
            <w:vAlign w:val="center"/>
          </w:tcPr>
          <w:p>
            <w:pPr>
              <w:pStyle w:val="99"/>
              <w:spacing w:line="240" w:lineRule="auto"/>
            </w:pPr>
            <w:r>
              <w:rPr>
                <w:bCs/>
              </w:rPr>
              <w:t>过渡保留区位于竹根滩北部的和邦组团和竹根滩南部的永祥组团，五通桥新型工业基地建设区位于桥沟镇和金粟镇镇域内，四至范围为南抵岷江，北以在建五犍沐快速公路为界，东至金粟镇刘家山村以西山脚，西至涌斯江和杨柳镇青龙村、瓦窑村边界</w:t>
            </w:r>
            <w:r>
              <w:t>。</w:t>
            </w:r>
          </w:p>
        </w:tc>
        <w:tc>
          <w:tcPr>
            <w:tcW w:w="193" w:type="pct"/>
            <w:vAlign w:val="center"/>
          </w:tcPr>
          <w:p>
            <w:pPr>
              <w:pStyle w:val="99"/>
              <w:spacing w:line="240" w:lineRule="auto"/>
            </w:pPr>
            <w:r>
              <w:t>41.03</w:t>
            </w:r>
          </w:p>
        </w:tc>
        <w:tc>
          <w:tcPr>
            <w:tcW w:w="296" w:type="pct"/>
            <w:vAlign w:val="center"/>
          </w:tcPr>
          <w:p>
            <w:pPr>
              <w:pStyle w:val="99"/>
              <w:spacing w:line="240" w:lineRule="auto"/>
            </w:pPr>
            <w:r>
              <w:t>重点发展光电信息、精细化工、稀土新材料三大主导产业，配套发展现代物流、科技服务等生产性服务业</w:t>
            </w:r>
          </w:p>
        </w:tc>
        <w:tc>
          <w:tcPr>
            <w:tcW w:w="347" w:type="pct"/>
            <w:vAlign w:val="center"/>
          </w:tcPr>
          <w:p>
            <w:pPr>
              <w:pStyle w:val="99"/>
              <w:spacing w:line="240" w:lineRule="auto"/>
            </w:pPr>
            <w:r>
              <w:rPr>
                <w:bCs/>
              </w:rPr>
              <w:t>乐府函复〔2019〕25号</w:t>
            </w:r>
          </w:p>
        </w:tc>
        <w:tc>
          <w:tcPr>
            <w:tcW w:w="160" w:type="pct"/>
            <w:vAlign w:val="center"/>
          </w:tcPr>
          <w:p>
            <w:pPr>
              <w:pStyle w:val="99"/>
              <w:spacing w:line="240" w:lineRule="auto"/>
            </w:pPr>
            <w:r>
              <w:t>市级</w:t>
            </w:r>
          </w:p>
        </w:tc>
        <w:tc>
          <w:tcPr>
            <w:tcW w:w="3238" w:type="pct"/>
            <w:vAlign w:val="center"/>
          </w:tcPr>
          <w:p>
            <w:pPr>
              <w:pStyle w:val="108"/>
              <w:spacing w:line="240" w:lineRule="auto"/>
              <w:jc w:val="both"/>
              <w:rPr>
                <w:rFonts w:ascii="Times New Roman" w:hAnsi="Times New Roman" w:eastAsia="仿宋_GB2312"/>
                <w:sz w:val="18"/>
              </w:rPr>
            </w:pPr>
            <w:r>
              <w:rPr>
                <w:rFonts w:ascii="Times New Roman" w:hAnsi="Times New Roman" w:eastAsia="仿宋_GB2312"/>
                <w:sz w:val="18"/>
              </w:rPr>
              <w:drawing>
                <wp:anchor distT="0" distB="0" distL="114300" distR="114300" simplePos="0" relativeHeight="251660288" behindDoc="1" locked="0" layoutInCell="1" allowOverlap="1">
                  <wp:simplePos x="0" y="0"/>
                  <wp:positionH relativeFrom="column">
                    <wp:posOffset>294640</wp:posOffset>
                  </wp:positionH>
                  <wp:positionV relativeFrom="paragraph">
                    <wp:posOffset>0</wp:posOffset>
                  </wp:positionV>
                  <wp:extent cx="5151755" cy="4894580"/>
                  <wp:effectExtent l="0" t="0" r="10795" b="1270"/>
                  <wp:wrapThrough wrapText="bothSides">
                    <wp:wrapPolygon>
                      <wp:start x="21592" y="-2"/>
                      <wp:lineTo x="0" y="0"/>
                      <wp:lineTo x="0" y="21600"/>
                      <wp:lineTo x="21592" y="21602"/>
                      <wp:lineTo x="8" y="21602"/>
                      <wp:lineTo x="21600" y="21600"/>
                      <wp:lineTo x="21600" y="0"/>
                      <wp:lineTo x="8" y="-2"/>
                      <wp:lineTo x="21592" y="-2"/>
                    </wp:wrapPolygon>
                  </wp:wrapThrough>
                  <wp:docPr id="35" name="图片 383" descr="40km2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83" descr="40km2_00"/>
                          <pic:cNvPicPr>
                            <a:picLocks noChangeAspect="1"/>
                          </pic:cNvPicPr>
                        </pic:nvPicPr>
                        <pic:blipFill>
                          <a:blip r:embed="rId43"/>
                          <a:stretch>
                            <a:fillRect/>
                          </a:stretch>
                        </pic:blipFill>
                        <pic:spPr>
                          <a:xfrm>
                            <a:off x="0" y="0"/>
                            <a:ext cx="5151755" cy="4894580"/>
                          </a:xfrm>
                          <a:prstGeom prst="rect">
                            <a:avLst/>
                          </a:prstGeom>
                          <a:noFill/>
                          <a:ln>
                            <a:noFill/>
                          </a:ln>
                        </pic:spPr>
                      </pic:pic>
                    </a:graphicData>
                  </a:graphic>
                </wp:anchor>
              </w:drawing>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rPr>
          <w:trHeight w:val="8674" w:hRule="atLeast"/>
        </w:trPr>
        <w:tc>
          <w:tcPr>
            <w:tcW w:w="257" w:type="pct"/>
            <w:vAlign w:val="center"/>
          </w:tcPr>
          <w:p>
            <w:pPr>
              <w:pStyle w:val="99"/>
              <w:spacing w:line="240" w:lineRule="auto"/>
            </w:pPr>
            <w:r>
              <w:t>2020.1.14（规划范围调整）</w:t>
            </w:r>
          </w:p>
        </w:tc>
        <w:tc>
          <w:tcPr>
            <w:tcW w:w="159" w:type="pct"/>
            <w:vAlign w:val="center"/>
          </w:tcPr>
          <w:p>
            <w:pPr>
              <w:pStyle w:val="99"/>
              <w:spacing w:line="240" w:lineRule="auto"/>
              <w:rPr>
                <w:bCs/>
              </w:rPr>
            </w:pPr>
            <w:r>
              <w:rPr>
                <w:bCs/>
              </w:rPr>
              <w:t>五通桥新型工业基地</w:t>
            </w:r>
          </w:p>
        </w:tc>
        <w:tc>
          <w:tcPr>
            <w:tcW w:w="347" w:type="pct"/>
            <w:vAlign w:val="center"/>
          </w:tcPr>
          <w:p>
            <w:pPr>
              <w:pStyle w:val="99"/>
              <w:spacing w:line="240" w:lineRule="auto"/>
              <w:rPr>
                <w:bCs/>
              </w:rPr>
            </w:pPr>
            <w:r>
              <w:rPr>
                <w:bCs/>
              </w:rPr>
              <w:t>建设区位于金粟镇镇域内，四至范围为南至金粟镇庙儿山村、金江村离岷江岸线1公里边界，北以在建五犍沐快速公路为界，东至金粟镇刘家山村以西山脚，西至竹根镇青龙村、瓦窑村离涌斯江岸线1公里边界。</w:t>
            </w:r>
          </w:p>
        </w:tc>
        <w:tc>
          <w:tcPr>
            <w:tcW w:w="193" w:type="pct"/>
            <w:vAlign w:val="center"/>
          </w:tcPr>
          <w:p>
            <w:pPr>
              <w:pStyle w:val="99"/>
              <w:spacing w:line="240" w:lineRule="auto"/>
            </w:pPr>
            <w:r>
              <w:t>36.7</w:t>
            </w:r>
          </w:p>
        </w:tc>
        <w:tc>
          <w:tcPr>
            <w:tcW w:w="296" w:type="pct"/>
            <w:vAlign w:val="center"/>
          </w:tcPr>
          <w:p>
            <w:pPr>
              <w:pStyle w:val="99"/>
              <w:spacing w:line="240" w:lineRule="auto"/>
            </w:pPr>
            <w:r>
              <w:t>光电信息、精细化工、稀土及新材料、现代仓储物流</w:t>
            </w:r>
          </w:p>
        </w:tc>
        <w:tc>
          <w:tcPr>
            <w:tcW w:w="347" w:type="pct"/>
            <w:vAlign w:val="center"/>
          </w:tcPr>
          <w:p>
            <w:pPr>
              <w:pStyle w:val="99"/>
              <w:spacing w:line="240" w:lineRule="auto"/>
              <w:rPr>
                <w:bCs/>
              </w:rPr>
            </w:pPr>
            <w:r>
              <w:rPr>
                <w:bCs/>
              </w:rPr>
              <w:t>乐府常定〔2020〕13号</w:t>
            </w:r>
          </w:p>
        </w:tc>
        <w:tc>
          <w:tcPr>
            <w:tcW w:w="160" w:type="pct"/>
            <w:vAlign w:val="center"/>
          </w:tcPr>
          <w:p>
            <w:pPr>
              <w:pStyle w:val="99"/>
              <w:spacing w:line="240" w:lineRule="auto"/>
            </w:pPr>
            <w:r>
              <w:t>市级</w:t>
            </w:r>
          </w:p>
        </w:tc>
        <w:tc>
          <w:tcPr>
            <w:tcW w:w="3238" w:type="pct"/>
            <w:vAlign w:val="center"/>
          </w:tcPr>
          <w:p>
            <w:pPr>
              <w:pStyle w:val="108"/>
              <w:spacing w:line="240" w:lineRule="auto"/>
              <w:jc w:val="both"/>
              <w:rPr>
                <w:rFonts w:ascii="Times New Roman" w:hAnsi="Times New Roman" w:eastAsia="仿宋_GB2312"/>
                <w:sz w:val="18"/>
              </w:rPr>
            </w:pPr>
            <w:r>
              <w:rPr>
                <w:rFonts w:ascii="Times New Roman" w:hAnsi="Times New Roman" w:eastAsia="仿宋_GB2312"/>
                <w:sz w:val="18"/>
              </w:rPr>
              <w:drawing>
                <wp:inline distT="0" distB="0" distL="114300" distR="114300">
                  <wp:extent cx="5757545" cy="5263515"/>
                  <wp:effectExtent l="0" t="0" r="14605" b="13335"/>
                  <wp:docPr id="64" name="图片 304" descr="FY9ZD41RK~0G[_9V[13$4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04" descr="FY9ZD41RK~0G[_9V[13$4FG"/>
                          <pic:cNvPicPr>
                            <a:picLocks noChangeAspect="1"/>
                          </pic:cNvPicPr>
                        </pic:nvPicPr>
                        <pic:blipFill>
                          <a:blip r:embed="rId44"/>
                          <a:stretch>
                            <a:fillRect/>
                          </a:stretch>
                        </pic:blipFill>
                        <pic:spPr>
                          <a:xfrm>
                            <a:off x="0" y="0"/>
                            <a:ext cx="5757545" cy="526351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c>
          <w:tcPr>
            <w:tcW w:w="257" w:type="pct"/>
            <w:vAlign w:val="center"/>
          </w:tcPr>
          <w:p>
            <w:pPr>
              <w:pStyle w:val="99"/>
              <w:spacing w:line="240" w:lineRule="auto"/>
            </w:pPr>
            <w:r>
              <w:t>2020.5.30（规划范围调整）</w:t>
            </w:r>
          </w:p>
        </w:tc>
        <w:tc>
          <w:tcPr>
            <w:tcW w:w="159" w:type="pct"/>
            <w:vAlign w:val="center"/>
          </w:tcPr>
          <w:p>
            <w:pPr>
              <w:pStyle w:val="99"/>
              <w:spacing w:line="240" w:lineRule="auto"/>
              <w:rPr>
                <w:bCs/>
              </w:rPr>
            </w:pPr>
            <w:r>
              <w:rPr>
                <w:bCs/>
              </w:rPr>
              <w:t>五通桥新型工业基地</w:t>
            </w:r>
          </w:p>
        </w:tc>
        <w:tc>
          <w:tcPr>
            <w:tcW w:w="347" w:type="pct"/>
            <w:vAlign w:val="center"/>
          </w:tcPr>
          <w:p>
            <w:pPr>
              <w:pStyle w:val="99"/>
              <w:spacing w:line="240" w:lineRule="auto"/>
            </w:pPr>
            <w:r>
              <w:rPr>
                <w:lang w:val="zh-CN"/>
              </w:rPr>
              <w:t>位于岷江岸线1km以外乐山市五通桥区最南端，建设区南抵金粟城镇区北部，北以五犍沐快速路为界，东至金粟镇刘家山村以西山脚，西至杨柳镇青龙村、瓦窑村边界。主要涉及金粟镇的张家山村、共裕村、老龙坝村、平桥村、会云村、井房坳村、印盒山村、五一村、庙儿山村、金江村，杨柳镇的红豆村，辉山镇的六塘村、民安村和杏林村。</w:t>
            </w:r>
          </w:p>
        </w:tc>
        <w:tc>
          <w:tcPr>
            <w:tcW w:w="193" w:type="pct"/>
            <w:vAlign w:val="center"/>
          </w:tcPr>
          <w:p>
            <w:pPr>
              <w:pStyle w:val="99"/>
              <w:spacing w:line="240" w:lineRule="auto"/>
            </w:pPr>
            <w:r>
              <w:t>26.64</w:t>
            </w:r>
          </w:p>
        </w:tc>
        <w:tc>
          <w:tcPr>
            <w:tcW w:w="296" w:type="pct"/>
            <w:vAlign w:val="center"/>
          </w:tcPr>
          <w:p>
            <w:pPr>
              <w:pStyle w:val="99"/>
              <w:spacing w:line="240" w:lineRule="auto"/>
            </w:pPr>
            <w:r>
              <w:t>晶硅光伏产业园（近期建设区）、精细化工、稀土新材料产业园（远期建设区）</w:t>
            </w:r>
          </w:p>
        </w:tc>
        <w:tc>
          <w:tcPr>
            <w:tcW w:w="347" w:type="pct"/>
            <w:vAlign w:val="center"/>
          </w:tcPr>
          <w:p>
            <w:pPr>
              <w:pStyle w:val="99"/>
              <w:spacing w:line="240" w:lineRule="auto"/>
            </w:pPr>
            <w:r>
              <w:rPr>
                <w:bCs/>
              </w:rPr>
              <w:t>五府〔2020〕13号、B〔2020〕秘书三科-42号</w:t>
            </w:r>
          </w:p>
        </w:tc>
        <w:tc>
          <w:tcPr>
            <w:tcW w:w="160" w:type="pct"/>
            <w:vAlign w:val="center"/>
          </w:tcPr>
          <w:p>
            <w:pPr>
              <w:pStyle w:val="99"/>
              <w:spacing w:line="240" w:lineRule="auto"/>
            </w:pPr>
            <w:r>
              <w:t>市级</w:t>
            </w:r>
          </w:p>
        </w:tc>
        <w:tc>
          <w:tcPr>
            <w:tcW w:w="3238" w:type="pct"/>
            <w:vAlign w:val="center"/>
          </w:tcPr>
          <w:p>
            <w:pPr>
              <w:pStyle w:val="108"/>
              <w:spacing w:line="240" w:lineRule="auto"/>
              <w:rPr>
                <w:rFonts w:ascii="Times New Roman" w:hAnsi="Times New Roman" w:eastAsia="仿宋_GB2312"/>
                <w:sz w:val="18"/>
              </w:rPr>
            </w:pPr>
            <w:r>
              <w:rPr>
                <w:rFonts w:ascii="Times New Roman" w:hAnsi="Times New Roman" w:eastAsia="仿宋_GB2312"/>
                <w:sz w:val="18"/>
              </w:rPr>
              <w:drawing>
                <wp:anchor distT="0" distB="0" distL="114935" distR="114935" simplePos="0" relativeHeight="251666432" behindDoc="0" locked="0" layoutInCell="1" allowOverlap="1">
                  <wp:simplePos x="0" y="0"/>
                  <wp:positionH relativeFrom="column">
                    <wp:posOffset>47625</wp:posOffset>
                  </wp:positionH>
                  <wp:positionV relativeFrom="paragraph">
                    <wp:posOffset>342900</wp:posOffset>
                  </wp:positionV>
                  <wp:extent cx="5693410" cy="4025265"/>
                  <wp:effectExtent l="0" t="0" r="2540" b="13335"/>
                  <wp:wrapTopAndBottom/>
                  <wp:docPr id="112" name="图片 112" descr="平面布局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平面布局_00"/>
                          <pic:cNvPicPr>
                            <a:picLocks noChangeAspect="1"/>
                          </pic:cNvPicPr>
                        </pic:nvPicPr>
                        <pic:blipFill>
                          <a:blip r:embed="rId45"/>
                          <a:stretch>
                            <a:fillRect/>
                          </a:stretch>
                        </pic:blipFill>
                        <pic:spPr>
                          <a:xfrm>
                            <a:off x="0" y="0"/>
                            <a:ext cx="5693410" cy="4025265"/>
                          </a:xfrm>
                          <a:prstGeom prst="rect">
                            <a:avLst/>
                          </a:prstGeom>
                          <a:noFill/>
                          <a:ln>
                            <a:noFill/>
                          </a:ln>
                        </pic:spPr>
                      </pic:pic>
                    </a:graphicData>
                  </a:graphic>
                </wp:anchor>
              </w:drawing>
            </w:r>
            <w:r>
              <w:rPr>
                <w:rFonts w:ascii="Times New Roman" w:hAnsi="Times New Roman" w:eastAsia="仿宋_GB2312"/>
                <w:sz w:val="18"/>
              </w:rPr>
              <w:pict>
                <v:shape id="自选图形 384" o:spid="_x0000_s1026" o:spt="61" type="#_x0000_t61" style="position:absolute;left:0pt;margin-left:311.05pt;margin-top:61.95pt;height:27.8pt;width:128.25pt;z-index:251661312;mso-width-relative:page;mso-height-relative:page;" filled="t" stroked="t" coordsize="21600,21600" o:gfxdata="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K0wpZLbAAAACwEAAA8AAAAAAAAAAQAgAAAAIgAAAGRycy9kb3ducmV2LnhtbFBLAQIUABQA&#10;AAAIAIdO4kC0k/mnmAIAAEwFAAAOAAAAAAAAAAEAIAAAACoBAABkcnMvZTJvRG9jLnhtbFBLBQYA&#10;AAAABgAGAFkBAAA0BgAAAAA=&#10;" adj="-3907,59478">
                  <v:path/>
                  <v:fill type="gradient" on="t" angle="90" focus="100%" focussize="0f,0f">
                    <o:fill type="gradientUnscaled" v:ext="backwardCompatible"/>
                  </v:fill>
                  <v:stroke weight="1.25pt" color="#739CC3" joinstyle="miter"/>
                  <v:imagedata o:title=""/>
                  <o:lock v:ext="edit"/>
                  <v:textbox>
                    <w:txbxContent>
                      <w:p>
                        <w:pPr>
                          <w:ind w:firstLine="0" w:firstLineChars="0"/>
                          <w:rPr>
                            <w:sz w:val="21"/>
                            <w:szCs w:val="21"/>
                          </w:rPr>
                        </w:pPr>
                        <w:r>
                          <w:rPr>
                            <w:rFonts w:eastAsia="仿宋"/>
                            <w:bCs/>
                          </w:rPr>
                          <w:t>五通桥新型工业基地</w:t>
                        </w:r>
                      </w:p>
                    </w:txbxContent>
                  </v:textbox>
                </v:shape>
              </w:pict>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c>
          <w:tcPr>
            <w:tcW w:w="257" w:type="pct"/>
            <w:vAlign w:val="center"/>
          </w:tcPr>
          <w:p>
            <w:pPr>
              <w:pStyle w:val="99"/>
              <w:spacing w:line="240" w:lineRule="auto"/>
            </w:pPr>
            <w:r>
              <w:t>2022.10</w:t>
            </w:r>
          </w:p>
        </w:tc>
        <w:tc>
          <w:tcPr>
            <w:tcW w:w="159" w:type="pct"/>
            <w:vAlign w:val="center"/>
          </w:tcPr>
          <w:p>
            <w:pPr>
              <w:pStyle w:val="99"/>
              <w:spacing w:line="240" w:lineRule="auto"/>
              <w:rPr>
                <w:bCs/>
              </w:rPr>
            </w:pPr>
            <w:r>
              <w:rPr>
                <w:bCs/>
              </w:rPr>
              <w:t>五通桥新型工业基地</w:t>
            </w:r>
          </w:p>
        </w:tc>
        <w:tc>
          <w:tcPr>
            <w:tcW w:w="347" w:type="pct"/>
            <w:vAlign w:val="center"/>
          </w:tcPr>
          <w:p>
            <w:pPr>
              <w:pStyle w:val="99"/>
              <w:spacing w:line="240" w:lineRule="auto"/>
              <w:rPr>
                <w:lang w:val="zh-CN"/>
              </w:rPr>
            </w:pPr>
            <w:r>
              <w:rPr>
                <w:lang w:val="zh-CN"/>
              </w:rPr>
              <w:t>新型工业基地位于五通桥城区以南，岷江左岸 1 公里外，东至金粟镇五一村、西至竹根镇红军村、南至金粟镇老龙坝村、北至金山镇民安村</w:t>
            </w:r>
          </w:p>
        </w:tc>
        <w:tc>
          <w:tcPr>
            <w:tcW w:w="193" w:type="pct"/>
            <w:vAlign w:val="center"/>
          </w:tcPr>
          <w:p>
            <w:pPr>
              <w:pStyle w:val="99"/>
              <w:spacing w:line="240" w:lineRule="auto"/>
            </w:pPr>
            <w:r>
              <w:t>16.13</w:t>
            </w:r>
          </w:p>
        </w:tc>
        <w:tc>
          <w:tcPr>
            <w:tcW w:w="296" w:type="pct"/>
            <w:vAlign w:val="center"/>
          </w:tcPr>
          <w:p>
            <w:pPr>
              <w:pStyle w:val="99"/>
              <w:spacing w:line="240" w:lineRule="auto"/>
            </w:pPr>
            <w:r>
              <w:t>基地园区产业发展形成三大板块产业链，即新能源（含晶硅光伏）产业链、化工新材料（含精细化工）产业链、稀土及功能材料产业链</w:t>
            </w:r>
          </w:p>
        </w:tc>
        <w:tc>
          <w:tcPr>
            <w:tcW w:w="347" w:type="pct"/>
            <w:vAlign w:val="center"/>
          </w:tcPr>
          <w:p>
            <w:pPr>
              <w:pStyle w:val="99"/>
              <w:spacing w:line="240" w:lineRule="auto"/>
            </w:pPr>
            <w:r>
              <w:t>五通桥新型工业基地控制性详细规划的批复</w:t>
            </w:r>
          </w:p>
          <w:p>
            <w:pPr>
              <w:pStyle w:val="99"/>
              <w:spacing w:line="240" w:lineRule="auto"/>
              <w:rPr>
                <w:bCs/>
              </w:rPr>
            </w:pPr>
            <w:r>
              <w:t>五府复〔2023〕31号</w:t>
            </w:r>
          </w:p>
        </w:tc>
        <w:tc>
          <w:tcPr>
            <w:tcW w:w="160" w:type="pct"/>
            <w:vAlign w:val="center"/>
          </w:tcPr>
          <w:p>
            <w:pPr>
              <w:pStyle w:val="99"/>
              <w:spacing w:line="240" w:lineRule="auto"/>
            </w:pPr>
            <w:r>
              <w:t>市级</w:t>
            </w:r>
          </w:p>
        </w:tc>
        <w:tc>
          <w:tcPr>
            <w:tcW w:w="3238" w:type="pct"/>
            <w:vAlign w:val="center"/>
          </w:tcPr>
          <w:p>
            <w:pPr>
              <w:pStyle w:val="108"/>
              <w:spacing w:line="240" w:lineRule="auto"/>
              <w:rPr>
                <w:rFonts w:ascii="Times New Roman" w:hAnsi="Times New Roman" w:eastAsia="仿宋_GB2312"/>
                <w:sz w:val="18"/>
              </w:rPr>
            </w:pPr>
            <w:r>
              <w:rPr>
                <w:rFonts w:ascii="Times New Roman" w:hAnsi="Times New Roman" w:eastAsia="仿宋_GB2312"/>
                <w:sz w:val="18"/>
              </w:rPr>
              <w:drawing>
                <wp:inline distT="0" distB="0" distL="114300" distR="114300">
                  <wp:extent cx="5749290" cy="3707765"/>
                  <wp:effectExtent l="0" t="0" r="3810" b="6985"/>
                  <wp:docPr id="9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3"/>
                          <pic:cNvPicPr>
                            <a:picLocks noChangeAspect="1"/>
                          </pic:cNvPicPr>
                        </pic:nvPicPr>
                        <pic:blipFill>
                          <a:blip r:embed="rId46"/>
                          <a:stretch>
                            <a:fillRect/>
                          </a:stretch>
                        </pic:blipFill>
                        <pic:spPr>
                          <a:xfrm>
                            <a:off x="0" y="0"/>
                            <a:ext cx="5749290" cy="3707765"/>
                          </a:xfrm>
                          <a:prstGeom prst="rect">
                            <a:avLst/>
                          </a:prstGeom>
                          <a:noFill/>
                          <a:ln>
                            <a:noFill/>
                          </a:ln>
                        </pic:spPr>
                      </pic:pic>
                    </a:graphicData>
                  </a:graphic>
                </wp:inline>
              </w:drawing>
            </w:r>
          </w:p>
        </w:tc>
      </w:tr>
      <w:tr>
        <w:tblPrEx>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Ex>
        <w:tc>
          <w:tcPr>
            <w:tcW w:w="257" w:type="pct"/>
            <w:vAlign w:val="center"/>
          </w:tcPr>
          <w:p>
            <w:pPr>
              <w:pStyle w:val="99"/>
              <w:spacing w:line="240" w:lineRule="auto"/>
            </w:pPr>
            <w:r>
              <w:t>2022.10</w:t>
            </w:r>
          </w:p>
        </w:tc>
        <w:tc>
          <w:tcPr>
            <w:tcW w:w="159" w:type="pct"/>
            <w:vAlign w:val="center"/>
          </w:tcPr>
          <w:p>
            <w:pPr>
              <w:pStyle w:val="99"/>
              <w:spacing w:line="240" w:lineRule="auto"/>
              <w:rPr>
                <w:bCs/>
              </w:rPr>
            </w:pPr>
            <w:r>
              <w:rPr>
                <w:bCs/>
              </w:rPr>
              <w:t>乐山五通桥化工园区</w:t>
            </w:r>
          </w:p>
        </w:tc>
        <w:tc>
          <w:tcPr>
            <w:tcW w:w="347" w:type="pct"/>
            <w:vAlign w:val="center"/>
          </w:tcPr>
          <w:p>
            <w:pPr>
              <w:pStyle w:val="99"/>
              <w:spacing w:line="240" w:lineRule="auto"/>
              <w:rPr>
                <w:lang w:val="zh-CN"/>
              </w:rPr>
            </w:pPr>
            <w:r>
              <w:rPr>
                <w:lang w:val="zh-CN"/>
              </w:rPr>
              <w:t>位于岷江岸线1km以外乐山市五通桥区最南端，园区东至金粟镇五一村，南至金粟镇会云村，西至竹根镇红军村，北至金山镇民安村。主要涉及金粟镇的共裕村、平桥村、会云村、井房坳村、印盒山村，杨柳镇的红豆村，金山镇的六塘村、民安村和杏林村</w:t>
            </w:r>
          </w:p>
        </w:tc>
        <w:tc>
          <w:tcPr>
            <w:tcW w:w="193" w:type="pct"/>
            <w:vAlign w:val="center"/>
          </w:tcPr>
          <w:p>
            <w:pPr>
              <w:pStyle w:val="99"/>
              <w:spacing w:line="240" w:lineRule="auto"/>
            </w:pPr>
            <w:r>
              <w:t>11.29</w:t>
            </w:r>
          </w:p>
        </w:tc>
        <w:tc>
          <w:tcPr>
            <w:tcW w:w="296" w:type="pct"/>
            <w:vAlign w:val="center"/>
          </w:tcPr>
          <w:p>
            <w:pPr>
              <w:pStyle w:val="99"/>
              <w:spacing w:line="240" w:lineRule="auto"/>
            </w:pPr>
            <w:r>
              <w:t>依托现有产业基础，结合市场发展趋势，优化升级盐磷化工产业、延伸发展硅氟等化工新材料产业和循环发展综合利用产业</w:t>
            </w:r>
          </w:p>
        </w:tc>
        <w:tc>
          <w:tcPr>
            <w:tcW w:w="347" w:type="pct"/>
            <w:vAlign w:val="center"/>
          </w:tcPr>
          <w:p>
            <w:pPr>
              <w:pStyle w:val="99"/>
              <w:spacing w:line="240" w:lineRule="auto"/>
            </w:pPr>
            <w:r>
              <w:t>区政府会议纪要，</w:t>
            </w:r>
            <w:r>
              <w:rPr>
                <w:bCs/>
              </w:rPr>
              <w:t>推进申报省级化工园区的工作（五府定〔2022〕489号）；乐山五通桥化工园区总体规划批复（五府定〔2022〕489号</w:t>
            </w:r>
          </w:p>
        </w:tc>
        <w:tc>
          <w:tcPr>
            <w:tcW w:w="160" w:type="pct"/>
            <w:vAlign w:val="center"/>
          </w:tcPr>
          <w:p>
            <w:pPr>
              <w:pStyle w:val="99"/>
              <w:spacing w:line="240" w:lineRule="auto"/>
            </w:pPr>
            <w:r>
              <w:t>省级（拟申报</w:t>
            </w:r>
            <w:r>
              <w:rPr>
                <w:bCs/>
              </w:rPr>
              <w:t>省级</w:t>
            </w:r>
            <w:r>
              <w:t>化工</w:t>
            </w:r>
            <w:r>
              <w:rPr>
                <w:bCs/>
              </w:rPr>
              <w:t>园区）</w:t>
            </w:r>
          </w:p>
        </w:tc>
        <w:tc>
          <w:tcPr>
            <w:tcW w:w="3238" w:type="pct"/>
            <w:vAlign w:val="center"/>
          </w:tcPr>
          <w:p>
            <w:pPr>
              <w:widowControl/>
              <w:ind w:firstLine="0" w:firstLineChars="0"/>
              <w:jc w:val="left"/>
              <w:rPr>
                <w:sz w:val="18"/>
              </w:rPr>
            </w:pPr>
            <w:r>
              <w:rPr>
                <w:kern w:val="0"/>
                <w:sz w:val="18"/>
              </w:rPr>
              <w:drawing>
                <wp:inline distT="0" distB="0" distL="114300" distR="114300">
                  <wp:extent cx="5768340" cy="3644900"/>
                  <wp:effectExtent l="0" t="0" r="3810" b="12700"/>
                  <wp:docPr id="55" name="图片 6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5" descr="IMG_256"/>
                          <pic:cNvPicPr>
                            <a:picLocks noChangeAspect="1"/>
                          </pic:cNvPicPr>
                        </pic:nvPicPr>
                        <pic:blipFill>
                          <a:blip r:embed="rId47"/>
                          <a:stretch>
                            <a:fillRect/>
                          </a:stretch>
                        </pic:blipFill>
                        <pic:spPr>
                          <a:xfrm>
                            <a:off x="0" y="0"/>
                            <a:ext cx="5768340" cy="3644900"/>
                          </a:xfrm>
                          <a:prstGeom prst="rect">
                            <a:avLst/>
                          </a:prstGeom>
                          <a:noFill/>
                          <a:ln w="9525">
                            <a:noFill/>
                          </a:ln>
                        </pic:spPr>
                      </pic:pic>
                    </a:graphicData>
                  </a:graphic>
                </wp:inline>
              </w:drawing>
            </w:r>
          </w:p>
        </w:tc>
      </w:tr>
    </w:tbl>
    <w:p>
      <w:pPr>
        <w:pStyle w:val="7"/>
        <w:sectPr>
          <w:pgSz w:w="16838" w:h="11905" w:orient="landscape"/>
          <w:pgMar w:top="1417" w:right="1417" w:bottom="1417" w:left="1417" w:header="850" w:footer="992" w:gutter="0"/>
          <w:cols w:space="720" w:num="1"/>
          <w:docGrid w:linePitch="312" w:charSpace="0"/>
        </w:sectPr>
      </w:pPr>
    </w:p>
    <w:p>
      <w:pPr>
        <w:pStyle w:val="7"/>
      </w:pPr>
      <w:r>
        <w:t>1.1.1.3区域情况</w:t>
      </w:r>
    </w:p>
    <w:p>
      <w:pPr>
        <w:ind w:firstLine="482"/>
      </w:pPr>
      <w:r>
        <w:rPr>
          <w:b/>
        </w:rPr>
        <w:t>1、地理位置：</w:t>
      </w:r>
      <w:r>
        <w:rPr>
          <w:bCs/>
        </w:rPr>
        <w:t>五通桥化工园区</w:t>
      </w:r>
      <w:r>
        <w:rPr>
          <w:szCs w:val="21"/>
          <w:lang w:val="zh-CN"/>
        </w:rPr>
        <w:t>地处“一带一路”中南丝绸之路与“长江经济带”交汇点，成都平原和川南、攀西三大城市群结合部，川西盆地向川西南山地过度地带，北邻眉山、成都，东接自贡、内江、顺岷江而下，可达宜宾、泸州、重庆和长江三峡，西接攀枝花、西昌，距乐山主城区约20公里。</w:t>
      </w:r>
      <w:r>
        <w:rPr>
          <w:rFonts w:hint="eastAsia"/>
          <w:szCs w:val="21"/>
          <w:lang w:val="zh-CN"/>
        </w:rPr>
        <w:t>园区</w:t>
      </w:r>
      <w:r>
        <w:rPr>
          <w:szCs w:val="21"/>
          <w:lang w:val="zh-CN"/>
        </w:rPr>
        <w:t>规划范围总面积</w:t>
      </w:r>
      <w:r>
        <w:rPr>
          <w:szCs w:val="21"/>
        </w:rPr>
        <w:t>11.29km</w:t>
      </w:r>
      <w:r>
        <w:rPr>
          <w:szCs w:val="21"/>
          <w:vertAlign w:val="superscript"/>
        </w:rPr>
        <w:t>2</w:t>
      </w:r>
      <w:r>
        <w:rPr>
          <w:szCs w:val="21"/>
          <w:lang w:val="zh-CN"/>
        </w:rPr>
        <w:t>，</w:t>
      </w:r>
      <w:r>
        <w:rPr>
          <w:rFonts w:hint="eastAsia"/>
          <w:szCs w:val="21"/>
          <w:lang w:val="zh-CN"/>
        </w:rPr>
        <w:t>分近远两期规划，近期规划至2025年，规划面积745.56hm</w:t>
      </w:r>
      <w:r>
        <w:rPr>
          <w:rFonts w:hint="eastAsia"/>
          <w:szCs w:val="21"/>
          <w:vertAlign w:val="superscript"/>
          <w:lang w:val="zh-CN"/>
        </w:rPr>
        <w:t>2</w:t>
      </w:r>
      <w:r>
        <w:rPr>
          <w:rFonts w:hint="eastAsia"/>
          <w:szCs w:val="21"/>
          <w:lang w:val="zh-CN"/>
        </w:rPr>
        <w:t>；远期规划至2035年，规划面积383.62hm</w:t>
      </w:r>
      <w:r>
        <w:rPr>
          <w:rFonts w:hint="eastAsia"/>
          <w:szCs w:val="21"/>
          <w:vertAlign w:val="superscript"/>
          <w:lang w:val="zh-CN"/>
        </w:rPr>
        <w:t>2</w:t>
      </w:r>
      <w:r>
        <w:rPr>
          <w:rFonts w:hint="eastAsia"/>
          <w:szCs w:val="21"/>
          <w:lang w:val="zh-CN"/>
        </w:rPr>
        <w:t>。园区</w:t>
      </w:r>
      <w:r>
        <w:rPr>
          <w:szCs w:val="21"/>
          <w:lang w:val="zh-CN"/>
        </w:rPr>
        <w:t>位于岷江岸线1km以外乐山市五通桥区最南端，东至金粟镇五一村，南至金粟镇会云村，西至竹根镇红军村，北至金山镇民安村。涉及金粟镇的共裕村、平桥村、会云村、井房坳村、印盒山村，杨柳镇的红豆村，金山镇的六塘村、民安村和杏林村。</w:t>
      </w:r>
      <w:r>
        <w:rPr>
          <w:rFonts w:hint="eastAsia"/>
          <w:szCs w:val="21"/>
          <w:lang w:val="zh-CN"/>
        </w:rPr>
        <w:t>发展定位为四川省能源化工及先进材料产业的绿色化工园区。</w:t>
      </w:r>
      <w:r>
        <w:rPr>
          <w:szCs w:val="21"/>
          <w:lang w:val="zh-CN"/>
        </w:rPr>
        <w:t>详见图</w:t>
      </w:r>
      <w:r>
        <w:rPr>
          <w:szCs w:val="21"/>
        </w:rPr>
        <w:t>1.1-1</w:t>
      </w:r>
      <w:r>
        <w:rPr>
          <w:szCs w:val="21"/>
          <w:lang w:val="zh-CN"/>
        </w:rPr>
        <w:t>。</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58"/>
        <w:gridCol w:w="462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gridSpan w:val="2"/>
          </w:tcPr>
          <w:p>
            <w:pPr>
              <w:spacing w:line="240" w:lineRule="auto"/>
              <w:ind w:firstLine="0" w:firstLineChars="0"/>
              <w:jc w:val="center"/>
              <w:rPr>
                <w:b/>
                <w:sz w:val="21"/>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gridSpan w:val="2"/>
          </w:tcPr>
          <w:p>
            <w:pPr>
              <w:spacing w:line="240" w:lineRule="auto"/>
              <w:ind w:firstLine="0" w:firstLineChars="0"/>
              <w:jc w:val="center"/>
              <w:rPr>
                <w:b/>
                <w:sz w:val="21"/>
                <w:szCs w:val="21"/>
              </w:rPr>
            </w:pPr>
            <w:r>
              <w:drawing>
                <wp:inline distT="0" distB="0" distL="114300" distR="114300">
                  <wp:extent cx="5744845" cy="2571750"/>
                  <wp:effectExtent l="19050" t="0" r="8255" b="0"/>
                  <wp:docPr id="65"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06"/>
                          <pic:cNvPicPr>
                            <a:picLocks noChangeAspect="1"/>
                          </pic:cNvPicPr>
                        </pic:nvPicPr>
                        <pic:blipFill>
                          <a:blip r:embed="rId48"/>
                          <a:stretch>
                            <a:fillRect/>
                          </a:stretch>
                        </pic:blipFill>
                        <pic:spPr>
                          <a:xfrm>
                            <a:off x="0" y="0"/>
                            <a:ext cx="5744845" cy="257175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tcPr>
          <w:p>
            <w:pPr>
              <w:spacing w:line="240" w:lineRule="auto"/>
              <w:ind w:firstLine="0" w:firstLineChars="0"/>
            </w:pPr>
            <w:r>
              <w:drawing>
                <wp:inline distT="0" distB="0" distL="114300" distR="114300">
                  <wp:extent cx="2853690" cy="2433320"/>
                  <wp:effectExtent l="0" t="0" r="3810" b="5080"/>
                  <wp:docPr id="61"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7"/>
                          <pic:cNvPicPr>
                            <a:picLocks noChangeAspect="1"/>
                          </pic:cNvPicPr>
                        </pic:nvPicPr>
                        <pic:blipFill>
                          <a:blip r:embed="rId49"/>
                          <a:stretch>
                            <a:fillRect/>
                          </a:stretch>
                        </pic:blipFill>
                        <pic:spPr>
                          <a:xfrm>
                            <a:off x="0" y="0"/>
                            <a:ext cx="2853690" cy="2433320"/>
                          </a:xfrm>
                          <a:prstGeom prst="rect">
                            <a:avLst/>
                          </a:prstGeom>
                          <a:noFill/>
                          <a:ln>
                            <a:noFill/>
                          </a:ln>
                        </pic:spPr>
                      </pic:pic>
                    </a:graphicData>
                  </a:graphic>
                </wp:inline>
              </w:drawing>
            </w:r>
          </w:p>
        </w:tc>
        <w:tc>
          <w:tcPr>
            <w:tcW w:w="4644" w:type="dxa"/>
          </w:tcPr>
          <w:p>
            <w:pPr>
              <w:spacing w:line="240" w:lineRule="auto"/>
              <w:ind w:firstLine="0" w:firstLineChars="0"/>
              <w:jc w:val="center"/>
            </w:pPr>
            <w:r>
              <w:drawing>
                <wp:inline distT="0" distB="0" distL="114300" distR="114300">
                  <wp:extent cx="2837815" cy="2433320"/>
                  <wp:effectExtent l="0" t="0" r="635" b="5080"/>
                  <wp:docPr id="5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6"/>
                          <pic:cNvPicPr>
                            <a:picLocks noChangeAspect="1"/>
                          </pic:cNvPicPr>
                        </pic:nvPicPr>
                        <pic:blipFill>
                          <a:blip r:embed="rId50"/>
                          <a:stretch>
                            <a:fillRect/>
                          </a:stretch>
                        </pic:blipFill>
                        <pic:spPr>
                          <a:xfrm>
                            <a:off x="0" y="0"/>
                            <a:ext cx="2837815" cy="243332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gridSpan w:val="2"/>
          </w:tcPr>
          <w:p>
            <w:pPr>
              <w:spacing w:line="240" w:lineRule="auto"/>
              <w:ind w:firstLine="0" w:firstLineChars="0"/>
              <w:jc w:val="center"/>
              <w:rPr>
                <w:b/>
                <w:sz w:val="21"/>
                <w:szCs w:val="21"/>
              </w:rPr>
            </w:pPr>
            <w:r>
              <w:rPr>
                <w:b/>
                <w:sz w:val="21"/>
                <w:szCs w:val="21"/>
              </w:rPr>
              <w:t>图1.1-1项目区地理位置图</w:t>
            </w:r>
          </w:p>
        </w:tc>
      </w:tr>
    </w:tbl>
    <w:p>
      <w:pPr>
        <w:ind w:firstLine="482"/>
        <w:rPr>
          <w:rFonts w:hint="eastAsia" w:eastAsia="仿宋_GB2312"/>
          <w:b/>
          <w:lang w:eastAsia="zh-CN"/>
        </w:rPr>
      </w:pPr>
      <w:r>
        <w:rPr>
          <w:b/>
        </w:rPr>
        <w:t>2、建设单位：</w:t>
      </w:r>
      <w:r>
        <w:rPr>
          <w:rFonts w:hint="eastAsia"/>
          <w:bCs/>
          <w:lang w:eastAsia="zh-CN"/>
        </w:rPr>
        <w:t>四川五通桥经济开发区管理委员会（原乐山高新区五通桥基地管理委员会）</w:t>
      </w:r>
    </w:p>
    <w:p>
      <w:pPr>
        <w:ind w:firstLine="482"/>
      </w:pPr>
      <w:r>
        <w:rPr>
          <w:b/>
        </w:rPr>
        <w:t>3、建设性质：</w:t>
      </w:r>
      <w:r>
        <w:t>新建、建设类、开发区项目</w:t>
      </w:r>
    </w:p>
    <w:p>
      <w:pPr>
        <w:widowControl/>
        <w:ind w:firstLine="482"/>
        <w:rPr>
          <w:snapToGrid w:val="0"/>
        </w:rPr>
      </w:pPr>
      <w:r>
        <w:rPr>
          <w:b/>
        </w:rPr>
        <w:t>4、</w:t>
      </w:r>
      <w:r>
        <w:rPr>
          <w:b/>
          <w:bCs/>
          <w:szCs w:val="21"/>
        </w:rPr>
        <w:t>项目组成：</w:t>
      </w:r>
      <w:r>
        <w:rPr>
          <w:szCs w:val="21"/>
        </w:rPr>
        <w:t>项目主要由</w:t>
      </w:r>
      <w:r>
        <w:t>工业用地区、道路与交通设施用地区、公用设施用地区、绿地与广场用地区</w:t>
      </w:r>
      <w:r>
        <w:rPr>
          <w:szCs w:val="21"/>
        </w:rPr>
        <w:t>、临时堆场区组成</w:t>
      </w:r>
      <w:r>
        <w:rPr>
          <w:kern w:val="0"/>
          <w:szCs w:val="24"/>
        </w:rPr>
        <w:t>。</w:t>
      </w:r>
    </w:p>
    <w:p>
      <w:pPr>
        <w:ind w:firstLine="482"/>
      </w:pPr>
      <w:r>
        <w:rPr>
          <w:b/>
          <w:bCs/>
        </w:rPr>
        <w:t>5、园区规划期：</w:t>
      </w:r>
      <w:r>
        <w:t>根据《乐山五通桥化工园区总体规划》（2022—2035），园区整体规划期限为2022年~2035年，其中近期为2022年~2025年；远期为2026年~2035年。根据川水函〔2020〕1246号要求，“开发建设总期限超过5年的开发区，应当分期编报、办理水土保持区域评估批准手续”。由于园区自2019年9月开始建设，本次水土保持区域评估报告按照“以新带旧”的原则，将园区内建成的区域一并纳入本次评估范围。本次评估报告服务期满后应重新编报化工园区水土保持区域评估报告</w:t>
      </w:r>
      <w:r>
        <w:rPr>
          <w:szCs w:val="24"/>
        </w:rPr>
        <w:t>。</w:t>
      </w:r>
    </w:p>
    <w:p>
      <w:pPr>
        <w:ind w:firstLine="482"/>
        <w:rPr>
          <w:b/>
        </w:rPr>
      </w:pPr>
      <w:r>
        <w:rPr>
          <w:b/>
        </w:rPr>
        <w:t>6、</w:t>
      </w:r>
      <w:r>
        <w:rPr>
          <w:b/>
          <w:bCs/>
        </w:rPr>
        <w:t>拆迁（</w:t>
      </w:r>
      <w:r>
        <w:rPr>
          <w:b/>
        </w:rPr>
        <w:t>移民）安置与专项设施改（迁）建</w:t>
      </w:r>
    </w:p>
    <w:p>
      <w:pPr>
        <w:ind w:firstLine="480"/>
      </w:pPr>
      <w:r>
        <w:t>本项目不涉及拆迁（移民）安置与专项设施改（迁）建。</w:t>
      </w:r>
    </w:p>
    <w:p>
      <w:pPr>
        <w:ind w:firstLine="482"/>
      </w:pPr>
      <w:r>
        <w:rPr>
          <w:b/>
        </w:rPr>
        <w:t>7、</w:t>
      </w:r>
      <w:r>
        <w:rPr>
          <w:b/>
          <w:bCs/>
        </w:rPr>
        <w:t>发展定位：</w:t>
      </w:r>
      <w:r>
        <w:t>根据四川省委赋予乐山的重大使命，结合现代工业发展趋势、基础条件分析，规划园区发展定位为：</w:t>
      </w:r>
      <w:r>
        <w:rPr>
          <w:b/>
          <w:bCs/>
        </w:rPr>
        <w:t>四川省能源化工及先进材料产业的核心区</w:t>
      </w:r>
      <w:r>
        <w:t>、</w:t>
      </w:r>
      <w:r>
        <w:rPr>
          <w:b/>
          <w:bCs/>
        </w:rPr>
        <w:t>西南地区重要的化工产业聚集区</w:t>
      </w:r>
      <w:r>
        <w:t>、</w:t>
      </w:r>
      <w:r>
        <w:rPr>
          <w:b/>
          <w:bCs/>
        </w:rPr>
        <w:t>国内具有重要影响、循环经济特色鲜明的绿色化工园区</w:t>
      </w:r>
      <w:r>
        <w:t>。</w:t>
      </w:r>
    </w:p>
    <w:p>
      <w:pPr>
        <w:ind w:firstLine="482"/>
      </w:pPr>
      <w:r>
        <w:rPr>
          <w:b/>
        </w:rPr>
        <w:t>8、工程投资：</w:t>
      </w:r>
      <w:r>
        <w:t>至规划远期（2035年）规划总投资约838.7亿元，其中至近期规划（2025年）规划总投资约374亿元。</w:t>
      </w:r>
    </w:p>
    <w:p>
      <w:pPr>
        <w:widowControl/>
        <w:ind w:firstLine="482"/>
      </w:pPr>
      <w:r>
        <w:rPr>
          <w:b/>
          <w:bCs/>
        </w:rPr>
        <w:t>9、用地布局及主要经济技术指标：</w:t>
      </w:r>
      <w:r>
        <w:rPr>
          <w:rFonts w:hint="eastAsia"/>
          <w:kern w:val="0"/>
          <w:szCs w:val="24"/>
        </w:rPr>
        <w:t>园区占地共1129.18公顷，均为永久占地。</w:t>
      </w:r>
      <w:r>
        <w:rPr>
          <w:kern w:val="0"/>
          <w:szCs w:val="24"/>
        </w:rPr>
        <w:t>按用地功能可划分为工业用地957.80hm</w:t>
      </w:r>
      <w:r>
        <w:rPr>
          <w:kern w:val="0"/>
          <w:szCs w:val="24"/>
          <w:vertAlign w:val="superscript"/>
        </w:rPr>
        <w:t>2</w:t>
      </w:r>
      <w:r>
        <w:rPr>
          <w:kern w:val="0"/>
          <w:szCs w:val="24"/>
        </w:rPr>
        <w:t>，占建设用地的84.82%；道路与交通设施用地81.58hm</w:t>
      </w:r>
      <w:r>
        <w:rPr>
          <w:kern w:val="0"/>
          <w:szCs w:val="24"/>
          <w:vertAlign w:val="superscript"/>
        </w:rPr>
        <w:t>2</w:t>
      </w:r>
      <w:r>
        <w:rPr>
          <w:kern w:val="0"/>
          <w:szCs w:val="24"/>
        </w:rPr>
        <w:t>，占建设用地的7.23%；公用设施用地34.34hm</w:t>
      </w:r>
      <w:r>
        <w:rPr>
          <w:kern w:val="0"/>
          <w:szCs w:val="24"/>
          <w:vertAlign w:val="superscript"/>
        </w:rPr>
        <w:t>2</w:t>
      </w:r>
      <w:r>
        <w:rPr>
          <w:kern w:val="0"/>
          <w:szCs w:val="24"/>
        </w:rPr>
        <w:t>，占建设用地的3.04%；绿地与广场用地55.45hm</w:t>
      </w:r>
      <w:r>
        <w:rPr>
          <w:kern w:val="0"/>
          <w:szCs w:val="24"/>
          <w:vertAlign w:val="superscript"/>
        </w:rPr>
        <w:t>2</w:t>
      </w:r>
      <w:r>
        <w:rPr>
          <w:kern w:val="0"/>
          <w:szCs w:val="24"/>
        </w:rPr>
        <w:t>，占建设用地的4.91%。工业用地：容积率≥0.6，建筑密度≥40%，10%≤绿地率≤20%；公用设施用地：容积率、建筑密度均不做控制，绿地率≥15%</w:t>
      </w:r>
      <w:r>
        <w:t>。</w:t>
      </w:r>
    </w:p>
    <w:p>
      <w:pPr>
        <w:ind w:firstLine="482"/>
        <w:rPr>
          <w:b/>
        </w:rPr>
      </w:pPr>
      <w:r>
        <w:rPr>
          <w:b/>
        </w:rPr>
        <w:t>10、土石方平衡</w:t>
      </w:r>
    </w:p>
    <w:p>
      <w:pPr>
        <w:ind w:firstLine="480"/>
      </w:pPr>
      <w:r>
        <w:t>园区土石方总体上按内部平衡、不向外弃方的原则进行平衡。根据园区控规中的开发时序、道路高程、综合管线竖向规划布置、场平控制高程、原地形地貌等资料，园区</w:t>
      </w:r>
      <w:r>
        <w:rPr>
          <w:rFonts w:hint="eastAsia"/>
        </w:rPr>
        <w:t>已建区域和近期规划待建区域土石方挖填总量6024.90万m</w:t>
      </w:r>
      <w:r>
        <w:rPr>
          <w:vertAlign w:val="superscript"/>
        </w:rPr>
        <w:t>3</w:t>
      </w:r>
      <w:r>
        <w:rPr>
          <w:rFonts w:hint="eastAsia"/>
        </w:rPr>
        <w:t>，其中</w:t>
      </w:r>
      <w:r>
        <w:t>土石方挖方总量为3012.45万m</w:t>
      </w:r>
      <w:r>
        <w:rPr>
          <w:vertAlign w:val="superscript"/>
        </w:rPr>
        <w:t>3</w:t>
      </w:r>
      <w:r>
        <w:t>（包含表土剥离</w:t>
      </w:r>
      <w:r>
        <w:rPr>
          <w:rFonts w:hint="eastAsia"/>
        </w:rPr>
        <w:t>165.35万m</w:t>
      </w:r>
      <w:r>
        <w:rPr>
          <w:vertAlign w:val="superscript"/>
        </w:rPr>
        <w:t>3</w:t>
      </w:r>
      <w:r>
        <w:t>），填方总量为3012.45万m</w:t>
      </w:r>
      <w:r>
        <w:rPr>
          <w:vertAlign w:val="superscript"/>
        </w:rPr>
        <w:t>3</w:t>
      </w:r>
      <w:r>
        <w:t>（含表土回覆</w:t>
      </w:r>
      <w:r>
        <w:rPr>
          <w:rFonts w:hint="eastAsia"/>
        </w:rPr>
        <w:t>165.35万m</w:t>
      </w:r>
      <w:r>
        <w:rPr>
          <w:vertAlign w:val="superscript"/>
        </w:rPr>
        <w:t>3</w:t>
      </w:r>
      <w:r>
        <w:t>），无</w:t>
      </w:r>
      <w:r>
        <w:rPr>
          <w:rFonts w:hint="eastAsia"/>
        </w:rPr>
        <w:t>永久弃方</w:t>
      </w:r>
      <w:r>
        <w:t>、借方</w:t>
      </w:r>
      <w:r>
        <w:rPr>
          <w:rFonts w:hint="eastAsia"/>
        </w:rPr>
        <w:t>；规划红线范围内设表土临时堆放场6处、土石方中转场5处。</w:t>
      </w:r>
    </w:p>
    <w:p>
      <w:pPr>
        <w:pStyle w:val="6"/>
      </w:pPr>
      <w:r>
        <w:t>1.1.2项目前期工作进展情况</w:t>
      </w:r>
    </w:p>
    <w:p>
      <w:pPr>
        <w:ind w:firstLine="480"/>
      </w:pPr>
      <w:r>
        <w:rPr>
          <w:bCs/>
        </w:rPr>
        <w:t>2019年9月18日，乐山市人民政府以“乐山市人民政府关于设立五通桥新型工业基地的批复（乐府函复〔2019〕25号）”，同意设立五通桥新型工业基地</w:t>
      </w:r>
      <w:r>
        <w:t>；</w:t>
      </w:r>
    </w:p>
    <w:p>
      <w:pPr>
        <w:ind w:firstLine="480"/>
      </w:pPr>
      <w:r>
        <w:rPr>
          <w:bCs/>
        </w:rPr>
        <w:t>2020年1月14日，乐山市人民政府办公室以“乐山市人民政府办公室关于调整五通桥新型工业基地规划范围议定事项的通知（乐府常定〔2020〕13号）”，同意调整五通桥新型工业基地规划范围为36.07km</w:t>
      </w:r>
      <w:r>
        <w:rPr>
          <w:bCs/>
          <w:vertAlign w:val="superscript"/>
        </w:rPr>
        <w:t>2</w:t>
      </w:r>
      <w:r>
        <w:t>；</w:t>
      </w:r>
    </w:p>
    <w:p>
      <w:pPr>
        <w:ind w:firstLine="480"/>
      </w:pPr>
      <w:r>
        <w:rPr>
          <w:bCs/>
        </w:rPr>
        <w:t>2020年4月16日，乐山市五通桥区人民政府以“乐山市五通桥区人民政府关于修正五通桥新型工业基地规划面积的请示（五府〔2020〕13号）”，向乐山市人民政府发文申请将五通桥新型工业基地规划面积修正为26.64km</w:t>
      </w:r>
      <w:r>
        <w:rPr>
          <w:bCs/>
          <w:vertAlign w:val="superscript"/>
        </w:rPr>
        <w:t>2</w:t>
      </w:r>
      <w:r>
        <w:rPr>
          <w:bCs/>
        </w:rPr>
        <w:t>，乐山市人民政府办公室以“乐山市人民政府办公室办公通知（B〔2020〕秘书三科-42号）”，同意了乐山市五通桥区人民政府关于修正五通桥新型工业基地规划面积的请示；</w:t>
      </w:r>
    </w:p>
    <w:p>
      <w:pPr>
        <w:ind w:firstLine="480"/>
      </w:pPr>
      <w:r>
        <w:rPr>
          <w:bCs/>
        </w:rPr>
        <w:t>2022年5月30日，乐山市五通桥区人民政府组织召开了五通桥区省级化工园区申报认定工作推进会，确定乐山高新区五通桥基地管理委员会作为业主单位，牵头推进申报省级化工园区的工作，并于2022年6月6日形成会议纪要；</w:t>
      </w:r>
    </w:p>
    <w:p>
      <w:pPr>
        <w:ind w:firstLine="480"/>
      </w:pPr>
      <w:r>
        <w:t>2022年10月，</w:t>
      </w:r>
      <w:r>
        <w:rPr>
          <w:bCs/>
        </w:rPr>
        <w:t>乐山高新区五通桥基地管理委员会委托重庆同丰工程管理咨询有限公司编制完成了《乐山五通桥化工园区总体规划》，并于10月27日取得乐山市五通桥区人民政府关于乐山五通桥化工园区总体规划（2022-2035年）相关事宜议定事项的通知的文件（五府定〔2022〕489号）。乐山五通桥化工园区总体规划中确定了园区名称为“乐山五通桥化工园区”、园区占地范围为“</w:t>
      </w:r>
      <w:r>
        <w:rPr>
          <w:szCs w:val="21"/>
        </w:rPr>
        <w:t>11.29km</w:t>
      </w:r>
      <w:r>
        <w:rPr>
          <w:szCs w:val="21"/>
          <w:vertAlign w:val="superscript"/>
        </w:rPr>
        <w:t>2</w:t>
      </w:r>
      <w:r>
        <w:rPr>
          <w:bCs/>
        </w:rPr>
        <w:t>，位于新型工业基地内。</w:t>
      </w:r>
    </w:p>
    <w:p>
      <w:pPr>
        <w:ind w:firstLine="480"/>
      </w:pPr>
      <w:r>
        <w:rPr>
          <w:bCs/>
        </w:rPr>
        <w:t>2022年10月，乐山高新区五通桥基地管理委员会委托乐山市城乡规划设计院有限公司编制完成了《五通桥新型工业基地控制性详细规划》，详规中明确了五通桥新型工业基地范围为16.13</w:t>
      </w:r>
      <w:r>
        <w:rPr>
          <w:szCs w:val="21"/>
        </w:rPr>
        <w:t>km</w:t>
      </w:r>
      <w:r>
        <w:rPr>
          <w:szCs w:val="21"/>
          <w:vertAlign w:val="superscript"/>
        </w:rPr>
        <w:t>2</w:t>
      </w:r>
      <w:r>
        <w:rPr>
          <w:bCs/>
        </w:rPr>
        <w:t>，</w:t>
      </w:r>
      <w:r>
        <w:t>整体规划期限为2022年~2035年，其中近期为2022年~2025年；远期为2026年~2035年。本次水土保持区域评估报告服务期取2022年~2025年，设计水平年为服务期后一年，即2026年。详规报告于2023年1月28日取得乐山市五通桥区人民政府关于五通桥新型工业基地控制性详细规划的批复（五府复〔2023〕31号）。</w:t>
      </w:r>
      <w:r>
        <w:rPr>
          <w:bCs/>
        </w:rPr>
        <w:t>“批复”同意《五通桥新型工业基地控制性详细规划》按程序办理。</w:t>
      </w:r>
    </w:p>
    <w:p>
      <w:pPr>
        <w:ind w:firstLine="480"/>
        <w:rPr>
          <w:rFonts w:hint="default" w:eastAsia="仿宋_GB2312"/>
          <w:lang w:val="en-US" w:eastAsia="zh-CN"/>
        </w:rPr>
      </w:pPr>
      <w:r>
        <w:rPr>
          <w:rFonts w:hint="eastAsia"/>
          <w:lang w:val="en-US" w:eastAsia="zh-CN"/>
        </w:rPr>
        <w:t>2023年3月，取得中共乐山市委机构编制委员会办公室关于乐山高新区五通桥基地党工委（管委会）更名的批复（乐编办发〔2023〕14号），批复文件明确了“经市委编委同意，将“中共乐山高新区五通桥基地工作委员会、乐山高新区五通桥基地管理委员会”更名为“中共四川五通桥经济开发区工作委员会、四川五通桥经济开发区管理委员会”（以下简称党工委&lt;管委会&gt;），作为四川五通桥经济开发区管理机构，党工委与管委会合署办公”。</w:t>
      </w:r>
    </w:p>
    <w:p>
      <w:pPr>
        <w:ind w:firstLine="480"/>
      </w:pPr>
      <w:r>
        <w:t>2022年11月，乐山高新区五通桥基地管理委员会委托四川省水利科学研究院（以下简称“我院”）编制本项目水土保持</w:t>
      </w:r>
      <w:r>
        <w:rPr>
          <w:rFonts w:hint="eastAsia"/>
        </w:rPr>
        <w:t>区域评估</w:t>
      </w:r>
      <w:r>
        <w:t>报告（委托书详见附件1），在接到任务后，我院方案编制组在对项目前期工作进程和成果认真分析研究后，制定了详细的工作计划；2022年11月我院组织技术人员对工程现场进行了调查和实地踏勘，并广泛收集了相关资料。</w:t>
      </w:r>
      <w:r>
        <w:rPr>
          <w:szCs w:val="24"/>
          <w:shd w:val="clear" w:color="auto" w:fill="FFFFFF"/>
        </w:rPr>
        <w:t>202</w:t>
      </w:r>
      <w:r>
        <w:rPr>
          <w:rFonts w:hint="eastAsia"/>
          <w:szCs w:val="24"/>
          <w:shd w:val="clear" w:color="auto" w:fill="FFFFFF"/>
        </w:rPr>
        <w:t>2</w:t>
      </w:r>
      <w:r>
        <w:rPr>
          <w:szCs w:val="24"/>
          <w:shd w:val="clear" w:color="auto" w:fill="FFFFFF"/>
        </w:rPr>
        <w:t>年</w:t>
      </w:r>
      <w:r>
        <w:rPr>
          <w:rFonts w:hint="eastAsia"/>
          <w:szCs w:val="24"/>
          <w:shd w:val="clear" w:color="auto" w:fill="FFFFFF"/>
        </w:rPr>
        <w:t>12</w:t>
      </w:r>
      <w:r>
        <w:rPr>
          <w:szCs w:val="24"/>
          <w:shd w:val="clear" w:color="auto" w:fill="FFFFFF"/>
        </w:rPr>
        <w:t>月</w:t>
      </w:r>
      <w:r>
        <w:rPr>
          <w:rFonts w:hint="eastAsia"/>
          <w:szCs w:val="24"/>
          <w:shd w:val="clear" w:color="auto" w:fill="FFFFFF"/>
        </w:rPr>
        <w:t>29</w:t>
      </w:r>
      <w:r>
        <w:rPr>
          <w:szCs w:val="24"/>
          <w:shd w:val="clear" w:color="auto" w:fill="FFFFFF"/>
        </w:rPr>
        <w:t>日，四川省水利厅</w:t>
      </w:r>
      <w:r>
        <w:rPr>
          <w:rFonts w:hint="eastAsia"/>
          <w:szCs w:val="24"/>
          <w:shd w:val="clear" w:color="auto" w:fill="FFFFFF"/>
        </w:rPr>
        <w:t>委托四川省水利规划设计研究院</w:t>
      </w:r>
      <w:r>
        <w:rPr>
          <w:szCs w:val="24"/>
          <w:shd w:val="clear" w:color="auto" w:fill="FFFFFF"/>
        </w:rPr>
        <w:t>组织有关单位和专家在四川省成都市对《</w:t>
      </w:r>
      <w:r>
        <w:rPr>
          <w:rFonts w:hint="eastAsia"/>
          <w:szCs w:val="24"/>
          <w:shd w:val="clear" w:color="auto" w:fill="FFFFFF"/>
        </w:rPr>
        <w:t>乐山五通桥化工园区</w:t>
      </w:r>
      <w:r>
        <w:rPr>
          <w:szCs w:val="24"/>
          <w:shd w:val="clear" w:color="auto" w:fill="FFFFFF"/>
        </w:rPr>
        <w:t>水土保持区域评估报告</w:t>
      </w:r>
      <w:r>
        <w:rPr>
          <w:rFonts w:hint="eastAsia"/>
          <w:szCs w:val="24"/>
          <w:shd w:val="clear" w:color="auto" w:fill="FFFFFF"/>
        </w:rPr>
        <w:t>（送审稿）</w:t>
      </w:r>
      <w:r>
        <w:rPr>
          <w:szCs w:val="24"/>
          <w:shd w:val="clear" w:color="auto" w:fill="FFFFFF"/>
        </w:rPr>
        <w:t>》开展技术评审。</w:t>
      </w:r>
      <w:r>
        <w:rPr>
          <w:rFonts w:hint="eastAsia"/>
          <w:szCs w:val="24"/>
          <w:shd w:val="clear" w:color="auto" w:fill="FFFFFF"/>
        </w:rPr>
        <w:t>会后，我单位根据技术评审意见认真修改、完善，于2023年3月编制完成《乐山五通桥化工园区</w:t>
      </w:r>
      <w:r>
        <w:rPr>
          <w:szCs w:val="24"/>
          <w:shd w:val="clear" w:color="auto" w:fill="FFFFFF"/>
        </w:rPr>
        <w:t>水土保持区域评估报告</w:t>
      </w:r>
      <w:r>
        <w:rPr>
          <w:rFonts w:hint="eastAsia"/>
          <w:szCs w:val="24"/>
          <w:shd w:val="clear" w:color="auto" w:fill="FFFFFF"/>
        </w:rPr>
        <w:t>（报批稿）》。</w:t>
      </w:r>
    </w:p>
    <w:p>
      <w:pPr>
        <w:pStyle w:val="6"/>
      </w:pPr>
      <w:r>
        <w:t>1.1.3自然简况</w:t>
      </w:r>
    </w:p>
    <w:p>
      <w:pPr>
        <w:pStyle w:val="46"/>
        <w:ind w:firstLine="480"/>
      </w:pPr>
      <w:r>
        <w:t>园区大地构造位置处于上扬子台拗﹙Ⅱ级﹚，峨眉山断拱（Ⅲ级），峨边穹断穹﹙Ⅳ级﹚与四川台拗﹙Ⅱ级﹚，四川台坳（Ⅲ级），威远～龙女寺台穹﹙Ⅳ级﹚的接合部位的老龙坝背斜的北西冀。构造以近南北向与北东东向穹窿构造为主，断裂不发育。区内断裂构造和地震活动较微弱，历史上从未发生过强烈地震，从地壳稳定性来看应属稳定区，无滑坡、崩塌及泥石流等不良地质情况。</w:t>
      </w:r>
    </w:p>
    <w:p>
      <w:pPr>
        <w:ind w:firstLine="480"/>
        <w:rPr>
          <w:snapToGrid w:val="0"/>
          <w:kern w:val="0"/>
          <w:szCs w:val="24"/>
        </w:rPr>
      </w:pPr>
      <w:r>
        <w:t>园区地处四川盆地西南，五通桥区南部，区域上属于三级盆地中切丘陵区。处于岷江左岸，沿江为平坝，往东为丘陵区。总的地势北高南低，北东高南西低。园区北部山顶，海拔452.12m，最低点海拔369.25m，相对高差82.87m。</w:t>
      </w:r>
    </w:p>
    <w:p>
      <w:pPr>
        <w:adjustRightInd w:val="0"/>
        <w:snapToGrid w:val="0"/>
        <w:ind w:firstLine="480"/>
      </w:pPr>
      <w:r>
        <w:rPr>
          <w:snapToGrid w:val="0"/>
          <w:kern w:val="0"/>
          <w:szCs w:val="24"/>
        </w:rPr>
        <w:t>五通桥区属</w:t>
      </w:r>
      <w:r>
        <w:rPr>
          <w:rFonts w:hint="eastAsia"/>
          <w:snapToGrid w:val="0"/>
          <w:kern w:val="0"/>
          <w:szCs w:val="24"/>
        </w:rPr>
        <w:t>亚热带季风湿润气候区</w:t>
      </w:r>
      <w:r>
        <w:rPr>
          <w:snapToGrid w:val="0"/>
          <w:kern w:val="0"/>
          <w:szCs w:val="24"/>
        </w:rPr>
        <w:t>，五通桥区多年年平均气温17.4℃，历年最高、最低气温分别为39.7℃和-1.9℃，多年平均降雨量1231.5mm，历年一日最大雨量326.8mm，相对湿度79.8%，无霜期333天，平均风速1.2m/s，历年最大风速17.0m/s。受气候类型影响，区内雨量年内分配极不均匀，降雨量集中在汛期4～9月，约占年降水量的85.08%</w:t>
      </w:r>
      <w:r>
        <w:t>。根据《五通桥新型工业基地防洪排涝专项规划》，园区规划范围内涉及2条支沟均为岷江左岸一级支沟，即棉花沟和黄鳝洞沟。根据土壤普查所供资料，五通桥区土壤类型主要有水稻土、潮土、紫色土、黄壤、盐土等5个土类、10个亚类、21个土属、41个土种。</w:t>
      </w:r>
      <w:r>
        <w:rPr>
          <w:snapToGrid w:val="0"/>
          <w:spacing w:val="-2"/>
        </w:rPr>
        <w:t>根据园区</w:t>
      </w:r>
      <w:r>
        <w:rPr>
          <w:kern w:val="0"/>
          <w:szCs w:val="24"/>
        </w:rPr>
        <w:t>三调数据图斑中耕地、园地、林地和草地分布情况</w:t>
      </w:r>
      <w:r>
        <w:rPr>
          <w:snapToGrid w:val="0"/>
          <w:spacing w:val="-2"/>
        </w:rPr>
        <w:t>并结合现场调查，</w:t>
      </w:r>
      <w:r>
        <w:rPr>
          <w:snapToGrid w:val="0"/>
          <w:kern w:val="0"/>
          <w:szCs w:val="24"/>
        </w:rPr>
        <w:t>项目区</w:t>
      </w:r>
      <w:r>
        <w:rPr>
          <w:kern w:val="0"/>
        </w:rPr>
        <w:t>可剥离表土面积</w:t>
      </w:r>
      <w:r>
        <w:rPr>
          <w:rFonts w:hint="eastAsia"/>
          <w:kern w:val="0"/>
        </w:rPr>
        <w:t>603.19</w:t>
      </w:r>
      <w:r>
        <w:rPr>
          <w:kern w:val="0"/>
        </w:rPr>
        <w:t>hm</w:t>
      </w:r>
      <w:r>
        <w:rPr>
          <w:vertAlign w:val="superscript"/>
        </w:rPr>
        <w:t>2</w:t>
      </w:r>
      <w:r>
        <w:rPr>
          <w:kern w:val="0"/>
        </w:rPr>
        <w:t>，可剥离厚度0.2~0.4cm，可剥离表土量为</w:t>
      </w:r>
      <w:r>
        <w:rPr>
          <w:rFonts w:hint="eastAsia"/>
          <w:kern w:val="0"/>
        </w:rPr>
        <w:t>179.13万m</w:t>
      </w:r>
      <w:r>
        <w:rPr>
          <w:szCs w:val="24"/>
          <w:vertAlign w:val="superscript"/>
        </w:rPr>
        <w:t>3</w:t>
      </w:r>
      <w:r>
        <w:rPr>
          <w:kern w:val="0"/>
          <w:szCs w:val="24"/>
        </w:rPr>
        <w:t>。</w:t>
      </w:r>
      <w:r>
        <w:rPr>
          <w:bCs/>
          <w:szCs w:val="24"/>
        </w:rPr>
        <w:t>五通桥区地带性植被为亚热带常绿阔叶林，2022年五通桥区全区森林覆盖率为36.93%。</w:t>
      </w:r>
    </w:p>
    <w:p>
      <w:pPr>
        <w:ind w:firstLine="480"/>
      </w:pPr>
      <w:r>
        <w:t>项目区所在乐山市五通桥区属于西南紫色土区，土壤侵蚀类型区以水力侵蚀为主，区域容许土壤流失量为500t/km</w:t>
      </w:r>
      <w:r>
        <w:rPr>
          <w:vertAlign w:val="superscript"/>
        </w:rPr>
        <w:t>2</w:t>
      </w:r>
      <w:r>
        <w:t>·a，项目建设场地水土流失以轻度侵蚀为主，土壤侵蚀模数背景值约为1141.54t/km</w:t>
      </w:r>
      <w:r>
        <w:rPr>
          <w:vertAlign w:val="superscript"/>
        </w:rPr>
        <w:t>2</w:t>
      </w:r>
      <w:r>
        <w:t>·a。本项目未涉及国家级和省级水土流失重点预防区和重点治理区，项目区不涉及饮用水水源保护区、水功能一级区的保护区和保留区、自然保护区、世界文化和自然遗产地、风景名胜区、地质公园、森林公园及重要湿地等水土保持敏感区。</w:t>
      </w:r>
    </w:p>
    <w:p>
      <w:pPr>
        <w:pStyle w:val="5"/>
      </w:pPr>
      <w:bookmarkStart w:id="30" w:name="_Toc16628"/>
      <w:r>
        <w:t>1.2</w:t>
      </w:r>
      <w:r>
        <w:rPr>
          <w:shd w:val="clear" w:color="auto" w:fill="FFFFFF"/>
        </w:rPr>
        <w:t>编制依据</w:t>
      </w:r>
      <w:bookmarkEnd w:id="30"/>
    </w:p>
    <w:p>
      <w:pPr>
        <w:pStyle w:val="6"/>
      </w:pPr>
      <w:r>
        <w:t>1.2.1法律法规和规范性文件</w:t>
      </w:r>
    </w:p>
    <w:p>
      <w:pPr>
        <w:numPr>
          <w:ilvl w:val="0"/>
          <w:numId w:val="1"/>
        </w:numPr>
        <w:ind w:firstLine="480"/>
      </w:pPr>
      <w:r>
        <w:t>《中华人民共和国水土保持法》（1991年6月29日颁布，2010年12月25日修订，2011年3月1日起施行）；</w:t>
      </w:r>
    </w:p>
    <w:p>
      <w:pPr>
        <w:numPr>
          <w:ilvl w:val="0"/>
          <w:numId w:val="1"/>
        </w:numPr>
        <w:ind w:firstLine="480"/>
      </w:pPr>
      <w:r>
        <w:t>《四川省〈中华人民共和国水土保持法〉实施办法》（1993年12月发布，1997年修订，2012年9月21日修订，2012年12月1日施行）；</w:t>
      </w:r>
    </w:p>
    <w:p>
      <w:pPr>
        <w:ind w:firstLine="480"/>
      </w:pPr>
      <w:r>
        <w:t>（3）《水利部办公厅关于印发生产建设项目水土保持技术文件编写和印制格式规定（试行）的通知》（办水保〔2018〕135号）。</w:t>
      </w:r>
    </w:p>
    <w:p>
      <w:pPr>
        <w:pStyle w:val="6"/>
      </w:pPr>
      <w:r>
        <w:t>1.2.4技术规范及标准</w:t>
      </w:r>
    </w:p>
    <w:p>
      <w:pPr>
        <w:ind w:firstLine="480"/>
      </w:pPr>
      <w:r>
        <w:t>（1）《生产建设项目水土保持技术标准》（GB50433-2018）；</w:t>
      </w:r>
    </w:p>
    <w:p>
      <w:pPr>
        <w:ind w:firstLine="480"/>
      </w:pPr>
      <w:r>
        <w:t>（2）《生产建设项目水土流失防治标准》（GB/T50434-2018）；</w:t>
      </w:r>
    </w:p>
    <w:p>
      <w:pPr>
        <w:ind w:firstLine="480"/>
      </w:pPr>
      <w:r>
        <w:t>（3）《生产建设项目水土保持监测与评价标准》（GB/T51240-2018）；</w:t>
      </w:r>
    </w:p>
    <w:p>
      <w:pPr>
        <w:ind w:firstLine="480"/>
      </w:pPr>
      <w:r>
        <w:t>（4）《生产建设项目土壤流失量测算导则》（SL773-2018）；</w:t>
      </w:r>
    </w:p>
    <w:p>
      <w:pPr>
        <w:ind w:firstLine="480"/>
      </w:pPr>
      <w:r>
        <w:t>（5）《土壤侵蚀分类分级标准》（SL190-2007）；</w:t>
      </w:r>
    </w:p>
    <w:p>
      <w:pPr>
        <w:ind w:firstLine="480"/>
      </w:pPr>
      <w:r>
        <w:t>（6）《水利水电工程制图标准水土保持图》（SL73.6-2015）；</w:t>
      </w:r>
    </w:p>
    <w:p>
      <w:pPr>
        <w:ind w:firstLine="480"/>
      </w:pPr>
      <w:r>
        <w:t>（7）《土地利用现状分类》（GB/T21010-2017）；</w:t>
      </w:r>
    </w:p>
    <w:p>
      <w:pPr>
        <w:ind w:firstLine="480"/>
      </w:pPr>
      <w:r>
        <w:t>（8）《水土保持工程设计规范》（GB51018-2014）；</w:t>
      </w:r>
    </w:p>
    <w:p>
      <w:pPr>
        <w:ind w:firstLine="480"/>
      </w:pPr>
      <w:r>
        <w:t>（9）《防洪标准》（GB50201-2014）；</w:t>
      </w:r>
    </w:p>
    <w:p>
      <w:pPr>
        <w:ind w:firstLine="480"/>
      </w:pPr>
      <w:r>
        <w:t>（10）《造林技术规程》（GB/T15776-2016）；</w:t>
      </w:r>
    </w:p>
    <w:p>
      <w:pPr>
        <w:ind w:firstLine="480"/>
      </w:pPr>
      <w:r>
        <w:t>（11）《水工挡土墙设计规范》（SL379-2017）；</w:t>
      </w:r>
    </w:p>
    <w:p>
      <w:pPr>
        <w:ind w:firstLine="480"/>
      </w:pPr>
      <w:r>
        <w:t>（12）《室外排水设计规范》（GB50014-2014）。</w:t>
      </w:r>
    </w:p>
    <w:p>
      <w:pPr>
        <w:pStyle w:val="6"/>
      </w:pPr>
      <w:r>
        <w:t>1.2.5相关资料</w:t>
      </w:r>
    </w:p>
    <w:p>
      <w:pPr>
        <w:ind w:firstLine="480"/>
      </w:pPr>
      <w:r>
        <w:t>（1）重庆同丰工程管理咨询有限公司于2022年10月编制的《</w:t>
      </w:r>
      <w:r>
        <w:rPr>
          <w:bCs/>
        </w:rPr>
        <w:t>乐山五通桥化工园区总体规划</w:t>
      </w:r>
      <w:r>
        <w:t>》</w:t>
      </w:r>
      <w:r>
        <w:rPr>
          <w:bCs/>
        </w:rPr>
        <w:t>（2022—2035）</w:t>
      </w:r>
      <w:r>
        <w:t>；</w:t>
      </w:r>
    </w:p>
    <w:p>
      <w:pPr>
        <w:ind w:firstLine="480"/>
      </w:pPr>
      <w:r>
        <w:t>（2）乐山市城乡规划设计院有限公司于2022年10月编制的《五通桥新型工业基地控制性详细规划》；</w:t>
      </w:r>
    </w:p>
    <w:p>
      <w:pPr>
        <w:ind w:firstLine="480"/>
      </w:pPr>
      <w:r>
        <w:t>（3）四川峨眉山四零三建设工程有限责任公司于2022年8月编制的《乐山五通桥化工园区建设用地地质灾害危险性评估报告》；</w:t>
      </w:r>
    </w:p>
    <w:p>
      <w:pPr>
        <w:ind w:firstLine="480"/>
      </w:pPr>
      <w:r>
        <w:t>（4）四川省环科源科技有限公司于2019年5月编制的《五通桥新型工业基地总体规划环境影响报告书》；</w:t>
      </w:r>
    </w:p>
    <w:p>
      <w:pPr>
        <w:ind w:firstLine="480"/>
      </w:pPr>
      <w:r>
        <w:t>（5）业主提供的其他相关技术资料。</w:t>
      </w:r>
    </w:p>
    <w:p>
      <w:pPr>
        <w:pStyle w:val="5"/>
        <w:spacing w:line="240" w:lineRule="auto"/>
      </w:pPr>
      <w:bookmarkStart w:id="31" w:name="_Toc5120"/>
      <w:r>
        <w:t>1.3设计水平年</w:t>
      </w:r>
      <w:bookmarkEnd w:id="31"/>
    </w:p>
    <w:p>
      <w:pPr>
        <w:ind w:firstLine="480"/>
      </w:pPr>
      <w:r>
        <w:t>根据《四川省水利厅关于推行水土保持区域评估制度的通知》（川水函〔2020〕1246号），开发建设总期限超过5年的开发区，应当分期编报、办理水土保持区域评估批准手续。结合本园区规划，园区整体规划期限为2022年~2035年，其中近期为2022年~2025年；远期为2026年~2035年，本次水土保持区域评估报告服务期取2022年~2025年，设计水平年为服务期后一年，即2026年。</w:t>
      </w:r>
    </w:p>
    <w:p>
      <w:pPr>
        <w:pStyle w:val="5"/>
        <w:spacing w:line="240" w:lineRule="auto"/>
      </w:pPr>
      <w:bookmarkStart w:id="32" w:name="_Toc27334"/>
      <w:r>
        <w:t>1.4水土流失防治责任范围</w:t>
      </w:r>
      <w:bookmarkEnd w:id="32"/>
    </w:p>
    <w:p>
      <w:pPr>
        <w:ind w:firstLine="480"/>
      </w:pPr>
      <w:r>
        <w:t>水土流失防治责任范围为园区规划范围1129.18hm</w:t>
      </w:r>
      <w:r>
        <w:rPr>
          <w:vertAlign w:val="superscript"/>
        </w:rPr>
        <w:t>2</w:t>
      </w:r>
      <w:r>
        <w:t>，均为永久占地</w:t>
      </w:r>
      <w:r>
        <w:rPr>
          <w:rFonts w:hint="eastAsia"/>
        </w:rPr>
        <w:t>，</w:t>
      </w:r>
      <w:r>
        <w:rPr>
          <w:rFonts w:hint="eastAsia"/>
          <w:szCs w:val="32"/>
          <w:shd w:val="clear" w:color="auto" w:fill="FFFFFF"/>
        </w:rPr>
        <w:t>园区分近远两期规划，</w:t>
      </w:r>
      <w:r>
        <w:rPr>
          <w:szCs w:val="32"/>
          <w:shd w:val="clear" w:color="auto" w:fill="FFFFFF"/>
        </w:rPr>
        <w:t>近期规划至2025年，规划面积</w:t>
      </w:r>
      <w:r>
        <w:rPr>
          <w:rFonts w:hint="eastAsia"/>
          <w:szCs w:val="32"/>
          <w:shd w:val="clear" w:color="auto" w:fill="FFFFFF"/>
        </w:rPr>
        <w:t>745.56</w:t>
      </w:r>
      <w:r>
        <w:rPr>
          <w:szCs w:val="32"/>
          <w:shd w:val="clear" w:color="auto" w:fill="FFFFFF"/>
        </w:rPr>
        <w:t>hm</w:t>
      </w:r>
      <w:r>
        <w:rPr>
          <w:szCs w:val="32"/>
          <w:shd w:val="clear" w:color="auto" w:fill="FFFFFF"/>
          <w:vertAlign w:val="superscript"/>
        </w:rPr>
        <w:t>2</w:t>
      </w:r>
      <w:r>
        <w:rPr>
          <w:szCs w:val="32"/>
          <w:shd w:val="clear" w:color="auto" w:fill="FFFFFF"/>
        </w:rPr>
        <w:t>（其中已建区</w:t>
      </w:r>
      <w:r>
        <w:rPr>
          <w:rFonts w:hint="eastAsia"/>
          <w:szCs w:val="32"/>
          <w:shd w:val="clear" w:color="auto" w:fill="FFFFFF"/>
        </w:rPr>
        <w:t>和在建区</w:t>
      </w:r>
      <w:r>
        <w:rPr>
          <w:szCs w:val="32"/>
          <w:shd w:val="clear" w:color="auto" w:fill="FFFFFF"/>
        </w:rPr>
        <w:t>面积</w:t>
      </w:r>
      <w:r>
        <w:rPr>
          <w:rFonts w:hint="eastAsia"/>
          <w:szCs w:val="32"/>
          <w:shd w:val="clear" w:color="auto" w:fill="FFFFFF"/>
        </w:rPr>
        <w:t>427.72</w:t>
      </w:r>
      <w:r>
        <w:rPr>
          <w:szCs w:val="32"/>
          <w:shd w:val="clear" w:color="auto" w:fill="FFFFFF"/>
        </w:rPr>
        <w:t>hm</w:t>
      </w:r>
      <w:r>
        <w:rPr>
          <w:szCs w:val="32"/>
          <w:shd w:val="clear" w:color="auto" w:fill="FFFFFF"/>
          <w:vertAlign w:val="superscript"/>
        </w:rPr>
        <w:t>2</w:t>
      </w:r>
      <w:r>
        <w:rPr>
          <w:szCs w:val="32"/>
          <w:shd w:val="clear" w:color="auto" w:fill="FFFFFF"/>
        </w:rPr>
        <w:t>，待建区面积</w:t>
      </w:r>
      <w:r>
        <w:rPr>
          <w:rFonts w:hint="eastAsia"/>
          <w:szCs w:val="32"/>
          <w:shd w:val="clear" w:color="auto" w:fill="FFFFFF"/>
        </w:rPr>
        <w:t>317.84</w:t>
      </w:r>
      <w:r>
        <w:rPr>
          <w:szCs w:val="32"/>
          <w:shd w:val="clear" w:color="auto" w:fill="FFFFFF"/>
        </w:rPr>
        <w:t>hm</w:t>
      </w:r>
      <w:r>
        <w:rPr>
          <w:szCs w:val="32"/>
          <w:shd w:val="clear" w:color="auto" w:fill="FFFFFF"/>
          <w:vertAlign w:val="superscript"/>
        </w:rPr>
        <w:t>2</w:t>
      </w:r>
      <w:r>
        <w:rPr>
          <w:szCs w:val="32"/>
          <w:shd w:val="clear" w:color="auto" w:fill="FFFFFF"/>
        </w:rPr>
        <w:t>）；远期规划至2035年，规划面积</w:t>
      </w:r>
      <w:r>
        <w:rPr>
          <w:rFonts w:hint="eastAsia"/>
          <w:szCs w:val="32"/>
          <w:shd w:val="clear" w:color="auto" w:fill="FFFFFF"/>
        </w:rPr>
        <w:t>383.62</w:t>
      </w:r>
      <w:r>
        <w:rPr>
          <w:szCs w:val="32"/>
          <w:shd w:val="clear" w:color="auto" w:fill="FFFFFF"/>
        </w:rPr>
        <w:t>hm</w:t>
      </w:r>
      <w:r>
        <w:rPr>
          <w:szCs w:val="32"/>
          <w:shd w:val="clear" w:color="auto" w:fill="FFFFFF"/>
          <w:vertAlign w:val="superscript"/>
        </w:rPr>
        <w:t>2</w:t>
      </w:r>
      <w:r>
        <w:rPr>
          <w:szCs w:val="32"/>
          <w:shd w:val="clear" w:color="auto" w:fill="FFFFFF"/>
        </w:rPr>
        <w:t>。</w:t>
      </w:r>
      <w:r>
        <w:rPr>
          <w:rFonts w:hint="eastAsia"/>
          <w:szCs w:val="21"/>
          <w:lang w:val="zh-CN"/>
        </w:rPr>
        <w:t>近期规划的已建和在建区面积427.72hm</w:t>
      </w:r>
      <w:r>
        <w:rPr>
          <w:rFonts w:hint="eastAsia"/>
          <w:szCs w:val="21"/>
          <w:vertAlign w:val="superscript"/>
          <w:lang w:val="zh-CN"/>
        </w:rPr>
        <w:t>2</w:t>
      </w:r>
      <w:r>
        <w:rPr>
          <w:rFonts w:hint="eastAsia"/>
          <w:szCs w:val="21"/>
          <w:lang w:val="zh-CN"/>
        </w:rPr>
        <w:t>，现入驻企业13家。</w:t>
      </w:r>
      <w:r>
        <w:t>根据水土流失防治分区的原则，划分为近期建设区、远期建设区、临时堆场区等3个一级分区</w:t>
      </w:r>
      <w:r>
        <w:rPr>
          <w:rFonts w:hint="eastAsia"/>
        </w:rPr>
        <w:t>；</w:t>
      </w:r>
      <w:r>
        <w:t>近期建设区及远期建设区再划分为工业用地区、道路与交通设施用地区、公用设施用地区、绿地与广场用地区等4个二级分区，临时堆场区再划分为土石方中转场区及表土中转场区等2个二级分区，工业用地区、道路与交通设施用地区、公用设施用地区、绿地与广场用地区等4个二级分区</w:t>
      </w:r>
      <w:r>
        <w:rPr>
          <w:rFonts w:hint="eastAsia"/>
        </w:rPr>
        <w:t>；</w:t>
      </w:r>
      <w:r>
        <w:t>再根据施工时序细分为已建区、在建区及未建区等3个三级分区。防治责任范围中，道路与交通设施用地区、公用设施用地区、绿地与广场用地区、表土中转场区、土石方中转场区水土流失防治责任由园区建设单位园区管委会负责。工业用地区由各入驻企业自行开发建设，水土流失防治责任由各入驻建设单位负责。</w:t>
      </w:r>
    </w:p>
    <w:p>
      <w:pPr>
        <w:pStyle w:val="68"/>
        <w:spacing w:afterLines="0"/>
      </w:pPr>
      <w:r>
        <w:t>表1.4-1水土流失防治责任范围表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163"/>
        <w:gridCol w:w="2325"/>
        <w:gridCol w:w="1537"/>
        <w:gridCol w:w="2038"/>
        <w:gridCol w:w="203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25" w:type="dxa"/>
            <w:gridSpan w:val="3"/>
            <w:vAlign w:val="center"/>
          </w:tcPr>
          <w:p>
            <w:pPr>
              <w:pStyle w:val="53"/>
              <w:jc w:val="center"/>
              <w:rPr>
                <w:rFonts w:eastAsia="仿宋_GB2312"/>
                <w:b/>
                <w:bCs/>
              </w:rPr>
            </w:pPr>
            <w:r>
              <w:rPr>
                <w:rFonts w:eastAsia="仿宋_GB2312"/>
                <w:b/>
                <w:bCs/>
              </w:rPr>
              <w:t>防治分区</w:t>
            </w:r>
          </w:p>
        </w:tc>
        <w:tc>
          <w:tcPr>
            <w:tcW w:w="2038" w:type="dxa"/>
            <w:vMerge w:val="restart"/>
            <w:vAlign w:val="center"/>
          </w:tcPr>
          <w:p>
            <w:pPr>
              <w:pStyle w:val="53"/>
              <w:jc w:val="center"/>
              <w:rPr>
                <w:rFonts w:eastAsia="仿宋_GB2312"/>
                <w:b/>
                <w:bCs/>
              </w:rPr>
            </w:pPr>
            <w:r>
              <w:rPr>
                <w:rFonts w:eastAsia="仿宋_GB2312"/>
                <w:b/>
                <w:bCs/>
              </w:rPr>
              <w:t>防治责任范围（hm</w:t>
            </w:r>
            <w:r>
              <w:rPr>
                <w:rFonts w:eastAsia="仿宋_GB2312"/>
                <w:b/>
                <w:bCs/>
                <w:vertAlign w:val="superscript"/>
              </w:rPr>
              <w:t>2</w:t>
            </w:r>
            <w:r>
              <w:rPr>
                <w:rFonts w:eastAsia="仿宋_GB2312"/>
                <w:b/>
                <w:bCs/>
              </w:rPr>
              <w:t>）</w:t>
            </w:r>
          </w:p>
        </w:tc>
        <w:tc>
          <w:tcPr>
            <w:tcW w:w="2038" w:type="dxa"/>
            <w:vMerge w:val="restart"/>
            <w:vAlign w:val="center"/>
          </w:tcPr>
          <w:p>
            <w:pPr>
              <w:pStyle w:val="53"/>
              <w:jc w:val="center"/>
              <w:rPr>
                <w:rFonts w:eastAsia="仿宋_GB2312"/>
                <w:b/>
                <w:bCs/>
              </w:rPr>
            </w:pPr>
            <w:r>
              <w:rPr>
                <w:rFonts w:eastAsia="仿宋_GB2312"/>
                <w:b/>
                <w:bCs/>
              </w:rPr>
              <w:t>防治责任主体</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5" w:hRule="atLeast"/>
        </w:trPr>
        <w:tc>
          <w:tcPr>
            <w:tcW w:w="1163" w:type="dxa"/>
            <w:vAlign w:val="center"/>
          </w:tcPr>
          <w:p>
            <w:pPr>
              <w:pStyle w:val="53"/>
              <w:jc w:val="center"/>
              <w:rPr>
                <w:rFonts w:eastAsia="仿宋_GB2312"/>
                <w:b/>
                <w:bCs/>
              </w:rPr>
            </w:pPr>
            <w:r>
              <w:rPr>
                <w:rFonts w:eastAsia="仿宋_GB2312"/>
                <w:b/>
                <w:bCs/>
              </w:rPr>
              <w:t>一级分区</w:t>
            </w:r>
          </w:p>
        </w:tc>
        <w:tc>
          <w:tcPr>
            <w:tcW w:w="2325" w:type="dxa"/>
            <w:vAlign w:val="center"/>
          </w:tcPr>
          <w:p>
            <w:pPr>
              <w:pStyle w:val="53"/>
              <w:jc w:val="center"/>
              <w:rPr>
                <w:rFonts w:eastAsia="仿宋_GB2312"/>
                <w:b/>
                <w:bCs/>
              </w:rPr>
            </w:pPr>
            <w:r>
              <w:rPr>
                <w:rFonts w:eastAsia="仿宋_GB2312"/>
                <w:b/>
                <w:bCs/>
              </w:rPr>
              <w:t>二级分区</w:t>
            </w:r>
          </w:p>
        </w:tc>
        <w:tc>
          <w:tcPr>
            <w:tcW w:w="1537" w:type="dxa"/>
            <w:vAlign w:val="center"/>
          </w:tcPr>
          <w:p>
            <w:pPr>
              <w:pStyle w:val="53"/>
              <w:jc w:val="center"/>
              <w:rPr>
                <w:rFonts w:eastAsia="仿宋_GB2312"/>
                <w:b/>
                <w:bCs/>
              </w:rPr>
            </w:pPr>
            <w:r>
              <w:rPr>
                <w:rFonts w:eastAsia="仿宋_GB2312"/>
                <w:b/>
                <w:bCs/>
              </w:rPr>
              <w:t>三级分区</w:t>
            </w:r>
          </w:p>
        </w:tc>
        <w:tc>
          <w:tcPr>
            <w:tcW w:w="2038" w:type="dxa"/>
            <w:vMerge w:val="continue"/>
            <w:vAlign w:val="center"/>
          </w:tcPr>
          <w:p>
            <w:pPr>
              <w:pStyle w:val="53"/>
              <w:jc w:val="center"/>
              <w:rPr>
                <w:rFonts w:eastAsia="仿宋_GB2312"/>
                <w:b/>
                <w:bCs/>
              </w:rPr>
            </w:pPr>
          </w:p>
        </w:tc>
        <w:tc>
          <w:tcPr>
            <w:tcW w:w="2038" w:type="dxa"/>
            <w:vMerge w:val="continue"/>
            <w:vAlign w:val="center"/>
          </w:tcPr>
          <w:p>
            <w:pPr>
              <w:pStyle w:val="53"/>
              <w:jc w:val="center"/>
              <w:rPr>
                <w:rFonts w:eastAsia="仿宋_GB2312"/>
                <w:b/>
                <w:bCs/>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4" w:hRule="atLeast"/>
        </w:trPr>
        <w:tc>
          <w:tcPr>
            <w:tcW w:w="1163" w:type="dxa"/>
            <w:vMerge w:val="restart"/>
            <w:vAlign w:val="center"/>
          </w:tcPr>
          <w:p>
            <w:pPr>
              <w:pStyle w:val="53"/>
              <w:jc w:val="center"/>
              <w:rPr>
                <w:rFonts w:eastAsia="仿宋_GB2312"/>
                <w:b/>
                <w:bCs/>
              </w:rPr>
            </w:pPr>
            <w:r>
              <w:rPr>
                <w:rFonts w:eastAsia="仿宋_GB2312"/>
              </w:rPr>
              <w:t>近期建设区</w:t>
            </w:r>
          </w:p>
        </w:tc>
        <w:tc>
          <w:tcPr>
            <w:tcW w:w="2325" w:type="dxa"/>
            <w:vMerge w:val="restart"/>
            <w:vAlign w:val="center"/>
          </w:tcPr>
          <w:p>
            <w:pPr>
              <w:pStyle w:val="53"/>
              <w:jc w:val="center"/>
              <w:rPr>
                <w:rFonts w:eastAsia="仿宋_GB2312"/>
              </w:rPr>
            </w:pPr>
            <w:r>
              <w:rPr>
                <w:rFonts w:eastAsia="仿宋_GB2312"/>
              </w:rPr>
              <w:t>工业用地区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已建区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52.71</w:t>
            </w:r>
          </w:p>
        </w:tc>
        <w:tc>
          <w:tcPr>
            <w:tcW w:w="2038" w:type="dxa"/>
            <w:vMerge w:val="restart"/>
            <w:vAlign w:val="center"/>
          </w:tcPr>
          <w:p>
            <w:pPr>
              <w:tabs>
                <w:tab w:val="left" w:pos="1050"/>
              </w:tabs>
              <w:spacing w:line="240" w:lineRule="auto"/>
              <w:ind w:firstLine="0" w:firstLineChars="0"/>
              <w:jc w:val="center"/>
              <w:rPr>
                <w:sz w:val="21"/>
                <w:szCs w:val="21"/>
              </w:rPr>
            </w:pPr>
            <w:r>
              <w:rPr>
                <w:sz w:val="21"/>
                <w:szCs w:val="21"/>
              </w:rPr>
              <w:t>入驻企业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2" w:hRule="atLeast"/>
        </w:trPr>
        <w:tc>
          <w:tcPr>
            <w:tcW w:w="1163" w:type="dxa"/>
            <w:vMerge w:val="continue"/>
            <w:vAlign w:val="center"/>
          </w:tcPr>
          <w:p>
            <w:pPr>
              <w:pStyle w:val="53"/>
              <w:jc w:val="center"/>
              <w:rPr>
                <w:rFonts w:eastAsia="仿宋_GB2312"/>
              </w:rPr>
            </w:pPr>
          </w:p>
        </w:tc>
        <w:tc>
          <w:tcPr>
            <w:tcW w:w="2325" w:type="dxa"/>
            <w:vMerge w:val="continue"/>
            <w:vAlign w:val="center"/>
          </w:tcPr>
          <w:p>
            <w:pPr>
              <w:pStyle w:val="53"/>
              <w:jc w:val="center"/>
              <w:rPr>
                <w:rFonts w:eastAsia="仿宋_GB2312"/>
              </w:rPr>
            </w:pPr>
          </w:p>
        </w:tc>
        <w:tc>
          <w:tcPr>
            <w:tcW w:w="1537" w:type="dxa"/>
            <w:vAlign w:val="center"/>
          </w:tcPr>
          <w:p>
            <w:pPr>
              <w:tabs>
                <w:tab w:val="left" w:pos="1050"/>
              </w:tabs>
              <w:spacing w:line="240" w:lineRule="auto"/>
              <w:ind w:firstLine="0" w:firstLineChars="0"/>
              <w:jc w:val="center"/>
              <w:rPr>
                <w:sz w:val="21"/>
                <w:szCs w:val="21"/>
              </w:rPr>
            </w:pPr>
            <w:r>
              <w:rPr>
                <w:sz w:val="21"/>
                <w:szCs w:val="21"/>
              </w:rPr>
              <w:t>在建区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300.34</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9" w:hRule="atLeast"/>
        </w:trPr>
        <w:tc>
          <w:tcPr>
            <w:tcW w:w="1163" w:type="dxa"/>
            <w:vMerge w:val="continue"/>
            <w:vAlign w:val="center"/>
          </w:tcPr>
          <w:p>
            <w:pPr>
              <w:pStyle w:val="53"/>
              <w:jc w:val="center"/>
              <w:rPr>
                <w:rFonts w:eastAsia="仿宋_GB2312"/>
              </w:rPr>
            </w:pPr>
          </w:p>
        </w:tc>
        <w:tc>
          <w:tcPr>
            <w:tcW w:w="2325" w:type="dxa"/>
            <w:vMerge w:val="continue"/>
            <w:vAlign w:val="center"/>
          </w:tcPr>
          <w:p>
            <w:pPr>
              <w:pStyle w:val="53"/>
              <w:jc w:val="center"/>
              <w:rPr>
                <w:rFonts w:eastAsia="仿宋_GB2312"/>
              </w:rPr>
            </w:pP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245.59</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7" w:hRule="atLeast"/>
        </w:trPr>
        <w:tc>
          <w:tcPr>
            <w:tcW w:w="1163" w:type="dxa"/>
            <w:vMerge w:val="continue"/>
            <w:vAlign w:val="center"/>
          </w:tcPr>
          <w:p>
            <w:pPr>
              <w:pStyle w:val="53"/>
              <w:jc w:val="center"/>
              <w:rPr>
                <w:rFonts w:eastAsia="仿宋_GB2312"/>
              </w:rPr>
            </w:pPr>
          </w:p>
        </w:tc>
        <w:tc>
          <w:tcPr>
            <w:tcW w:w="2325" w:type="dxa"/>
            <w:vMerge w:val="continue"/>
            <w:vAlign w:val="center"/>
          </w:tcPr>
          <w:p>
            <w:pPr>
              <w:pStyle w:val="53"/>
              <w:jc w:val="center"/>
              <w:rPr>
                <w:rFonts w:eastAsia="仿宋_GB2312"/>
              </w:rPr>
            </w:pPr>
          </w:p>
        </w:tc>
        <w:tc>
          <w:tcPr>
            <w:tcW w:w="1537" w:type="dxa"/>
            <w:vAlign w:val="center"/>
          </w:tcPr>
          <w:p>
            <w:pPr>
              <w:tabs>
                <w:tab w:val="left" w:pos="1050"/>
              </w:tabs>
              <w:spacing w:line="240" w:lineRule="auto"/>
              <w:ind w:firstLine="0" w:firstLineChars="0"/>
              <w:jc w:val="center"/>
              <w:rPr>
                <w:sz w:val="21"/>
                <w:szCs w:val="21"/>
              </w:rPr>
            </w:pPr>
            <w:r>
              <w:rPr>
                <w:sz w:val="21"/>
                <w:szCs w:val="21"/>
              </w:rPr>
              <w:t>小计</w:t>
            </w:r>
          </w:p>
        </w:tc>
        <w:tc>
          <w:tcPr>
            <w:tcW w:w="2038" w:type="dxa"/>
            <w:vAlign w:val="center"/>
          </w:tcPr>
          <w:p>
            <w:pPr>
              <w:tabs>
                <w:tab w:val="left" w:pos="1050"/>
              </w:tabs>
              <w:spacing w:line="240" w:lineRule="auto"/>
              <w:ind w:firstLine="0" w:firstLineChars="0"/>
              <w:jc w:val="center"/>
              <w:rPr>
                <w:b/>
                <w:bCs/>
                <w:sz w:val="21"/>
                <w:szCs w:val="21"/>
              </w:rPr>
            </w:pPr>
            <w:r>
              <w:rPr>
                <w:sz w:val="21"/>
                <w:szCs w:val="21"/>
              </w:rPr>
              <w:t>598.64</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3" w:hRule="atLeast"/>
        </w:trPr>
        <w:tc>
          <w:tcPr>
            <w:tcW w:w="1163" w:type="dxa"/>
            <w:vMerge w:val="continue"/>
            <w:vAlign w:val="center"/>
          </w:tcPr>
          <w:p>
            <w:pPr>
              <w:pStyle w:val="53"/>
              <w:jc w:val="center"/>
              <w:rPr>
                <w:rFonts w:eastAsia="仿宋_GB2312"/>
                <w:b/>
                <w:bCs/>
              </w:rPr>
            </w:pPr>
          </w:p>
        </w:tc>
        <w:tc>
          <w:tcPr>
            <w:tcW w:w="2325" w:type="dxa"/>
            <w:vMerge w:val="restart"/>
            <w:vAlign w:val="center"/>
          </w:tcPr>
          <w:p>
            <w:pPr>
              <w:pStyle w:val="53"/>
              <w:jc w:val="center"/>
              <w:rPr>
                <w:rFonts w:eastAsia="仿宋_GB2312"/>
              </w:rPr>
            </w:pPr>
            <w:r>
              <w:rPr>
                <w:rFonts w:eastAsia="仿宋_GB2312"/>
              </w:rPr>
              <w:t>道路与交通设施用地区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已建区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6.29</w:t>
            </w:r>
          </w:p>
        </w:tc>
        <w:tc>
          <w:tcPr>
            <w:tcW w:w="2038" w:type="dxa"/>
            <w:vMerge w:val="restart"/>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6"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pStyle w:val="53"/>
              <w:jc w:val="center"/>
              <w:rPr>
                <w:rFonts w:eastAsia="仿宋_GB2312"/>
              </w:rPr>
            </w:pPr>
          </w:p>
        </w:tc>
        <w:tc>
          <w:tcPr>
            <w:tcW w:w="1537" w:type="dxa"/>
            <w:vAlign w:val="center"/>
          </w:tcPr>
          <w:p>
            <w:pPr>
              <w:tabs>
                <w:tab w:val="left" w:pos="1050"/>
              </w:tabs>
              <w:spacing w:line="240" w:lineRule="auto"/>
              <w:ind w:firstLine="0" w:firstLineChars="0"/>
              <w:jc w:val="center"/>
              <w:rPr>
                <w:sz w:val="21"/>
                <w:szCs w:val="21"/>
              </w:rPr>
            </w:pPr>
            <w:r>
              <w:rPr>
                <w:sz w:val="21"/>
                <w:szCs w:val="21"/>
              </w:rPr>
              <w:t>在建区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41.43</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3"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pStyle w:val="53"/>
              <w:jc w:val="center"/>
              <w:rPr>
                <w:rFonts w:eastAsia="仿宋_GB2312"/>
              </w:rPr>
            </w:pP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26.17</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3"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pStyle w:val="53"/>
              <w:jc w:val="center"/>
              <w:rPr>
                <w:rFonts w:eastAsia="仿宋_GB2312"/>
              </w:rPr>
            </w:pPr>
          </w:p>
        </w:tc>
        <w:tc>
          <w:tcPr>
            <w:tcW w:w="1537" w:type="dxa"/>
            <w:vAlign w:val="center"/>
          </w:tcPr>
          <w:p>
            <w:pPr>
              <w:tabs>
                <w:tab w:val="left" w:pos="1050"/>
              </w:tabs>
              <w:spacing w:line="240" w:lineRule="auto"/>
              <w:ind w:firstLine="0" w:firstLineChars="0"/>
              <w:jc w:val="center"/>
              <w:rPr>
                <w:sz w:val="21"/>
                <w:szCs w:val="21"/>
              </w:rPr>
            </w:pPr>
            <w:r>
              <w:rPr>
                <w:sz w:val="21"/>
                <w:szCs w:val="21"/>
              </w:rPr>
              <w:t>小计</w:t>
            </w:r>
          </w:p>
        </w:tc>
        <w:tc>
          <w:tcPr>
            <w:tcW w:w="2038" w:type="dxa"/>
            <w:vAlign w:val="center"/>
          </w:tcPr>
          <w:p>
            <w:pPr>
              <w:widowControl/>
              <w:spacing w:line="240" w:lineRule="auto"/>
              <w:ind w:firstLine="0" w:firstLineChars="0"/>
              <w:jc w:val="center"/>
              <w:textAlignment w:val="center"/>
              <w:rPr>
                <w:b/>
                <w:bCs/>
                <w:sz w:val="21"/>
                <w:szCs w:val="21"/>
              </w:rPr>
            </w:pPr>
            <w:r>
              <w:rPr>
                <w:kern w:val="0"/>
                <w:sz w:val="21"/>
                <w:szCs w:val="21"/>
              </w:rPr>
              <w:t>73.89</w:t>
            </w:r>
          </w:p>
        </w:tc>
        <w:tc>
          <w:tcPr>
            <w:tcW w:w="2038" w:type="dxa"/>
            <w:vMerge w:val="continue"/>
            <w:vAlign w:val="center"/>
          </w:tcPr>
          <w:p>
            <w:pPr>
              <w:widowControl/>
              <w:spacing w:line="240" w:lineRule="auto"/>
              <w:ind w:firstLine="0" w:firstLineChars="0"/>
              <w:jc w:val="center"/>
              <w:textAlignment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9" w:hRule="atLeast"/>
        </w:trPr>
        <w:tc>
          <w:tcPr>
            <w:tcW w:w="1163" w:type="dxa"/>
            <w:vMerge w:val="continue"/>
            <w:vAlign w:val="center"/>
          </w:tcPr>
          <w:p>
            <w:pPr>
              <w:pStyle w:val="53"/>
              <w:jc w:val="center"/>
              <w:rPr>
                <w:rFonts w:eastAsia="仿宋_GB2312"/>
                <w:b/>
                <w:bCs/>
              </w:rPr>
            </w:pPr>
          </w:p>
        </w:tc>
        <w:tc>
          <w:tcPr>
            <w:tcW w:w="2325" w:type="dxa"/>
            <w:vMerge w:val="restart"/>
            <w:vAlign w:val="center"/>
          </w:tcPr>
          <w:p>
            <w:pPr>
              <w:tabs>
                <w:tab w:val="left" w:pos="1050"/>
              </w:tabs>
              <w:spacing w:line="240" w:lineRule="auto"/>
              <w:ind w:firstLine="0" w:firstLineChars="0"/>
              <w:jc w:val="center"/>
              <w:rPr>
                <w:sz w:val="21"/>
                <w:szCs w:val="21"/>
              </w:rPr>
            </w:pPr>
            <w:r>
              <w:rPr>
                <w:sz w:val="21"/>
                <w:szCs w:val="21"/>
              </w:rPr>
              <w:t>公用设施用地区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在建区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8.15</w:t>
            </w:r>
          </w:p>
        </w:tc>
        <w:tc>
          <w:tcPr>
            <w:tcW w:w="2038" w:type="dxa"/>
            <w:vMerge w:val="restart"/>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0"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tabs>
                <w:tab w:val="left" w:pos="1050"/>
              </w:tabs>
              <w:spacing w:line="240" w:lineRule="auto"/>
              <w:ind w:firstLine="0" w:firstLineChars="0"/>
              <w:jc w:val="center"/>
              <w:rPr>
                <w:sz w:val="21"/>
                <w:szCs w:val="21"/>
              </w:rPr>
            </w:pP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23.31</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6"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tabs>
                <w:tab w:val="left" w:pos="1050"/>
              </w:tabs>
              <w:spacing w:line="240" w:lineRule="auto"/>
              <w:ind w:firstLine="0" w:firstLineChars="0"/>
              <w:jc w:val="center"/>
              <w:rPr>
                <w:sz w:val="21"/>
                <w:szCs w:val="21"/>
              </w:rPr>
            </w:pPr>
          </w:p>
        </w:tc>
        <w:tc>
          <w:tcPr>
            <w:tcW w:w="1537" w:type="dxa"/>
            <w:vAlign w:val="center"/>
          </w:tcPr>
          <w:p>
            <w:pPr>
              <w:tabs>
                <w:tab w:val="left" w:pos="1050"/>
              </w:tabs>
              <w:spacing w:line="240" w:lineRule="auto"/>
              <w:ind w:firstLine="0" w:firstLineChars="0"/>
              <w:jc w:val="center"/>
              <w:rPr>
                <w:sz w:val="21"/>
                <w:szCs w:val="21"/>
              </w:rPr>
            </w:pPr>
            <w:r>
              <w:rPr>
                <w:sz w:val="21"/>
                <w:szCs w:val="21"/>
              </w:rPr>
              <w:t>小计</w:t>
            </w:r>
          </w:p>
        </w:tc>
        <w:tc>
          <w:tcPr>
            <w:tcW w:w="2038" w:type="dxa"/>
            <w:vAlign w:val="center"/>
          </w:tcPr>
          <w:p>
            <w:pPr>
              <w:tabs>
                <w:tab w:val="left" w:pos="1050"/>
              </w:tabs>
              <w:spacing w:line="240" w:lineRule="auto"/>
              <w:ind w:firstLine="0" w:firstLineChars="0"/>
              <w:jc w:val="center"/>
              <w:rPr>
                <w:b/>
                <w:bCs/>
                <w:sz w:val="21"/>
                <w:szCs w:val="21"/>
              </w:rPr>
            </w:pPr>
            <w:r>
              <w:rPr>
                <w:sz w:val="21"/>
                <w:szCs w:val="21"/>
              </w:rPr>
              <w:t>31.46</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1163" w:type="dxa"/>
            <w:vMerge w:val="continue"/>
            <w:vAlign w:val="center"/>
          </w:tcPr>
          <w:p>
            <w:pPr>
              <w:pStyle w:val="53"/>
              <w:jc w:val="center"/>
              <w:rPr>
                <w:rFonts w:eastAsia="仿宋_GB2312"/>
                <w:b/>
                <w:bCs/>
              </w:rPr>
            </w:pPr>
          </w:p>
        </w:tc>
        <w:tc>
          <w:tcPr>
            <w:tcW w:w="2325" w:type="dxa"/>
            <w:vMerge w:val="restart"/>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在建区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18.80</w:t>
            </w:r>
          </w:p>
        </w:tc>
        <w:tc>
          <w:tcPr>
            <w:tcW w:w="2038" w:type="dxa"/>
            <w:vMerge w:val="restart"/>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1"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tabs>
                <w:tab w:val="left" w:pos="1050"/>
              </w:tabs>
              <w:spacing w:line="240" w:lineRule="auto"/>
              <w:ind w:firstLine="0" w:firstLineChars="0"/>
              <w:jc w:val="center"/>
              <w:rPr>
                <w:sz w:val="21"/>
                <w:szCs w:val="21"/>
              </w:rPr>
            </w:pP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b/>
                <w:bCs/>
                <w:sz w:val="21"/>
                <w:szCs w:val="21"/>
              </w:rPr>
            </w:pPr>
            <w:r>
              <w:rPr>
                <w:sz w:val="21"/>
                <w:szCs w:val="21"/>
              </w:rPr>
              <w:t>22.77</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9" w:hRule="atLeast"/>
        </w:trPr>
        <w:tc>
          <w:tcPr>
            <w:tcW w:w="1163" w:type="dxa"/>
            <w:vMerge w:val="continue"/>
            <w:vAlign w:val="center"/>
          </w:tcPr>
          <w:p>
            <w:pPr>
              <w:pStyle w:val="53"/>
              <w:jc w:val="center"/>
              <w:rPr>
                <w:rFonts w:eastAsia="仿宋_GB2312"/>
                <w:b/>
                <w:bCs/>
              </w:rPr>
            </w:pPr>
          </w:p>
        </w:tc>
        <w:tc>
          <w:tcPr>
            <w:tcW w:w="2325" w:type="dxa"/>
            <w:vMerge w:val="continue"/>
            <w:vAlign w:val="center"/>
          </w:tcPr>
          <w:p>
            <w:pPr>
              <w:tabs>
                <w:tab w:val="left" w:pos="1050"/>
              </w:tabs>
              <w:spacing w:line="240" w:lineRule="auto"/>
              <w:ind w:firstLine="0" w:firstLineChars="0"/>
              <w:jc w:val="center"/>
              <w:rPr>
                <w:sz w:val="21"/>
                <w:szCs w:val="21"/>
              </w:rPr>
            </w:pPr>
          </w:p>
        </w:tc>
        <w:tc>
          <w:tcPr>
            <w:tcW w:w="1537" w:type="dxa"/>
            <w:vAlign w:val="center"/>
          </w:tcPr>
          <w:p>
            <w:pPr>
              <w:tabs>
                <w:tab w:val="left" w:pos="1050"/>
              </w:tabs>
              <w:spacing w:line="240" w:lineRule="auto"/>
              <w:ind w:firstLine="0" w:firstLineChars="0"/>
              <w:jc w:val="center"/>
              <w:rPr>
                <w:sz w:val="21"/>
                <w:szCs w:val="21"/>
              </w:rPr>
            </w:pPr>
            <w:r>
              <w:rPr>
                <w:sz w:val="21"/>
                <w:szCs w:val="21"/>
              </w:rPr>
              <w:t>小计</w:t>
            </w:r>
          </w:p>
        </w:tc>
        <w:tc>
          <w:tcPr>
            <w:tcW w:w="2038" w:type="dxa"/>
            <w:vAlign w:val="center"/>
          </w:tcPr>
          <w:p>
            <w:pPr>
              <w:tabs>
                <w:tab w:val="left" w:pos="1050"/>
              </w:tabs>
              <w:spacing w:line="240" w:lineRule="auto"/>
              <w:ind w:firstLine="0" w:firstLineChars="0"/>
              <w:jc w:val="center"/>
              <w:rPr>
                <w:b/>
                <w:bCs/>
                <w:sz w:val="21"/>
                <w:szCs w:val="21"/>
              </w:rPr>
            </w:pPr>
            <w:r>
              <w:rPr>
                <w:sz w:val="21"/>
                <w:szCs w:val="21"/>
              </w:rPr>
              <w:t>41.57</w:t>
            </w:r>
          </w:p>
        </w:tc>
        <w:tc>
          <w:tcPr>
            <w:tcW w:w="2038" w:type="dxa"/>
            <w:vMerge w:val="continue"/>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7" w:hRule="atLeast"/>
        </w:trPr>
        <w:tc>
          <w:tcPr>
            <w:tcW w:w="1163" w:type="dxa"/>
            <w:vMerge w:val="continue"/>
            <w:vAlign w:val="center"/>
          </w:tcPr>
          <w:p>
            <w:pPr>
              <w:pStyle w:val="53"/>
              <w:jc w:val="center"/>
              <w:rPr>
                <w:rFonts w:eastAsia="仿宋_GB2312"/>
                <w:b/>
                <w:bCs/>
              </w:rPr>
            </w:pPr>
          </w:p>
        </w:tc>
        <w:tc>
          <w:tcPr>
            <w:tcW w:w="3862" w:type="dxa"/>
            <w:gridSpan w:val="2"/>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2038" w:type="dxa"/>
            <w:vAlign w:val="center"/>
          </w:tcPr>
          <w:p>
            <w:pPr>
              <w:tabs>
                <w:tab w:val="left" w:pos="1050"/>
              </w:tabs>
              <w:spacing w:line="240" w:lineRule="auto"/>
              <w:ind w:firstLine="0" w:firstLineChars="0"/>
              <w:jc w:val="center"/>
              <w:rPr>
                <w:b/>
                <w:bCs/>
                <w:sz w:val="21"/>
                <w:szCs w:val="21"/>
              </w:rPr>
            </w:pPr>
            <w:r>
              <w:rPr>
                <w:b/>
                <w:bCs/>
                <w:sz w:val="21"/>
                <w:szCs w:val="21"/>
              </w:rPr>
              <w:t>745.56</w:t>
            </w:r>
          </w:p>
        </w:tc>
        <w:tc>
          <w:tcPr>
            <w:tcW w:w="2038" w:type="dxa"/>
            <w:vAlign w:val="center"/>
          </w:tcPr>
          <w:p>
            <w:pPr>
              <w:tabs>
                <w:tab w:val="left" w:pos="1050"/>
              </w:tabs>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1" w:hRule="atLeast"/>
        </w:trPr>
        <w:tc>
          <w:tcPr>
            <w:tcW w:w="1163" w:type="dxa"/>
            <w:vMerge w:val="restart"/>
            <w:vAlign w:val="center"/>
          </w:tcPr>
          <w:p>
            <w:pPr>
              <w:pStyle w:val="53"/>
              <w:jc w:val="center"/>
              <w:rPr>
                <w:rFonts w:eastAsia="仿宋_GB2312"/>
              </w:rPr>
            </w:pPr>
            <w:r>
              <w:rPr>
                <w:rFonts w:eastAsia="仿宋_GB2312"/>
              </w:rPr>
              <w:t>远期建设区</w:t>
            </w:r>
          </w:p>
        </w:tc>
        <w:tc>
          <w:tcPr>
            <w:tcW w:w="2325" w:type="dxa"/>
            <w:vAlign w:val="center"/>
          </w:tcPr>
          <w:p>
            <w:pPr>
              <w:tabs>
                <w:tab w:val="left" w:pos="1050"/>
              </w:tabs>
              <w:spacing w:line="240" w:lineRule="auto"/>
              <w:ind w:firstLine="0" w:firstLineChars="0"/>
              <w:jc w:val="center"/>
              <w:rPr>
                <w:sz w:val="21"/>
                <w:szCs w:val="21"/>
              </w:rPr>
            </w:pPr>
            <w:r>
              <w:rPr>
                <w:sz w:val="21"/>
                <w:szCs w:val="21"/>
              </w:rPr>
              <w:t>工业用地区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sz w:val="21"/>
                <w:szCs w:val="21"/>
              </w:rPr>
            </w:pPr>
            <w:r>
              <w:rPr>
                <w:sz w:val="21"/>
                <w:szCs w:val="21"/>
              </w:rPr>
              <w:t>359.16</w:t>
            </w:r>
          </w:p>
        </w:tc>
        <w:tc>
          <w:tcPr>
            <w:tcW w:w="2038" w:type="dxa"/>
            <w:vAlign w:val="center"/>
          </w:tcPr>
          <w:p>
            <w:pPr>
              <w:tabs>
                <w:tab w:val="left" w:pos="1050"/>
              </w:tabs>
              <w:spacing w:line="240" w:lineRule="auto"/>
              <w:ind w:firstLine="0" w:firstLineChars="0"/>
              <w:jc w:val="center"/>
              <w:rPr>
                <w:sz w:val="21"/>
                <w:szCs w:val="21"/>
              </w:rPr>
            </w:pPr>
            <w:r>
              <w:rPr>
                <w:sz w:val="21"/>
                <w:szCs w:val="21"/>
              </w:rPr>
              <w:t>入驻企业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1" w:hRule="atLeast"/>
        </w:trPr>
        <w:tc>
          <w:tcPr>
            <w:tcW w:w="1163" w:type="dxa"/>
            <w:vMerge w:val="continue"/>
            <w:vAlign w:val="center"/>
          </w:tcPr>
          <w:p>
            <w:pPr>
              <w:pStyle w:val="53"/>
              <w:jc w:val="center"/>
              <w:rPr>
                <w:rFonts w:eastAsia="仿宋_GB2312"/>
              </w:rPr>
            </w:pPr>
          </w:p>
        </w:tc>
        <w:tc>
          <w:tcPr>
            <w:tcW w:w="2325" w:type="dxa"/>
            <w:vAlign w:val="center"/>
          </w:tcPr>
          <w:p>
            <w:pPr>
              <w:tabs>
                <w:tab w:val="left" w:pos="1050"/>
              </w:tabs>
              <w:spacing w:line="240" w:lineRule="auto"/>
              <w:ind w:firstLine="0" w:firstLineChars="0"/>
              <w:jc w:val="center"/>
              <w:rPr>
                <w:sz w:val="21"/>
                <w:szCs w:val="21"/>
              </w:rPr>
            </w:pPr>
            <w:r>
              <w:rPr>
                <w:sz w:val="21"/>
                <w:szCs w:val="21"/>
              </w:rPr>
              <w:t>道路与交通设施用地区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sz w:val="21"/>
                <w:szCs w:val="21"/>
              </w:rPr>
            </w:pPr>
            <w:r>
              <w:rPr>
                <w:sz w:val="21"/>
                <w:szCs w:val="21"/>
              </w:rPr>
              <w:t>7.70</w:t>
            </w:r>
          </w:p>
        </w:tc>
        <w:tc>
          <w:tcPr>
            <w:tcW w:w="2038" w:type="dxa"/>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5" w:hRule="atLeast"/>
        </w:trPr>
        <w:tc>
          <w:tcPr>
            <w:tcW w:w="1163" w:type="dxa"/>
            <w:vMerge w:val="continue"/>
            <w:vAlign w:val="center"/>
          </w:tcPr>
          <w:p>
            <w:pPr>
              <w:pStyle w:val="53"/>
              <w:jc w:val="center"/>
              <w:rPr>
                <w:rFonts w:eastAsia="仿宋_GB2312"/>
              </w:rPr>
            </w:pPr>
          </w:p>
        </w:tc>
        <w:tc>
          <w:tcPr>
            <w:tcW w:w="2325" w:type="dxa"/>
            <w:vAlign w:val="center"/>
          </w:tcPr>
          <w:p>
            <w:pPr>
              <w:tabs>
                <w:tab w:val="left" w:pos="1050"/>
              </w:tabs>
              <w:spacing w:line="240" w:lineRule="auto"/>
              <w:ind w:firstLine="0" w:firstLineChars="0"/>
              <w:jc w:val="center"/>
              <w:rPr>
                <w:sz w:val="21"/>
                <w:szCs w:val="21"/>
              </w:rPr>
            </w:pPr>
            <w:r>
              <w:rPr>
                <w:sz w:val="21"/>
                <w:szCs w:val="21"/>
              </w:rPr>
              <w:t>公用设施用地区</w:t>
            </w: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sz w:val="21"/>
                <w:szCs w:val="21"/>
              </w:rPr>
            </w:pPr>
            <w:r>
              <w:rPr>
                <w:sz w:val="21"/>
                <w:szCs w:val="21"/>
              </w:rPr>
              <w:t>2.88</w:t>
            </w:r>
          </w:p>
        </w:tc>
        <w:tc>
          <w:tcPr>
            <w:tcW w:w="2038" w:type="dxa"/>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4" w:hRule="atLeast"/>
        </w:trPr>
        <w:tc>
          <w:tcPr>
            <w:tcW w:w="1163" w:type="dxa"/>
            <w:vMerge w:val="continue"/>
            <w:vAlign w:val="center"/>
          </w:tcPr>
          <w:p>
            <w:pPr>
              <w:pStyle w:val="53"/>
              <w:jc w:val="center"/>
              <w:rPr>
                <w:rFonts w:eastAsia="仿宋_GB2312"/>
              </w:rPr>
            </w:pPr>
          </w:p>
        </w:tc>
        <w:tc>
          <w:tcPr>
            <w:tcW w:w="2325" w:type="dxa"/>
            <w:vAlign w:val="center"/>
          </w:tcPr>
          <w:p>
            <w:pPr>
              <w:tabs>
                <w:tab w:val="left" w:pos="1050"/>
              </w:tabs>
              <w:spacing w:line="240" w:lineRule="auto"/>
              <w:ind w:firstLine="0" w:firstLineChars="0"/>
              <w:jc w:val="center"/>
              <w:rPr>
                <w:sz w:val="21"/>
                <w:szCs w:val="21"/>
              </w:rPr>
            </w:pPr>
            <w:r>
              <w:rPr>
                <w:sz w:val="21"/>
                <w:szCs w:val="21"/>
              </w:rPr>
              <w:t>绿地与广场用地</w:t>
            </w:r>
          </w:p>
        </w:tc>
        <w:tc>
          <w:tcPr>
            <w:tcW w:w="1537" w:type="dxa"/>
            <w:vAlign w:val="center"/>
          </w:tcPr>
          <w:p>
            <w:pPr>
              <w:tabs>
                <w:tab w:val="left" w:pos="1050"/>
              </w:tabs>
              <w:spacing w:line="240" w:lineRule="auto"/>
              <w:ind w:firstLine="0" w:firstLineChars="0"/>
              <w:jc w:val="center"/>
              <w:rPr>
                <w:sz w:val="21"/>
                <w:szCs w:val="21"/>
              </w:rPr>
            </w:pPr>
            <w:r>
              <w:rPr>
                <w:sz w:val="21"/>
                <w:szCs w:val="21"/>
              </w:rPr>
              <w:t>未建区</w:t>
            </w:r>
          </w:p>
        </w:tc>
        <w:tc>
          <w:tcPr>
            <w:tcW w:w="2038" w:type="dxa"/>
            <w:vAlign w:val="center"/>
          </w:tcPr>
          <w:p>
            <w:pPr>
              <w:tabs>
                <w:tab w:val="left" w:pos="1050"/>
              </w:tabs>
              <w:spacing w:line="240" w:lineRule="auto"/>
              <w:ind w:firstLine="0" w:firstLineChars="0"/>
              <w:jc w:val="center"/>
              <w:rPr>
                <w:sz w:val="21"/>
                <w:szCs w:val="21"/>
              </w:rPr>
            </w:pPr>
            <w:r>
              <w:rPr>
                <w:sz w:val="21"/>
                <w:szCs w:val="21"/>
              </w:rPr>
              <w:t>13.88</w:t>
            </w:r>
          </w:p>
        </w:tc>
        <w:tc>
          <w:tcPr>
            <w:tcW w:w="2038" w:type="dxa"/>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2" w:hRule="atLeast"/>
        </w:trPr>
        <w:tc>
          <w:tcPr>
            <w:tcW w:w="1163" w:type="dxa"/>
            <w:vMerge w:val="continue"/>
            <w:vAlign w:val="center"/>
          </w:tcPr>
          <w:p>
            <w:pPr>
              <w:pStyle w:val="53"/>
              <w:jc w:val="center"/>
              <w:rPr>
                <w:rFonts w:eastAsia="仿宋_GB2312"/>
              </w:rPr>
            </w:pPr>
          </w:p>
        </w:tc>
        <w:tc>
          <w:tcPr>
            <w:tcW w:w="3862" w:type="dxa"/>
            <w:gridSpan w:val="2"/>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2038" w:type="dxa"/>
            <w:vAlign w:val="center"/>
          </w:tcPr>
          <w:p>
            <w:pPr>
              <w:tabs>
                <w:tab w:val="left" w:pos="1050"/>
              </w:tabs>
              <w:spacing w:line="240" w:lineRule="auto"/>
              <w:ind w:firstLine="0" w:firstLineChars="0"/>
              <w:jc w:val="center"/>
              <w:rPr>
                <w:b/>
                <w:bCs/>
                <w:sz w:val="21"/>
                <w:szCs w:val="21"/>
              </w:rPr>
            </w:pPr>
            <w:r>
              <w:rPr>
                <w:b/>
                <w:bCs/>
                <w:sz w:val="21"/>
                <w:szCs w:val="21"/>
              </w:rPr>
              <w:t>383.62</w:t>
            </w:r>
          </w:p>
        </w:tc>
        <w:tc>
          <w:tcPr>
            <w:tcW w:w="2038" w:type="dxa"/>
            <w:vAlign w:val="center"/>
          </w:tcPr>
          <w:p>
            <w:pPr>
              <w:tabs>
                <w:tab w:val="left" w:pos="1050"/>
              </w:tabs>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0" w:hRule="atLeast"/>
        </w:trPr>
        <w:tc>
          <w:tcPr>
            <w:tcW w:w="1163" w:type="dxa"/>
            <w:vMerge w:val="restart"/>
            <w:vAlign w:val="center"/>
          </w:tcPr>
          <w:p>
            <w:pPr>
              <w:pStyle w:val="53"/>
              <w:jc w:val="center"/>
              <w:rPr>
                <w:rFonts w:eastAsia="仿宋_GB2312"/>
              </w:rPr>
            </w:pPr>
            <w:r>
              <w:rPr>
                <w:rFonts w:eastAsia="仿宋_GB2312"/>
              </w:rPr>
              <w:t>临时堆场区</w:t>
            </w:r>
          </w:p>
        </w:tc>
        <w:tc>
          <w:tcPr>
            <w:tcW w:w="2325" w:type="dxa"/>
            <w:vAlign w:val="center"/>
          </w:tcPr>
          <w:p>
            <w:pPr>
              <w:tabs>
                <w:tab w:val="left" w:pos="1050"/>
              </w:tabs>
              <w:spacing w:line="240" w:lineRule="auto"/>
              <w:ind w:firstLine="0" w:firstLineChars="0"/>
              <w:jc w:val="center"/>
              <w:rPr>
                <w:sz w:val="21"/>
                <w:szCs w:val="21"/>
              </w:rPr>
            </w:pPr>
            <w:r>
              <w:rPr>
                <w:sz w:val="21"/>
                <w:szCs w:val="21"/>
              </w:rPr>
              <w:t>土石方中转场*</w:t>
            </w:r>
          </w:p>
        </w:tc>
        <w:tc>
          <w:tcPr>
            <w:tcW w:w="1537" w:type="dxa"/>
            <w:vAlign w:val="center"/>
          </w:tcPr>
          <w:p>
            <w:pPr>
              <w:tabs>
                <w:tab w:val="left" w:pos="1050"/>
              </w:tabs>
              <w:spacing w:line="240" w:lineRule="auto"/>
              <w:ind w:firstLine="0" w:firstLineChars="0"/>
              <w:jc w:val="center"/>
              <w:rPr>
                <w:sz w:val="21"/>
                <w:szCs w:val="21"/>
              </w:rPr>
            </w:pPr>
            <w:r>
              <w:rPr>
                <w:sz w:val="21"/>
                <w:szCs w:val="21"/>
              </w:rPr>
              <w:t>-</w:t>
            </w:r>
          </w:p>
        </w:tc>
        <w:tc>
          <w:tcPr>
            <w:tcW w:w="2038" w:type="dxa"/>
            <w:vAlign w:val="center"/>
          </w:tcPr>
          <w:p>
            <w:pPr>
              <w:tabs>
                <w:tab w:val="left" w:pos="1050"/>
              </w:tabs>
              <w:spacing w:line="240" w:lineRule="auto"/>
              <w:ind w:firstLine="0" w:firstLineChars="0"/>
              <w:jc w:val="center"/>
              <w:rPr>
                <w:sz w:val="21"/>
                <w:szCs w:val="21"/>
              </w:rPr>
            </w:pPr>
            <w:r>
              <w:rPr>
                <w:sz w:val="21"/>
                <w:szCs w:val="21"/>
              </w:rPr>
              <w:t>12.17</w:t>
            </w:r>
          </w:p>
        </w:tc>
        <w:tc>
          <w:tcPr>
            <w:tcW w:w="2038" w:type="dxa"/>
            <w:vAlign w:val="center"/>
          </w:tcPr>
          <w:p>
            <w:pPr>
              <w:tabs>
                <w:tab w:val="left" w:pos="1050"/>
              </w:tabs>
              <w:spacing w:line="240" w:lineRule="auto"/>
              <w:ind w:firstLine="0" w:firstLineChars="0"/>
              <w:jc w:val="center"/>
              <w:rPr>
                <w:sz w:val="21"/>
                <w:szCs w:val="21"/>
              </w:rPr>
            </w:pPr>
            <w:r>
              <w:rPr>
                <w:sz w:val="21"/>
                <w:szCs w:val="21"/>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7" w:hRule="atLeast"/>
        </w:trPr>
        <w:tc>
          <w:tcPr>
            <w:tcW w:w="1163" w:type="dxa"/>
            <w:vMerge w:val="continue"/>
            <w:vAlign w:val="center"/>
          </w:tcPr>
          <w:p>
            <w:pPr>
              <w:pStyle w:val="53"/>
              <w:jc w:val="center"/>
              <w:rPr>
                <w:rFonts w:eastAsia="仿宋_GB2312"/>
              </w:rPr>
            </w:pPr>
          </w:p>
        </w:tc>
        <w:tc>
          <w:tcPr>
            <w:tcW w:w="2325" w:type="dxa"/>
            <w:vAlign w:val="center"/>
          </w:tcPr>
          <w:p>
            <w:pPr>
              <w:tabs>
                <w:tab w:val="left" w:pos="1050"/>
              </w:tabs>
              <w:spacing w:line="240" w:lineRule="auto"/>
              <w:ind w:firstLine="0" w:firstLineChars="0"/>
              <w:jc w:val="center"/>
              <w:rPr>
                <w:sz w:val="21"/>
                <w:szCs w:val="21"/>
              </w:rPr>
            </w:pPr>
            <w:r>
              <w:rPr>
                <w:sz w:val="21"/>
                <w:szCs w:val="21"/>
              </w:rPr>
              <w:t>表土中转场*</w:t>
            </w:r>
          </w:p>
        </w:tc>
        <w:tc>
          <w:tcPr>
            <w:tcW w:w="1537" w:type="dxa"/>
            <w:vAlign w:val="center"/>
          </w:tcPr>
          <w:p>
            <w:pPr>
              <w:tabs>
                <w:tab w:val="left" w:pos="1050"/>
              </w:tabs>
              <w:spacing w:line="240" w:lineRule="auto"/>
              <w:ind w:firstLine="0" w:firstLineChars="0"/>
              <w:jc w:val="center"/>
              <w:rPr>
                <w:sz w:val="21"/>
                <w:szCs w:val="21"/>
              </w:rPr>
            </w:pPr>
            <w:r>
              <w:rPr>
                <w:sz w:val="21"/>
                <w:szCs w:val="21"/>
              </w:rPr>
              <w:t>-</w:t>
            </w:r>
          </w:p>
        </w:tc>
        <w:tc>
          <w:tcPr>
            <w:tcW w:w="2038" w:type="dxa"/>
            <w:vAlign w:val="center"/>
          </w:tcPr>
          <w:p>
            <w:pPr>
              <w:pStyle w:val="53"/>
              <w:jc w:val="center"/>
              <w:rPr>
                <w:rFonts w:eastAsia="仿宋_GB2312"/>
              </w:rPr>
            </w:pPr>
            <w:r>
              <w:rPr>
                <w:rFonts w:eastAsia="仿宋_GB2312"/>
              </w:rPr>
              <w:t>39.55</w:t>
            </w:r>
          </w:p>
        </w:tc>
        <w:tc>
          <w:tcPr>
            <w:tcW w:w="2038" w:type="dxa"/>
            <w:vAlign w:val="center"/>
          </w:tcPr>
          <w:p>
            <w:pPr>
              <w:pStyle w:val="53"/>
              <w:jc w:val="center"/>
              <w:rPr>
                <w:rFonts w:eastAsia="仿宋_GB2312"/>
              </w:rPr>
            </w:pPr>
            <w:r>
              <w:rPr>
                <w:rFonts w:eastAsia="仿宋_GB2312"/>
              </w:rPr>
              <w:t>园区管委会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25" w:type="dxa"/>
            <w:gridSpan w:val="3"/>
            <w:vAlign w:val="center"/>
          </w:tcPr>
          <w:p>
            <w:pPr>
              <w:pStyle w:val="53"/>
              <w:jc w:val="center"/>
              <w:rPr>
                <w:rFonts w:eastAsia="仿宋_GB2312"/>
                <w:b/>
                <w:bCs/>
              </w:rPr>
            </w:pPr>
            <w:r>
              <w:rPr>
                <w:rFonts w:eastAsia="仿宋_GB2312"/>
                <w:b/>
                <w:bCs/>
              </w:rPr>
              <w:t>总计</w:t>
            </w:r>
          </w:p>
        </w:tc>
        <w:tc>
          <w:tcPr>
            <w:tcW w:w="2038" w:type="dxa"/>
            <w:vAlign w:val="center"/>
          </w:tcPr>
          <w:p>
            <w:pPr>
              <w:tabs>
                <w:tab w:val="left" w:pos="1050"/>
              </w:tabs>
              <w:spacing w:line="240" w:lineRule="auto"/>
              <w:ind w:firstLine="0" w:firstLineChars="0"/>
              <w:jc w:val="center"/>
              <w:rPr>
                <w:b/>
                <w:bCs/>
                <w:sz w:val="21"/>
                <w:szCs w:val="21"/>
              </w:rPr>
            </w:pPr>
            <w:r>
              <w:rPr>
                <w:b/>
                <w:bCs/>
                <w:sz w:val="21"/>
                <w:szCs w:val="21"/>
              </w:rPr>
              <w:t>1129.18</w:t>
            </w:r>
          </w:p>
        </w:tc>
        <w:tc>
          <w:tcPr>
            <w:tcW w:w="2038" w:type="dxa"/>
            <w:vAlign w:val="center"/>
          </w:tcPr>
          <w:p>
            <w:pPr>
              <w:tabs>
                <w:tab w:val="left" w:pos="1050"/>
              </w:tabs>
              <w:spacing w:line="240" w:lineRule="auto"/>
              <w:ind w:firstLine="0" w:firstLineChars="0"/>
              <w:jc w:val="center"/>
              <w:rPr>
                <w:b/>
                <w:bCs/>
                <w:sz w:val="21"/>
                <w:szCs w:val="21"/>
              </w:rPr>
            </w:pPr>
          </w:p>
        </w:tc>
      </w:tr>
    </w:tbl>
    <w:p>
      <w:pPr>
        <w:pStyle w:val="5"/>
      </w:pPr>
      <w:bookmarkStart w:id="33" w:name="_Toc28582"/>
      <w:r>
        <w:t>1.5水土流失防治目标</w:t>
      </w:r>
      <w:bookmarkEnd w:id="33"/>
    </w:p>
    <w:p>
      <w:pPr>
        <w:pStyle w:val="6"/>
        <w:spacing w:line="240" w:lineRule="auto"/>
      </w:pPr>
      <w:r>
        <w:t>1.5.1执行标准等级</w:t>
      </w:r>
    </w:p>
    <w:p>
      <w:pPr>
        <w:ind w:firstLine="480"/>
      </w:pPr>
      <w:r>
        <w:t>园区地处五通桥区辖区，根据《全国水土保持规划国家级水土流失重点预防区和重点治理区复核划分成果》（办水保〔2013〕188号），五通桥区不属于国家级水土流失重点预防区和重点治理区。根据《四川省水利厅关于印发四川省省级水土流失重点预防区和重点治理区划分成果的通知》（川水函〔2017〕482号），五通桥区不属于省级水土流失重点预防区及水土流失重点治理区。根据《乐山市水土保持规划》（2015-2030年），五通桥区不属于市级水土流失重点预防区及水土流失重点治理区。根据《乐山市五通桥区水土保持规划》（2015-2030年），园区涉及的金粟镇、金山镇属于县级水土流失重点治理区。根据</w:t>
      </w:r>
      <w:r>
        <w:rPr>
          <w:kern w:val="0"/>
          <w:szCs w:val="20"/>
        </w:rPr>
        <w:t>《生产建设项目水土流失防治标准》（GB/T50434-2018）</w:t>
      </w:r>
      <w:r>
        <w:t>的规定，</w:t>
      </w:r>
      <w:r>
        <w:rPr>
          <w:kern w:val="1"/>
        </w:rPr>
        <w:t>本报告执行</w:t>
      </w:r>
      <w:r>
        <w:t>西南紫色土区水土流失防治</w:t>
      </w:r>
      <w:r>
        <w:rPr>
          <w:kern w:val="1"/>
        </w:rPr>
        <w:t>一级标准。</w:t>
      </w:r>
    </w:p>
    <w:p>
      <w:pPr>
        <w:pStyle w:val="6"/>
        <w:spacing w:line="240" w:lineRule="auto"/>
      </w:pPr>
      <w:r>
        <w:t>1.5.2防治目标</w:t>
      </w:r>
    </w:p>
    <w:p>
      <w:pPr>
        <w:widowControl/>
        <w:ind w:firstLine="480"/>
        <w:rPr>
          <w:kern w:val="0"/>
          <w:szCs w:val="20"/>
        </w:rPr>
      </w:pPr>
      <w:r>
        <w:rPr>
          <w:kern w:val="0"/>
          <w:szCs w:val="20"/>
        </w:rPr>
        <w:t>水土流失防治目标如下：</w:t>
      </w:r>
    </w:p>
    <w:p>
      <w:pPr>
        <w:widowControl/>
        <w:ind w:firstLine="480"/>
        <w:rPr>
          <w:kern w:val="0"/>
          <w:szCs w:val="20"/>
        </w:rPr>
      </w:pPr>
      <w:r>
        <w:rPr>
          <w:kern w:val="0"/>
          <w:szCs w:val="20"/>
        </w:rPr>
        <w:t>1、</w:t>
      </w:r>
      <w:r>
        <w:rPr>
          <w:rFonts w:hint="eastAsia"/>
          <w:kern w:val="0"/>
          <w:szCs w:val="20"/>
        </w:rPr>
        <w:t>园区</w:t>
      </w:r>
      <w:r>
        <w:rPr>
          <w:kern w:val="0"/>
          <w:szCs w:val="20"/>
        </w:rPr>
        <w:t>建设范围内的新增水土流失应得到有效控制，原有水土流失得到治理；</w:t>
      </w:r>
    </w:p>
    <w:p>
      <w:pPr>
        <w:widowControl/>
        <w:ind w:firstLine="480"/>
        <w:rPr>
          <w:kern w:val="0"/>
          <w:szCs w:val="20"/>
        </w:rPr>
      </w:pPr>
      <w:r>
        <w:rPr>
          <w:kern w:val="0"/>
          <w:szCs w:val="20"/>
        </w:rPr>
        <w:t>2、水土保持设施应安全有效；</w:t>
      </w:r>
    </w:p>
    <w:p>
      <w:pPr>
        <w:widowControl/>
        <w:ind w:firstLine="480"/>
        <w:rPr>
          <w:kern w:val="0"/>
          <w:szCs w:val="20"/>
        </w:rPr>
      </w:pPr>
      <w:r>
        <w:rPr>
          <w:kern w:val="0"/>
          <w:szCs w:val="20"/>
        </w:rPr>
        <w:t>3、水土资源、林草植被应得到最大限度的保护与恢复；</w:t>
      </w:r>
    </w:p>
    <w:p>
      <w:pPr>
        <w:widowControl/>
        <w:ind w:firstLine="480"/>
        <w:rPr>
          <w:kern w:val="0"/>
          <w:szCs w:val="20"/>
        </w:rPr>
      </w:pPr>
      <w:r>
        <w:rPr>
          <w:kern w:val="0"/>
          <w:szCs w:val="20"/>
        </w:rPr>
        <w:t>4、水土流失治理度、土壤流失控制比、渣土防护率、表土保护率、林草植被恢复率、林草覆盖率六项指标应符合《生产建设项目水土流失防治标准》（GB/T50434-2018）的规定。</w:t>
      </w:r>
    </w:p>
    <w:p>
      <w:pPr>
        <w:widowControl/>
        <w:ind w:firstLine="480"/>
        <w:rPr>
          <w:kern w:val="0"/>
          <w:szCs w:val="20"/>
        </w:rPr>
      </w:pPr>
      <w:r>
        <w:rPr>
          <w:kern w:val="0"/>
          <w:szCs w:val="20"/>
        </w:rPr>
        <w:t>根据《生产建设项目水土流失防治标准》（GB/T50434-2018）相关规定，本项目区位于西南紫色土区，水土流失防治指标值参照西南紫色土区防治指标进行修正。具体修正如下：1、从年干燥度分析，本项目属于湿润地区，水土流失治理度、林草植被恢复率不作调整；2、从土壤侵蚀强度分析，本项目侵蚀强度属于微度侵蚀，土壤流失控制比不小于1；3、由于项目位于城市区，渣土防护率提高2%。修正后水土流失防治目标详见下表：</w:t>
      </w:r>
    </w:p>
    <w:p>
      <w:pPr>
        <w:pStyle w:val="68"/>
        <w:spacing w:after="120"/>
      </w:pPr>
      <w:r>
        <w:t>表1.5-1西南紫色土区水土流失防治目标值</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2207"/>
        <w:gridCol w:w="659"/>
        <w:gridCol w:w="728"/>
        <w:gridCol w:w="874"/>
        <w:gridCol w:w="810"/>
        <w:gridCol w:w="975"/>
        <w:gridCol w:w="699"/>
        <w:gridCol w:w="836"/>
        <w:gridCol w:w="697"/>
        <w:gridCol w:w="64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Merge w:val="restart"/>
            <w:vAlign w:val="center"/>
          </w:tcPr>
          <w:p>
            <w:pPr>
              <w:pStyle w:val="53"/>
              <w:rPr>
                <w:rFonts w:eastAsia="仿宋_GB2312"/>
                <w:b/>
                <w:bCs/>
              </w:rPr>
            </w:pPr>
            <w:r>
              <w:rPr>
                <w:rFonts w:eastAsia="仿宋_GB2312"/>
                <w:b/>
                <w:bCs/>
              </w:rPr>
              <w:t>项目</w:t>
            </w:r>
          </w:p>
        </w:tc>
        <w:tc>
          <w:tcPr>
            <w:tcW w:w="1387" w:type="dxa"/>
            <w:gridSpan w:val="2"/>
            <w:vAlign w:val="center"/>
          </w:tcPr>
          <w:p>
            <w:pPr>
              <w:pStyle w:val="53"/>
              <w:rPr>
                <w:rFonts w:eastAsia="仿宋_GB2312"/>
                <w:b/>
                <w:bCs/>
              </w:rPr>
            </w:pPr>
            <w:r>
              <w:rPr>
                <w:rFonts w:eastAsia="仿宋_GB2312"/>
                <w:b/>
                <w:bCs/>
              </w:rPr>
              <w:t>规范标准</w:t>
            </w:r>
          </w:p>
        </w:tc>
        <w:tc>
          <w:tcPr>
            <w:tcW w:w="874" w:type="dxa"/>
            <w:vMerge w:val="restart"/>
            <w:vAlign w:val="center"/>
          </w:tcPr>
          <w:p>
            <w:pPr>
              <w:pStyle w:val="53"/>
              <w:rPr>
                <w:rFonts w:eastAsia="仿宋_GB2312"/>
                <w:b/>
                <w:bCs/>
              </w:rPr>
            </w:pPr>
            <w:r>
              <w:rPr>
                <w:rFonts w:eastAsia="仿宋_GB2312"/>
                <w:b/>
                <w:bCs/>
              </w:rPr>
              <w:t>按年干燥度修正</w:t>
            </w:r>
          </w:p>
        </w:tc>
        <w:tc>
          <w:tcPr>
            <w:tcW w:w="810" w:type="dxa"/>
            <w:vMerge w:val="restart"/>
            <w:vAlign w:val="center"/>
          </w:tcPr>
          <w:p>
            <w:pPr>
              <w:pStyle w:val="53"/>
              <w:rPr>
                <w:rFonts w:eastAsia="仿宋_GB2312"/>
                <w:b/>
                <w:bCs/>
              </w:rPr>
            </w:pPr>
            <w:r>
              <w:rPr>
                <w:rFonts w:eastAsia="仿宋_GB2312"/>
                <w:b/>
                <w:bCs/>
              </w:rPr>
              <w:t>按土壤</w:t>
            </w:r>
          </w:p>
          <w:p>
            <w:pPr>
              <w:pStyle w:val="53"/>
              <w:rPr>
                <w:rFonts w:eastAsia="仿宋_GB2312"/>
                <w:b/>
                <w:bCs/>
              </w:rPr>
            </w:pPr>
            <w:r>
              <w:rPr>
                <w:rFonts w:eastAsia="仿宋_GB2312"/>
                <w:b/>
                <w:bCs/>
              </w:rPr>
              <w:t>侵蚀强度修正</w:t>
            </w:r>
          </w:p>
        </w:tc>
        <w:tc>
          <w:tcPr>
            <w:tcW w:w="975" w:type="dxa"/>
            <w:vMerge w:val="restart"/>
            <w:vAlign w:val="center"/>
          </w:tcPr>
          <w:p>
            <w:pPr>
              <w:pStyle w:val="53"/>
              <w:rPr>
                <w:rFonts w:eastAsia="仿宋_GB2312"/>
                <w:b/>
                <w:bCs/>
              </w:rPr>
            </w:pPr>
            <w:r>
              <w:rPr>
                <w:rFonts w:eastAsia="仿宋_GB2312"/>
                <w:b/>
                <w:bCs/>
              </w:rPr>
              <w:t>按陆地</w:t>
            </w:r>
          </w:p>
          <w:p>
            <w:pPr>
              <w:pStyle w:val="53"/>
              <w:rPr>
                <w:rFonts w:eastAsia="仿宋_GB2312"/>
                <w:b/>
                <w:bCs/>
              </w:rPr>
            </w:pPr>
            <w:r>
              <w:rPr>
                <w:rFonts w:eastAsia="仿宋_GB2312"/>
                <w:b/>
                <w:bCs/>
              </w:rPr>
              <w:t>地貌类型修正</w:t>
            </w:r>
          </w:p>
        </w:tc>
        <w:tc>
          <w:tcPr>
            <w:tcW w:w="699" w:type="dxa"/>
            <w:vMerge w:val="restart"/>
            <w:vAlign w:val="center"/>
          </w:tcPr>
          <w:p>
            <w:pPr>
              <w:pStyle w:val="53"/>
              <w:rPr>
                <w:rFonts w:eastAsia="仿宋_GB2312"/>
                <w:b/>
                <w:bCs/>
              </w:rPr>
            </w:pPr>
            <w:r>
              <w:rPr>
                <w:rFonts w:eastAsia="仿宋_GB2312"/>
                <w:b/>
                <w:bCs/>
              </w:rPr>
              <w:t>按城市区修正</w:t>
            </w:r>
          </w:p>
        </w:tc>
        <w:tc>
          <w:tcPr>
            <w:tcW w:w="836" w:type="dxa"/>
            <w:vMerge w:val="restart"/>
            <w:vAlign w:val="center"/>
          </w:tcPr>
          <w:p>
            <w:pPr>
              <w:pStyle w:val="53"/>
              <w:rPr>
                <w:rFonts w:eastAsia="仿宋_GB2312"/>
                <w:b/>
                <w:bCs/>
              </w:rPr>
            </w:pPr>
            <w:r>
              <w:rPr>
                <w:rFonts w:eastAsia="仿宋_GB2312"/>
                <w:b/>
                <w:bCs/>
              </w:rPr>
              <w:t>按项目实际修正</w:t>
            </w:r>
          </w:p>
        </w:tc>
        <w:tc>
          <w:tcPr>
            <w:tcW w:w="1338" w:type="dxa"/>
            <w:gridSpan w:val="2"/>
            <w:vAlign w:val="center"/>
          </w:tcPr>
          <w:p>
            <w:pPr>
              <w:pStyle w:val="53"/>
              <w:rPr>
                <w:rFonts w:eastAsia="仿宋_GB2312"/>
                <w:b/>
                <w:bCs/>
              </w:rPr>
            </w:pPr>
            <w:r>
              <w:rPr>
                <w:rFonts w:eastAsia="仿宋_GB2312"/>
                <w:b/>
                <w:bCs/>
              </w:rPr>
              <w:t>采用标准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Merge w:val="continue"/>
            <w:vAlign w:val="center"/>
          </w:tcPr>
          <w:p>
            <w:pPr>
              <w:pStyle w:val="53"/>
              <w:rPr>
                <w:rFonts w:eastAsia="仿宋_GB2312"/>
                <w:b/>
                <w:bCs/>
              </w:rPr>
            </w:pPr>
          </w:p>
        </w:tc>
        <w:tc>
          <w:tcPr>
            <w:tcW w:w="659" w:type="dxa"/>
            <w:vAlign w:val="center"/>
          </w:tcPr>
          <w:p>
            <w:pPr>
              <w:pStyle w:val="53"/>
              <w:rPr>
                <w:rFonts w:eastAsia="仿宋_GB2312"/>
                <w:b/>
                <w:bCs/>
              </w:rPr>
            </w:pPr>
            <w:r>
              <w:rPr>
                <w:rFonts w:eastAsia="仿宋_GB2312"/>
                <w:b/>
                <w:bCs/>
              </w:rPr>
              <w:t>施工期</w:t>
            </w:r>
          </w:p>
        </w:tc>
        <w:tc>
          <w:tcPr>
            <w:tcW w:w="728" w:type="dxa"/>
            <w:vAlign w:val="center"/>
          </w:tcPr>
          <w:p>
            <w:pPr>
              <w:pStyle w:val="53"/>
              <w:rPr>
                <w:rFonts w:eastAsia="仿宋_GB2312"/>
                <w:b/>
                <w:bCs/>
              </w:rPr>
            </w:pPr>
            <w:r>
              <w:rPr>
                <w:rFonts w:eastAsia="仿宋_GB2312"/>
                <w:b/>
                <w:bCs/>
              </w:rPr>
              <w:t>设计</w:t>
            </w:r>
          </w:p>
          <w:p>
            <w:pPr>
              <w:pStyle w:val="53"/>
              <w:rPr>
                <w:rFonts w:eastAsia="仿宋_GB2312"/>
                <w:b/>
                <w:bCs/>
              </w:rPr>
            </w:pPr>
            <w:r>
              <w:rPr>
                <w:rFonts w:eastAsia="仿宋_GB2312"/>
                <w:b/>
                <w:bCs/>
              </w:rPr>
              <w:t>水平年</w:t>
            </w:r>
          </w:p>
        </w:tc>
        <w:tc>
          <w:tcPr>
            <w:tcW w:w="874" w:type="dxa"/>
            <w:vMerge w:val="continue"/>
            <w:vAlign w:val="center"/>
          </w:tcPr>
          <w:p>
            <w:pPr>
              <w:pStyle w:val="53"/>
              <w:rPr>
                <w:rFonts w:eastAsia="仿宋_GB2312"/>
                <w:b/>
                <w:bCs/>
              </w:rPr>
            </w:pPr>
          </w:p>
        </w:tc>
        <w:tc>
          <w:tcPr>
            <w:tcW w:w="810" w:type="dxa"/>
            <w:vMerge w:val="continue"/>
            <w:vAlign w:val="center"/>
          </w:tcPr>
          <w:p>
            <w:pPr>
              <w:pStyle w:val="53"/>
              <w:rPr>
                <w:rFonts w:eastAsia="仿宋_GB2312"/>
                <w:b/>
                <w:bCs/>
              </w:rPr>
            </w:pPr>
          </w:p>
        </w:tc>
        <w:tc>
          <w:tcPr>
            <w:tcW w:w="975" w:type="dxa"/>
            <w:vMerge w:val="continue"/>
            <w:vAlign w:val="center"/>
          </w:tcPr>
          <w:p>
            <w:pPr>
              <w:pStyle w:val="53"/>
              <w:rPr>
                <w:rFonts w:eastAsia="仿宋_GB2312"/>
                <w:b/>
                <w:bCs/>
              </w:rPr>
            </w:pPr>
          </w:p>
        </w:tc>
        <w:tc>
          <w:tcPr>
            <w:tcW w:w="699" w:type="dxa"/>
            <w:vMerge w:val="continue"/>
            <w:vAlign w:val="center"/>
          </w:tcPr>
          <w:p>
            <w:pPr>
              <w:pStyle w:val="53"/>
              <w:rPr>
                <w:rFonts w:eastAsia="仿宋_GB2312"/>
                <w:b/>
                <w:bCs/>
              </w:rPr>
            </w:pPr>
          </w:p>
        </w:tc>
        <w:tc>
          <w:tcPr>
            <w:tcW w:w="836" w:type="dxa"/>
            <w:vMerge w:val="continue"/>
            <w:vAlign w:val="center"/>
          </w:tcPr>
          <w:p>
            <w:pPr>
              <w:pStyle w:val="53"/>
              <w:rPr>
                <w:rFonts w:eastAsia="仿宋_GB2312"/>
                <w:b/>
                <w:bCs/>
              </w:rPr>
            </w:pPr>
          </w:p>
        </w:tc>
        <w:tc>
          <w:tcPr>
            <w:tcW w:w="697" w:type="dxa"/>
            <w:vAlign w:val="center"/>
          </w:tcPr>
          <w:p>
            <w:pPr>
              <w:pStyle w:val="53"/>
              <w:rPr>
                <w:rFonts w:eastAsia="仿宋_GB2312"/>
                <w:b/>
                <w:bCs/>
              </w:rPr>
            </w:pPr>
            <w:r>
              <w:rPr>
                <w:rFonts w:eastAsia="仿宋_GB2312"/>
                <w:b/>
                <w:bCs/>
              </w:rPr>
              <w:t>施工期</w:t>
            </w:r>
          </w:p>
        </w:tc>
        <w:tc>
          <w:tcPr>
            <w:tcW w:w="641" w:type="dxa"/>
            <w:vAlign w:val="center"/>
          </w:tcPr>
          <w:p>
            <w:pPr>
              <w:pStyle w:val="53"/>
              <w:rPr>
                <w:rFonts w:eastAsia="仿宋_GB2312"/>
                <w:b/>
                <w:bCs/>
              </w:rPr>
            </w:pPr>
            <w:r>
              <w:rPr>
                <w:rFonts w:eastAsia="仿宋_GB2312"/>
                <w:b/>
                <w:bCs/>
              </w:rPr>
              <w:t>设计</w:t>
            </w:r>
          </w:p>
          <w:p>
            <w:pPr>
              <w:pStyle w:val="53"/>
              <w:rPr>
                <w:rFonts w:eastAsia="仿宋_GB2312"/>
                <w:b/>
                <w:bCs/>
              </w:rPr>
            </w:pPr>
            <w:r>
              <w:rPr>
                <w:rFonts w:eastAsia="仿宋_GB2312"/>
                <w:b/>
                <w:bCs/>
              </w:rPr>
              <w:t>水平年</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Align w:val="center"/>
          </w:tcPr>
          <w:p>
            <w:pPr>
              <w:pStyle w:val="53"/>
              <w:rPr>
                <w:rFonts w:eastAsia="仿宋_GB2312"/>
              </w:rPr>
            </w:pPr>
            <w:r>
              <w:rPr>
                <w:rFonts w:eastAsia="仿宋_GB2312"/>
              </w:rPr>
              <w:t>水土流失治理度（%）</w:t>
            </w:r>
          </w:p>
        </w:tc>
        <w:tc>
          <w:tcPr>
            <w:tcW w:w="659" w:type="dxa"/>
            <w:vAlign w:val="center"/>
          </w:tcPr>
          <w:p>
            <w:pPr>
              <w:pStyle w:val="53"/>
              <w:rPr>
                <w:rFonts w:eastAsia="仿宋_GB2312"/>
              </w:rPr>
            </w:pPr>
            <w:r>
              <w:rPr>
                <w:rFonts w:eastAsia="仿宋_GB2312"/>
              </w:rPr>
              <w:t>—</w:t>
            </w:r>
          </w:p>
        </w:tc>
        <w:tc>
          <w:tcPr>
            <w:tcW w:w="728" w:type="dxa"/>
            <w:vAlign w:val="center"/>
          </w:tcPr>
          <w:p>
            <w:pPr>
              <w:pStyle w:val="53"/>
              <w:rPr>
                <w:rFonts w:eastAsia="仿宋_GB2312"/>
              </w:rPr>
            </w:pPr>
            <w:r>
              <w:rPr>
                <w:rFonts w:eastAsia="仿宋_GB2312"/>
              </w:rPr>
              <w:t>97</w:t>
            </w:r>
          </w:p>
        </w:tc>
        <w:tc>
          <w:tcPr>
            <w:tcW w:w="874" w:type="dxa"/>
            <w:vAlign w:val="center"/>
          </w:tcPr>
          <w:p>
            <w:pPr>
              <w:pStyle w:val="53"/>
              <w:rPr>
                <w:rFonts w:eastAsia="仿宋_GB2312"/>
              </w:rPr>
            </w:pPr>
          </w:p>
        </w:tc>
        <w:tc>
          <w:tcPr>
            <w:tcW w:w="810" w:type="dxa"/>
            <w:vAlign w:val="center"/>
          </w:tcPr>
          <w:p>
            <w:pPr>
              <w:pStyle w:val="53"/>
              <w:rPr>
                <w:rFonts w:eastAsia="仿宋_GB2312"/>
              </w:rPr>
            </w:pPr>
          </w:p>
        </w:tc>
        <w:tc>
          <w:tcPr>
            <w:tcW w:w="975" w:type="dxa"/>
            <w:vAlign w:val="center"/>
          </w:tcPr>
          <w:p>
            <w:pPr>
              <w:pStyle w:val="53"/>
              <w:rPr>
                <w:rFonts w:eastAsia="仿宋_GB2312"/>
              </w:rPr>
            </w:pPr>
          </w:p>
        </w:tc>
        <w:tc>
          <w:tcPr>
            <w:tcW w:w="699" w:type="dxa"/>
            <w:vAlign w:val="center"/>
          </w:tcPr>
          <w:p>
            <w:pPr>
              <w:pStyle w:val="53"/>
              <w:rPr>
                <w:rFonts w:eastAsia="仿宋_GB2312"/>
              </w:rPr>
            </w:pPr>
          </w:p>
        </w:tc>
        <w:tc>
          <w:tcPr>
            <w:tcW w:w="836" w:type="dxa"/>
            <w:vAlign w:val="center"/>
          </w:tcPr>
          <w:p>
            <w:pPr>
              <w:pStyle w:val="53"/>
              <w:rPr>
                <w:rFonts w:eastAsia="仿宋_GB2312"/>
              </w:rPr>
            </w:pPr>
          </w:p>
        </w:tc>
        <w:tc>
          <w:tcPr>
            <w:tcW w:w="697" w:type="dxa"/>
            <w:vAlign w:val="center"/>
          </w:tcPr>
          <w:p>
            <w:pPr>
              <w:pStyle w:val="53"/>
              <w:rPr>
                <w:rFonts w:eastAsia="仿宋_GB2312"/>
              </w:rPr>
            </w:pPr>
            <w:r>
              <w:rPr>
                <w:rFonts w:eastAsia="仿宋_GB2312"/>
              </w:rPr>
              <w:t>—</w:t>
            </w:r>
          </w:p>
        </w:tc>
        <w:tc>
          <w:tcPr>
            <w:tcW w:w="641" w:type="dxa"/>
            <w:vAlign w:val="center"/>
          </w:tcPr>
          <w:p>
            <w:pPr>
              <w:pStyle w:val="53"/>
              <w:rPr>
                <w:rFonts w:eastAsia="仿宋_GB2312"/>
              </w:rPr>
            </w:pPr>
            <w:r>
              <w:rPr>
                <w:rFonts w:eastAsia="仿宋_GB2312"/>
              </w:rPr>
              <w:t>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Align w:val="center"/>
          </w:tcPr>
          <w:p>
            <w:pPr>
              <w:pStyle w:val="53"/>
              <w:rPr>
                <w:rFonts w:eastAsia="仿宋_GB2312"/>
              </w:rPr>
            </w:pPr>
            <w:r>
              <w:rPr>
                <w:rFonts w:eastAsia="仿宋_GB2312"/>
              </w:rPr>
              <w:t>土壤流失控制比</w:t>
            </w:r>
          </w:p>
        </w:tc>
        <w:tc>
          <w:tcPr>
            <w:tcW w:w="659" w:type="dxa"/>
            <w:vAlign w:val="center"/>
          </w:tcPr>
          <w:p>
            <w:pPr>
              <w:pStyle w:val="53"/>
              <w:rPr>
                <w:rFonts w:eastAsia="仿宋_GB2312"/>
              </w:rPr>
            </w:pPr>
            <w:r>
              <w:rPr>
                <w:rFonts w:eastAsia="仿宋_GB2312"/>
              </w:rPr>
              <w:t>—</w:t>
            </w:r>
          </w:p>
        </w:tc>
        <w:tc>
          <w:tcPr>
            <w:tcW w:w="728" w:type="dxa"/>
            <w:vAlign w:val="center"/>
          </w:tcPr>
          <w:p>
            <w:pPr>
              <w:pStyle w:val="53"/>
              <w:rPr>
                <w:rFonts w:eastAsia="仿宋_GB2312"/>
              </w:rPr>
            </w:pPr>
            <w:r>
              <w:rPr>
                <w:rFonts w:eastAsia="仿宋_GB2312"/>
              </w:rPr>
              <w:t>0.85</w:t>
            </w:r>
          </w:p>
        </w:tc>
        <w:tc>
          <w:tcPr>
            <w:tcW w:w="874" w:type="dxa"/>
            <w:vAlign w:val="center"/>
          </w:tcPr>
          <w:p>
            <w:pPr>
              <w:pStyle w:val="53"/>
              <w:rPr>
                <w:rFonts w:eastAsia="仿宋_GB2312"/>
              </w:rPr>
            </w:pPr>
          </w:p>
        </w:tc>
        <w:tc>
          <w:tcPr>
            <w:tcW w:w="810" w:type="dxa"/>
            <w:vAlign w:val="center"/>
          </w:tcPr>
          <w:p>
            <w:pPr>
              <w:pStyle w:val="53"/>
              <w:rPr>
                <w:rFonts w:eastAsia="仿宋_GB2312"/>
              </w:rPr>
            </w:pPr>
            <w:r>
              <w:rPr>
                <w:rFonts w:eastAsia="仿宋_GB2312"/>
              </w:rPr>
              <w:t>+0.15</w:t>
            </w:r>
          </w:p>
        </w:tc>
        <w:tc>
          <w:tcPr>
            <w:tcW w:w="975" w:type="dxa"/>
            <w:vAlign w:val="center"/>
          </w:tcPr>
          <w:p>
            <w:pPr>
              <w:pStyle w:val="53"/>
              <w:rPr>
                <w:rFonts w:eastAsia="仿宋_GB2312"/>
              </w:rPr>
            </w:pPr>
          </w:p>
        </w:tc>
        <w:tc>
          <w:tcPr>
            <w:tcW w:w="699" w:type="dxa"/>
            <w:vAlign w:val="center"/>
          </w:tcPr>
          <w:p>
            <w:pPr>
              <w:pStyle w:val="53"/>
              <w:rPr>
                <w:rFonts w:eastAsia="仿宋_GB2312"/>
              </w:rPr>
            </w:pPr>
          </w:p>
        </w:tc>
        <w:tc>
          <w:tcPr>
            <w:tcW w:w="836" w:type="dxa"/>
            <w:vAlign w:val="center"/>
          </w:tcPr>
          <w:p>
            <w:pPr>
              <w:pStyle w:val="53"/>
              <w:rPr>
                <w:rFonts w:eastAsia="仿宋_GB2312"/>
              </w:rPr>
            </w:pPr>
          </w:p>
        </w:tc>
        <w:tc>
          <w:tcPr>
            <w:tcW w:w="697" w:type="dxa"/>
            <w:vAlign w:val="center"/>
          </w:tcPr>
          <w:p>
            <w:pPr>
              <w:pStyle w:val="53"/>
              <w:rPr>
                <w:rFonts w:eastAsia="仿宋_GB2312"/>
              </w:rPr>
            </w:pPr>
            <w:r>
              <w:rPr>
                <w:rFonts w:eastAsia="仿宋_GB2312"/>
              </w:rPr>
              <w:t>—</w:t>
            </w:r>
          </w:p>
        </w:tc>
        <w:tc>
          <w:tcPr>
            <w:tcW w:w="641" w:type="dxa"/>
            <w:vAlign w:val="center"/>
          </w:tcPr>
          <w:p>
            <w:pPr>
              <w:pStyle w:val="53"/>
              <w:rPr>
                <w:rFonts w:eastAsia="仿宋_GB2312"/>
              </w:rPr>
            </w:pPr>
            <w:r>
              <w:rPr>
                <w:rFonts w:eastAsia="仿宋_GB2312"/>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Align w:val="center"/>
          </w:tcPr>
          <w:p>
            <w:pPr>
              <w:pStyle w:val="53"/>
              <w:rPr>
                <w:rFonts w:eastAsia="仿宋_GB2312"/>
              </w:rPr>
            </w:pPr>
            <w:r>
              <w:rPr>
                <w:rFonts w:eastAsia="仿宋_GB2312"/>
              </w:rPr>
              <w:t>渣土防护率（%）</w:t>
            </w:r>
          </w:p>
        </w:tc>
        <w:tc>
          <w:tcPr>
            <w:tcW w:w="659" w:type="dxa"/>
            <w:vAlign w:val="center"/>
          </w:tcPr>
          <w:p>
            <w:pPr>
              <w:pStyle w:val="53"/>
              <w:rPr>
                <w:rFonts w:eastAsia="仿宋_GB2312"/>
              </w:rPr>
            </w:pPr>
            <w:r>
              <w:rPr>
                <w:rFonts w:eastAsia="仿宋_GB2312"/>
              </w:rPr>
              <w:t>90</w:t>
            </w:r>
          </w:p>
        </w:tc>
        <w:tc>
          <w:tcPr>
            <w:tcW w:w="728" w:type="dxa"/>
            <w:vAlign w:val="center"/>
          </w:tcPr>
          <w:p>
            <w:pPr>
              <w:pStyle w:val="53"/>
              <w:rPr>
                <w:rFonts w:eastAsia="仿宋_GB2312"/>
              </w:rPr>
            </w:pPr>
            <w:r>
              <w:rPr>
                <w:rFonts w:eastAsia="仿宋_GB2312"/>
              </w:rPr>
              <w:t>92</w:t>
            </w:r>
          </w:p>
        </w:tc>
        <w:tc>
          <w:tcPr>
            <w:tcW w:w="874" w:type="dxa"/>
            <w:vAlign w:val="center"/>
          </w:tcPr>
          <w:p>
            <w:pPr>
              <w:pStyle w:val="53"/>
              <w:rPr>
                <w:rFonts w:eastAsia="仿宋_GB2312"/>
              </w:rPr>
            </w:pPr>
          </w:p>
        </w:tc>
        <w:tc>
          <w:tcPr>
            <w:tcW w:w="810" w:type="dxa"/>
            <w:vAlign w:val="center"/>
          </w:tcPr>
          <w:p>
            <w:pPr>
              <w:pStyle w:val="53"/>
              <w:rPr>
                <w:rFonts w:eastAsia="仿宋_GB2312"/>
              </w:rPr>
            </w:pPr>
          </w:p>
        </w:tc>
        <w:tc>
          <w:tcPr>
            <w:tcW w:w="975" w:type="dxa"/>
            <w:vAlign w:val="center"/>
          </w:tcPr>
          <w:p>
            <w:pPr>
              <w:pStyle w:val="53"/>
              <w:rPr>
                <w:rFonts w:eastAsia="仿宋_GB2312"/>
              </w:rPr>
            </w:pPr>
          </w:p>
        </w:tc>
        <w:tc>
          <w:tcPr>
            <w:tcW w:w="699" w:type="dxa"/>
            <w:vAlign w:val="center"/>
          </w:tcPr>
          <w:p>
            <w:pPr>
              <w:pStyle w:val="53"/>
              <w:rPr>
                <w:rFonts w:eastAsia="仿宋_GB2312"/>
              </w:rPr>
            </w:pPr>
            <w:r>
              <w:rPr>
                <w:rFonts w:eastAsia="仿宋_GB2312"/>
              </w:rPr>
              <w:t>+2</w:t>
            </w:r>
          </w:p>
        </w:tc>
        <w:tc>
          <w:tcPr>
            <w:tcW w:w="836" w:type="dxa"/>
            <w:vAlign w:val="center"/>
          </w:tcPr>
          <w:p>
            <w:pPr>
              <w:pStyle w:val="53"/>
              <w:rPr>
                <w:rFonts w:eastAsia="仿宋_GB2312"/>
              </w:rPr>
            </w:pPr>
          </w:p>
        </w:tc>
        <w:tc>
          <w:tcPr>
            <w:tcW w:w="697" w:type="dxa"/>
            <w:vAlign w:val="center"/>
          </w:tcPr>
          <w:p>
            <w:pPr>
              <w:pStyle w:val="53"/>
              <w:rPr>
                <w:rFonts w:eastAsia="仿宋_GB2312"/>
              </w:rPr>
            </w:pPr>
            <w:r>
              <w:rPr>
                <w:rFonts w:eastAsia="仿宋_GB2312"/>
              </w:rPr>
              <w:t>92</w:t>
            </w:r>
          </w:p>
        </w:tc>
        <w:tc>
          <w:tcPr>
            <w:tcW w:w="641" w:type="dxa"/>
            <w:vAlign w:val="center"/>
          </w:tcPr>
          <w:p>
            <w:pPr>
              <w:pStyle w:val="53"/>
              <w:rPr>
                <w:rFonts w:eastAsia="仿宋_GB2312"/>
              </w:rPr>
            </w:pPr>
            <w:r>
              <w:rPr>
                <w:rFonts w:eastAsia="仿宋_GB2312"/>
              </w:rPr>
              <w:t>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Align w:val="center"/>
          </w:tcPr>
          <w:p>
            <w:pPr>
              <w:pStyle w:val="53"/>
              <w:rPr>
                <w:rFonts w:eastAsia="仿宋_GB2312"/>
              </w:rPr>
            </w:pPr>
            <w:r>
              <w:rPr>
                <w:rFonts w:eastAsia="仿宋_GB2312"/>
              </w:rPr>
              <w:t>表土保护率（%）</w:t>
            </w:r>
          </w:p>
        </w:tc>
        <w:tc>
          <w:tcPr>
            <w:tcW w:w="659" w:type="dxa"/>
            <w:vAlign w:val="center"/>
          </w:tcPr>
          <w:p>
            <w:pPr>
              <w:pStyle w:val="53"/>
              <w:rPr>
                <w:rFonts w:eastAsia="仿宋_GB2312"/>
              </w:rPr>
            </w:pPr>
            <w:r>
              <w:rPr>
                <w:rFonts w:eastAsia="仿宋_GB2312"/>
              </w:rPr>
              <w:t>92</w:t>
            </w:r>
          </w:p>
        </w:tc>
        <w:tc>
          <w:tcPr>
            <w:tcW w:w="728" w:type="dxa"/>
            <w:vAlign w:val="center"/>
          </w:tcPr>
          <w:p>
            <w:pPr>
              <w:pStyle w:val="53"/>
              <w:rPr>
                <w:rFonts w:eastAsia="仿宋_GB2312"/>
              </w:rPr>
            </w:pPr>
            <w:r>
              <w:rPr>
                <w:rFonts w:eastAsia="仿宋_GB2312"/>
              </w:rPr>
              <w:t>92</w:t>
            </w:r>
          </w:p>
        </w:tc>
        <w:tc>
          <w:tcPr>
            <w:tcW w:w="874" w:type="dxa"/>
            <w:vAlign w:val="center"/>
          </w:tcPr>
          <w:p>
            <w:pPr>
              <w:pStyle w:val="53"/>
              <w:rPr>
                <w:rFonts w:eastAsia="仿宋_GB2312"/>
              </w:rPr>
            </w:pPr>
          </w:p>
        </w:tc>
        <w:tc>
          <w:tcPr>
            <w:tcW w:w="810" w:type="dxa"/>
            <w:vAlign w:val="center"/>
          </w:tcPr>
          <w:p>
            <w:pPr>
              <w:pStyle w:val="53"/>
              <w:rPr>
                <w:rFonts w:eastAsia="仿宋_GB2312"/>
              </w:rPr>
            </w:pPr>
          </w:p>
        </w:tc>
        <w:tc>
          <w:tcPr>
            <w:tcW w:w="975" w:type="dxa"/>
            <w:vAlign w:val="center"/>
          </w:tcPr>
          <w:p>
            <w:pPr>
              <w:pStyle w:val="53"/>
              <w:rPr>
                <w:rFonts w:eastAsia="仿宋_GB2312"/>
              </w:rPr>
            </w:pPr>
          </w:p>
        </w:tc>
        <w:tc>
          <w:tcPr>
            <w:tcW w:w="699" w:type="dxa"/>
            <w:vAlign w:val="center"/>
          </w:tcPr>
          <w:p>
            <w:pPr>
              <w:pStyle w:val="53"/>
              <w:rPr>
                <w:rFonts w:eastAsia="仿宋_GB2312"/>
              </w:rPr>
            </w:pPr>
          </w:p>
        </w:tc>
        <w:tc>
          <w:tcPr>
            <w:tcW w:w="836" w:type="dxa"/>
            <w:vAlign w:val="center"/>
          </w:tcPr>
          <w:p>
            <w:pPr>
              <w:pStyle w:val="53"/>
              <w:rPr>
                <w:rFonts w:eastAsia="仿宋_GB2312"/>
              </w:rPr>
            </w:pPr>
          </w:p>
        </w:tc>
        <w:tc>
          <w:tcPr>
            <w:tcW w:w="697" w:type="dxa"/>
            <w:vAlign w:val="center"/>
          </w:tcPr>
          <w:p>
            <w:pPr>
              <w:pStyle w:val="53"/>
              <w:rPr>
                <w:rFonts w:eastAsia="仿宋_GB2312"/>
              </w:rPr>
            </w:pPr>
            <w:r>
              <w:rPr>
                <w:rFonts w:eastAsia="仿宋_GB2312"/>
              </w:rPr>
              <w:t>92</w:t>
            </w:r>
          </w:p>
        </w:tc>
        <w:tc>
          <w:tcPr>
            <w:tcW w:w="641" w:type="dxa"/>
            <w:vAlign w:val="center"/>
          </w:tcPr>
          <w:p>
            <w:pPr>
              <w:pStyle w:val="53"/>
              <w:rPr>
                <w:rFonts w:eastAsia="仿宋_GB2312"/>
              </w:rPr>
            </w:pPr>
            <w:r>
              <w:rPr>
                <w:rFonts w:eastAsia="仿宋_GB2312"/>
              </w:rPr>
              <w:t>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Align w:val="center"/>
          </w:tcPr>
          <w:p>
            <w:pPr>
              <w:pStyle w:val="53"/>
              <w:rPr>
                <w:rFonts w:eastAsia="仿宋_GB2312"/>
              </w:rPr>
            </w:pPr>
            <w:r>
              <w:rPr>
                <w:rFonts w:eastAsia="仿宋_GB2312"/>
              </w:rPr>
              <w:t>林草植被恢复率（%）</w:t>
            </w:r>
          </w:p>
        </w:tc>
        <w:tc>
          <w:tcPr>
            <w:tcW w:w="659" w:type="dxa"/>
            <w:vAlign w:val="center"/>
          </w:tcPr>
          <w:p>
            <w:pPr>
              <w:pStyle w:val="53"/>
              <w:rPr>
                <w:rFonts w:eastAsia="仿宋_GB2312"/>
              </w:rPr>
            </w:pPr>
            <w:r>
              <w:rPr>
                <w:rFonts w:eastAsia="仿宋_GB2312"/>
              </w:rPr>
              <w:t>—</w:t>
            </w:r>
          </w:p>
        </w:tc>
        <w:tc>
          <w:tcPr>
            <w:tcW w:w="728" w:type="dxa"/>
            <w:vAlign w:val="center"/>
          </w:tcPr>
          <w:p>
            <w:pPr>
              <w:pStyle w:val="53"/>
              <w:rPr>
                <w:rFonts w:eastAsia="仿宋_GB2312"/>
              </w:rPr>
            </w:pPr>
            <w:r>
              <w:rPr>
                <w:rFonts w:eastAsia="仿宋_GB2312"/>
              </w:rPr>
              <w:t>97</w:t>
            </w:r>
          </w:p>
        </w:tc>
        <w:tc>
          <w:tcPr>
            <w:tcW w:w="874" w:type="dxa"/>
            <w:vAlign w:val="center"/>
          </w:tcPr>
          <w:p>
            <w:pPr>
              <w:pStyle w:val="53"/>
              <w:rPr>
                <w:rFonts w:eastAsia="仿宋_GB2312"/>
              </w:rPr>
            </w:pPr>
          </w:p>
        </w:tc>
        <w:tc>
          <w:tcPr>
            <w:tcW w:w="810" w:type="dxa"/>
            <w:vAlign w:val="center"/>
          </w:tcPr>
          <w:p>
            <w:pPr>
              <w:pStyle w:val="53"/>
              <w:rPr>
                <w:rFonts w:eastAsia="仿宋_GB2312"/>
              </w:rPr>
            </w:pPr>
          </w:p>
        </w:tc>
        <w:tc>
          <w:tcPr>
            <w:tcW w:w="975" w:type="dxa"/>
            <w:vAlign w:val="center"/>
          </w:tcPr>
          <w:p>
            <w:pPr>
              <w:pStyle w:val="53"/>
              <w:rPr>
                <w:rFonts w:eastAsia="仿宋_GB2312"/>
              </w:rPr>
            </w:pPr>
          </w:p>
        </w:tc>
        <w:tc>
          <w:tcPr>
            <w:tcW w:w="699" w:type="dxa"/>
            <w:vAlign w:val="center"/>
          </w:tcPr>
          <w:p>
            <w:pPr>
              <w:pStyle w:val="53"/>
              <w:rPr>
                <w:rFonts w:eastAsia="仿宋_GB2312"/>
              </w:rPr>
            </w:pPr>
          </w:p>
        </w:tc>
        <w:tc>
          <w:tcPr>
            <w:tcW w:w="836" w:type="dxa"/>
            <w:vAlign w:val="center"/>
          </w:tcPr>
          <w:p>
            <w:pPr>
              <w:pStyle w:val="53"/>
              <w:rPr>
                <w:rFonts w:eastAsia="仿宋_GB2312"/>
              </w:rPr>
            </w:pPr>
          </w:p>
        </w:tc>
        <w:tc>
          <w:tcPr>
            <w:tcW w:w="697" w:type="dxa"/>
            <w:vAlign w:val="center"/>
          </w:tcPr>
          <w:p>
            <w:pPr>
              <w:pStyle w:val="53"/>
              <w:rPr>
                <w:rFonts w:eastAsia="仿宋_GB2312"/>
              </w:rPr>
            </w:pPr>
            <w:r>
              <w:rPr>
                <w:rFonts w:eastAsia="仿宋_GB2312"/>
              </w:rPr>
              <w:t>—</w:t>
            </w:r>
          </w:p>
        </w:tc>
        <w:tc>
          <w:tcPr>
            <w:tcW w:w="641" w:type="dxa"/>
            <w:vAlign w:val="center"/>
          </w:tcPr>
          <w:p>
            <w:pPr>
              <w:pStyle w:val="53"/>
              <w:rPr>
                <w:rFonts w:eastAsia="仿宋_GB2312"/>
              </w:rPr>
            </w:pPr>
            <w:r>
              <w:rPr>
                <w:rFonts w:eastAsia="仿宋_GB2312"/>
              </w:rPr>
              <w:t>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207" w:type="dxa"/>
            <w:vAlign w:val="center"/>
          </w:tcPr>
          <w:p>
            <w:pPr>
              <w:pStyle w:val="53"/>
              <w:rPr>
                <w:rFonts w:eastAsia="仿宋_GB2312"/>
              </w:rPr>
            </w:pPr>
            <w:r>
              <w:rPr>
                <w:rFonts w:eastAsia="仿宋_GB2312"/>
              </w:rPr>
              <w:t>林草覆盖率（%）</w:t>
            </w:r>
          </w:p>
        </w:tc>
        <w:tc>
          <w:tcPr>
            <w:tcW w:w="659" w:type="dxa"/>
            <w:vAlign w:val="center"/>
          </w:tcPr>
          <w:p>
            <w:pPr>
              <w:pStyle w:val="53"/>
              <w:rPr>
                <w:rFonts w:eastAsia="仿宋_GB2312"/>
              </w:rPr>
            </w:pPr>
            <w:r>
              <w:rPr>
                <w:rFonts w:eastAsia="仿宋_GB2312"/>
              </w:rPr>
              <w:t>—</w:t>
            </w:r>
          </w:p>
        </w:tc>
        <w:tc>
          <w:tcPr>
            <w:tcW w:w="728" w:type="dxa"/>
            <w:vAlign w:val="center"/>
          </w:tcPr>
          <w:p>
            <w:pPr>
              <w:pStyle w:val="53"/>
              <w:rPr>
                <w:rFonts w:eastAsia="仿宋_GB2312"/>
              </w:rPr>
            </w:pPr>
            <w:r>
              <w:rPr>
                <w:rFonts w:eastAsia="仿宋_GB2312"/>
              </w:rPr>
              <w:t>23</w:t>
            </w:r>
          </w:p>
        </w:tc>
        <w:tc>
          <w:tcPr>
            <w:tcW w:w="874" w:type="dxa"/>
            <w:vAlign w:val="center"/>
          </w:tcPr>
          <w:p>
            <w:pPr>
              <w:pStyle w:val="53"/>
              <w:rPr>
                <w:rFonts w:eastAsia="仿宋_GB2312"/>
              </w:rPr>
            </w:pPr>
          </w:p>
        </w:tc>
        <w:tc>
          <w:tcPr>
            <w:tcW w:w="810" w:type="dxa"/>
            <w:vAlign w:val="center"/>
          </w:tcPr>
          <w:p>
            <w:pPr>
              <w:pStyle w:val="53"/>
              <w:rPr>
                <w:rFonts w:eastAsia="仿宋_GB2312"/>
              </w:rPr>
            </w:pPr>
          </w:p>
        </w:tc>
        <w:tc>
          <w:tcPr>
            <w:tcW w:w="975" w:type="dxa"/>
            <w:vAlign w:val="center"/>
          </w:tcPr>
          <w:p>
            <w:pPr>
              <w:pStyle w:val="53"/>
              <w:rPr>
                <w:rFonts w:eastAsia="仿宋_GB2312"/>
              </w:rPr>
            </w:pPr>
          </w:p>
        </w:tc>
        <w:tc>
          <w:tcPr>
            <w:tcW w:w="699" w:type="dxa"/>
            <w:vAlign w:val="center"/>
          </w:tcPr>
          <w:p>
            <w:pPr>
              <w:pStyle w:val="53"/>
              <w:rPr>
                <w:rFonts w:eastAsia="仿宋_GB2312"/>
              </w:rPr>
            </w:pPr>
          </w:p>
        </w:tc>
        <w:tc>
          <w:tcPr>
            <w:tcW w:w="836" w:type="dxa"/>
            <w:vAlign w:val="center"/>
          </w:tcPr>
          <w:p>
            <w:pPr>
              <w:pStyle w:val="53"/>
              <w:rPr>
                <w:rFonts w:eastAsia="仿宋_GB2312"/>
              </w:rPr>
            </w:pPr>
          </w:p>
        </w:tc>
        <w:tc>
          <w:tcPr>
            <w:tcW w:w="697" w:type="dxa"/>
            <w:vAlign w:val="center"/>
          </w:tcPr>
          <w:p>
            <w:pPr>
              <w:pStyle w:val="53"/>
              <w:rPr>
                <w:rFonts w:eastAsia="仿宋_GB2312"/>
              </w:rPr>
            </w:pPr>
            <w:r>
              <w:rPr>
                <w:rFonts w:eastAsia="仿宋_GB2312"/>
              </w:rPr>
              <w:t>—</w:t>
            </w:r>
          </w:p>
        </w:tc>
        <w:tc>
          <w:tcPr>
            <w:tcW w:w="641" w:type="dxa"/>
            <w:vAlign w:val="center"/>
          </w:tcPr>
          <w:p>
            <w:pPr>
              <w:pStyle w:val="53"/>
              <w:rPr>
                <w:rFonts w:eastAsia="仿宋_GB2312"/>
              </w:rPr>
            </w:pPr>
            <w:r>
              <w:rPr>
                <w:rFonts w:eastAsia="仿宋_GB2312"/>
              </w:rPr>
              <w:t>23</w:t>
            </w:r>
          </w:p>
        </w:tc>
      </w:tr>
    </w:tbl>
    <w:p>
      <w:pPr>
        <w:spacing w:beforeLines="50"/>
        <w:ind w:firstLine="480"/>
        <w:rPr>
          <w:szCs w:val="24"/>
        </w:rPr>
      </w:pPr>
      <w:r>
        <w:rPr>
          <w:szCs w:val="24"/>
        </w:rPr>
        <w:t>经修正后，确定本项目设计水平年防治目标值分别为：水土流失治理度为97%，土壤流失控制比达到1.0，渣土防护率为94%，表土保护率为92%，林草植被恢复率为97%，林草覆盖率为23%。</w:t>
      </w:r>
    </w:p>
    <w:p>
      <w:pPr>
        <w:pStyle w:val="5"/>
      </w:pPr>
      <w:bookmarkStart w:id="34" w:name="_Toc6813"/>
      <w:r>
        <w:t>1.6项目水土保持评价结论</w:t>
      </w:r>
      <w:bookmarkEnd w:id="34"/>
    </w:p>
    <w:p>
      <w:pPr>
        <w:pStyle w:val="6"/>
      </w:pPr>
      <w:r>
        <w:t>1.6.1主体工程选址（线）评价</w:t>
      </w:r>
    </w:p>
    <w:p>
      <w:pPr>
        <w:ind w:firstLine="480"/>
      </w:pPr>
      <w:r>
        <w:t>园区选址避让了全国水土保持监测网络中的水土保持监测站点、重点试验区及国家确定的水土保持长期定位观测站，不涉及河流、湖泊、水库植物保护带，不涉及生态保护红线。因此园区选址基本符合《生产建设项目水土保持技术标准》（GB50433-2018）关于选址的约束性规定。</w:t>
      </w:r>
    </w:p>
    <w:p>
      <w:pPr>
        <w:pStyle w:val="6"/>
      </w:pPr>
      <w:r>
        <w:t>1.6.2建设方案与布局评价</w:t>
      </w:r>
    </w:p>
    <w:p>
      <w:pPr>
        <w:pStyle w:val="7"/>
        <w:tabs>
          <w:tab w:val="left" w:pos="480"/>
        </w:tabs>
      </w:pPr>
      <w:r>
        <w:t>1.6.2.1建设方案水土保持分析与评价结论</w:t>
      </w:r>
    </w:p>
    <w:p>
      <w:pPr>
        <w:ind w:firstLine="480"/>
      </w:pPr>
      <w:r>
        <w:t>园区已建、在建项目建设方案总体满足水土保持技术规范有关规定，园区待建项目主体工程设计应优化方案，减少工程占地和土石方量，并提高截排水工程、拦挡工程和植物措施等级标准和防洪标准，临时堆土（料）应采取拦挡、苫盖、排水、沉沙等措施，园区表土及土石方中转场应采取挡排、遮盖等措施，运输土石方的车辆车厢应进行遮盖，车轮及时冲洗，防止产生扬尘和泥沙进入市政管网，从而满足水土保持技术标准中关于建设方案的有关规定。</w:t>
      </w:r>
    </w:p>
    <w:p>
      <w:pPr>
        <w:ind w:firstLine="480"/>
      </w:pPr>
      <w:r>
        <w:t>园区已建、在建、待建项目占地及土石方平衡总体合理，满足水土保持技术标准中关于建设方案的有关规定。</w:t>
      </w:r>
    </w:p>
    <w:p>
      <w:pPr>
        <w:ind w:firstLine="480"/>
      </w:pPr>
      <w:r>
        <w:t>园区已建、在建项目在施工过程中部分实施了水土保持措施，施工组织及工艺总体满足水土保持要求，但存在临时苫盖、临时排水、临时沉沙措施不完全到位的情况。园区待建项目目前受设计深度限制，目前无明确的施工方法与工艺，应在后续设计、施工过程中优化施工方法及工艺，确保符合减少水土流失的要求，土石方在运输过程中应采取防止沿途散溢等保护措施，加强表土保护措施，合理安排施工，防止重复开挖和多次倒运，减少裸露时间和范围，裸露地表应及时采取防护措施，填筑土方应做到随挖、随运、随填、随压，临时堆土应集中堆放，临时堆土及施工场地应及时采取临时拦挡、苫盖、排水、沉沙等措施，表土及土石方中转场应满足“先拦后弃”、自下而上、分层碾压（公共表土场除外）、分级堆放原则；</w:t>
      </w:r>
    </w:p>
    <w:p>
      <w:pPr>
        <w:ind w:firstLine="480"/>
      </w:pPr>
      <w:r>
        <w:t>综上所述，项目的建设方案基本合理，满足水土保持技术标准的要求。</w:t>
      </w:r>
    </w:p>
    <w:p>
      <w:pPr>
        <w:pStyle w:val="7"/>
        <w:tabs>
          <w:tab w:val="left" w:pos="480"/>
        </w:tabs>
      </w:pPr>
      <w:r>
        <w:t>1.6.2.2工程占地水土保持分析评价结论</w:t>
      </w:r>
    </w:p>
    <w:p>
      <w:pPr>
        <w:ind w:firstLine="480"/>
      </w:pPr>
      <w:r>
        <w:t>园区</w:t>
      </w:r>
      <w:r>
        <w:rPr>
          <w:kern w:val="0"/>
          <w:szCs w:val="24"/>
        </w:rPr>
        <w:t>范围共计1129.18hm</w:t>
      </w:r>
      <w:r>
        <w:rPr>
          <w:kern w:val="0"/>
          <w:szCs w:val="24"/>
          <w:vertAlign w:val="superscript"/>
        </w:rPr>
        <w:t>2</w:t>
      </w:r>
      <w:r>
        <w:rPr>
          <w:kern w:val="0"/>
          <w:szCs w:val="24"/>
        </w:rPr>
        <w:t>，其中林地380.03hm</w:t>
      </w:r>
      <w:r>
        <w:rPr>
          <w:kern w:val="0"/>
          <w:szCs w:val="24"/>
          <w:vertAlign w:val="superscript"/>
        </w:rPr>
        <w:t>2</w:t>
      </w:r>
      <w:r>
        <w:rPr>
          <w:kern w:val="0"/>
          <w:szCs w:val="24"/>
        </w:rPr>
        <w:t>，占总占地的33.66%；耕地384.65hm</w:t>
      </w:r>
      <w:r>
        <w:rPr>
          <w:kern w:val="0"/>
          <w:szCs w:val="24"/>
          <w:vertAlign w:val="superscript"/>
        </w:rPr>
        <w:t>2</w:t>
      </w:r>
      <w:r>
        <w:rPr>
          <w:kern w:val="0"/>
          <w:szCs w:val="24"/>
        </w:rPr>
        <w:t>，占总占地的34.06%；草地3.36hm</w:t>
      </w:r>
      <w:r>
        <w:rPr>
          <w:kern w:val="0"/>
          <w:szCs w:val="24"/>
          <w:vertAlign w:val="superscript"/>
        </w:rPr>
        <w:t>2</w:t>
      </w:r>
      <w:r>
        <w:rPr>
          <w:kern w:val="0"/>
          <w:szCs w:val="24"/>
        </w:rPr>
        <w:t>，占总占地的0.30%；园地183.18hm</w:t>
      </w:r>
      <w:r>
        <w:rPr>
          <w:kern w:val="0"/>
          <w:szCs w:val="24"/>
          <w:vertAlign w:val="superscript"/>
        </w:rPr>
        <w:t>2</w:t>
      </w:r>
      <w:r>
        <w:rPr>
          <w:kern w:val="0"/>
          <w:szCs w:val="24"/>
        </w:rPr>
        <w:t>，占总占地的16.22%；住宅用地58.89hm</w:t>
      </w:r>
      <w:r>
        <w:rPr>
          <w:kern w:val="0"/>
          <w:szCs w:val="24"/>
          <w:vertAlign w:val="superscript"/>
        </w:rPr>
        <w:t>2</w:t>
      </w:r>
      <w:r>
        <w:rPr>
          <w:kern w:val="0"/>
          <w:szCs w:val="24"/>
        </w:rPr>
        <w:t>，占总占地的5.22%；交通运输用地26.35hm</w:t>
      </w:r>
      <w:r>
        <w:rPr>
          <w:kern w:val="0"/>
          <w:szCs w:val="24"/>
          <w:vertAlign w:val="superscript"/>
        </w:rPr>
        <w:t>2</w:t>
      </w:r>
      <w:r>
        <w:rPr>
          <w:kern w:val="0"/>
          <w:szCs w:val="24"/>
        </w:rPr>
        <w:t>，占总占地的2.33%；水域及水利设施用地26.19hm</w:t>
      </w:r>
      <w:r>
        <w:rPr>
          <w:kern w:val="0"/>
          <w:szCs w:val="24"/>
          <w:vertAlign w:val="superscript"/>
        </w:rPr>
        <w:t>2</w:t>
      </w:r>
      <w:r>
        <w:rPr>
          <w:kern w:val="0"/>
          <w:szCs w:val="24"/>
        </w:rPr>
        <w:t>，占总占地的2.32%；公共管理与公共服务用地0.70hm</w:t>
      </w:r>
      <w:r>
        <w:rPr>
          <w:kern w:val="0"/>
          <w:szCs w:val="24"/>
          <w:vertAlign w:val="superscript"/>
        </w:rPr>
        <w:t>2</w:t>
      </w:r>
      <w:r>
        <w:rPr>
          <w:kern w:val="0"/>
          <w:szCs w:val="24"/>
        </w:rPr>
        <w:t>，占总占地的0.06%；工矿仓储用地63.61hm</w:t>
      </w:r>
      <w:r>
        <w:rPr>
          <w:kern w:val="0"/>
          <w:szCs w:val="24"/>
          <w:vertAlign w:val="superscript"/>
        </w:rPr>
        <w:t>2</w:t>
      </w:r>
      <w:r>
        <w:rPr>
          <w:kern w:val="0"/>
          <w:szCs w:val="24"/>
        </w:rPr>
        <w:t>，占总占地的5.63%。其他土地1.94hm</w:t>
      </w:r>
      <w:r>
        <w:rPr>
          <w:kern w:val="0"/>
          <w:szCs w:val="24"/>
          <w:vertAlign w:val="superscript"/>
        </w:rPr>
        <w:t>2</w:t>
      </w:r>
      <w:r>
        <w:rPr>
          <w:kern w:val="0"/>
          <w:szCs w:val="24"/>
        </w:rPr>
        <w:t>，占总占地的0.17%。</w:t>
      </w:r>
      <w:r>
        <w:t>根据园区规划，园区</w:t>
      </w:r>
      <w:r>
        <w:rPr>
          <w:kern w:val="0"/>
          <w:szCs w:val="24"/>
        </w:rPr>
        <w:t>范围占地已全部转为建设用地，项目选址符合土地利用总体规划。</w:t>
      </w:r>
      <w:r>
        <w:t>企业入驻及基础设施修建时应严格按照建设用地审批程序办理用地手续，并按照国土资源管理部门的要求执行。从占地类型分析，本园区的占地类型无制约性因素。</w:t>
      </w:r>
    </w:p>
    <w:p>
      <w:pPr>
        <w:pStyle w:val="7"/>
      </w:pPr>
      <w:r>
        <w:t>1.6.2.3工程土石方平衡分析评价结论</w:t>
      </w:r>
    </w:p>
    <w:p>
      <w:pPr>
        <w:ind w:firstLine="480"/>
      </w:pPr>
      <w:r>
        <w:rPr>
          <w:kern w:val="0"/>
          <w:szCs w:val="24"/>
        </w:rPr>
        <w:t>园区根据原有地形及区域防洪排涝要求，按最优化原则合理确定区块定位及控制标高，尽量减少借方，但由于园区受地形条件制约，园区未建区总体将出现借方，但园区规划未进行借方的合理化处理规划，且园区规划中缺少表土剥离与保护措施、表土及土石方中转规划，本报告将予以补充。本评估报告要求：后续待建项目应加强表土剥离及保护，土石方平衡应满足最优化原则，土石方调运遵循节点适宜、时序可行、运距合理的原则。应加强表土剥离及保护、土石方临时调运、中转及其过程中的水土流失防治工作</w:t>
      </w:r>
      <w:r>
        <w:rPr>
          <w:szCs w:val="24"/>
        </w:rPr>
        <w:t>，</w:t>
      </w:r>
      <w:r>
        <w:t>从水土保持角度分析，项目土石方的综合利用是可行的，符合水土保持要求。</w:t>
      </w:r>
    </w:p>
    <w:p>
      <w:pPr>
        <w:pStyle w:val="7"/>
        <w:tabs>
          <w:tab w:val="left" w:pos="480"/>
        </w:tabs>
      </w:pPr>
      <w:r>
        <w:t>1.6.2.4施工方法与工艺分析评价结论</w:t>
      </w:r>
    </w:p>
    <w:p>
      <w:pPr>
        <w:widowControl/>
        <w:ind w:firstLine="480"/>
        <w:rPr>
          <w:kern w:val="0"/>
          <w:szCs w:val="24"/>
        </w:rPr>
      </w:pPr>
      <w:r>
        <w:rPr>
          <w:kern w:val="0"/>
          <w:szCs w:val="24"/>
        </w:rPr>
        <w:t>总体来说涉及到有场地开挖、回填、平整，打桩及设备基础的浇筑、临时土体堆放，由于挖、填方施工时序上的变化将会对植被、原地表土壤结构造成不同程度的扰动和破坏，使大面积地表裸露、表土临时土的堆放，松散堆放体表层抗冲抗蚀能力弱，易发生水土流失。本报告将新增临时防护措施加强水土流失防治。</w:t>
      </w:r>
    </w:p>
    <w:p>
      <w:pPr>
        <w:widowControl/>
        <w:ind w:firstLine="480"/>
        <w:rPr>
          <w:kern w:val="0"/>
          <w:szCs w:val="24"/>
        </w:rPr>
      </w:pPr>
      <w:r>
        <w:rPr>
          <w:kern w:val="0"/>
          <w:szCs w:val="24"/>
        </w:rPr>
        <w:t>园区建成后，园内地表大部分扰动区域被建筑物、道路硬化、公共设施等占压，裸露地表已采取工程措施与植物措施进行防治，各扰动地块水土保持功能得以基本恢复，水土流失可以进一步减少。</w:t>
      </w:r>
    </w:p>
    <w:p>
      <w:pPr>
        <w:ind w:firstLine="480"/>
      </w:pPr>
      <w:r>
        <w:rPr>
          <w:kern w:val="0"/>
          <w:szCs w:val="24"/>
        </w:rPr>
        <w:t>综上所述，园区建设在规划的用地内建设，施工建设控制在园区内，对周边水土流失的影响较小，园内建设扰动较大，但是施工中仍然需要采取临时防护措施，将水土流失控制在较小的范围内，运行期随着各项设施的竣工和运行，水土流失影响进一步减轻</w:t>
      </w:r>
      <w:r>
        <w:t>。</w:t>
      </w:r>
    </w:p>
    <w:p>
      <w:pPr>
        <w:pStyle w:val="7"/>
        <w:tabs>
          <w:tab w:val="left" w:pos="480"/>
        </w:tabs>
      </w:pPr>
      <w:r>
        <w:t>1.6.2.5主体工程设计中具有水土保持功能的分析与评价结论</w:t>
      </w:r>
    </w:p>
    <w:p>
      <w:pPr>
        <w:ind w:firstLine="480"/>
        <w:rPr>
          <w:lang w:val="zh-CN"/>
        </w:rPr>
      </w:pPr>
      <w:r>
        <w:t>根据项目设计资料，本项目设计了雨水管网及雨水口、景观绿化、行道树、洗车系统、临时排水沟、临时苫盖等具有水土保持功能的措施，具有水土保持功能，本报告将针对不足之处，补充完善相关的工程措施、临时措施及植物措施</w:t>
      </w:r>
      <w:r>
        <w:rPr>
          <w:lang w:val="zh-CN"/>
        </w:rPr>
        <w:t>。</w:t>
      </w:r>
      <w:r>
        <w:rPr>
          <w:spacing w:val="3"/>
        </w:rPr>
        <w:t>从水土保持角度分析，待主体和报告新增的水土保持措施落实后</w:t>
      </w:r>
      <w:r>
        <w:t>符合水土保持要求。</w:t>
      </w:r>
    </w:p>
    <w:p>
      <w:pPr>
        <w:pStyle w:val="5"/>
      </w:pPr>
      <w:bookmarkStart w:id="35" w:name="_Toc11623"/>
      <w:r>
        <w:t>1.7水土流失预测结果</w:t>
      </w:r>
      <w:bookmarkEnd w:id="35"/>
    </w:p>
    <w:p>
      <w:pPr>
        <w:ind w:firstLine="480"/>
        <w:rPr>
          <w:kern w:val="0"/>
          <w:szCs w:val="24"/>
        </w:rPr>
      </w:pPr>
      <w:r>
        <w:rPr>
          <w:kern w:val="0"/>
          <w:szCs w:val="24"/>
        </w:rPr>
        <w:t>根据土壤流失量调查及预测结果表明，园区在施工期及自然恢复期期间可能造成的土壤流失总量为</w:t>
      </w:r>
      <w:r>
        <w:rPr>
          <w:rFonts w:hint="eastAsia"/>
          <w:kern w:val="0"/>
          <w:szCs w:val="24"/>
        </w:rPr>
        <w:t>117806</w:t>
      </w:r>
      <w:r>
        <w:rPr>
          <w:kern w:val="0"/>
          <w:szCs w:val="24"/>
        </w:rPr>
        <w:t>t（土壤流失调查量4111</w:t>
      </w:r>
      <w:r>
        <w:rPr>
          <w:rFonts w:hint="eastAsia"/>
          <w:kern w:val="0"/>
          <w:szCs w:val="24"/>
        </w:rPr>
        <w:t>2</w:t>
      </w:r>
      <w:r>
        <w:rPr>
          <w:kern w:val="0"/>
          <w:szCs w:val="24"/>
        </w:rPr>
        <w:t>t，土壤流失预测量为76694t），新增土壤流失总量为7839</w:t>
      </w:r>
      <w:r>
        <w:rPr>
          <w:rFonts w:hint="eastAsia"/>
          <w:kern w:val="0"/>
          <w:szCs w:val="24"/>
        </w:rPr>
        <w:t>6</w:t>
      </w:r>
      <w:r>
        <w:rPr>
          <w:kern w:val="0"/>
          <w:szCs w:val="24"/>
        </w:rPr>
        <w:t>t。在新增土壤流失总量中，施工期造成的土壤流失量为77664t，占新增土壤流失总量的99.07%；自然恢复期造成的土壤流失量为732t，占新增土壤流失总量的0.93%。由此，施工期为重点监测时段。园区后续施工过程中，在不采取水土保持措施的情况下，可能产生的土壤流失</w:t>
      </w:r>
      <w:r>
        <w:rPr>
          <w:rFonts w:hint="eastAsia"/>
          <w:kern w:val="0"/>
          <w:szCs w:val="24"/>
        </w:rPr>
        <w:t>量为76694</w:t>
      </w:r>
      <w:r>
        <w:rPr>
          <w:kern w:val="0"/>
          <w:szCs w:val="24"/>
        </w:rPr>
        <w:t>t</w:t>
      </w:r>
      <w:r>
        <w:rPr>
          <w:rFonts w:hint="eastAsia"/>
          <w:kern w:val="0"/>
          <w:szCs w:val="24"/>
        </w:rPr>
        <w:t>，其中背景流失量为 25838</w:t>
      </w:r>
      <w:r>
        <w:rPr>
          <w:kern w:val="0"/>
          <w:szCs w:val="24"/>
        </w:rPr>
        <w:t>t</w:t>
      </w:r>
      <w:r>
        <w:rPr>
          <w:rFonts w:hint="eastAsia"/>
          <w:kern w:val="0"/>
          <w:szCs w:val="24"/>
        </w:rPr>
        <w:t>，新增流失量为50856</w:t>
      </w:r>
      <w:r>
        <w:rPr>
          <w:kern w:val="0"/>
          <w:szCs w:val="24"/>
        </w:rPr>
        <w:t>t</w:t>
      </w:r>
      <w:r>
        <w:rPr>
          <w:rFonts w:hint="eastAsia"/>
          <w:kern w:val="0"/>
          <w:szCs w:val="24"/>
        </w:rPr>
        <w:t>。</w:t>
      </w:r>
    </w:p>
    <w:p>
      <w:pPr>
        <w:ind w:firstLine="480"/>
        <w:rPr>
          <w:szCs w:val="24"/>
        </w:rPr>
      </w:pPr>
      <w:r>
        <w:rPr>
          <w:kern w:val="0"/>
          <w:szCs w:val="24"/>
        </w:rPr>
        <w:t>施工期新增土壤流失总量为77664t，其中工业用地新增土壤流失量为6488</w:t>
      </w:r>
      <w:r>
        <w:rPr>
          <w:rFonts w:hint="eastAsia"/>
          <w:kern w:val="0"/>
          <w:szCs w:val="24"/>
        </w:rPr>
        <w:t>3</w:t>
      </w:r>
      <w:r>
        <w:rPr>
          <w:kern w:val="0"/>
          <w:szCs w:val="24"/>
        </w:rPr>
        <w:t>t，占新增土壤流失总量的83.54%；道路与交通设施用地新增土壤流失量为3795t，占新增土壤流失总量的4.89%；公用设施用地新增土壤流失量为158</w:t>
      </w:r>
      <w:r>
        <w:rPr>
          <w:rFonts w:hint="eastAsia"/>
          <w:kern w:val="0"/>
          <w:szCs w:val="24"/>
        </w:rPr>
        <w:t>1</w:t>
      </w:r>
      <w:r>
        <w:rPr>
          <w:kern w:val="0"/>
          <w:szCs w:val="24"/>
        </w:rPr>
        <w:t>t，占新增土壤流失总量的2.0</w:t>
      </w:r>
      <w:r>
        <w:rPr>
          <w:rFonts w:hint="eastAsia"/>
          <w:kern w:val="0"/>
          <w:szCs w:val="24"/>
        </w:rPr>
        <w:t>4</w:t>
      </w:r>
      <w:r>
        <w:rPr>
          <w:kern w:val="0"/>
          <w:szCs w:val="24"/>
        </w:rPr>
        <w:t>%；绿地与广场用地新增土壤流失量为236</w:t>
      </w:r>
      <w:r>
        <w:rPr>
          <w:rFonts w:hint="eastAsia"/>
          <w:kern w:val="0"/>
          <w:szCs w:val="24"/>
        </w:rPr>
        <w:t>5</w:t>
      </w:r>
      <w:r>
        <w:rPr>
          <w:kern w:val="0"/>
          <w:szCs w:val="24"/>
        </w:rPr>
        <w:t>t，占新增土壤流失总量的3.0</w:t>
      </w:r>
      <w:r>
        <w:rPr>
          <w:rFonts w:hint="eastAsia"/>
          <w:kern w:val="0"/>
          <w:szCs w:val="24"/>
        </w:rPr>
        <w:t>4</w:t>
      </w:r>
      <w:r>
        <w:rPr>
          <w:kern w:val="0"/>
          <w:szCs w:val="24"/>
        </w:rPr>
        <w:t>%；土石方中转场新增土壤流失量为112</w:t>
      </w:r>
      <w:r>
        <w:rPr>
          <w:rFonts w:hint="eastAsia"/>
          <w:kern w:val="0"/>
          <w:szCs w:val="24"/>
        </w:rPr>
        <w:t>8</w:t>
      </w:r>
      <w:r>
        <w:rPr>
          <w:kern w:val="0"/>
          <w:szCs w:val="24"/>
        </w:rPr>
        <w:t>t，占新增土壤流失总量的1.45%；表土中转场新增土壤流失量为391</w:t>
      </w:r>
      <w:r>
        <w:rPr>
          <w:rFonts w:hint="eastAsia"/>
          <w:kern w:val="0"/>
          <w:szCs w:val="24"/>
        </w:rPr>
        <w:t>2</w:t>
      </w:r>
      <w:r>
        <w:rPr>
          <w:kern w:val="0"/>
          <w:szCs w:val="24"/>
        </w:rPr>
        <w:t>t，占新增土壤流失总量的5.04%。由此，工业用地是水土流失的重点部位</w:t>
      </w:r>
      <w:r>
        <w:rPr>
          <w:szCs w:val="24"/>
        </w:rPr>
        <w:t>。</w:t>
      </w:r>
    </w:p>
    <w:p>
      <w:pPr>
        <w:pStyle w:val="5"/>
      </w:pPr>
      <w:bookmarkStart w:id="36" w:name="_Toc14506"/>
      <w:r>
        <w:t>1.8水土保持措施布设成果</w:t>
      </w:r>
      <w:bookmarkEnd w:id="36"/>
    </w:p>
    <w:p>
      <w:pPr>
        <w:ind w:firstLine="480"/>
      </w:pPr>
      <w:r>
        <w:t>根据本项目建设特点和当地的自然条件，在水土流失预测及分析评价主体工程中具有水土保持功能工程的基础上，针对建设施工活动引发水土流失的特点和造成危害程度，依据分区治理、突出重点的原则，对项目区水土流失进行综合治理。根据水土流失防治责任范围界定及防治分区，本报告将水土流失防治区划分为近期建设区、远期建设区、临时堆场区、施工生产生活区等4个一级分区，近期建设区、远期建设区再根据建设状态划分为在建区、已建区、未建区等3个二级分区，临时堆场区再划分为表土中转场区及土石方中转场区等2个二级分区，在建区、已建区、未建区再细分为工业用地区、道路与交通设施用地区、公用设施用地区、绿地与广场用地区等4个三级分区。</w:t>
      </w:r>
    </w:p>
    <w:p>
      <w:pPr>
        <w:ind w:firstLine="480"/>
      </w:pPr>
      <w:r>
        <w:t>水土保持措施总体布局是根据各区水土流失主要影响因子、流失类型和防治重点，结合工程已有的水土保持措施，将水土保持重点治理和面上防护相结合，工程措施与植物措施相结合，以工程措施为先导，发挥工程措施的速效性和保障作用，植物措施为水保辅助措施，起到长期稳定的水土保持作用。</w:t>
      </w:r>
    </w:p>
    <w:p>
      <w:pPr>
        <w:pStyle w:val="68"/>
        <w:spacing w:after="120"/>
        <w:sectPr>
          <w:pgSz w:w="11905" w:h="16838"/>
          <w:pgMar w:top="1417" w:right="1417" w:bottom="1417" w:left="1417" w:header="850" w:footer="992" w:gutter="0"/>
          <w:cols w:space="720" w:num="1"/>
          <w:docGrid w:linePitch="312" w:charSpace="0"/>
        </w:sectPr>
      </w:pPr>
    </w:p>
    <w:p>
      <w:pPr>
        <w:pStyle w:val="68"/>
        <w:spacing w:after="120"/>
      </w:pPr>
      <w:r>
        <w:t>表1.8-1水土保持措施工程量汇总表</w:t>
      </w:r>
    </w:p>
    <w:tbl>
      <w:tblPr>
        <w:tblStyle w:val="110"/>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433"/>
        <w:gridCol w:w="983"/>
        <w:gridCol w:w="787"/>
        <w:gridCol w:w="676"/>
        <w:gridCol w:w="16"/>
        <w:gridCol w:w="271"/>
        <w:gridCol w:w="946"/>
        <w:gridCol w:w="763"/>
        <w:gridCol w:w="930"/>
        <w:gridCol w:w="1142"/>
        <w:gridCol w:w="1012"/>
        <w:gridCol w:w="1017"/>
        <w:gridCol w:w="1004"/>
        <w:gridCol w:w="1077"/>
        <w:gridCol w:w="1091"/>
        <w:gridCol w:w="998"/>
        <w:gridCol w:w="107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restart"/>
            <w:vAlign w:val="center"/>
          </w:tcPr>
          <w:p>
            <w:pPr>
              <w:pStyle w:val="68"/>
              <w:adjustRightInd/>
              <w:snapToGrid/>
              <w:spacing w:afterLines="0"/>
              <w:jc w:val="center"/>
              <w:rPr>
                <w:sz w:val="21"/>
                <w:szCs w:val="21"/>
              </w:rPr>
            </w:pPr>
            <w:r>
              <w:rPr>
                <w:sz w:val="21"/>
                <w:szCs w:val="21"/>
              </w:rPr>
              <w:t>防治分区</w:t>
            </w:r>
          </w:p>
        </w:tc>
        <w:tc>
          <w:tcPr>
            <w:tcW w:w="787" w:type="dxa"/>
            <w:vMerge w:val="restart"/>
            <w:vAlign w:val="center"/>
          </w:tcPr>
          <w:p>
            <w:pPr>
              <w:pStyle w:val="68"/>
              <w:adjustRightInd/>
              <w:snapToGrid/>
              <w:spacing w:afterLines="0"/>
              <w:jc w:val="center"/>
              <w:rPr>
                <w:sz w:val="21"/>
                <w:szCs w:val="21"/>
              </w:rPr>
            </w:pPr>
            <w:r>
              <w:rPr>
                <w:sz w:val="21"/>
                <w:szCs w:val="21"/>
              </w:rPr>
              <w:t>措施类型</w:t>
            </w:r>
          </w:p>
        </w:tc>
        <w:tc>
          <w:tcPr>
            <w:tcW w:w="1909" w:type="dxa"/>
            <w:gridSpan w:val="4"/>
            <w:vMerge w:val="restart"/>
            <w:vAlign w:val="center"/>
          </w:tcPr>
          <w:p>
            <w:pPr>
              <w:pStyle w:val="68"/>
              <w:adjustRightInd/>
              <w:snapToGrid/>
              <w:spacing w:afterLines="0"/>
              <w:jc w:val="center"/>
              <w:rPr>
                <w:sz w:val="21"/>
                <w:szCs w:val="21"/>
              </w:rPr>
            </w:pPr>
            <w:r>
              <w:rPr>
                <w:sz w:val="21"/>
                <w:szCs w:val="21"/>
              </w:rPr>
              <w:t>措施内容</w:t>
            </w:r>
          </w:p>
        </w:tc>
        <w:tc>
          <w:tcPr>
            <w:tcW w:w="763" w:type="dxa"/>
            <w:vMerge w:val="restart"/>
            <w:vAlign w:val="center"/>
          </w:tcPr>
          <w:p>
            <w:pPr>
              <w:pStyle w:val="68"/>
              <w:adjustRightInd/>
              <w:snapToGrid/>
              <w:spacing w:afterLines="0"/>
              <w:jc w:val="center"/>
              <w:rPr>
                <w:sz w:val="21"/>
                <w:szCs w:val="21"/>
              </w:rPr>
            </w:pPr>
            <w:r>
              <w:rPr>
                <w:sz w:val="21"/>
                <w:szCs w:val="21"/>
              </w:rPr>
              <w:t>单位</w:t>
            </w:r>
          </w:p>
        </w:tc>
        <w:tc>
          <w:tcPr>
            <w:tcW w:w="5105" w:type="dxa"/>
            <w:gridSpan w:val="5"/>
            <w:vAlign w:val="center"/>
          </w:tcPr>
          <w:p>
            <w:pPr>
              <w:pStyle w:val="68"/>
              <w:adjustRightInd/>
              <w:snapToGrid/>
              <w:spacing w:afterLines="0"/>
              <w:jc w:val="center"/>
              <w:rPr>
                <w:sz w:val="21"/>
                <w:szCs w:val="21"/>
              </w:rPr>
            </w:pPr>
            <w:r>
              <w:rPr>
                <w:sz w:val="21"/>
                <w:szCs w:val="21"/>
              </w:rPr>
              <w:t>工程量</w:t>
            </w:r>
          </w:p>
        </w:tc>
        <w:tc>
          <w:tcPr>
            <w:tcW w:w="3166" w:type="dxa"/>
            <w:gridSpan w:val="3"/>
            <w:vAlign w:val="center"/>
          </w:tcPr>
          <w:p>
            <w:pPr>
              <w:pStyle w:val="68"/>
              <w:adjustRightInd/>
              <w:snapToGrid/>
              <w:spacing w:afterLines="0"/>
              <w:jc w:val="center"/>
              <w:rPr>
                <w:sz w:val="21"/>
                <w:szCs w:val="21"/>
              </w:rPr>
            </w:pPr>
            <w:r>
              <w:rPr>
                <w:sz w:val="21"/>
                <w:szCs w:val="21"/>
              </w:rPr>
              <w:t>实施情况</w:t>
            </w:r>
          </w:p>
        </w:tc>
        <w:tc>
          <w:tcPr>
            <w:tcW w:w="1074" w:type="dxa"/>
            <w:vMerge w:val="restart"/>
            <w:vAlign w:val="center"/>
          </w:tcPr>
          <w:p>
            <w:pPr>
              <w:pStyle w:val="68"/>
              <w:adjustRightInd/>
              <w:snapToGrid/>
              <w:spacing w:afterLines="0"/>
              <w:jc w:val="center"/>
              <w:rPr>
                <w:sz w:val="21"/>
                <w:szCs w:val="21"/>
              </w:rPr>
            </w:pPr>
            <w:r>
              <w:rPr>
                <w:sz w:val="21"/>
                <w:szCs w:val="21"/>
              </w:rPr>
              <w:t>投资属性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rPr>
                <w:sz w:val="21"/>
                <w:szCs w:val="21"/>
              </w:rPr>
            </w:pPr>
          </w:p>
        </w:tc>
        <w:tc>
          <w:tcPr>
            <w:tcW w:w="787" w:type="dxa"/>
            <w:vMerge w:val="continue"/>
            <w:vAlign w:val="center"/>
          </w:tcPr>
          <w:p>
            <w:pPr>
              <w:pStyle w:val="68"/>
              <w:adjustRightInd/>
              <w:snapToGrid/>
              <w:spacing w:afterLines="0"/>
              <w:jc w:val="center"/>
              <w:rPr>
                <w:sz w:val="21"/>
                <w:szCs w:val="21"/>
              </w:rPr>
            </w:pPr>
          </w:p>
        </w:tc>
        <w:tc>
          <w:tcPr>
            <w:tcW w:w="1909" w:type="dxa"/>
            <w:gridSpan w:val="4"/>
            <w:vMerge w:val="continue"/>
            <w:vAlign w:val="center"/>
          </w:tcPr>
          <w:p>
            <w:pPr>
              <w:pStyle w:val="68"/>
              <w:adjustRightInd/>
              <w:snapToGrid/>
              <w:spacing w:afterLines="0"/>
              <w:jc w:val="center"/>
              <w:rPr>
                <w:sz w:val="21"/>
                <w:szCs w:val="21"/>
              </w:rPr>
            </w:pPr>
          </w:p>
        </w:tc>
        <w:tc>
          <w:tcPr>
            <w:tcW w:w="763" w:type="dxa"/>
            <w:vMerge w:val="continue"/>
            <w:vAlign w:val="center"/>
          </w:tcPr>
          <w:p>
            <w:pPr>
              <w:pStyle w:val="68"/>
              <w:adjustRightInd/>
              <w:snapToGrid/>
              <w:spacing w:afterLines="0"/>
              <w:jc w:val="center"/>
              <w:rPr>
                <w:sz w:val="21"/>
                <w:szCs w:val="21"/>
              </w:rPr>
            </w:pPr>
          </w:p>
        </w:tc>
        <w:tc>
          <w:tcPr>
            <w:tcW w:w="930" w:type="dxa"/>
            <w:vAlign w:val="center"/>
          </w:tcPr>
          <w:p>
            <w:pPr>
              <w:pStyle w:val="68"/>
              <w:adjustRightInd/>
              <w:snapToGrid/>
              <w:spacing w:afterLines="0"/>
              <w:jc w:val="center"/>
              <w:rPr>
                <w:sz w:val="21"/>
                <w:szCs w:val="21"/>
              </w:rPr>
            </w:pPr>
            <w:r>
              <w:rPr>
                <w:sz w:val="21"/>
                <w:szCs w:val="21"/>
              </w:rPr>
              <w:t>工业用地区</w:t>
            </w:r>
          </w:p>
        </w:tc>
        <w:tc>
          <w:tcPr>
            <w:tcW w:w="1142" w:type="dxa"/>
            <w:vAlign w:val="center"/>
          </w:tcPr>
          <w:p>
            <w:pPr>
              <w:pStyle w:val="68"/>
              <w:adjustRightInd/>
              <w:snapToGrid/>
              <w:spacing w:afterLines="0"/>
              <w:jc w:val="center"/>
              <w:rPr>
                <w:sz w:val="21"/>
                <w:szCs w:val="21"/>
              </w:rPr>
            </w:pPr>
            <w:r>
              <w:rPr>
                <w:sz w:val="21"/>
                <w:szCs w:val="21"/>
              </w:rPr>
              <w:t>道路与交通设施用地区</w:t>
            </w:r>
          </w:p>
        </w:tc>
        <w:tc>
          <w:tcPr>
            <w:tcW w:w="1012" w:type="dxa"/>
            <w:vAlign w:val="center"/>
          </w:tcPr>
          <w:p>
            <w:pPr>
              <w:pStyle w:val="68"/>
              <w:adjustRightInd/>
              <w:snapToGrid/>
              <w:spacing w:afterLines="0"/>
              <w:jc w:val="center"/>
              <w:rPr>
                <w:sz w:val="21"/>
                <w:szCs w:val="21"/>
              </w:rPr>
            </w:pPr>
            <w:r>
              <w:rPr>
                <w:sz w:val="21"/>
                <w:szCs w:val="21"/>
              </w:rPr>
              <w:t>公用设施用地区</w:t>
            </w:r>
          </w:p>
        </w:tc>
        <w:tc>
          <w:tcPr>
            <w:tcW w:w="1017" w:type="dxa"/>
            <w:vAlign w:val="center"/>
          </w:tcPr>
          <w:p>
            <w:pPr>
              <w:pStyle w:val="68"/>
              <w:adjustRightInd/>
              <w:snapToGrid/>
              <w:spacing w:afterLines="0"/>
              <w:jc w:val="center"/>
              <w:rPr>
                <w:sz w:val="21"/>
                <w:szCs w:val="21"/>
              </w:rPr>
            </w:pPr>
            <w:r>
              <w:rPr>
                <w:sz w:val="21"/>
                <w:szCs w:val="21"/>
              </w:rPr>
              <w:t>绿地与广场用地区</w:t>
            </w:r>
          </w:p>
        </w:tc>
        <w:tc>
          <w:tcPr>
            <w:tcW w:w="1004" w:type="dxa"/>
            <w:vAlign w:val="center"/>
          </w:tcPr>
          <w:p>
            <w:pPr>
              <w:pStyle w:val="68"/>
              <w:adjustRightInd/>
              <w:snapToGrid/>
              <w:spacing w:afterLines="0"/>
              <w:jc w:val="center"/>
              <w:rPr>
                <w:sz w:val="21"/>
                <w:szCs w:val="21"/>
              </w:rPr>
            </w:pPr>
            <w:r>
              <w:rPr>
                <w:sz w:val="21"/>
                <w:szCs w:val="21"/>
              </w:rPr>
              <w:t>小计</w:t>
            </w:r>
          </w:p>
        </w:tc>
        <w:tc>
          <w:tcPr>
            <w:tcW w:w="1077" w:type="dxa"/>
            <w:vAlign w:val="center"/>
          </w:tcPr>
          <w:p>
            <w:pPr>
              <w:pStyle w:val="68"/>
              <w:adjustRightInd/>
              <w:snapToGrid/>
              <w:spacing w:afterLines="0"/>
              <w:jc w:val="center"/>
              <w:rPr>
                <w:sz w:val="21"/>
                <w:szCs w:val="21"/>
              </w:rPr>
            </w:pPr>
            <w:r>
              <w:rPr>
                <w:sz w:val="21"/>
                <w:szCs w:val="21"/>
              </w:rPr>
              <w:t>已实施</w:t>
            </w:r>
          </w:p>
        </w:tc>
        <w:tc>
          <w:tcPr>
            <w:tcW w:w="1091" w:type="dxa"/>
            <w:vAlign w:val="center"/>
          </w:tcPr>
          <w:p>
            <w:pPr>
              <w:pStyle w:val="68"/>
              <w:adjustRightInd/>
              <w:snapToGrid/>
              <w:spacing w:afterLines="0"/>
              <w:jc w:val="center"/>
              <w:rPr>
                <w:sz w:val="21"/>
                <w:szCs w:val="21"/>
              </w:rPr>
            </w:pPr>
            <w:r>
              <w:rPr>
                <w:sz w:val="21"/>
                <w:szCs w:val="21"/>
              </w:rPr>
              <w:t>未实施</w:t>
            </w:r>
          </w:p>
        </w:tc>
        <w:tc>
          <w:tcPr>
            <w:tcW w:w="998" w:type="dxa"/>
            <w:vAlign w:val="center"/>
          </w:tcPr>
          <w:p>
            <w:pPr>
              <w:pStyle w:val="68"/>
              <w:adjustRightInd/>
              <w:snapToGrid/>
              <w:spacing w:afterLines="0"/>
              <w:jc w:val="center"/>
              <w:rPr>
                <w:sz w:val="21"/>
                <w:szCs w:val="21"/>
              </w:rPr>
            </w:pPr>
            <w:r>
              <w:rPr>
                <w:sz w:val="21"/>
                <w:szCs w:val="21"/>
              </w:rPr>
              <w:t>小计</w:t>
            </w:r>
          </w:p>
        </w:tc>
        <w:tc>
          <w:tcPr>
            <w:tcW w:w="1074" w:type="dxa"/>
            <w:vMerge w:val="continue"/>
            <w:vAlign w:val="center"/>
          </w:tcPr>
          <w:p>
            <w:pPr>
              <w:pStyle w:val="68"/>
              <w:adjustRightInd/>
              <w:snapToGrid/>
              <w:spacing w:afterLine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vAlign w:val="center"/>
          </w:tcPr>
          <w:p>
            <w:pPr>
              <w:pStyle w:val="68"/>
              <w:adjustRightInd/>
              <w:snapToGrid/>
              <w:spacing w:afterLines="0"/>
              <w:jc w:val="center"/>
              <w:rPr>
                <w:b w:val="0"/>
                <w:bCs/>
                <w:sz w:val="21"/>
                <w:szCs w:val="21"/>
              </w:rPr>
            </w:pPr>
            <w:r>
              <w:rPr>
                <w:b w:val="0"/>
                <w:bCs/>
                <w:sz w:val="21"/>
                <w:szCs w:val="21"/>
              </w:rPr>
              <w:t>近期建设区</w:t>
            </w:r>
          </w:p>
        </w:tc>
        <w:tc>
          <w:tcPr>
            <w:tcW w:w="983" w:type="dxa"/>
            <w:vMerge w:val="restart"/>
            <w:vAlign w:val="center"/>
          </w:tcPr>
          <w:p>
            <w:pPr>
              <w:pStyle w:val="68"/>
              <w:adjustRightInd/>
              <w:snapToGrid/>
              <w:spacing w:afterLines="0"/>
              <w:jc w:val="center"/>
              <w:rPr>
                <w:b w:val="0"/>
                <w:bCs/>
                <w:sz w:val="21"/>
                <w:szCs w:val="21"/>
              </w:rPr>
            </w:pPr>
            <w:r>
              <w:rPr>
                <w:b w:val="0"/>
                <w:bCs/>
                <w:sz w:val="21"/>
                <w:szCs w:val="21"/>
              </w:rPr>
              <w:t>已建区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工程措施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表土剥离</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b w:val="0"/>
                <w:bCs/>
                <w:sz w:val="21"/>
                <w:szCs w:val="21"/>
              </w:rPr>
              <w:t>3.94</w:t>
            </w: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3.94</w:t>
            </w:r>
          </w:p>
        </w:tc>
        <w:tc>
          <w:tcPr>
            <w:tcW w:w="1077" w:type="dxa"/>
            <w:vAlign w:val="center"/>
          </w:tcPr>
          <w:p>
            <w:pPr>
              <w:pStyle w:val="68"/>
              <w:adjustRightInd/>
              <w:snapToGrid/>
              <w:spacing w:afterLines="0"/>
              <w:jc w:val="center"/>
              <w:rPr>
                <w:b w:val="0"/>
                <w:bCs/>
                <w:sz w:val="21"/>
                <w:szCs w:val="21"/>
              </w:rPr>
            </w:pPr>
            <w:r>
              <w:rPr>
                <w:b w:val="0"/>
                <w:bCs/>
                <w:sz w:val="21"/>
                <w:szCs w:val="21"/>
              </w:rPr>
              <w:t>3.94</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3.94</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表土回覆</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b w:val="0"/>
                <w:bCs/>
                <w:sz w:val="21"/>
                <w:szCs w:val="21"/>
              </w:rPr>
              <w:t>3.94</w:t>
            </w:r>
          </w:p>
        </w:tc>
        <w:tc>
          <w:tcPr>
            <w:tcW w:w="1142" w:type="dxa"/>
            <w:vAlign w:val="center"/>
          </w:tcPr>
          <w:p>
            <w:pPr>
              <w:pStyle w:val="68"/>
              <w:adjustRightInd/>
              <w:snapToGrid/>
              <w:spacing w:afterLines="0"/>
              <w:jc w:val="center"/>
              <w:rPr>
                <w:b w:val="0"/>
                <w:bCs/>
                <w:sz w:val="21"/>
                <w:szCs w:val="21"/>
              </w:rPr>
            </w:pPr>
            <w:r>
              <w:rPr>
                <w:b w:val="0"/>
                <w:bCs/>
                <w:sz w:val="21"/>
                <w:szCs w:val="21"/>
              </w:rPr>
              <w:t>2.41</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6.35</w:t>
            </w:r>
          </w:p>
        </w:tc>
        <w:tc>
          <w:tcPr>
            <w:tcW w:w="1077" w:type="dxa"/>
            <w:vAlign w:val="center"/>
          </w:tcPr>
          <w:p>
            <w:pPr>
              <w:pStyle w:val="68"/>
              <w:adjustRightInd/>
              <w:snapToGrid/>
              <w:spacing w:afterLines="0"/>
              <w:jc w:val="center"/>
              <w:rPr>
                <w:b w:val="0"/>
                <w:bCs/>
                <w:sz w:val="21"/>
                <w:szCs w:val="21"/>
              </w:rPr>
            </w:pPr>
            <w:r>
              <w:rPr>
                <w:b w:val="0"/>
                <w:bCs/>
                <w:sz w:val="21"/>
                <w:szCs w:val="21"/>
              </w:rPr>
              <w:t>6.35</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6.35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2236</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2236</w:t>
            </w:r>
          </w:p>
        </w:tc>
        <w:tc>
          <w:tcPr>
            <w:tcW w:w="1077" w:type="dxa"/>
            <w:vAlign w:val="center"/>
          </w:tcPr>
          <w:p>
            <w:pPr>
              <w:pStyle w:val="68"/>
              <w:adjustRightInd/>
              <w:snapToGrid/>
              <w:spacing w:afterLines="0"/>
              <w:jc w:val="center"/>
              <w:rPr>
                <w:b w:val="0"/>
                <w:bCs/>
                <w:sz w:val="21"/>
                <w:szCs w:val="21"/>
              </w:rPr>
            </w:pPr>
            <w:r>
              <w:rPr>
                <w:b w:val="0"/>
                <w:bCs/>
                <w:sz w:val="21"/>
                <w:szCs w:val="21"/>
              </w:rPr>
              <w:t>2236</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2236</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雨水口</w:t>
            </w:r>
          </w:p>
        </w:tc>
        <w:tc>
          <w:tcPr>
            <w:tcW w:w="763" w:type="dxa"/>
            <w:vAlign w:val="center"/>
          </w:tcPr>
          <w:p>
            <w:pPr>
              <w:pStyle w:val="68"/>
              <w:adjustRightInd/>
              <w:snapToGrid/>
              <w:spacing w:afterLines="0"/>
              <w:jc w:val="center"/>
              <w:rPr>
                <w:b w:val="0"/>
                <w:bCs/>
                <w:sz w:val="21"/>
                <w:szCs w:val="21"/>
              </w:rPr>
            </w:pPr>
            <w:r>
              <w:rPr>
                <w:b w:val="0"/>
                <w:bCs/>
                <w:sz w:val="21"/>
                <w:szCs w:val="21"/>
              </w:rPr>
              <w:t>个</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45</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45</w:t>
            </w:r>
          </w:p>
        </w:tc>
        <w:tc>
          <w:tcPr>
            <w:tcW w:w="1077" w:type="dxa"/>
            <w:vAlign w:val="center"/>
          </w:tcPr>
          <w:p>
            <w:pPr>
              <w:pStyle w:val="68"/>
              <w:adjustRightInd/>
              <w:snapToGrid/>
              <w:spacing w:afterLines="0"/>
              <w:jc w:val="center"/>
              <w:rPr>
                <w:b w:val="0"/>
                <w:bCs/>
                <w:sz w:val="21"/>
                <w:szCs w:val="21"/>
              </w:rPr>
            </w:pPr>
            <w:r>
              <w:rPr>
                <w:b w:val="0"/>
                <w:bCs/>
                <w:sz w:val="21"/>
                <w:szCs w:val="21"/>
              </w:rPr>
              <w:t>45</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45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植物措施</w:t>
            </w:r>
          </w:p>
        </w:tc>
        <w:tc>
          <w:tcPr>
            <w:tcW w:w="676" w:type="dxa"/>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1233" w:type="dxa"/>
            <w:gridSpan w:val="3"/>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763"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bottom w:val="single" w:color="auto" w:sz="4" w:space="0"/>
            </w:tcBorders>
            <w:vAlign w:val="center"/>
          </w:tcPr>
          <w:p>
            <w:pPr>
              <w:pStyle w:val="68"/>
              <w:adjustRightInd/>
              <w:snapToGrid/>
              <w:spacing w:afterLines="0"/>
              <w:jc w:val="center"/>
              <w:rPr>
                <w:b w:val="0"/>
                <w:bCs/>
                <w:sz w:val="21"/>
                <w:szCs w:val="21"/>
              </w:rPr>
            </w:pPr>
          </w:p>
        </w:tc>
        <w:tc>
          <w:tcPr>
            <w:tcW w:w="1142"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2.11</w:t>
            </w:r>
          </w:p>
        </w:tc>
        <w:tc>
          <w:tcPr>
            <w:tcW w:w="1012" w:type="dxa"/>
            <w:tcBorders>
              <w:bottom w:val="single" w:color="auto" w:sz="4" w:space="0"/>
            </w:tcBorders>
            <w:vAlign w:val="center"/>
          </w:tcPr>
          <w:p>
            <w:pPr>
              <w:pStyle w:val="68"/>
              <w:adjustRightInd/>
              <w:snapToGrid/>
              <w:spacing w:afterLines="0"/>
              <w:jc w:val="center"/>
              <w:rPr>
                <w:b w:val="0"/>
                <w:bCs/>
                <w:sz w:val="21"/>
                <w:szCs w:val="21"/>
              </w:rPr>
            </w:pPr>
          </w:p>
        </w:tc>
        <w:tc>
          <w:tcPr>
            <w:tcW w:w="1017" w:type="dxa"/>
            <w:tcBorders>
              <w:bottom w:val="single" w:color="auto" w:sz="4" w:space="0"/>
            </w:tcBorders>
            <w:vAlign w:val="center"/>
          </w:tcPr>
          <w:p>
            <w:pPr>
              <w:pStyle w:val="68"/>
              <w:adjustRightInd/>
              <w:snapToGrid/>
              <w:spacing w:afterLines="0"/>
              <w:jc w:val="center"/>
              <w:rPr>
                <w:b w:val="0"/>
                <w:bCs/>
                <w:sz w:val="21"/>
                <w:szCs w:val="21"/>
              </w:rPr>
            </w:pPr>
          </w:p>
        </w:tc>
        <w:tc>
          <w:tcPr>
            <w:tcW w:w="1004" w:type="dxa"/>
            <w:tcBorders>
              <w:bottom w:val="single" w:color="auto" w:sz="4" w:space="0"/>
            </w:tcBorders>
            <w:vAlign w:val="center"/>
          </w:tcPr>
          <w:p>
            <w:pPr>
              <w:pStyle w:val="68"/>
              <w:adjustRightInd/>
              <w:snapToGrid/>
              <w:spacing w:afterLines="0"/>
              <w:jc w:val="center"/>
              <w:rPr>
                <w:sz w:val="21"/>
                <w:szCs w:val="21"/>
              </w:rPr>
            </w:pPr>
            <w:r>
              <w:rPr>
                <w:sz w:val="21"/>
                <w:szCs w:val="21"/>
              </w:rPr>
              <w:t>2.11</w:t>
            </w:r>
          </w:p>
        </w:tc>
        <w:tc>
          <w:tcPr>
            <w:tcW w:w="1077"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2.11</w:t>
            </w:r>
          </w:p>
        </w:tc>
        <w:tc>
          <w:tcPr>
            <w:tcW w:w="1091" w:type="dxa"/>
            <w:tcBorders>
              <w:bottom w:val="single" w:color="auto" w:sz="4" w:space="0"/>
            </w:tcBorders>
            <w:vAlign w:val="center"/>
          </w:tcPr>
          <w:p>
            <w:pPr>
              <w:pStyle w:val="68"/>
              <w:adjustRightInd/>
              <w:snapToGrid/>
              <w:spacing w:afterLines="0"/>
              <w:jc w:val="center"/>
              <w:rPr>
                <w:b w:val="0"/>
                <w:bCs/>
                <w:sz w:val="21"/>
                <w:szCs w:val="21"/>
              </w:rPr>
            </w:pPr>
          </w:p>
        </w:tc>
        <w:tc>
          <w:tcPr>
            <w:tcW w:w="998" w:type="dxa"/>
            <w:tcBorders>
              <w:bottom w:val="single" w:color="auto" w:sz="4" w:space="0"/>
            </w:tcBorders>
            <w:vAlign w:val="center"/>
          </w:tcPr>
          <w:p>
            <w:pPr>
              <w:pStyle w:val="68"/>
              <w:adjustRightInd/>
              <w:snapToGrid/>
              <w:spacing w:afterLines="0"/>
              <w:jc w:val="center"/>
              <w:rPr>
                <w:sz w:val="21"/>
                <w:szCs w:val="21"/>
              </w:rPr>
            </w:pPr>
            <w:r>
              <w:rPr>
                <w:sz w:val="21"/>
                <w:szCs w:val="21"/>
              </w:rPr>
              <w:t>2.11</w:t>
            </w:r>
          </w:p>
        </w:tc>
        <w:tc>
          <w:tcPr>
            <w:tcW w:w="1074" w:type="dxa"/>
            <w:vMerge w:val="restart"/>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76" w:type="dxa"/>
            <w:vMerge w:val="continue"/>
            <w:tcBorders>
              <w:right w:val="single" w:color="auto" w:sz="4" w:space="0"/>
            </w:tcBorders>
            <w:vAlign w:val="center"/>
          </w:tcPr>
          <w:p>
            <w:pPr>
              <w:pStyle w:val="68"/>
              <w:adjustRightInd/>
              <w:snapToGrid/>
              <w:spacing w:afterLines="0"/>
              <w:jc w:val="center"/>
              <w:rPr>
                <w:b w:val="0"/>
                <w:bCs/>
                <w:sz w:val="21"/>
                <w:szCs w:val="21"/>
              </w:rPr>
            </w:pPr>
          </w:p>
        </w:tc>
        <w:tc>
          <w:tcPr>
            <w:tcW w:w="1233" w:type="dxa"/>
            <w:gridSpan w:val="3"/>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763"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930"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516/0.07</w:t>
            </w:r>
          </w:p>
        </w:tc>
        <w:tc>
          <w:tcPr>
            <w:tcW w:w="101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bottom w:val="single" w:color="auto" w:sz="4" w:space="0"/>
            </w:tcBorders>
            <w:vAlign w:val="center"/>
          </w:tcPr>
          <w:p>
            <w:pPr>
              <w:pStyle w:val="68"/>
              <w:adjustRightInd/>
              <w:snapToGrid/>
              <w:spacing w:afterLines="0"/>
              <w:jc w:val="center"/>
              <w:rPr>
                <w:sz w:val="21"/>
                <w:szCs w:val="21"/>
              </w:rPr>
            </w:pPr>
            <w:r>
              <w:rPr>
                <w:sz w:val="21"/>
                <w:szCs w:val="21"/>
              </w:rPr>
              <w:t>516/0.07</w:t>
            </w:r>
          </w:p>
        </w:tc>
        <w:tc>
          <w:tcPr>
            <w:tcW w:w="107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516/0.07</w:t>
            </w:r>
          </w:p>
        </w:tc>
        <w:tc>
          <w:tcPr>
            <w:tcW w:w="1091"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998" w:type="dxa"/>
            <w:tcBorders>
              <w:top w:val="single" w:color="auto" w:sz="4" w:space="0"/>
              <w:bottom w:val="single" w:color="auto" w:sz="4" w:space="0"/>
            </w:tcBorders>
            <w:vAlign w:val="center"/>
          </w:tcPr>
          <w:p>
            <w:pPr>
              <w:pStyle w:val="68"/>
              <w:adjustRightInd/>
              <w:snapToGrid/>
              <w:spacing w:afterLines="0"/>
              <w:jc w:val="center"/>
              <w:rPr>
                <w:sz w:val="21"/>
                <w:szCs w:val="21"/>
              </w:rPr>
            </w:pPr>
            <w:r>
              <w:rPr>
                <w:sz w:val="21"/>
                <w:szCs w:val="21"/>
              </w:rPr>
              <w:t>516/0.07</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76" w:type="dxa"/>
            <w:vMerge w:val="continue"/>
            <w:tcBorders>
              <w:right w:val="single" w:color="auto" w:sz="4" w:space="0"/>
            </w:tcBorders>
            <w:vAlign w:val="center"/>
          </w:tcPr>
          <w:p>
            <w:pPr>
              <w:pStyle w:val="68"/>
              <w:adjustRightInd/>
              <w:snapToGrid/>
              <w:spacing w:afterLines="0"/>
              <w:jc w:val="center"/>
              <w:rPr>
                <w:b w:val="0"/>
                <w:bCs/>
                <w:sz w:val="21"/>
                <w:szCs w:val="21"/>
              </w:rPr>
            </w:pPr>
          </w:p>
        </w:tc>
        <w:tc>
          <w:tcPr>
            <w:tcW w:w="1233" w:type="dxa"/>
            <w:gridSpan w:val="3"/>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763"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top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2.04</w:t>
            </w:r>
          </w:p>
        </w:tc>
        <w:tc>
          <w:tcPr>
            <w:tcW w:w="1012" w:type="dxa"/>
            <w:tcBorders>
              <w:top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tcBorders>
            <w:vAlign w:val="center"/>
          </w:tcPr>
          <w:p>
            <w:pPr>
              <w:pStyle w:val="68"/>
              <w:adjustRightInd/>
              <w:snapToGrid/>
              <w:spacing w:afterLines="0"/>
              <w:jc w:val="center"/>
              <w:rPr>
                <w:sz w:val="21"/>
                <w:szCs w:val="21"/>
              </w:rPr>
            </w:pPr>
            <w:r>
              <w:rPr>
                <w:sz w:val="21"/>
                <w:szCs w:val="21"/>
              </w:rPr>
              <w:t>2.04</w:t>
            </w:r>
          </w:p>
        </w:tc>
        <w:tc>
          <w:tcPr>
            <w:tcW w:w="1077"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2.04</w:t>
            </w:r>
          </w:p>
        </w:tc>
        <w:tc>
          <w:tcPr>
            <w:tcW w:w="1091" w:type="dxa"/>
            <w:tcBorders>
              <w:top w:val="single" w:color="auto" w:sz="4" w:space="0"/>
            </w:tcBorders>
            <w:vAlign w:val="center"/>
          </w:tcPr>
          <w:p>
            <w:pPr>
              <w:pStyle w:val="68"/>
              <w:adjustRightInd/>
              <w:snapToGrid/>
              <w:spacing w:afterLines="0"/>
              <w:jc w:val="center"/>
              <w:rPr>
                <w:b w:val="0"/>
                <w:bCs/>
                <w:sz w:val="21"/>
                <w:szCs w:val="21"/>
              </w:rPr>
            </w:pPr>
          </w:p>
        </w:tc>
        <w:tc>
          <w:tcPr>
            <w:tcW w:w="998" w:type="dxa"/>
            <w:tcBorders>
              <w:top w:val="single" w:color="auto" w:sz="4" w:space="0"/>
            </w:tcBorders>
            <w:vAlign w:val="center"/>
          </w:tcPr>
          <w:p>
            <w:pPr>
              <w:pStyle w:val="68"/>
              <w:adjustRightInd/>
              <w:snapToGrid/>
              <w:spacing w:afterLines="0"/>
              <w:jc w:val="center"/>
              <w:rPr>
                <w:sz w:val="21"/>
                <w:szCs w:val="21"/>
              </w:rPr>
            </w:pPr>
            <w:r>
              <w:rPr>
                <w:sz w:val="21"/>
                <w:szCs w:val="21"/>
              </w:rPr>
              <w:t>2.04</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restart"/>
            <w:vAlign w:val="center"/>
          </w:tcPr>
          <w:p>
            <w:pPr>
              <w:pStyle w:val="68"/>
              <w:adjustRightInd/>
              <w:snapToGrid/>
              <w:spacing w:afterLines="0"/>
              <w:jc w:val="center"/>
              <w:rPr>
                <w:b w:val="0"/>
                <w:bCs/>
                <w:sz w:val="21"/>
                <w:szCs w:val="21"/>
              </w:rPr>
            </w:pPr>
            <w:r>
              <w:rPr>
                <w:b w:val="0"/>
                <w:bCs/>
                <w:sz w:val="21"/>
                <w:szCs w:val="21"/>
              </w:rPr>
              <w:t>在建区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工程措施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表土剥离</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spacing w:line="240" w:lineRule="auto"/>
              <w:ind w:firstLine="0" w:firstLineChars="0"/>
              <w:jc w:val="center"/>
              <w:rPr>
                <w:bCs/>
                <w:sz w:val="21"/>
                <w:szCs w:val="21"/>
              </w:rPr>
            </w:pPr>
            <w:r>
              <w:rPr>
                <w:rFonts w:hint="eastAsia"/>
                <w:sz w:val="21"/>
                <w:szCs w:val="21"/>
              </w:rPr>
              <w:t>75.50</w:t>
            </w:r>
          </w:p>
        </w:tc>
        <w:tc>
          <w:tcPr>
            <w:tcW w:w="1142" w:type="dxa"/>
            <w:vAlign w:val="center"/>
          </w:tcPr>
          <w:p>
            <w:pPr>
              <w:spacing w:line="240" w:lineRule="auto"/>
              <w:ind w:firstLine="0" w:firstLineChars="0"/>
              <w:jc w:val="center"/>
              <w:rPr>
                <w:bCs/>
                <w:sz w:val="21"/>
                <w:szCs w:val="21"/>
              </w:rPr>
            </w:pPr>
            <w:r>
              <w:rPr>
                <w:sz w:val="21"/>
                <w:szCs w:val="21"/>
              </w:rPr>
              <w:t>3.94</w:t>
            </w:r>
          </w:p>
        </w:tc>
        <w:tc>
          <w:tcPr>
            <w:tcW w:w="1012" w:type="dxa"/>
            <w:vAlign w:val="center"/>
          </w:tcPr>
          <w:p>
            <w:pPr>
              <w:pStyle w:val="68"/>
              <w:adjustRightInd/>
              <w:snapToGrid/>
              <w:spacing w:afterLines="0"/>
              <w:jc w:val="center"/>
              <w:rPr>
                <w:b w:val="0"/>
                <w:bCs/>
                <w:sz w:val="21"/>
                <w:szCs w:val="21"/>
              </w:rPr>
            </w:pPr>
            <w:r>
              <w:rPr>
                <w:b w:val="0"/>
                <w:bCs/>
                <w:sz w:val="21"/>
                <w:szCs w:val="21"/>
              </w:rPr>
              <w:t>0.71</w:t>
            </w:r>
          </w:p>
        </w:tc>
        <w:tc>
          <w:tcPr>
            <w:tcW w:w="1017" w:type="dxa"/>
            <w:vAlign w:val="center"/>
          </w:tcPr>
          <w:p>
            <w:pPr>
              <w:spacing w:line="240" w:lineRule="auto"/>
              <w:ind w:firstLine="0" w:firstLineChars="0"/>
              <w:jc w:val="center"/>
              <w:rPr>
                <w:bCs/>
                <w:sz w:val="21"/>
                <w:szCs w:val="21"/>
              </w:rPr>
            </w:pPr>
          </w:p>
        </w:tc>
        <w:tc>
          <w:tcPr>
            <w:tcW w:w="1004" w:type="dxa"/>
            <w:vAlign w:val="center"/>
          </w:tcPr>
          <w:p>
            <w:pPr>
              <w:pStyle w:val="68"/>
              <w:adjustRightInd/>
              <w:snapToGrid/>
              <w:spacing w:afterLines="0"/>
              <w:jc w:val="center"/>
              <w:rPr>
                <w:sz w:val="21"/>
                <w:szCs w:val="21"/>
              </w:rPr>
            </w:pPr>
            <w:r>
              <w:rPr>
                <w:rFonts w:hint="eastAsia"/>
                <w:sz w:val="21"/>
                <w:szCs w:val="21"/>
              </w:rPr>
              <w:t>80.15</w:t>
            </w:r>
          </w:p>
        </w:tc>
        <w:tc>
          <w:tcPr>
            <w:tcW w:w="1077" w:type="dxa"/>
            <w:vAlign w:val="center"/>
          </w:tcPr>
          <w:p>
            <w:pPr>
              <w:pStyle w:val="68"/>
              <w:adjustRightInd/>
              <w:snapToGrid/>
              <w:spacing w:afterLines="0"/>
              <w:jc w:val="center"/>
              <w:rPr>
                <w:b w:val="0"/>
                <w:bCs/>
                <w:sz w:val="21"/>
                <w:szCs w:val="21"/>
              </w:rPr>
            </w:pPr>
            <w:r>
              <w:rPr>
                <w:b w:val="0"/>
                <w:bCs/>
                <w:sz w:val="21"/>
                <w:szCs w:val="21"/>
              </w:rPr>
              <w:t>16.15</w:t>
            </w:r>
          </w:p>
          <w:p>
            <w:pPr>
              <w:pStyle w:val="68"/>
              <w:adjustRightInd/>
              <w:snapToGrid/>
              <w:spacing w:afterLines="0"/>
              <w:jc w:val="center"/>
              <w:rPr>
                <w:b w:val="0"/>
                <w:bCs/>
                <w:sz w:val="21"/>
                <w:szCs w:val="21"/>
              </w:rPr>
            </w:pPr>
            <w:r>
              <w:rPr>
                <w:b w:val="0"/>
                <w:bCs/>
                <w:sz w:val="21"/>
                <w:szCs w:val="21"/>
              </w:rPr>
              <w:t>主体已有</w:t>
            </w:r>
          </w:p>
        </w:tc>
        <w:tc>
          <w:tcPr>
            <w:tcW w:w="1091" w:type="dxa"/>
            <w:vAlign w:val="center"/>
          </w:tcPr>
          <w:p>
            <w:pPr>
              <w:pStyle w:val="68"/>
              <w:adjustRightInd/>
              <w:snapToGrid/>
              <w:spacing w:afterLines="0"/>
              <w:jc w:val="center"/>
              <w:rPr>
                <w:b w:val="0"/>
                <w:bCs/>
                <w:sz w:val="21"/>
                <w:szCs w:val="21"/>
              </w:rPr>
            </w:pPr>
            <w:r>
              <w:rPr>
                <w:b w:val="0"/>
                <w:bCs/>
                <w:sz w:val="21"/>
                <w:szCs w:val="21"/>
              </w:rPr>
              <w:t>64</w:t>
            </w:r>
          </w:p>
          <w:p>
            <w:pPr>
              <w:pStyle w:val="68"/>
              <w:adjustRightInd/>
              <w:snapToGrid/>
              <w:spacing w:afterLines="0"/>
              <w:jc w:val="center"/>
              <w:rPr>
                <w:b w:val="0"/>
                <w:bCs/>
                <w:sz w:val="21"/>
                <w:szCs w:val="21"/>
              </w:rPr>
            </w:pPr>
            <w:r>
              <w:rPr>
                <w:b w:val="0"/>
                <w:bCs/>
                <w:sz w:val="21"/>
                <w:szCs w:val="21"/>
              </w:rPr>
              <w:t>报告新增</w:t>
            </w:r>
          </w:p>
        </w:tc>
        <w:tc>
          <w:tcPr>
            <w:tcW w:w="998" w:type="dxa"/>
            <w:vAlign w:val="center"/>
          </w:tcPr>
          <w:p>
            <w:pPr>
              <w:pStyle w:val="68"/>
              <w:adjustRightInd/>
              <w:snapToGrid/>
              <w:spacing w:afterLines="0"/>
              <w:jc w:val="center"/>
              <w:rPr>
                <w:b w:val="0"/>
                <w:bCs/>
                <w:sz w:val="21"/>
                <w:szCs w:val="21"/>
              </w:rPr>
            </w:pPr>
            <w:r>
              <w:rPr>
                <w:rFonts w:hint="eastAsia"/>
                <w:sz w:val="21"/>
                <w:szCs w:val="21"/>
              </w:rPr>
              <w:t>80.15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r>
              <w:rPr>
                <w:rFonts w:hint="eastAsia"/>
                <w:b w:val="0"/>
                <w:bCs/>
                <w:sz w:val="21"/>
                <w:szCs w:val="21"/>
              </w:rPr>
              <w:t>/</w:t>
            </w: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表土回覆</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spacing w:line="240" w:lineRule="auto"/>
              <w:ind w:firstLine="0" w:firstLineChars="0"/>
              <w:jc w:val="center"/>
              <w:rPr>
                <w:bCs/>
                <w:sz w:val="21"/>
                <w:szCs w:val="21"/>
              </w:rPr>
            </w:pPr>
            <w:r>
              <w:rPr>
                <w:sz w:val="21"/>
                <w:szCs w:val="21"/>
              </w:rPr>
              <w:t>7.68</w:t>
            </w:r>
          </w:p>
        </w:tc>
        <w:tc>
          <w:tcPr>
            <w:tcW w:w="1142" w:type="dxa"/>
            <w:vAlign w:val="center"/>
          </w:tcPr>
          <w:p>
            <w:pPr>
              <w:spacing w:line="240" w:lineRule="auto"/>
              <w:ind w:firstLine="0" w:firstLineChars="0"/>
              <w:jc w:val="center"/>
              <w:rPr>
                <w:bCs/>
                <w:sz w:val="21"/>
                <w:szCs w:val="21"/>
              </w:rPr>
            </w:pPr>
            <w:r>
              <w:rPr>
                <w:sz w:val="21"/>
                <w:szCs w:val="21"/>
              </w:rPr>
              <w:t>3.94</w:t>
            </w:r>
          </w:p>
        </w:tc>
        <w:tc>
          <w:tcPr>
            <w:tcW w:w="1012" w:type="dxa"/>
            <w:vAlign w:val="center"/>
          </w:tcPr>
          <w:p>
            <w:pPr>
              <w:pStyle w:val="68"/>
              <w:adjustRightInd/>
              <w:snapToGrid/>
              <w:spacing w:afterLines="0"/>
              <w:jc w:val="center"/>
              <w:rPr>
                <w:b w:val="0"/>
                <w:bCs/>
                <w:sz w:val="21"/>
                <w:szCs w:val="21"/>
              </w:rPr>
            </w:pPr>
            <w:r>
              <w:rPr>
                <w:b w:val="0"/>
                <w:bCs/>
                <w:sz w:val="21"/>
                <w:szCs w:val="21"/>
              </w:rPr>
              <w:t>0.71</w:t>
            </w:r>
          </w:p>
        </w:tc>
        <w:tc>
          <w:tcPr>
            <w:tcW w:w="1017" w:type="dxa"/>
            <w:vAlign w:val="center"/>
          </w:tcPr>
          <w:p>
            <w:pPr>
              <w:spacing w:line="240" w:lineRule="auto"/>
              <w:ind w:firstLine="0" w:firstLineChars="0"/>
              <w:jc w:val="center"/>
              <w:rPr>
                <w:bCs/>
                <w:sz w:val="21"/>
                <w:szCs w:val="21"/>
              </w:rPr>
            </w:pPr>
            <w:r>
              <w:rPr>
                <w:rFonts w:hint="eastAsia"/>
                <w:sz w:val="21"/>
                <w:szCs w:val="21"/>
              </w:rPr>
              <w:t>11.95</w:t>
            </w:r>
          </w:p>
        </w:tc>
        <w:tc>
          <w:tcPr>
            <w:tcW w:w="1004" w:type="dxa"/>
            <w:vAlign w:val="center"/>
          </w:tcPr>
          <w:p>
            <w:pPr>
              <w:pStyle w:val="68"/>
              <w:adjustRightInd/>
              <w:snapToGrid/>
              <w:spacing w:afterLines="0"/>
              <w:jc w:val="center"/>
              <w:rPr>
                <w:sz w:val="21"/>
                <w:szCs w:val="21"/>
              </w:rPr>
            </w:pPr>
            <w:r>
              <w:rPr>
                <w:rFonts w:hint="eastAsia"/>
                <w:sz w:val="21"/>
                <w:szCs w:val="21"/>
              </w:rPr>
              <w:t>24.28</w:t>
            </w:r>
          </w:p>
        </w:tc>
        <w:tc>
          <w:tcPr>
            <w:tcW w:w="1077" w:type="dxa"/>
            <w:vAlign w:val="center"/>
          </w:tcPr>
          <w:p>
            <w:pPr>
              <w:pStyle w:val="68"/>
              <w:adjustRightInd/>
              <w:snapToGrid/>
              <w:spacing w:afterLines="0"/>
              <w:jc w:val="center"/>
              <w:rPr>
                <w:b w:val="0"/>
                <w:bCs/>
                <w:sz w:val="21"/>
                <w:szCs w:val="21"/>
              </w:rPr>
            </w:pPr>
            <w:r>
              <w:rPr>
                <w:b w:val="0"/>
                <w:bCs/>
                <w:sz w:val="21"/>
                <w:szCs w:val="21"/>
              </w:rPr>
              <w:t>13.74</w:t>
            </w:r>
          </w:p>
          <w:p>
            <w:pPr>
              <w:pStyle w:val="68"/>
              <w:adjustRightInd/>
              <w:snapToGrid/>
              <w:spacing w:afterLines="0"/>
              <w:jc w:val="center"/>
              <w:rPr>
                <w:b w:val="0"/>
                <w:bCs/>
                <w:sz w:val="21"/>
                <w:szCs w:val="21"/>
              </w:rPr>
            </w:pPr>
            <w:r>
              <w:rPr>
                <w:b w:val="0"/>
                <w:bCs/>
                <w:sz w:val="21"/>
                <w:szCs w:val="21"/>
              </w:rPr>
              <w:t>主体已有</w:t>
            </w:r>
          </w:p>
        </w:tc>
        <w:tc>
          <w:tcPr>
            <w:tcW w:w="1091" w:type="dxa"/>
            <w:vAlign w:val="center"/>
          </w:tcPr>
          <w:p>
            <w:pPr>
              <w:pStyle w:val="68"/>
              <w:adjustRightInd/>
              <w:snapToGrid/>
              <w:spacing w:afterLines="0"/>
              <w:jc w:val="center"/>
              <w:rPr>
                <w:b w:val="0"/>
                <w:bCs/>
                <w:sz w:val="21"/>
                <w:szCs w:val="21"/>
              </w:rPr>
            </w:pPr>
            <w:r>
              <w:rPr>
                <w:b w:val="0"/>
                <w:bCs/>
                <w:sz w:val="21"/>
                <w:szCs w:val="21"/>
              </w:rPr>
              <w:t>10.54</w:t>
            </w:r>
          </w:p>
          <w:p>
            <w:pPr>
              <w:pStyle w:val="68"/>
              <w:adjustRightInd/>
              <w:snapToGrid/>
              <w:spacing w:afterLines="0"/>
              <w:jc w:val="center"/>
              <w:rPr>
                <w:b w:val="0"/>
                <w:bCs/>
                <w:sz w:val="21"/>
                <w:szCs w:val="21"/>
              </w:rPr>
            </w:pPr>
            <w:r>
              <w:rPr>
                <w:b w:val="0"/>
                <w:bCs/>
                <w:sz w:val="21"/>
                <w:szCs w:val="21"/>
              </w:rPr>
              <w:t>报告新增</w:t>
            </w:r>
          </w:p>
        </w:tc>
        <w:tc>
          <w:tcPr>
            <w:tcW w:w="998" w:type="dxa"/>
            <w:vAlign w:val="center"/>
          </w:tcPr>
          <w:p>
            <w:pPr>
              <w:pStyle w:val="68"/>
              <w:adjustRightInd/>
              <w:snapToGrid/>
              <w:spacing w:afterLines="0"/>
              <w:jc w:val="center"/>
              <w:rPr>
                <w:b w:val="0"/>
                <w:bCs/>
                <w:sz w:val="21"/>
                <w:szCs w:val="21"/>
              </w:rPr>
            </w:pPr>
            <w:r>
              <w:rPr>
                <w:rFonts w:hint="eastAsia"/>
                <w:sz w:val="21"/>
                <w:szCs w:val="21"/>
              </w:rPr>
              <w:t>24.28</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r>
              <w:rPr>
                <w:rFonts w:hint="eastAsia"/>
                <w:b w:val="0"/>
                <w:bCs/>
                <w:sz w:val="21"/>
                <w:szCs w:val="21"/>
              </w:rPr>
              <w:t>/</w:t>
            </w: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6480</w:t>
            </w:r>
          </w:p>
        </w:tc>
        <w:tc>
          <w:tcPr>
            <w:tcW w:w="1012" w:type="dxa"/>
            <w:vAlign w:val="center"/>
          </w:tcPr>
          <w:p>
            <w:pPr>
              <w:pStyle w:val="68"/>
              <w:adjustRightInd/>
              <w:snapToGrid/>
              <w:spacing w:afterLines="0"/>
              <w:jc w:val="center"/>
              <w:rPr>
                <w:b w:val="0"/>
                <w:bCs/>
                <w:sz w:val="21"/>
                <w:szCs w:val="21"/>
              </w:rPr>
            </w:pPr>
            <w:r>
              <w:rPr>
                <w:b w:val="0"/>
                <w:bCs/>
                <w:sz w:val="21"/>
                <w:szCs w:val="21"/>
              </w:rPr>
              <w:t>4546</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11026</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11026</w:t>
            </w:r>
          </w:p>
        </w:tc>
        <w:tc>
          <w:tcPr>
            <w:tcW w:w="998" w:type="dxa"/>
            <w:vAlign w:val="center"/>
          </w:tcPr>
          <w:p>
            <w:pPr>
              <w:pStyle w:val="68"/>
              <w:adjustRightInd/>
              <w:snapToGrid/>
              <w:spacing w:afterLines="0"/>
              <w:jc w:val="center"/>
              <w:rPr>
                <w:b w:val="0"/>
                <w:bCs/>
                <w:sz w:val="21"/>
                <w:szCs w:val="21"/>
              </w:rPr>
            </w:pPr>
            <w:r>
              <w:rPr>
                <w:sz w:val="21"/>
                <w:szCs w:val="21"/>
              </w:rPr>
              <w:t>11026</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雨水口</w:t>
            </w:r>
          </w:p>
        </w:tc>
        <w:tc>
          <w:tcPr>
            <w:tcW w:w="763" w:type="dxa"/>
            <w:vAlign w:val="center"/>
          </w:tcPr>
          <w:p>
            <w:pPr>
              <w:pStyle w:val="68"/>
              <w:adjustRightInd/>
              <w:snapToGrid/>
              <w:spacing w:afterLines="0"/>
              <w:jc w:val="center"/>
              <w:rPr>
                <w:b w:val="0"/>
                <w:bCs/>
                <w:sz w:val="21"/>
                <w:szCs w:val="21"/>
              </w:rPr>
            </w:pPr>
            <w:r>
              <w:rPr>
                <w:b w:val="0"/>
                <w:bCs/>
                <w:sz w:val="21"/>
                <w:szCs w:val="21"/>
              </w:rPr>
              <w:t>个</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130</w:t>
            </w:r>
          </w:p>
        </w:tc>
        <w:tc>
          <w:tcPr>
            <w:tcW w:w="1012" w:type="dxa"/>
            <w:vAlign w:val="center"/>
          </w:tcPr>
          <w:p>
            <w:pPr>
              <w:pStyle w:val="68"/>
              <w:adjustRightInd/>
              <w:snapToGrid/>
              <w:spacing w:afterLines="0"/>
              <w:jc w:val="center"/>
              <w:rPr>
                <w:b w:val="0"/>
                <w:bCs/>
                <w:sz w:val="21"/>
                <w:szCs w:val="21"/>
              </w:rPr>
            </w:pPr>
            <w:r>
              <w:rPr>
                <w:b w:val="0"/>
                <w:bCs/>
                <w:sz w:val="21"/>
                <w:szCs w:val="21"/>
              </w:rPr>
              <w:t>159</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289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289</w:t>
            </w:r>
          </w:p>
        </w:tc>
        <w:tc>
          <w:tcPr>
            <w:tcW w:w="998" w:type="dxa"/>
            <w:vAlign w:val="center"/>
          </w:tcPr>
          <w:p>
            <w:pPr>
              <w:pStyle w:val="68"/>
              <w:adjustRightInd/>
              <w:snapToGrid/>
              <w:spacing w:afterLines="0"/>
              <w:jc w:val="center"/>
              <w:rPr>
                <w:b w:val="0"/>
                <w:bCs/>
                <w:sz w:val="21"/>
                <w:szCs w:val="21"/>
              </w:rPr>
            </w:pPr>
            <w:r>
              <w:rPr>
                <w:sz w:val="21"/>
                <w:szCs w:val="21"/>
              </w:rPr>
              <w:t>289</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r>
              <w:rPr>
                <w:b w:val="0"/>
                <w:bCs/>
                <w:sz w:val="21"/>
                <w:szCs w:val="21"/>
              </w:rPr>
              <w:t>408</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408</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408</w:t>
            </w:r>
          </w:p>
        </w:tc>
        <w:tc>
          <w:tcPr>
            <w:tcW w:w="998" w:type="dxa"/>
            <w:vAlign w:val="center"/>
          </w:tcPr>
          <w:p>
            <w:pPr>
              <w:pStyle w:val="68"/>
              <w:adjustRightInd/>
              <w:snapToGrid/>
              <w:spacing w:afterLines="0"/>
              <w:jc w:val="center"/>
              <w:rPr>
                <w:b w:val="0"/>
                <w:bCs/>
                <w:sz w:val="21"/>
                <w:szCs w:val="21"/>
              </w:rPr>
            </w:pPr>
            <w:r>
              <w:rPr>
                <w:sz w:val="21"/>
                <w:szCs w:val="21"/>
              </w:rPr>
              <w:t>408</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植物措施</w:t>
            </w:r>
          </w:p>
        </w:tc>
        <w:tc>
          <w:tcPr>
            <w:tcW w:w="1909" w:type="dxa"/>
            <w:gridSpan w:val="4"/>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763"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bottom w:val="single" w:color="auto" w:sz="4" w:space="0"/>
            </w:tcBorders>
            <w:vAlign w:val="center"/>
          </w:tcPr>
          <w:p>
            <w:pPr>
              <w:pStyle w:val="68"/>
              <w:adjustRightInd/>
              <w:snapToGrid/>
              <w:spacing w:afterLines="0"/>
              <w:jc w:val="center"/>
              <w:rPr>
                <w:b w:val="0"/>
                <w:bCs/>
                <w:sz w:val="21"/>
                <w:szCs w:val="21"/>
              </w:rPr>
            </w:pPr>
          </w:p>
        </w:tc>
        <w:tc>
          <w:tcPr>
            <w:tcW w:w="1142" w:type="dxa"/>
            <w:tcBorders>
              <w:bottom w:val="single" w:color="auto" w:sz="4" w:space="0"/>
            </w:tcBorders>
            <w:vAlign w:val="center"/>
          </w:tcPr>
          <w:p>
            <w:pPr>
              <w:pStyle w:val="68"/>
              <w:adjustRightInd/>
              <w:snapToGrid/>
              <w:spacing w:afterLines="0"/>
              <w:jc w:val="center"/>
              <w:rPr>
                <w:b w:val="0"/>
                <w:bCs/>
                <w:sz w:val="21"/>
                <w:szCs w:val="21"/>
              </w:rPr>
            </w:pPr>
          </w:p>
        </w:tc>
        <w:tc>
          <w:tcPr>
            <w:tcW w:w="1012"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2.36</w:t>
            </w:r>
          </w:p>
        </w:tc>
        <w:tc>
          <w:tcPr>
            <w:tcW w:w="1017"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6.64</w:t>
            </w:r>
          </w:p>
        </w:tc>
        <w:tc>
          <w:tcPr>
            <w:tcW w:w="1004" w:type="dxa"/>
            <w:tcBorders>
              <w:bottom w:val="single" w:color="auto" w:sz="4" w:space="0"/>
            </w:tcBorders>
            <w:vAlign w:val="center"/>
          </w:tcPr>
          <w:p>
            <w:pPr>
              <w:pStyle w:val="68"/>
              <w:adjustRightInd/>
              <w:snapToGrid/>
              <w:spacing w:afterLines="0"/>
              <w:jc w:val="center"/>
              <w:rPr>
                <w:sz w:val="21"/>
                <w:szCs w:val="21"/>
              </w:rPr>
            </w:pPr>
            <w:r>
              <w:rPr>
                <w:sz w:val="21"/>
                <w:szCs w:val="21"/>
              </w:rPr>
              <w:t>9.0</w:t>
            </w:r>
          </w:p>
        </w:tc>
        <w:tc>
          <w:tcPr>
            <w:tcW w:w="1077" w:type="dxa"/>
            <w:tcBorders>
              <w:bottom w:val="single" w:color="auto" w:sz="4" w:space="0"/>
            </w:tcBorders>
            <w:vAlign w:val="center"/>
          </w:tcPr>
          <w:p>
            <w:pPr>
              <w:pStyle w:val="68"/>
              <w:adjustRightInd/>
              <w:snapToGrid/>
              <w:spacing w:afterLines="0"/>
              <w:jc w:val="center"/>
              <w:rPr>
                <w:b w:val="0"/>
                <w:bCs/>
                <w:sz w:val="21"/>
                <w:szCs w:val="21"/>
              </w:rPr>
            </w:pPr>
          </w:p>
        </w:tc>
        <w:tc>
          <w:tcPr>
            <w:tcW w:w="1091"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9.0</w:t>
            </w:r>
          </w:p>
        </w:tc>
        <w:tc>
          <w:tcPr>
            <w:tcW w:w="998" w:type="dxa"/>
            <w:tcBorders>
              <w:bottom w:val="single" w:color="auto" w:sz="4" w:space="0"/>
            </w:tcBorders>
            <w:vAlign w:val="center"/>
          </w:tcPr>
          <w:p>
            <w:pPr>
              <w:pStyle w:val="68"/>
              <w:adjustRightInd/>
              <w:snapToGrid/>
              <w:spacing w:afterLines="0"/>
              <w:jc w:val="center"/>
              <w:rPr>
                <w:b w:val="0"/>
                <w:bCs/>
                <w:sz w:val="21"/>
                <w:szCs w:val="21"/>
              </w:rPr>
            </w:pPr>
            <w:r>
              <w:rPr>
                <w:sz w:val="21"/>
                <w:szCs w:val="21"/>
              </w:rPr>
              <w:t>9.0</w:t>
            </w:r>
          </w:p>
        </w:tc>
        <w:tc>
          <w:tcPr>
            <w:tcW w:w="1074"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92" w:type="dxa"/>
            <w:gridSpan w:val="2"/>
            <w:vMerge w:val="restart"/>
            <w:tcBorders>
              <w:top w:val="single" w:color="auto" w:sz="4" w:space="0"/>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1217" w:type="dxa"/>
            <w:gridSpan w:val="2"/>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763"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sz w:val="21"/>
                <w:szCs w:val="21"/>
              </w:rPr>
              <w:t>3.22</w:t>
            </w:r>
          </w:p>
        </w:tc>
        <w:tc>
          <w:tcPr>
            <w:tcW w:w="101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3.22</w:t>
            </w:r>
          </w:p>
        </w:tc>
        <w:tc>
          <w:tcPr>
            <w:tcW w:w="107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sz w:val="21"/>
                <w:szCs w:val="21"/>
              </w:rPr>
              <w:t>3.22</w:t>
            </w:r>
          </w:p>
        </w:tc>
        <w:tc>
          <w:tcPr>
            <w:tcW w:w="998"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Cs/>
                <w:sz w:val="21"/>
                <w:szCs w:val="21"/>
              </w:rPr>
              <w:t>3.22</w:t>
            </w:r>
          </w:p>
        </w:tc>
        <w:tc>
          <w:tcPr>
            <w:tcW w:w="1074" w:type="dxa"/>
            <w:vMerge w:val="restar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92" w:type="dxa"/>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1217" w:type="dxa"/>
            <w:gridSpan w:val="2"/>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763"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930" w:type="dxa"/>
            <w:tcBorders>
              <w:top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1980/0.29</w:t>
            </w:r>
          </w:p>
        </w:tc>
        <w:tc>
          <w:tcPr>
            <w:tcW w:w="1012" w:type="dxa"/>
            <w:tcBorders>
              <w:top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tcBorders>
            <w:vAlign w:val="center"/>
          </w:tcPr>
          <w:p>
            <w:pPr>
              <w:pStyle w:val="68"/>
              <w:adjustRightInd/>
              <w:snapToGrid/>
              <w:spacing w:afterLines="0"/>
              <w:jc w:val="center"/>
              <w:rPr>
                <w:bCs/>
                <w:sz w:val="21"/>
                <w:szCs w:val="21"/>
              </w:rPr>
            </w:pPr>
            <w:r>
              <w:rPr>
                <w:bCs/>
                <w:sz w:val="21"/>
                <w:szCs w:val="21"/>
              </w:rPr>
              <w:t>1980/0.29</w:t>
            </w:r>
          </w:p>
        </w:tc>
        <w:tc>
          <w:tcPr>
            <w:tcW w:w="1077" w:type="dxa"/>
            <w:tcBorders>
              <w:top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tcBorders>
            <w:vAlign w:val="center"/>
          </w:tcPr>
          <w:p>
            <w:pPr>
              <w:pStyle w:val="68"/>
              <w:adjustRightInd/>
              <w:snapToGrid/>
              <w:spacing w:afterLines="0"/>
              <w:jc w:val="center"/>
              <w:rPr>
                <w:b w:val="0"/>
                <w:sz w:val="21"/>
                <w:szCs w:val="21"/>
              </w:rPr>
            </w:pPr>
            <w:r>
              <w:rPr>
                <w:b w:val="0"/>
                <w:sz w:val="21"/>
                <w:szCs w:val="21"/>
              </w:rPr>
              <w:t>1980/0.29</w:t>
            </w:r>
          </w:p>
        </w:tc>
        <w:tc>
          <w:tcPr>
            <w:tcW w:w="998" w:type="dxa"/>
            <w:tcBorders>
              <w:top w:val="single" w:color="auto" w:sz="4" w:space="0"/>
            </w:tcBorders>
            <w:vAlign w:val="center"/>
          </w:tcPr>
          <w:p>
            <w:pPr>
              <w:pStyle w:val="68"/>
              <w:adjustRightInd/>
              <w:snapToGrid/>
              <w:spacing w:afterLines="0"/>
              <w:jc w:val="center"/>
              <w:rPr>
                <w:sz w:val="21"/>
                <w:szCs w:val="21"/>
              </w:rPr>
            </w:pPr>
            <w:r>
              <w:rPr>
                <w:bCs/>
                <w:sz w:val="21"/>
                <w:szCs w:val="21"/>
              </w:rPr>
              <w:t>1980/0.29</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692" w:type="dxa"/>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1217" w:type="dxa"/>
            <w:gridSpan w:val="2"/>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2.93</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2.93</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Cs/>
                <w:sz w:val="21"/>
                <w:szCs w:val="21"/>
              </w:rPr>
              <w:t>2.93</w:t>
            </w:r>
          </w:p>
        </w:tc>
        <w:tc>
          <w:tcPr>
            <w:tcW w:w="998" w:type="dxa"/>
            <w:vAlign w:val="center"/>
          </w:tcPr>
          <w:p>
            <w:pPr>
              <w:pStyle w:val="68"/>
              <w:adjustRightInd/>
              <w:snapToGrid/>
              <w:spacing w:afterLines="0"/>
              <w:jc w:val="center"/>
              <w:rPr>
                <w:b w:val="0"/>
                <w:bCs/>
                <w:sz w:val="21"/>
                <w:szCs w:val="21"/>
              </w:rPr>
            </w:pPr>
            <w:r>
              <w:rPr>
                <w:bCs/>
                <w:sz w:val="21"/>
                <w:szCs w:val="21"/>
              </w:rPr>
              <w:t>2.93</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692" w:type="dxa"/>
            <w:gridSpan w:val="2"/>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边坡绿化</w:t>
            </w:r>
          </w:p>
        </w:tc>
        <w:tc>
          <w:tcPr>
            <w:tcW w:w="1217" w:type="dxa"/>
            <w:gridSpan w:val="2"/>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7.25</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7.25</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Cs/>
                <w:sz w:val="21"/>
                <w:szCs w:val="21"/>
              </w:rPr>
              <w:t>7.25</w:t>
            </w:r>
          </w:p>
        </w:tc>
        <w:tc>
          <w:tcPr>
            <w:tcW w:w="998" w:type="dxa"/>
            <w:vAlign w:val="center"/>
          </w:tcPr>
          <w:p>
            <w:pPr>
              <w:pStyle w:val="68"/>
              <w:adjustRightInd/>
              <w:snapToGrid/>
              <w:spacing w:afterLines="0"/>
              <w:jc w:val="center"/>
              <w:rPr>
                <w:b w:val="0"/>
                <w:bCs/>
                <w:sz w:val="21"/>
                <w:szCs w:val="21"/>
              </w:rPr>
            </w:pPr>
            <w:r>
              <w:rPr>
                <w:bCs/>
                <w:sz w:val="21"/>
                <w:szCs w:val="21"/>
              </w:rPr>
              <w:t>7.25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92" w:type="dxa"/>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1217" w:type="dxa"/>
            <w:gridSpan w:val="2"/>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3.11</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3.11</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Cs/>
                <w:sz w:val="21"/>
                <w:szCs w:val="21"/>
              </w:rPr>
              <w:t>3.11</w:t>
            </w:r>
          </w:p>
        </w:tc>
        <w:tc>
          <w:tcPr>
            <w:tcW w:w="998" w:type="dxa"/>
            <w:vAlign w:val="center"/>
          </w:tcPr>
          <w:p>
            <w:pPr>
              <w:pStyle w:val="68"/>
              <w:adjustRightInd/>
              <w:snapToGrid/>
              <w:spacing w:afterLines="0"/>
              <w:jc w:val="center"/>
              <w:rPr>
                <w:b w:val="0"/>
                <w:bCs/>
                <w:sz w:val="21"/>
                <w:szCs w:val="21"/>
              </w:rPr>
            </w:pPr>
            <w:r>
              <w:rPr>
                <w:bCs/>
                <w:sz w:val="21"/>
                <w:szCs w:val="21"/>
              </w:rPr>
              <w:t>3.11</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3244</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3244</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3244</w:t>
            </w:r>
          </w:p>
        </w:tc>
        <w:tc>
          <w:tcPr>
            <w:tcW w:w="998" w:type="dxa"/>
            <w:vAlign w:val="center"/>
          </w:tcPr>
          <w:p>
            <w:pPr>
              <w:pStyle w:val="68"/>
              <w:adjustRightInd/>
              <w:snapToGrid/>
              <w:spacing w:afterLines="0"/>
              <w:jc w:val="center"/>
              <w:rPr>
                <w:b w:val="0"/>
                <w:bCs/>
                <w:sz w:val="21"/>
                <w:szCs w:val="21"/>
              </w:rPr>
            </w:pPr>
            <w:r>
              <w:rPr>
                <w:sz w:val="21"/>
                <w:szCs w:val="21"/>
              </w:rPr>
              <w:t>3244</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13</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13</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13</w:t>
            </w:r>
          </w:p>
        </w:tc>
        <w:tc>
          <w:tcPr>
            <w:tcW w:w="998" w:type="dxa"/>
            <w:vAlign w:val="center"/>
          </w:tcPr>
          <w:p>
            <w:pPr>
              <w:pStyle w:val="68"/>
              <w:adjustRightInd/>
              <w:snapToGrid/>
              <w:spacing w:afterLines="0"/>
              <w:jc w:val="center"/>
              <w:rPr>
                <w:b w:val="0"/>
                <w:bCs/>
                <w:sz w:val="21"/>
                <w:szCs w:val="21"/>
              </w:rPr>
            </w:pPr>
            <w:r>
              <w:rPr>
                <w:sz w:val="21"/>
                <w:szCs w:val="21"/>
              </w:rPr>
              <w:t>13</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10.36</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10.36</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10.36</w:t>
            </w:r>
          </w:p>
        </w:tc>
        <w:tc>
          <w:tcPr>
            <w:tcW w:w="998" w:type="dxa"/>
            <w:vAlign w:val="center"/>
          </w:tcPr>
          <w:p>
            <w:pPr>
              <w:pStyle w:val="68"/>
              <w:adjustRightInd/>
              <w:snapToGrid/>
              <w:spacing w:afterLines="0"/>
              <w:jc w:val="center"/>
              <w:rPr>
                <w:b w:val="0"/>
                <w:bCs/>
                <w:sz w:val="21"/>
                <w:szCs w:val="21"/>
              </w:rPr>
            </w:pPr>
            <w:r>
              <w:rPr>
                <w:sz w:val="21"/>
                <w:szCs w:val="21"/>
              </w:rPr>
              <w:t>10.36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400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400</w:t>
            </w:r>
          </w:p>
        </w:tc>
        <w:tc>
          <w:tcPr>
            <w:tcW w:w="998" w:type="dxa"/>
            <w:vAlign w:val="center"/>
          </w:tcPr>
          <w:p>
            <w:pPr>
              <w:pStyle w:val="68"/>
              <w:adjustRightInd/>
              <w:snapToGrid/>
              <w:spacing w:afterLines="0"/>
              <w:jc w:val="center"/>
              <w:rPr>
                <w:b w:val="0"/>
                <w:bCs/>
                <w:sz w:val="21"/>
                <w:szCs w:val="21"/>
              </w:rPr>
            </w:pPr>
            <w:r>
              <w:rPr>
                <w:sz w:val="21"/>
                <w:szCs w:val="21"/>
              </w:rPr>
              <w:t>400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restart"/>
            <w:vAlign w:val="center"/>
          </w:tcPr>
          <w:p>
            <w:pPr>
              <w:pStyle w:val="68"/>
              <w:adjustRightInd/>
              <w:snapToGrid/>
              <w:spacing w:afterLines="0"/>
              <w:jc w:val="center"/>
              <w:rPr>
                <w:b w:val="0"/>
                <w:bCs/>
                <w:sz w:val="21"/>
                <w:szCs w:val="21"/>
              </w:rPr>
            </w:pPr>
            <w:r>
              <w:rPr>
                <w:b w:val="0"/>
                <w:bCs/>
                <w:sz w:val="21"/>
                <w:szCs w:val="21"/>
              </w:rPr>
              <w:t>未建区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工程措施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表土剥离</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b w:val="0"/>
                <w:bCs/>
                <w:sz w:val="21"/>
                <w:szCs w:val="21"/>
              </w:rPr>
              <w:t>62.11</w:t>
            </w:r>
          </w:p>
        </w:tc>
        <w:tc>
          <w:tcPr>
            <w:tcW w:w="1142" w:type="dxa"/>
            <w:vAlign w:val="center"/>
          </w:tcPr>
          <w:p>
            <w:pPr>
              <w:pStyle w:val="68"/>
              <w:adjustRightInd/>
              <w:snapToGrid/>
              <w:spacing w:afterLines="0"/>
              <w:jc w:val="center"/>
              <w:rPr>
                <w:b w:val="0"/>
                <w:bCs/>
                <w:sz w:val="21"/>
                <w:szCs w:val="21"/>
              </w:rPr>
            </w:pPr>
            <w:r>
              <w:rPr>
                <w:b w:val="0"/>
                <w:bCs/>
                <w:sz w:val="21"/>
                <w:szCs w:val="21"/>
              </w:rPr>
              <w:t>7.04</w:t>
            </w:r>
          </w:p>
        </w:tc>
        <w:tc>
          <w:tcPr>
            <w:tcW w:w="1012" w:type="dxa"/>
            <w:vAlign w:val="center"/>
          </w:tcPr>
          <w:p>
            <w:pPr>
              <w:pStyle w:val="68"/>
              <w:adjustRightInd/>
              <w:snapToGrid/>
              <w:spacing w:afterLines="0"/>
              <w:jc w:val="center"/>
              <w:rPr>
                <w:b w:val="0"/>
                <w:bCs/>
                <w:sz w:val="21"/>
                <w:szCs w:val="21"/>
              </w:rPr>
            </w:pPr>
            <w:r>
              <w:rPr>
                <w:b w:val="0"/>
                <w:bCs/>
                <w:sz w:val="21"/>
                <w:szCs w:val="21"/>
              </w:rPr>
              <w:t>5.90</w:t>
            </w:r>
          </w:p>
        </w:tc>
        <w:tc>
          <w:tcPr>
            <w:tcW w:w="1017" w:type="dxa"/>
            <w:vAlign w:val="center"/>
          </w:tcPr>
          <w:p>
            <w:pPr>
              <w:pStyle w:val="68"/>
              <w:adjustRightInd/>
              <w:snapToGrid/>
              <w:spacing w:afterLines="0"/>
              <w:jc w:val="center"/>
              <w:rPr>
                <w:b w:val="0"/>
                <w:bCs/>
                <w:sz w:val="21"/>
                <w:szCs w:val="21"/>
              </w:rPr>
            </w:pPr>
            <w:r>
              <w:rPr>
                <w:b w:val="0"/>
                <w:bCs/>
                <w:sz w:val="21"/>
                <w:szCs w:val="21"/>
              </w:rPr>
              <w:t>6.21</w:t>
            </w:r>
          </w:p>
        </w:tc>
        <w:tc>
          <w:tcPr>
            <w:tcW w:w="1004" w:type="dxa"/>
            <w:vAlign w:val="center"/>
          </w:tcPr>
          <w:p>
            <w:pPr>
              <w:pStyle w:val="68"/>
              <w:adjustRightInd/>
              <w:snapToGrid/>
              <w:spacing w:afterLines="0"/>
              <w:jc w:val="center"/>
              <w:rPr>
                <w:sz w:val="21"/>
                <w:szCs w:val="21"/>
              </w:rPr>
            </w:pPr>
            <w:r>
              <w:rPr>
                <w:sz w:val="21"/>
                <w:szCs w:val="21"/>
              </w:rPr>
              <w:t>81.26</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81.26</w:t>
            </w:r>
          </w:p>
        </w:tc>
        <w:tc>
          <w:tcPr>
            <w:tcW w:w="998" w:type="dxa"/>
            <w:vAlign w:val="center"/>
          </w:tcPr>
          <w:p>
            <w:pPr>
              <w:pStyle w:val="68"/>
              <w:adjustRightInd/>
              <w:snapToGrid/>
              <w:spacing w:afterLines="0"/>
              <w:jc w:val="center"/>
              <w:rPr>
                <w:b w:val="0"/>
                <w:bCs/>
                <w:sz w:val="21"/>
                <w:szCs w:val="21"/>
              </w:rPr>
            </w:pPr>
            <w:r>
              <w:rPr>
                <w:sz w:val="21"/>
                <w:szCs w:val="21"/>
              </w:rPr>
              <w:t>81.26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表土回覆</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rFonts w:hint="eastAsia"/>
                <w:b w:val="0"/>
                <w:sz w:val="21"/>
                <w:szCs w:val="21"/>
              </w:rPr>
              <w:t>48.71</w:t>
            </w:r>
          </w:p>
        </w:tc>
        <w:tc>
          <w:tcPr>
            <w:tcW w:w="1142" w:type="dxa"/>
            <w:vAlign w:val="center"/>
          </w:tcPr>
          <w:p>
            <w:pPr>
              <w:spacing w:line="240" w:lineRule="auto"/>
              <w:ind w:firstLine="0" w:firstLineChars="0"/>
              <w:jc w:val="center"/>
              <w:rPr>
                <w:bCs/>
                <w:sz w:val="21"/>
                <w:szCs w:val="21"/>
              </w:rPr>
            </w:pPr>
            <w:r>
              <w:rPr>
                <w:sz w:val="21"/>
                <w:szCs w:val="21"/>
              </w:rPr>
              <w:t>5.77</w:t>
            </w:r>
          </w:p>
        </w:tc>
        <w:tc>
          <w:tcPr>
            <w:tcW w:w="1012" w:type="dxa"/>
            <w:vAlign w:val="center"/>
          </w:tcPr>
          <w:p>
            <w:pPr>
              <w:pStyle w:val="68"/>
              <w:adjustRightInd/>
              <w:snapToGrid/>
              <w:spacing w:afterLines="0"/>
              <w:jc w:val="center"/>
              <w:rPr>
                <w:b w:val="0"/>
                <w:bCs/>
                <w:sz w:val="21"/>
                <w:szCs w:val="21"/>
              </w:rPr>
            </w:pPr>
            <w:r>
              <w:rPr>
                <w:b w:val="0"/>
                <w:bCs/>
                <w:sz w:val="21"/>
                <w:szCs w:val="21"/>
              </w:rPr>
              <w:t>1.47</w:t>
            </w:r>
          </w:p>
        </w:tc>
        <w:tc>
          <w:tcPr>
            <w:tcW w:w="1017" w:type="dxa"/>
            <w:vAlign w:val="center"/>
          </w:tcPr>
          <w:p>
            <w:pPr>
              <w:pStyle w:val="68"/>
              <w:adjustRightInd/>
              <w:snapToGrid/>
              <w:spacing w:afterLines="0"/>
              <w:jc w:val="center"/>
              <w:rPr>
                <w:b w:val="0"/>
                <w:bCs/>
                <w:sz w:val="21"/>
                <w:szCs w:val="21"/>
              </w:rPr>
            </w:pPr>
            <w:r>
              <w:rPr>
                <w:rFonts w:hint="eastAsia"/>
                <w:b w:val="0"/>
                <w:bCs/>
                <w:sz w:val="21"/>
                <w:szCs w:val="21"/>
              </w:rPr>
              <w:t>78.77</w:t>
            </w:r>
          </w:p>
        </w:tc>
        <w:tc>
          <w:tcPr>
            <w:tcW w:w="1004" w:type="dxa"/>
            <w:vAlign w:val="center"/>
          </w:tcPr>
          <w:p>
            <w:pPr>
              <w:pStyle w:val="68"/>
              <w:adjustRightInd/>
              <w:snapToGrid/>
              <w:spacing w:afterLines="0"/>
              <w:jc w:val="center"/>
              <w:rPr>
                <w:sz w:val="21"/>
                <w:szCs w:val="21"/>
              </w:rPr>
            </w:pPr>
            <w:r>
              <w:rPr>
                <w:rFonts w:hint="eastAsia"/>
                <w:sz w:val="21"/>
                <w:szCs w:val="21"/>
              </w:rPr>
              <w:t>134.72</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rFonts w:hint="eastAsia"/>
                <w:b w:val="0"/>
                <w:bCs/>
                <w:sz w:val="21"/>
                <w:szCs w:val="21"/>
              </w:rPr>
              <w:t>134.72</w:t>
            </w:r>
          </w:p>
        </w:tc>
        <w:tc>
          <w:tcPr>
            <w:tcW w:w="998" w:type="dxa"/>
            <w:vAlign w:val="center"/>
          </w:tcPr>
          <w:p>
            <w:pPr>
              <w:pStyle w:val="68"/>
              <w:adjustRightInd/>
              <w:snapToGrid/>
              <w:spacing w:afterLines="0"/>
              <w:jc w:val="center"/>
              <w:rPr>
                <w:b w:val="0"/>
                <w:bCs/>
                <w:sz w:val="21"/>
                <w:szCs w:val="21"/>
              </w:rPr>
            </w:pPr>
            <w:r>
              <w:rPr>
                <w:rFonts w:hint="eastAsia"/>
                <w:sz w:val="21"/>
                <w:szCs w:val="21"/>
              </w:rPr>
              <w:t>134.72</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8750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8750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8750</w:t>
            </w:r>
          </w:p>
        </w:tc>
        <w:tc>
          <w:tcPr>
            <w:tcW w:w="998" w:type="dxa"/>
            <w:vAlign w:val="center"/>
          </w:tcPr>
          <w:p>
            <w:pPr>
              <w:pStyle w:val="68"/>
              <w:adjustRightInd/>
              <w:snapToGrid/>
              <w:spacing w:afterLines="0"/>
              <w:jc w:val="center"/>
              <w:rPr>
                <w:b w:val="0"/>
                <w:bCs/>
                <w:sz w:val="21"/>
                <w:szCs w:val="21"/>
              </w:rPr>
            </w:pPr>
            <w:r>
              <w:rPr>
                <w:sz w:val="21"/>
                <w:szCs w:val="21"/>
              </w:rPr>
              <w:t>8750</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雨水口</w:t>
            </w:r>
          </w:p>
        </w:tc>
        <w:tc>
          <w:tcPr>
            <w:tcW w:w="763" w:type="dxa"/>
            <w:vAlign w:val="center"/>
          </w:tcPr>
          <w:p>
            <w:pPr>
              <w:pStyle w:val="68"/>
              <w:adjustRightInd/>
              <w:snapToGrid/>
              <w:spacing w:afterLines="0"/>
              <w:jc w:val="center"/>
              <w:rPr>
                <w:b w:val="0"/>
                <w:bCs/>
                <w:sz w:val="21"/>
                <w:szCs w:val="21"/>
              </w:rPr>
            </w:pPr>
            <w:r>
              <w:rPr>
                <w:b w:val="0"/>
                <w:bCs/>
                <w:sz w:val="21"/>
                <w:szCs w:val="21"/>
              </w:rPr>
              <w:t>个</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175</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175</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175</w:t>
            </w:r>
          </w:p>
        </w:tc>
        <w:tc>
          <w:tcPr>
            <w:tcW w:w="998" w:type="dxa"/>
            <w:vAlign w:val="center"/>
          </w:tcPr>
          <w:p>
            <w:pPr>
              <w:pStyle w:val="68"/>
              <w:adjustRightInd/>
              <w:snapToGrid/>
              <w:spacing w:afterLines="0"/>
              <w:jc w:val="center"/>
              <w:rPr>
                <w:b w:val="0"/>
                <w:bCs/>
                <w:sz w:val="21"/>
                <w:szCs w:val="21"/>
              </w:rPr>
            </w:pPr>
            <w:r>
              <w:rPr>
                <w:sz w:val="21"/>
                <w:szCs w:val="21"/>
              </w:rPr>
              <w:t>175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防洪沟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r>
              <w:rPr>
                <w:b w:val="0"/>
                <w:bCs/>
                <w:sz w:val="21"/>
                <w:szCs w:val="21"/>
              </w:rPr>
              <w:t>3042</w:t>
            </w: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r>
              <w:rPr>
                <w:b w:val="0"/>
                <w:bCs/>
                <w:sz w:val="21"/>
                <w:szCs w:val="21"/>
              </w:rPr>
              <w:t>2293</w:t>
            </w:r>
          </w:p>
        </w:tc>
        <w:tc>
          <w:tcPr>
            <w:tcW w:w="1004" w:type="dxa"/>
            <w:vAlign w:val="center"/>
          </w:tcPr>
          <w:p>
            <w:pPr>
              <w:pStyle w:val="68"/>
              <w:adjustRightInd/>
              <w:snapToGrid/>
              <w:spacing w:afterLines="0"/>
              <w:jc w:val="center"/>
              <w:rPr>
                <w:sz w:val="21"/>
                <w:szCs w:val="21"/>
              </w:rPr>
            </w:pPr>
            <w:r>
              <w:rPr>
                <w:sz w:val="21"/>
                <w:szCs w:val="21"/>
              </w:rPr>
              <w:t>5335</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5335</w:t>
            </w:r>
          </w:p>
        </w:tc>
        <w:tc>
          <w:tcPr>
            <w:tcW w:w="998" w:type="dxa"/>
            <w:vAlign w:val="center"/>
          </w:tcPr>
          <w:p>
            <w:pPr>
              <w:pStyle w:val="68"/>
              <w:adjustRightInd/>
              <w:snapToGrid/>
              <w:spacing w:afterLines="0"/>
              <w:jc w:val="center"/>
              <w:rPr>
                <w:b w:val="0"/>
                <w:bCs/>
                <w:sz w:val="21"/>
                <w:szCs w:val="21"/>
              </w:rPr>
            </w:pPr>
            <w:r>
              <w:rPr>
                <w:sz w:val="21"/>
                <w:szCs w:val="21"/>
              </w:rPr>
              <w:t>5335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植物措施</w:t>
            </w:r>
          </w:p>
        </w:tc>
        <w:tc>
          <w:tcPr>
            <w:tcW w:w="1909" w:type="dxa"/>
            <w:gridSpan w:val="4"/>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763"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bottom w:val="single" w:color="auto" w:sz="4" w:space="0"/>
            </w:tcBorders>
            <w:vAlign w:val="center"/>
          </w:tcPr>
          <w:p>
            <w:pPr>
              <w:pStyle w:val="68"/>
              <w:adjustRightInd/>
              <w:snapToGrid/>
              <w:spacing w:afterLines="0"/>
              <w:jc w:val="center"/>
              <w:rPr>
                <w:b w:val="0"/>
                <w:bCs/>
                <w:sz w:val="21"/>
                <w:szCs w:val="21"/>
              </w:rPr>
            </w:pPr>
          </w:p>
        </w:tc>
        <w:tc>
          <w:tcPr>
            <w:tcW w:w="1142" w:type="dxa"/>
            <w:tcBorders>
              <w:bottom w:val="single" w:color="auto" w:sz="4" w:space="0"/>
            </w:tcBorders>
            <w:vAlign w:val="center"/>
          </w:tcPr>
          <w:p>
            <w:pPr>
              <w:pStyle w:val="68"/>
              <w:adjustRightInd/>
              <w:snapToGrid/>
              <w:spacing w:afterLines="0"/>
              <w:jc w:val="center"/>
              <w:rPr>
                <w:b w:val="0"/>
                <w:bCs/>
                <w:sz w:val="21"/>
                <w:szCs w:val="21"/>
              </w:rPr>
            </w:pPr>
          </w:p>
        </w:tc>
        <w:tc>
          <w:tcPr>
            <w:tcW w:w="1012"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4.89</w:t>
            </w:r>
          </w:p>
        </w:tc>
        <w:tc>
          <w:tcPr>
            <w:tcW w:w="1017"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41.57</w:t>
            </w:r>
          </w:p>
        </w:tc>
        <w:tc>
          <w:tcPr>
            <w:tcW w:w="1004" w:type="dxa"/>
            <w:tcBorders>
              <w:bottom w:val="single" w:color="auto" w:sz="4" w:space="0"/>
            </w:tcBorders>
            <w:vAlign w:val="center"/>
          </w:tcPr>
          <w:p>
            <w:pPr>
              <w:pStyle w:val="68"/>
              <w:adjustRightInd/>
              <w:snapToGrid/>
              <w:spacing w:afterLines="0"/>
              <w:jc w:val="center"/>
              <w:rPr>
                <w:sz w:val="21"/>
                <w:szCs w:val="21"/>
              </w:rPr>
            </w:pPr>
            <w:r>
              <w:rPr>
                <w:sz w:val="21"/>
                <w:szCs w:val="21"/>
              </w:rPr>
              <w:t>46.46</w:t>
            </w:r>
          </w:p>
        </w:tc>
        <w:tc>
          <w:tcPr>
            <w:tcW w:w="1077" w:type="dxa"/>
            <w:tcBorders>
              <w:bottom w:val="single" w:color="auto" w:sz="4" w:space="0"/>
            </w:tcBorders>
            <w:vAlign w:val="center"/>
          </w:tcPr>
          <w:p>
            <w:pPr>
              <w:pStyle w:val="68"/>
              <w:adjustRightInd/>
              <w:snapToGrid/>
              <w:spacing w:afterLines="0"/>
              <w:jc w:val="center"/>
              <w:rPr>
                <w:b w:val="0"/>
                <w:bCs/>
                <w:sz w:val="21"/>
                <w:szCs w:val="21"/>
              </w:rPr>
            </w:pPr>
          </w:p>
        </w:tc>
        <w:tc>
          <w:tcPr>
            <w:tcW w:w="1091"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46.46</w:t>
            </w:r>
          </w:p>
        </w:tc>
        <w:tc>
          <w:tcPr>
            <w:tcW w:w="998" w:type="dxa"/>
            <w:tcBorders>
              <w:bottom w:val="single" w:color="auto" w:sz="4" w:space="0"/>
            </w:tcBorders>
            <w:vAlign w:val="center"/>
          </w:tcPr>
          <w:p>
            <w:pPr>
              <w:pStyle w:val="68"/>
              <w:adjustRightInd/>
              <w:snapToGrid/>
              <w:spacing w:afterLines="0"/>
              <w:jc w:val="center"/>
              <w:rPr>
                <w:b w:val="0"/>
                <w:bCs/>
                <w:sz w:val="21"/>
                <w:szCs w:val="21"/>
              </w:rPr>
            </w:pPr>
            <w:r>
              <w:rPr>
                <w:sz w:val="21"/>
                <w:szCs w:val="21"/>
              </w:rPr>
              <w:t>46.46</w:t>
            </w:r>
          </w:p>
        </w:tc>
        <w:tc>
          <w:tcPr>
            <w:tcW w:w="1074"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restart"/>
            <w:tcBorders>
              <w:top w:val="single" w:color="auto" w:sz="4" w:space="0"/>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946" w:type="dxa"/>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763"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sz w:val="21"/>
                <w:szCs w:val="21"/>
              </w:rPr>
              <w:t>2.41</w:t>
            </w:r>
          </w:p>
        </w:tc>
        <w:tc>
          <w:tcPr>
            <w:tcW w:w="101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2.41</w:t>
            </w:r>
          </w:p>
        </w:tc>
        <w:tc>
          <w:tcPr>
            <w:tcW w:w="107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sz w:val="21"/>
                <w:szCs w:val="21"/>
              </w:rPr>
              <w:t>2.41</w:t>
            </w:r>
          </w:p>
        </w:tc>
        <w:tc>
          <w:tcPr>
            <w:tcW w:w="998" w:type="dxa"/>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2.41</w:t>
            </w:r>
          </w:p>
        </w:tc>
        <w:tc>
          <w:tcPr>
            <w:tcW w:w="1074" w:type="dxa"/>
            <w:vMerge w:val="restar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946" w:type="dxa"/>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763"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930" w:type="dxa"/>
            <w:tcBorders>
              <w:top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1475/0.21</w:t>
            </w:r>
          </w:p>
        </w:tc>
        <w:tc>
          <w:tcPr>
            <w:tcW w:w="1012" w:type="dxa"/>
            <w:tcBorders>
              <w:top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tcBorders>
            <w:vAlign w:val="center"/>
          </w:tcPr>
          <w:p>
            <w:pPr>
              <w:pStyle w:val="68"/>
              <w:adjustRightInd/>
              <w:snapToGrid/>
              <w:spacing w:afterLines="0"/>
              <w:jc w:val="center"/>
              <w:rPr>
                <w:bCs/>
                <w:sz w:val="21"/>
                <w:szCs w:val="21"/>
              </w:rPr>
            </w:pPr>
            <w:r>
              <w:rPr>
                <w:bCs/>
                <w:sz w:val="21"/>
                <w:szCs w:val="21"/>
              </w:rPr>
              <w:t>1475/0.21</w:t>
            </w:r>
          </w:p>
        </w:tc>
        <w:tc>
          <w:tcPr>
            <w:tcW w:w="1077" w:type="dxa"/>
            <w:tcBorders>
              <w:top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tcBorders>
            <w:vAlign w:val="center"/>
          </w:tcPr>
          <w:p>
            <w:pPr>
              <w:pStyle w:val="68"/>
              <w:adjustRightInd/>
              <w:snapToGrid/>
              <w:spacing w:afterLines="0"/>
              <w:jc w:val="center"/>
              <w:rPr>
                <w:b w:val="0"/>
                <w:sz w:val="21"/>
                <w:szCs w:val="21"/>
              </w:rPr>
            </w:pPr>
            <w:r>
              <w:rPr>
                <w:b w:val="0"/>
                <w:sz w:val="21"/>
                <w:szCs w:val="21"/>
              </w:rPr>
              <w:t>1475/0.21</w:t>
            </w:r>
          </w:p>
        </w:tc>
        <w:tc>
          <w:tcPr>
            <w:tcW w:w="998" w:type="dxa"/>
            <w:tcBorders>
              <w:top w:val="single" w:color="auto" w:sz="4" w:space="0"/>
            </w:tcBorders>
            <w:vAlign w:val="center"/>
          </w:tcPr>
          <w:p>
            <w:pPr>
              <w:pStyle w:val="68"/>
              <w:adjustRightInd/>
              <w:snapToGrid/>
              <w:spacing w:afterLines="0"/>
              <w:jc w:val="center"/>
              <w:rPr>
                <w:bCs/>
                <w:sz w:val="21"/>
                <w:szCs w:val="21"/>
              </w:rPr>
            </w:pPr>
            <w:r>
              <w:rPr>
                <w:bCs/>
                <w:sz w:val="21"/>
                <w:szCs w:val="21"/>
              </w:rPr>
              <w:t>1475/0.21</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963" w:type="dxa"/>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946" w:type="dxa"/>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2.20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2.20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sz w:val="21"/>
                <w:szCs w:val="21"/>
              </w:rPr>
            </w:pPr>
            <w:r>
              <w:rPr>
                <w:b w:val="0"/>
                <w:sz w:val="21"/>
                <w:szCs w:val="21"/>
              </w:rPr>
              <w:t>2.20</w:t>
            </w:r>
          </w:p>
        </w:tc>
        <w:tc>
          <w:tcPr>
            <w:tcW w:w="998" w:type="dxa"/>
            <w:vAlign w:val="center"/>
          </w:tcPr>
          <w:p>
            <w:pPr>
              <w:pStyle w:val="68"/>
              <w:adjustRightInd/>
              <w:snapToGrid/>
              <w:spacing w:afterLines="0"/>
              <w:jc w:val="center"/>
              <w:rPr>
                <w:bCs/>
                <w:sz w:val="21"/>
                <w:szCs w:val="21"/>
              </w:rPr>
            </w:pPr>
            <w:r>
              <w:rPr>
                <w:bCs/>
                <w:sz w:val="21"/>
                <w:szCs w:val="21"/>
              </w:rPr>
              <w:t>2.20</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边坡绿化</w:t>
            </w:r>
          </w:p>
        </w:tc>
        <w:tc>
          <w:tcPr>
            <w:tcW w:w="946" w:type="dxa"/>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1.30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1.30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sz w:val="21"/>
                <w:szCs w:val="21"/>
              </w:rPr>
            </w:pPr>
            <w:r>
              <w:rPr>
                <w:b w:val="0"/>
                <w:sz w:val="21"/>
                <w:szCs w:val="21"/>
              </w:rPr>
              <w:t>1.30</w:t>
            </w:r>
          </w:p>
        </w:tc>
        <w:tc>
          <w:tcPr>
            <w:tcW w:w="998" w:type="dxa"/>
            <w:vAlign w:val="center"/>
          </w:tcPr>
          <w:p>
            <w:pPr>
              <w:pStyle w:val="68"/>
              <w:adjustRightInd/>
              <w:snapToGrid/>
              <w:spacing w:afterLines="0"/>
              <w:jc w:val="center"/>
              <w:rPr>
                <w:bCs/>
                <w:sz w:val="21"/>
                <w:szCs w:val="21"/>
              </w:rPr>
            </w:pPr>
            <w:r>
              <w:rPr>
                <w:bCs/>
                <w:sz w:val="21"/>
                <w:szCs w:val="21"/>
              </w:rPr>
              <w:t>1.30</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946" w:type="dxa"/>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1.10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1.10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sz w:val="21"/>
                <w:szCs w:val="21"/>
              </w:rPr>
            </w:pPr>
            <w:r>
              <w:rPr>
                <w:b w:val="0"/>
                <w:sz w:val="21"/>
                <w:szCs w:val="21"/>
              </w:rPr>
              <w:t>1.10</w:t>
            </w:r>
          </w:p>
        </w:tc>
        <w:tc>
          <w:tcPr>
            <w:tcW w:w="998" w:type="dxa"/>
            <w:vAlign w:val="center"/>
          </w:tcPr>
          <w:p>
            <w:pPr>
              <w:pStyle w:val="68"/>
              <w:adjustRightInd/>
              <w:snapToGrid/>
              <w:spacing w:afterLines="0"/>
              <w:jc w:val="center"/>
              <w:rPr>
                <w:bCs/>
                <w:sz w:val="21"/>
                <w:szCs w:val="21"/>
              </w:rPr>
            </w:pPr>
            <w:r>
              <w:rPr>
                <w:bCs/>
                <w:sz w:val="21"/>
                <w:szCs w:val="21"/>
              </w:rPr>
              <w:t>1.10</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r>
              <w:rPr>
                <w:b w:val="0"/>
                <w:bCs/>
                <w:sz w:val="21"/>
                <w:szCs w:val="21"/>
              </w:rPr>
              <w:t>5017</w:t>
            </w:r>
          </w:p>
        </w:tc>
        <w:tc>
          <w:tcPr>
            <w:tcW w:w="1142" w:type="dxa"/>
            <w:vAlign w:val="center"/>
          </w:tcPr>
          <w:p>
            <w:pPr>
              <w:pStyle w:val="68"/>
              <w:adjustRightInd/>
              <w:snapToGrid/>
              <w:spacing w:afterLines="0"/>
              <w:jc w:val="center"/>
              <w:rPr>
                <w:b w:val="0"/>
                <w:bCs/>
                <w:sz w:val="21"/>
                <w:szCs w:val="21"/>
              </w:rPr>
            </w:pPr>
            <w:r>
              <w:rPr>
                <w:b w:val="0"/>
                <w:bCs/>
                <w:sz w:val="21"/>
                <w:szCs w:val="21"/>
              </w:rPr>
              <w:t>10901</w:t>
            </w:r>
          </w:p>
        </w:tc>
        <w:tc>
          <w:tcPr>
            <w:tcW w:w="1012" w:type="dxa"/>
            <w:vAlign w:val="center"/>
          </w:tcPr>
          <w:p>
            <w:pPr>
              <w:pStyle w:val="68"/>
              <w:adjustRightInd/>
              <w:snapToGrid/>
              <w:spacing w:afterLines="0"/>
              <w:jc w:val="center"/>
              <w:rPr>
                <w:b w:val="0"/>
                <w:bCs/>
                <w:sz w:val="21"/>
                <w:szCs w:val="21"/>
              </w:rPr>
            </w:pPr>
            <w:r>
              <w:rPr>
                <w:b w:val="0"/>
                <w:bCs/>
                <w:sz w:val="21"/>
                <w:szCs w:val="21"/>
              </w:rPr>
              <w:t>1282</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17200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17200</w:t>
            </w:r>
          </w:p>
        </w:tc>
        <w:tc>
          <w:tcPr>
            <w:tcW w:w="998" w:type="dxa"/>
            <w:vAlign w:val="center"/>
          </w:tcPr>
          <w:p>
            <w:pPr>
              <w:pStyle w:val="68"/>
              <w:adjustRightInd/>
              <w:snapToGrid/>
              <w:spacing w:afterLines="0"/>
              <w:jc w:val="center"/>
              <w:rPr>
                <w:b w:val="0"/>
                <w:bCs/>
                <w:sz w:val="21"/>
                <w:szCs w:val="21"/>
              </w:rPr>
            </w:pPr>
            <w:r>
              <w:rPr>
                <w:sz w:val="21"/>
                <w:szCs w:val="21"/>
              </w:rPr>
              <w:t>17200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r>
              <w:rPr>
                <w:b w:val="0"/>
                <w:bCs/>
                <w:sz w:val="21"/>
                <w:szCs w:val="21"/>
              </w:rPr>
              <w:t>24</w:t>
            </w:r>
          </w:p>
        </w:tc>
        <w:tc>
          <w:tcPr>
            <w:tcW w:w="1142" w:type="dxa"/>
            <w:vAlign w:val="center"/>
          </w:tcPr>
          <w:p>
            <w:pPr>
              <w:pStyle w:val="68"/>
              <w:adjustRightInd/>
              <w:snapToGrid/>
              <w:spacing w:afterLines="0"/>
              <w:jc w:val="center"/>
              <w:rPr>
                <w:b w:val="0"/>
                <w:bCs/>
                <w:sz w:val="21"/>
                <w:szCs w:val="21"/>
              </w:rPr>
            </w:pPr>
            <w:r>
              <w:rPr>
                <w:b w:val="0"/>
                <w:bCs/>
                <w:sz w:val="21"/>
                <w:szCs w:val="21"/>
              </w:rPr>
              <w:t>40</w:t>
            </w:r>
          </w:p>
        </w:tc>
        <w:tc>
          <w:tcPr>
            <w:tcW w:w="1012" w:type="dxa"/>
            <w:vAlign w:val="center"/>
          </w:tcPr>
          <w:p>
            <w:pPr>
              <w:pStyle w:val="68"/>
              <w:adjustRightInd/>
              <w:snapToGrid/>
              <w:spacing w:afterLines="0"/>
              <w:jc w:val="center"/>
              <w:rPr>
                <w:b w:val="0"/>
                <w:bCs/>
                <w:sz w:val="21"/>
                <w:szCs w:val="21"/>
              </w:rPr>
            </w:pPr>
            <w:r>
              <w:rPr>
                <w:b w:val="0"/>
                <w:bCs/>
                <w:sz w:val="21"/>
                <w:szCs w:val="21"/>
              </w:rPr>
              <w:t>6</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70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70</w:t>
            </w:r>
          </w:p>
        </w:tc>
        <w:tc>
          <w:tcPr>
            <w:tcW w:w="998" w:type="dxa"/>
            <w:vAlign w:val="center"/>
          </w:tcPr>
          <w:p>
            <w:pPr>
              <w:pStyle w:val="68"/>
              <w:adjustRightInd/>
              <w:snapToGrid/>
              <w:spacing w:afterLines="0"/>
              <w:jc w:val="center"/>
              <w:rPr>
                <w:b w:val="0"/>
                <w:bCs/>
                <w:sz w:val="21"/>
                <w:szCs w:val="21"/>
              </w:rPr>
            </w:pPr>
            <w:r>
              <w:rPr>
                <w:sz w:val="21"/>
                <w:szCs w:val="21"/>
              </w:rPr>
              <w:t>70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r>
              <w:rPr>
                <w:b w:val="0"/>
                <w:bCs/>
                <w:sz w:val="21"/>
                <w:szCs w:val="21"/>
              </w:rPr>
              <w:t>29.93</w:t>
            </w:r>
          </w:p>
        </w:tc>
        <w:tc>
          <w:tcPr>
            <w:tcW w:w="1142" w:type="dxa"/>
            <w:vAlign w:val="center"/>
          </w:tcPr>
          <w:p>
            <w:pPr>
              <w:pStyle w:val="68"/>
              <w:adjustRightInd/>
              <w:snapToGrid/>
              <w:spacing w:afterLines="0"/>
              <w:jc w:val="center"/>
              <w:rPr>
                <w:b w:val="0"/>
                <w:bCs/>
                <w:sz w:val="21"/>
                <w:szCs w:val="21"/>
              </w:rPr>
            </w:pPr>
            <w:r>
              <w:rPr>
                <w:b w:val="0"/>
                <w:bCs/>
                <w:sz w:val="21"/>
                <w:szCs w:val="21"/>
              </w:rPr>
              <w:t>6.54</w:t>
            </w:r>
          </w:p>
        </w:tc>
        <w:tc>
          <w:tcPr>
            <w:tcW w:w="1012" w:type="dxa"/>
            <w:vAlign w:val="center"/>
          </w:tcPr>
          <w:p>
            <w:pPr>
              <w:pStyle w:val="68"/>
              <w:adjustRightInd/>
              <w:snapToGrid/>
              <w:spacing w:afterLines="0"/>
              <w:jc w:val="center"/>
              <w:rPr>
                <w:b w:val="0"/>
                <w:bCs/>
                <w:sz w:val="21"/>
                <w:szCs w:val="21"/>
              </w:rPr>
            </w:pPr>
            <w:r>
              <w:rPr>
                <w:b w:val="0"/>
                <w:bCs/>
                <w:sz w:val="21"/>
                <w:szCs w:val="21"/>
              </w:rPr>
              <w:t>5.80</w:t>
            </w:r>
          </w:p>
        </w:tc>
        <w:tc>
          <w:tcPr>
            <w:tcW w:w="1017" w:type="dxa"/>
            <w:vAlign w:val="center"/>
          </w:tcPr>
          <w:p>
            <w:pPr>
              <w:pStyle w:val="68"/>
              <w:adjustRightInd/>
              <w:snapToGrid/>
              <w:spacing w:afterLines="0"/>
              <w:jc w:val="center"/>
              <w:rPr>
                <w:b w:val="0"/>
                <w:bCs/>
                <w:sz w:val="21"/>
                <w:szCs w:val="21"/>
              </w:rPr>
            </w:pPr>
            <w:r>
              <w:rPr>
                <w:b w:val="0"/>
                <w:bCs/>
                <w:sz w:val="21"/>
                <w:szCs w:val="21"/>
              </w:rPr>
              <w:t>2.0</w:t>
            </w:r>
          </w:p>
        </w:tc>
        <w:tc>
          <w:tcPr>
            <w:tcW w:w="1004" w:type="dxa"/>
            <w:vAlign w:val="center"/>
          </w:tcPr>
          <w:p>
            <w:pPr>
              <w:pStyle w:val="68"/>
              <w:adjustRightInd/>
              <w:snapToGrid/>
              <w:spacing w:afterLines="0"/>
              <w:jc w:val="center"/>
              <w:rPr>
                <w:sz w:val="21"/>
                <w:szCs w:val="21"/>
              </w:rPr>
            </w:pPr>
            <w:r>
              <w:rPr>
                <w:sz w:val="21"/>
                <w:szCs w:val="21"/>
              </w:rPr>
              <w:t>44.27</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44.27</w:t>
            </w:r>
          </w:p>
        </w:tc>
        <w:tc>
          <w:tcPr>
            <w:tcW w:w="998" w:type="dxa"/>
            <w:vAlign w:val="center"/>
          </w:tcPr>
          <w:p>
            <w:pPr>
              <w:pStyle w:val="68"/>
              <w:adjustRightInd/>
              <w:snapToGrid/>
              <w:spacing w:afterLines="0"/>
              <w:jc w:val="center"/>
              <w:rPr>
                <w:b w:val="0"/>
                <w:bCs/>
                <w:sz w:val="21"/>
                <w:szCs w:val="21"/>
              </w:rPr>
            </w:pPr>
            <w:r>
              <w:rPr>
                <w:sz w:val="21"/>
                <w:szCs w:val="21"/>
              </w:rPr>
              <w:t>44.27</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400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400</w:t>
            </w:r>
          </w:p>
        </w:tc>
        <w:tc>
          <w:tcPr>
            <w:tcW w:w="998" w:type="dxa"/>
            <w:vAlign w:val="center"/>
          </w:tcPr>
          <w:p>
            <w:pPr>
              <w:pStyle w:val="68"/>
              <w:adjustRightInd/>
              <w:snapToGrid/>
              <w:spacing w:afterLines="0"/>
              <w:jc w:val="center"/>
              <w:rPr>
                <w:b w:val="0"/>
                <w:bCs/>
                <w:sz w:val="21"/>
                <w:szCs w:val="21"/>
              </w:rPr>
            </w:pPr>
            <w:r>
              <w:rPr>
                <w:sz w:val="21"/>
                <w:szCs w:val="21"/>
              </w:rPr>
              <w:t>400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洗车池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r>
              <w:rPr>
                <w:b w:val="0"/>
                <w:bCs/>
                <w:sz w:val="21"/>
                <w:szCs w:val="21"/>
              </w:rPr>
              <w:t>6</w:t>
            </w: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r>
              <w:rPr>
                <w:b w:val="0"/>
                <w:bCs/>
                <w:sz w:val="21"/>
                <w:szCs w:val="21"/>
              </w:rPr>
              <w:t>2</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8</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8</w:t>
            </w:r>
          </w:p>
        </w:tc>
        <w:tc>
          <w:tcPr>
            <w:tcW w:w="998" w:type="dxa"/>
            <w:vAlign w:val="center"/>
          </w:tcPr>
          <w:p>
            <w:pPr>
              <w:pStyle w:val="68"/>
              <w:adjustRightInd/>
              <w:snapToGrid/>
              <w:spacing w:afterLines="0"/>
              <w:jc w:val="center"/>
              <w:rPr>
                <w:b w:val="0"/>
                <w:bCs/>
                <w:sz w:val="21"/>
                <w:szCs w:val="21"/>
              </w:rPr>
            </w:pPr>
            <w:r>
              <w:rPr>
                <w:sz w:val="21"/>
                <w:szCs w:val="21"/>
              </w:rPr>
              <w:t>8</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Align w:val="center"/>
          </w:tcPr>
          <w:p>
            <w:pPr>
              <w:pStyle w:val="68"/>
              <w:adjustRightInd/>
              <w:snapToGrid/>
              <w:spacing w:afterLines="0"/>
              <w:jc w:val="center"/>
              <w:rPr>
                <w:b w:val="0"/>
                <w:bCs/>
                <w:sz w:val="21"/>
                <w:szCs w:val="21"/>
              </w:rPr>
            </w:pPr>
            <w:r>
              <w:rPr>
                <w:b w:val="0"/>
                <w:bCs/>
                <w:sz w:val="21"/>
                <w:szCs w:val="21"/>
              </w:rPr>
              <w:t>远期建设区</w:t>
            </w:r>
          </w:p>
        </w:tc>
        <w:tc>
          <w:tcPr>
            <w:tcW w:w="983" w:type="dxa"/>
            <w:vAlign w:val="center"/>
          </w:tcPr>
          <w:p>
            <w:pPr>
              <w:pStyle w:val="68"/>
              <w:adjustRightInd/>
              <w:snapToGrid/>
              <w:spacing w:afterLines="0"/>
              <w:jc w:val="center"/>
              <w:rPr>
                <w:b w:val="0"/>
                <w:bCs/>
                <w:sz w:val="21"/>
                <w:szCs w:val="21"/>
              </w:rPr>
            </w:pPr>
            <w:r>
              <w:rPr>
                <w:b w:val="0"/>
                <w:bCs/>
                <w:sz w:val="21"/>
                <w:szCs w:val="21"/>
              </w:rPr>
              <w:t>未建区</w:t>
            </w:r>
          </w:p>
        </w:tc>
        <w:tc>
          <w:tcPr>
            <w:tcW w:w="12804" w:type="dxa"/>
            <w:gridSpan w:val="15"/>
            <w:vAlign w:val="center"/>
          </w:tcPr>
          <w:p>
            <w:pPr>
              <w:pStyle w:val="68"/>
              <w:adjustRightInd/>
              <w:snapToGrid/>
              <w:spacing w:afterLines="0"/>
              <w:jc w:val="center"/>
              <w:rPr>
                <w:b w:val="0"/>
                <w:bCs/>
                <w:sz w:val="21"/>
                <w:szCs w:val="21"/>
              </w:rPr>
            </w:pPr>
            <w:r>
              <w:rPr>
                <w:sz w:val="21"/>
                <w:szCs w:val="21"/>
              </w:rPr>
              <w:t>根据近期水土保持措施布设成果，对远期提水土保持要求；本方案服务期满后，另行对远期建设区编报水土保持区域评估报告</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vAlign w:val="center"/>
          </w:tcPr>
          <w:p>
            <w:pPr>
              <w:pStyle w:val="68"/>
              <w:adjustRightInd/>
              <w:snapToGrid/>
              <w:spacing w:afterLines="0"/>
              <w:jc w:val="center"/>
              <w:rPr>
                <w:b w:val="0"/>
                <w:bCs/>
                <w:sz w:val="21"/>
                <w:szCs w:val="21"/>
              </w:rPr>
            </w:pPr>
            <w:r>
              <w:rPr>
                <w:b w:val="0"/>
                <w:bCs/>
                <w:sz w:val="21"/>
                <w:szCs w:val="21"/>
              </w:rPr>
              <w:t>临时堆场区</w:t>
            </w:r>
          </w:p>
        </w:tc>
        <w:tc>
          <w:tcPr>
            <w:tcW w:w="983" w:type="dxa"/>
            <w:vMerge w:val="restart"/>
            <w:vAlign w:val="center"/>
          </w:tcPr>
          <w:p>
            <w:pPr>
              <w:pStyle w:val="68"/>
              <w:adjustRightInd/>
              <w:snapToGrid/>
              <w:spacing w:afterLines="0"/>
              <w:jc w:val="center"/>
              <w:rPr>
                <w:b w:val="0"/>
                <w:bCs/>
                <w:sz w:val="21"/>
                <w:szCs w:val="21"/>
              </w:rPr>
            </w:pPr>
            <w:r>
              <w:rPr>
                <w:b w:val="0"/>
                <w:bCs/>
                <w:sz w:val="21"/>
                <w:szCs w:val="21"/>
              </w:rPr>
              <w:t>表土中转场</w:t>
            </w:r>
          </w:p>
        </w:tc>
        <w:tc>
          <w:tcPr>
            <w:tcW w:w="787" w:type="dxa"/>
            <w:vAlign w:val="center"/>
          </w:tcPr>
          <w:p>
            <w:pPr>
              <w:pStyle w:val="68"/>
              <w:adjustRightInd/>
              <w:snapToGrid/>
              <w:spacing w:afterLines="0"/>
              <w:jc w:val="center"/>
              <w:rPr>
                <w:b w:val="0"/>
                <w:bCs/>
                <w:sz w:val="21"/>
                <w:szCs w:val="21"/>
              </w:rPr>
            </w:pPr>
            <w:r>
              <w:rPr>
                <w:b w:val="0"/>
                <w:bCs/>
                <w:sz w:val="21"/>
                <w:szCs w:val="21"/>
              </w:rPr>
              <w:t>植物措施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播撒草籽</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spacing w:line="240" w:lineRule="auto"/>
              <w:ind w:firstLine="0" w:firstLineChars="0"/>
              <w:jc w:val="center"/>
              <w:rPr>
                <w:b/>
                <w:sz w:val="21"/>
                <w:szCs w:val="21"/>
              </w:rPr>
            </w:pPr>
            <w:r>
              <w:rPr>
                <w:b/>
                <w:bCs/>
                <w:sz w:val="21"/>
                <w:szCs w:val="21"/>
              </w:rPr>
              <w:t>42.19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18.56</w:t>
            </w:r>
          </w:p>
        </w:tc>
        <w:tc>
          <w:tcPr>
            <w:tcW w:w="998" w:type="dxa"/>
            <w:vAlign w:val="center"/>
          </w:tcPr>
          <w:p>
            <w:pPr>
              <w:pStyle w:val="68"/>
              <w:adjustRightInd/>
              <w:snapToGrid/>
              <w:spacing w:afterLines="0"/>
              <w:jc w:val="center"/>
              <w:rPr>
                <w:b w:val="0"/>
                <w:bCs/>
                <w:sz w:val="21"/>
                <w:szCs w:val="21"/>
              </w:rPr>
            </w:pPr>
            <w:r>
              <w:rPr>
                <w:sz w:val="21"/>
                <w:szCs w:val="21"/>
              </w:rPr>
              <w:t>18.56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密目网苫盖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spacing w:line="240" w:lineRule="auto"/>
              <w:ind w:firstLine="0" w:firstLineChars="0"/>
              <w:jc w:val="center"/>
              <w:rPr>
                <w:b/>
                <w:sz w:val="21"/>
                <w:szCs w:val="21"/>
              </w:rPr>
            </w:pPr>
            <w:r>
              <w:rPr>
                <w:b/>
                <w:bCs/>
                <w:sz w:val="21"/>
                <w:szCs w:val="21"/>
              </w:rPr>
              <w:t>42.19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0.09</w:t>
            </w:r>
          </w:p>
        </w:tc>
        <w:tc>
          <w:tcPr>
            <w:tcW w:w="998" w:type="dxa"/>
            <w:vAlign w:val="center"/>
          </w:tcPr>
          <w:p>
            <w:pPr>
              <w:pStyle w:val="68"/>
              <w:adjustRightInd/>
              <w:snapToGrid/>
              <w:spacing w:afterLines="0"/>
              <w:jc w:val="center"/>
              <w:rPr>
                <w:b w:val="0"/>
                <w:bCs/>
                <w:sz w:val="21"/>
                <w:szCs w:val="21"/>
              </w:rPr>
            </w:pPr>
            <w:r>
              <w:rPr>
                <w:sz w:val="21"/>
                <w:szCs w:val="21"/>
              </w:rPr>
              <w:t>0.09</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spacing w:line="240" w:lineRule="auto"/>
              <w:ind w:firstLine="0" w:firstLineChars="0"/>
              <w:jc w:val="center"/>
              <w:rPr>
                <w:b/>
                <w:sz w:val="21"/>
                <w:szCs w:val="21"/>
              </w:rPr>
            </w:pPr>
            <w:r>
              <w:rPr>
                <w:b/>
                <w:bCs/>
                <w:sz w:val="21"/>
                <w:szCs w:val="21"/>
              </w:rPr>
              <w:t>22600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2236</w:t>
            </w:r>
          </w:p>
        </w:tc>
        <w:tc>
          <w:tcPr>
            <w:tcW w:w="998" w:type="dxa"/>
            <w:vAlign w:val="center"/>
          </w:tcPr>
          <w:p>
            <w:pPr>
              <w:pStyle w:val="68"/>
              <w:adjustRightInd/>
              <w:snapToGrid/>
              <w:spacing w:afterLines="0"/>
              <w:jc w:val="center"/>
              <w:rPr>
                <w:b w:val="0"/>
                <w:bCs/>
                <w:sz w:val="21"/>
                <w:szCs w:val="21"/>
              </w:rPr>
            </w:pPr>
            <w:r>
              <w:rPr>
                <w:sz w:val="21"/>
                <w:szCs w:val="21"/>
              </w:rPr>
              <w:t>2236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restart"/>
            <w:vAlign w:val="center"/>
          </w:tcPr>
          <w:p>
            <w:pPr>
              <w:pStyle w:val="68"/>
              <w:adjustRightInd/>
              <w:snapToGrid/>
              <w:spacing w:afterLines="0"/>
              <w:jc w:val="center"/>
              <w:rPr>
                <w:b w:val="0"/>
                <w:bCs/>
                <w:sz w:val="21"/>
                <w:szCs w:val="21"/>
              </w:rPr>
            </w:pPr>
            <w:r>
              <w:rPr>
                <w:b w:val="0"/>
                <w:bCs/>
                <w:sz w:val="21"/>
                <w:szCs w:val="21"/>
              </w:rPr>
              <w:t>土石方中转场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spacing w:line="240" w:lineRule="auto"/>
              <w:ind w:firstLine="0" w:firstLineChars="0"/>
              <w:jc w:val="center"/>
              <w:rPr>
                <w:bCs/>
                <w:sz w:val="21"/>
                <w:szCs w:val="21"/>
              </w:rPr>
            </w:pPr>
            <w:r>
              <w:rPr>
                <w:sz w:val="21"/>
                <w:szCs w:val="21"/>
              </w:rPr>
              <w:t>浆砌石重力式挡土墙</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123</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123</w:t>
            </w:r>
          </w:p>
        </w:tc>
        <w:tc>
          <w:tcPr>
            <w:tcW w:w="998" w:type="dxa"/>
            <w:vAlign w:val="center"/>
          </w:tcPr>
          <w:p>
            <w:pPr>
              <w:pStyle w:val="68"/>
              <w:adjustRightInd/>
              <w:snapToGrid/>
              <w:spacing w:afterLines="0"/>
              <w:jc w:val="center"/>
              <w:rPr>
                <w:b w:val="0"/>
                <w:bCs/>
                <w:sz w:val="21"/>
                <w:szCs w:val="21"/>
              </w:rPr>
            </w:pPr>
            <w:r>
              <w:rPr>
                <w:sz w:val="21"/>
                <w:szCs w:val="21"/>
              </w:rPr>
              <w:t>123</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spacing w:line="240" w:lineRule="auto"/>
              <w:ind w:firstLine="0" w:firstLineChars="0"/>
              <w:jc w:val="center"/>
              <w:rPr>
                <w:bCs/>
                <w:sz w:val="21"/>
                <w:szCs w:val="21"/>
              </w:rPr>
            </w:pPr>
            <w:r>
              <w:rPr>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6202</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6202</w:t>
            </w:r>
          </w:p>
        </w:tc>
        <w:tc>
          <w:tcPr>
            <w:tcW w:w="998" w:type="dxa"/>
            <w:vAlign w:val="center"/>
          </w:tcPr>
          <w:p>
            <w:pPr>
              <w:pStyle w:val="68"/>
              <w:adjustRightInd/>
              <w:snapToGrid/>
              <w:spacing w:afterLines="0"/>
              <w:jc w:val="center"/>
              <w:rPr>
                <w:b w:val="0"/>
                <w:bCs/>
                <w:sz w:val="21"/>
                <w:szCs w:val="21"/>
              </w:rPr>
            </w:pPr>
            <w:r>
              <w:rPr>
                <w:sz w:val="21"/>
                <w:szCs w:val="21"/>
              </w:rPr>
              <w:t>6202</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spacing w:line="240" w:lineRule="auto"/>
              <w:ind w:firstLine="0" w:firstLineChars="0"/>
              <w:jc w:val="center"/>
              <w:rPr>
                <w:bCs/>
                <w:sz w:val="21"/>
                <w:szCs w:val="21"/>
              </w:rPr>
            </w:pPr>
            <w:r>
              <w:rPr>
                <w:kern w:val="24"/>
                <w:sz w:val="21"/>
                <w:szCs w:val="21"/>
              </w:rPr>
              <w:t>排水盲沟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2119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2119</w:t>
            </w:r>
          </w:p>
        </w:tc>
        <w:tc>
          <w:tcPr>
            <w:tcW w:w="998" w:type="dxa"/>
            <w:vAlign w:val="center"/>
          </w:tcPr>
          <w:p>
            <w:pPr>
              <w:pStyle w:val="68"/>
              <w:adjustRightInd/>
              <w:snapToGrid/>
              <w:spacing w:afterLines="0"/>
              <w:jc w:val="center"/>
              <w:rPr>
                <w:b w:val="0"/>
                <w:bCs/>
                <w:sz w:val="21"/>
                <w:szCs w:val="21"/>
              </w:rPr>
            </w:pPr>
            <w:r>
              <w:rPr>
                <w:sz w:val="21"/>
                <w:szCs w:val="21"/>
              </w:rPr>
              <w:t>2119</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spacing w:line="240" w:lineRule="auto"/>
              <w:ind w:firstLine="0" w:firstLineChars="0"/>
              <w:jc w:val="center"/>
              <w:rPr>
                <w:bCs/>
                <w:sz w:val="21"/>
                <w:szCs w:val="21"/>
              </w:rPr>
            </w:pPr>
            <w:r>
              <w:rPr>
                <w:sz w:val="21"/>
                <w:szCs w:val="21"/>
              </w:rPr>
              <w:t>消力池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w:t>
            </w:r>
          </w:p>
        </w:tc>
        <w:tc>
          <w:tcPr>
            <w:tcW w:w="998" w:type="dxa"/>
            <w:vAlign w:val="center"/>
          </w:tcPr>
          <w:p>
            <w:pPr>
              <w:pStyle w:val="68"/>
              <w:adjustRightInd/>
              <w:snapToGrid/>
              <w:spacing w:afterLines="0"/>
              <w:jc w:val="center"/>
              <w:rPr>
                <w:b w:val="0"/>
                <w:bCs/>
                <w:sz w:val="21"/>
                <w:szCs w:val="21"/>
              </w:rPr>
            </w:pPr>
            <w:r>
              <w:rPr>
                <w:sz w:val="21"/>
                <w:szCs w:val="21"/>
              </w:rPr>
              <w:t>10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spacing w:line="240" w:lineRule="auto"/>
              <w:ind w:firstLine="0" w:firstLineChars="0"/>
              <w:jc w:val="center"/>
              <w:rPr>
                <w:bCs/>
                <w:sz w:val="21"/>
                <w:szCs w:val="21"/>
              </w:rPr>
            </w:pPr>
            <w:r>
              <w:rPr>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w:t>
            </w:r>
          </w:p>
        </w:tc>
        <w:tc>
          <w:tcPr>
            <w:tcW w:w="998" w:type="dxa"/>
            <w:vAlign w:val="center"/>
          </w:tcPr>
          <w:p>
            <w:pPr>
              <w:pStyle w:val="68"/>
              <w:adjustRightInd/>
              <w:snapToGrid/>
              <w:spacing w:afterLines="0"/>
              <w:jc w:val="center"/>
              <w:rPr>
                <w:b w:val="0"/>
                <w:bCs/>
                <w:sz w:val="21"/>
                <w:szCs w:val="21"/>
              </w:rPr>
            </w:pPr>
            <w:r>
              <w:rPr>
                <w:sz w:val="21"/>
                <w:szCs w:val="21"/>
              </w:rPr>
              <w:t>10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12.17</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12.17</w:t>
            </w:r>
          </w:p>
        </w:tc>
        <w:tc>
          <w:tcPr>
            <w:tcW w:w="998" w:type="dxa"/>
            <w:vAlign w:val="center"/>
          </w:tcPr>
          <w:p>
            <w:pPr>
              <w:pStyle w:val="68"/>
              <w:adjustRightInd/>
              <w:snapToGrid/>
              <w:spacing w:afterLines="0"/>
              <w:jc w:val="center"/>
              <w:rPr>
                <w:b w:val="0"/>
                <w:bCs/>
                <w:sz w:val="21"/>
                <w:szCs w:val="21"/>
              </w:rPr>
            </w:pPr>
            <w:r>
              <w:rPr>
                <w:sz w:val="21"/>
                <w:szCs w:val="21"/>
              </w:rPr>
              <w:t>12.17</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restart"/>
            <w:vAlign w:val="center"/>
          </w:tcPr>
          <w:p>
            <w:pPr>
              <w:pStyle w:val="68"/>
              <w:adjustRightInd/>
              <w:snapToGrid/>
              <w:spacing w:afterLines="0"/>
              <w:jc w:val="center"/>
              <w:rPr>
                <w:b w:val="0"/>
                <w:bCs/>
                <w:sz w:val="21"/>
                <w:szCs w:val="21"/>
              </w:rPr>
            </w:pPr>
            <w:r>
              <w:rPr>
                <w:b w:val="0"/>
                <w:bCs/>
                <w:sz w:val="21"/>
                <w:szCs w:val="21"/>
              </w:rPr>
              <w:t>施工生产生活区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3000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3000</w:t>
            </w:r>
          </w:p>
        </w:tc>
        <w:tc>
          <w:tcPr>
            <w:tcW w:w="998" w:type="dxa"/>
            <w:vAlign w:val="center"/>
          </w:tcPr>
          <w:p>
            <w:pPr>
              <w:pStyle w:val="68"/>
              <w:adjustRightInd/>
              <w:snapToGrid/>
              <w:spacing w:afterLines="0"/>
              <w:jc w:val="center"/>
              <w:rPr>
                <w:sz w:val="21"/>
                <w:szCs w:val="21"/>
              </w:rPr>
            </w:pPr>
            <w:r>
              <w:rPr>
                <w:sz w:val="21"/>
                <w:szCs w:val="21"/>
              </w:rPr>
              <w:t>3000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w:t>
            </w:r>
          </w:p>
        </w:tc>
        <w:tc>
          <w:tcPr>
            <w:tcW w:w="998" w:type="dxa"/>
            <w:vAlign w:val="center"/>
          </w:tcPr>
          <w:p>
            <w:pPr>
              <w:pStyle w:val="68"/>
              <w:adjustRightInd/>
              <w:snapToGrid/>
              <w:spacing w:afterLines="0"/>
              <w:jc w:val="center"/>
              <w:rPr>
                <w:sz w:val="21"/>
                <w:szCs w:val="21"/>
              </w:rPr>
            </w:pPr>
            <w:r>
              <w:rPr>
                <w:sz w:val="21"/>
                <w:szCs w:val="21"/>
              </w:rPr>
              <w:t>10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2.27</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2.27</w:t>
            </w:r>
          </w:p>
        </w:tc>
        <w:tc>
          <w:tcPr>
            <w:tcW w:w="998" w:type="dxa"/>
            <w:vAlign w:val="center"/>
          </w:tcPr>
          <w:p>
            <w:pPr>
              <w:pStyle w:val="68"/>
              <w:adjustRightInd/>
              <w:snapToGrid/>
              <w:spacing w:afterLines="0"/>
              <w:jc w:val="center"/>
              <w:rPr>
                <w:sz w:val="21"/>
                <w:szCs w:val="21"/>
              </w:rPr>
            </w:pPr>
            <w:r>
              <w:rPr>
                <w:sz w:val="21"/>
                <w:szCs w:val="21"/>
              </w:rPr>
              <w:t>2.27</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400</w:t>
            </w:r>
          </w:p>
        </w:tc>
        <w:tc>
          <w:tcPr>
            <w:tcW w:w="998" w:type="dxa"/>
            <w:vAlign w:val="center"/>
          </w:tcPr>
          <w:p>
            <w:pPr>
              <w:pStyle w:val="68"/>
              <w:adjustRightInd/>
              <w:snapToGrid/>
              <w:spacing w:afterLines="0"/>
              <w:jc w:val="center"/>
              <w:rPr>
                <w:sz w:val="21"/>
                <w:szCs w:val="21"/>
              </w:rPr>
            </w:pPr>
            <w:r>
              <w:rPr>
                <w:sz w:val="21"/>
                <w:szCs w:val="21"/>
              </w:rPr>
              <w:t>400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bl>
    <w:p>
      <w:pPr>
        <w:pStyle w:val="68"/>
        <w:spacing w:after="120"/>
      </w:pPr>
    </w:p>
    <w:p>
      <w:pPr>
        <w:ind w:firstLine="480"/>
      </w:pPr>
    </w:p>
    <w:p>
      <w:pPr>
        <w:pStyle w:val="5"/>
        <w:sectPr>
          <w:pgSz w:w="16838" w:h="11905" w:orient="landscape"/>
          <w:pgMar w:top="1417" w:right="1417" w:bottom="1417" w:left="1417" w:header="850" w:footer="992" w:gutter="0"/>
          <w:cols w:space="720" w:num="1"/>
          <w:docGrid w:linePitch="312" w:charSpace="0"/>
        </w:sectPr>
      </w:pPr>
    </w:p>
    <w:p>
      <w:pPr>
        <w:pStyle w:val="5"/>
      </w:pPr>
      <w:bookmarkStart w:id="37" w:name="_Toc4079"/>
      <w:r>
        <w:t>1.9水土保持监测方案</w:t>
      </w:r>
      <w:bookmarkEnd w:id="37"/>
    </w:p>
    <w:p>
      <w:pPr>
        <w:ind w:firstLine="480"/>
        <w:rPr>
          <w:szCs w:val="24"/>
        </w:rPr>
      </w:pPr>
      <w:r>
        <w:rPr>
          <w:szCs w:val="24"/>
        </w:rPr>
        <w:t>1、本项目水土保持监测范围为防治责任范围共计1129.18hm</w:t>
      </w:r>
      <w:r>
        <w:rPr>
          <w:szCs w:val="24"/>
          <w:vertAlign w:val="superscript"/>
        </w:rPr>
        <w:t>2</w:t>
      </w:r>
      <w:r>
        <w:rPr>
          <w:szCs w:val="24"/>
        </w:rPr>
        <w:t>，水土保持监测分区与水土流失防治分区保持一致，</w:t>
      </w:r>
      <w:r>
        <w:t>本报告在项目每个分区均至少布置1个水土保持监测点，共计7个监测点</w:t>
      </w:r>
      <w:r>
        <w:rPr>
          <w:szCs w:val="24"/>
        </w:rPr>
        <w:t>。</w:t>
      </w:r>
    </w:p>
    <w:p>
      <w:pPr>
        <w:widowControl/>
        <w:adjustRightInd w:val="0"/>
        <w:snapToGrid w:val="0"/>
        <w:ind w:firstLine="480"/>
        <w:rPr>
          <w:szCs w:val="20"/>
        </w:rPr>
      </w:pPr>
      <w:r>
        <w:rPr>
          <w:szCs w:val="24"/>
        </w:rPr>
        <w:t>2、</w:t>
      </w:r>
      <w:r>
        <w:t>根据园区总体规划参照生产建设项目类型近似归类为建设类项目，故监测时段按照建设类项目水土保持监测时段划分为施工准备期、施工期、试运行期。监测时段从施工准备期（2022年1月）开始至规划水平年（2026年12月）止，监测期共计5年，截止2026年，园区近期规划各项工程将总体完工，全区建设格局成型，主要项目完成建设，主要水土保持措施基本完成，2026年可视为试运行年份。园区水土保持监测时段分为施工准备及施工期监测时段：2022年1月~2025年12月；试运行期监测时段：2026年1月~12月</w:t>
      </w:r>
      <w:r>
        <w:rPr>
          <w:szCs w:val="20"/>
        </w:rPr>
        <w:t>。</w:t>
      </w:r>
    </w:p>
    <w:p>
      <w:pPr>
        <w:ind w:firstLine="480"/>
      </w:pPr>
      <w:r>
        <w:t>3、水土保持监测主要内容包括：水土流失影响因素、水土流失状况、水土流失危害和水土保持措施等。</w:t>
      </w:r>
    </w:p>
    <w:p>
      <w:pPr>
        <w:ind w:firstLine="480"/>
      </w:pPr>
      <w:r>
        <w:t>4、水土保持监测方法主要采用实地调查法、实测法、样地调查法、照相法、集沙池法等监测方法。</w:t>
      </w:r>
    </w:p>
    <w:p>
      <w:pPr>
        <w:pStyle w:val="5"/>
      </w:pPr>
      <w:bookmarkStart w:id="38" w:name="_Toc4899"/>
      <w:r>
        <w:t>1.10水土保持投资及效益分析成果</w:t>
      </w:r>
      <w:bookmarkEnd w:id="38"/>
    </w:p>
    <w:p>
      <w:pPr>
        <w:ind w:firstLine="480"/>
        <w:rPr>
          <w:szCs w:val="24"/>
        </w:rPr>
      </w:pPr>
      <w:r>
        <w:t>项目水土保持工程估算总投资为</w:t>
      </w:r>
      <w:r>
        <w:rPr>
          <w:rFonts w:hint="eastAsia"/>
        </w:rPr>
        <w:t>20039.20</w:t>
      </w:r>
      <w:r>
        <w:t>万元。主体设计已计列的投资</w:t>
      </w:r>
      <w:r>
        <w:rPr>
          <w:rFonts w:hint="eastAsia"/>
        </w:rPr>
        <w:t>9349.52</w:t>
      </w:r>
      <w:r>
        <w:t>万元，新增水保投资</w:t>
      </w:r>
      <w:r>
        <w:rPr>
          <w:rFonts w:hint="eastAsia"/>
        </w:rPr>
        <w:t>10689.68</w:t>
      </w:r>
      <w:r>
        <w:t>万元。新增水保投资包括：工程措施</w:t>
      </w:r>
      <w:r>
        <w:rPr>
          <w:rFonts w:hint="eastAsia"/>
        </w:rPr>
        <w:t>费用2952.26</w:t>
      </w:r>
      <w:r>
        <w:t>万元，植物措施</w:t>
      </w:r>
      <w:r>
        <w:rPr>
          <w:rFonts w:hint="eastAsia"/>
        </w:rPr>
        <w:t>费用</w:t>
      </w:r>
      <w:r>
        <w:t>6.33万元，施工临时工程</w:t>
      </w:r>
      <w:r>
        <w:rPr>
          <w:rFonts w:hint="eastAsia"/>
        </w:rPr>
        <w:t>费用</w:t>
      </w:r>
      <w:r>
        <w:t>4998.97万元，独立费用</w:t>
      </w:r>
      <w:r>
        <w:rPr>
          <w:rFonts w:hint="eastAsia"/>
        </w:rPr>
        <w:t>699.35</w:t>
      </w:r>
      <w:r>
        <w:t>万元，基本预备费</w:t>
      </w:r>
      <w:r>
        <w:rPr>
          <w:rFonts w:hint="eastAsia"/>
        </w:rPr>
        <w:t>862.69</w:t>
      </w:r>
      <w:r>
        <w:t>万元，水土保持补偿费1200.082万元</w:t>
      </w:r>
      <w:r>
        <w:rPr>
          <w:rFonts w:hint="eastAsia"/>
        </w:rPr>
        <w:t>，</w:t>
      </w:r>
      <w:r>
        <w:t>化工园区总占地面积1129.18hm</w:t>
      </w:r>
      <w:r>
        <w:rPr>
          <w:vertAlign w:val="superscript"/>
        </w:rPr>
        <w:t>2</w:t>
      </w:r>
      <w:r>
        <w:t>，根据已缴纳水土保持补偿费情况，扣除已计征面积，本次水土保持补偿费计征面积923.14hm</w:t>
      </w:r>
      <w:r>
        <w:rPr>
          <w:vertAlign w:val="superscript"/>
        </w:rPr>
        <w:t>2</w:t>
      </w:r>
      <w:r>
        <w:t>，计征标准1.3元/m</w:t>
      </w:r>
      <w:r>
        <w:rPr>
          <w:vertAlign w:val="superscript"/>
        </w:rPr>
        <w:t>2</w:t>
      </w:r>
      <w:r>
        <w:t>，共计1200.082万元（其中管理机构应缴纳216.723万元，入驻项目应缴纳983.359万元）。</w:t>
      </w:r>
    </w:p>
    <w:p>
      <w:pPr>
        <w:ind w:firstLine="480"/>
        <w:rPr>
          <w:szCs w:val="24"/>
        </w:rPr>
      </w:pPr>
      <w:r>
        <w:rPr>
          <w:szCs w:val="24"/>
        </w:rPr>
        <w:t>项目至设计水平年</w:t>
      </w:r>
      <w:r>
        <w:rPr>
          <w:lang w:val="zh-CN"/>
        </w:rPr>
        <w:t>园区建设</w:t>
      </w:r>
      <w:r>
        <w:t>水土流失治理度</w:t>
      </w:r>
      <w:r>
        <w:rPr>
          <w:lang w:val="zh-CN"/>
        </w:rPr>
        <w:t>为</w:t>
      </w:r>
      <w:r>
        <w:t>97.42%</w:t>
      </w:r>
      <w:r>
        <w:rPr>
          <w:lang w:val="zh-CN"/>
        </w:rPr>
        <w:t>，土壤流失控制比为1</w:t>
      </w:r>
      <w:r>
        <w:t>.0</w:t>
      </w:r>
      <w:r>
        <w:rPr>
          <w:lang w:val="zh-CN"/>
        </w:rPr>
        <w:t>，渣土防护率为</w:t>
      </w:r>
      <w:r>
        <w:t>97.22</w:t>
      </w:r>
      <w:r>
        <w:rPr>
          <w:lang w:val="zh-CN"/>
        </w:rPr>
        <w:t>%</w:t>
      </w:r>
      <w:r>
        <w:t>，表土保护率为</w:t>
      </w:r>
      <w:r>
        <w:rPr>
          <w:rFonts w:hint="eastAsia"/>
        </w:rPr>
        <w:t>92.31%</w:t>
      </w:r>
      <w:r>
        <w:t>，</w:t>
      </w:r>
      <w:r>
        <w:rPr>
          <w:lang w:val="zh-CN"/>
        </w:rPr>
        <w:t>林草植被恢复率为</w:t>
      </w:r>
      <w:r>
        <w:t>99.29%</w:t>
      </w:r>
      <w:r>
        <w:rPr>
          <w:lang w:val="zh-CN"/>
        </w:rPr>
        <w:t>，林草覆盖率为</w:t>
      </w:r>
      <w:r>
        <w:t>37.81%。</w:t>
      </w:r>
      <w:r>
        <w:rPr>
          <w:szCs w:val="24"/>
        </w:rPr>
        <w:t>六项防治指标均达到方案防治目标，基础效益良好。</w:t>
      </w:r>
      <w:r>
        <w:rPr>
          <w:lang w:val="zh-CN"/>
        </w:rPr>
        <w:t>通过采取各种水土保持措施治理后</w:t>
      </w:r>
      <w:r>
        <w:rPr>
          <w:rFonts w:hint="eastAsia"/>
          <w:lang w:val="zh-CN"/>
        </w:rPr>
        <w:t>，</w:t>
      </w:r>
      <w:r>
        <w:rPr>
          <w:lang w:val="zh-CN"/>
        </w:rPr>
        <w:t>可减少土壤流失量</w:t>
      </w:r>
      <w:r>
        <w:rPr>
          <w:rFonts w:hint="eastAsia"/>
        </w:rPr>
        <w:t>50856</w:t>
      </w:r>
      <w:r>
        <w:rPr>
          <w:lang w:val="zh-CN"/>
        </w:rPr>
        <w:t>t</w:t>
      </w:r>
      <w:r>
        <w:rPr>
          <w:rFonts w:hint="eastAsia"/>
        </w:rPr>
        <w:t>。</w:t>
      </w:r>
    </w:p>
    <w:p>
      <w:pPr>
        <w:pStyle w:val="5"/>
      </w:pPr>
      <w:bookmarkStart w:id="39" w:name="_Toc20977"/>
      <w:r>
        <w:t>1.11结论</w:t>
      </w:r>
      <w:bookmarkEnd w:id="39"/>
    </w:p>
    <w:p>
      <w:pPr>
        <w:ind w:firstLine="480"/>
      </w:pPr>
      <w:r>
        <w:t>通过项目水土保持评价，项目选址合理；主体工程在建设方案、工程占地、土石方平衡、施工组织、施工工艺方面已充分考虑了水土保持，项目建设方案与布局满足水土保持要求。主体设计有雨水管网、洗车池、沉沙池和景观绿化等具有水土保持功能的措施，与本报告新增的水土保持措施形成了一个相对完善水土保持防治体系</w:t>
      </w:r>
      <w:r>
        <w:rPr>
          <w:spacing w:val="3"/>
        </w:rPr>
        <w:t>，</w:t>
      </w:r>
      <w:r>
        <w:t>符合水土保持要求。综上，从水土保持角度认为该工程项目可行。</w:t>
      </w:r>
    </w:p>
    <w:p>
      <w:pPr>
        <w:ind w:firstLine="480"/>
      </w:pPr>
      <w:r>
        <w:t>为确保本水土保持区域评估报告的落实，提出如下建议：</w:t>
      </w:r>
    </w:p>
    <w:p>
      <w:pPr>
        <w:ind w:firstLine="480"/>
      </w:pPr>
      <w:r>
        <w:t>1、园区管理机构应充分重视水土保持工作，认真落实水行政主管部门批复的水土保持区域评估规划设计内容，从而确保水土保持措施得到较好的落实；园区管理机构做好自行监测或应及时委托具有相应水土保持监测能力的单位开展水土保持监测工作，并及时委托监理单位根据规模明确监理要求。</w:t>
      </w:r>
    </w:p>
    <w:p>
      <w:pPr>
        <w:ind w:firstLine="480"/>
      </w:pPr>
      <w:r>
        <w:t>2、园区统建项目和园区入驻项目施工单位应根据本区域评估的规划设计原则，在项目建设过程中落实临时工程区的水土保持防治措施，严格控制施工过程中的占压地范围，杜绝乱挖乱采。加强土石方运输和堆放管理，防止沿途大量散落，防止乱堆乱弃。尤其要加强施工过程中的临时防护措施。如局部排水系统与拦挡措施。</w:t>
      </w:r>
    </w:p>
    <w:p>
      <w:pPr>
        <w:ind w:firstLine="480"/>
      </w:pPr>
      <w:r>
        <w:t>3、合理安排工期，尽量避开雨季施工。雨季施工时要加强施工管理，采取相应的临时防护措施，尽量减少园区建设所造成的水土流失量。</w:t>
      </w:r>
    </w:p>
    <w:p>
      <w:pPr>
        <w:ind w:firstLine="480"/>
      </w:pPr>
      <w:r>
        <w:t>4、园区统建项目和园区入驻项目施工单位应选择手续齐全的砂石料场来进行砂石料的外购，在签订外购砂、石料的合同中明确水土流失防治责任由开采单位承担，并报当地水行政主管部门备案。如果在工程实施工程中，须园区新设自采，则应补充完善相应手续并报地方水保部门备案。</w:t>
      </w:r>
    </w:p>
    <w:p>
      <w:pPr>
        <w:ind w:firstLine="480"/>
      </w:pPr>
      <w:r>
        <w:t>5、园区统建项目和入驻项目建设单位应将水土保持工程纳入工程招投标，实行水土保持工程监理制度，对水土保持措施实施的进度、质量与资金进行监控管理，保证工程质量和进度，使施工区各个阶段及工程竣工后，与主体工程相对应的水土保持方案实施到位，满足工程竣工要求。</w:t>
      </w:r>
    </w:p>
    <w:p>
      <w:pPr>
        <w:ind w:firstLine="480"/>
      </w:pPr>
      <w:r>
        <w:t>6、根据《生产建设项目水土保持监测与评价标准》（GB/T51240-2018）有关规定，严格实施水土保持监测报告制度，发现问题及时报告，从管理入手，将施工水土流失控制在最低限度，同时监测运行后水土保持工程的运行情况，以便水土保持工程正常、持续发挥效益。</w:t>
      </w:r>
    </w:p>
    <w:p>
      <w:pPr>
        <w:ind w:firstLine="480"/>
      </w:pPr>
      <w:r>
        <w:t>7、各项水土保持设施竣工后，按照《四川省水利厅转发水利部关于加强事中事后监管规范生产建设项目水土保持设施自主验收的通知》（川水函〔2018〕887号）规定，开展水土保持设施验收工作，确保水土保持“三同时”制度实施和各项水保工程设施质量。</w:t>
      </w:r>
    </w:p>
    <w:p>
      <w:pPr>
        <w:ind w:firstLine="480"/>
      </w:pPr>
      <w:r>
        <w:t>8、水土保持区域评估报告经水行政管理部门批复后，应进一步加强进行水土保持工程落实，如有重大变更则按规定程序另行编制水土保持区域评估报告。</w:t>
      </w:r>
    </w:p>
    <w:p>
      <w:pPr>
        <w:ind w:firstLine="480"/>
      </w:pPr>
      <w:r>
        <w:t>9、入驻园区的生产建设项目水土保持方案实行承诺制或备案制管理，由开发区管理机构督促建设单位落实水土流失防治责任和义务。并按照《生产建设项目水土保持技术标准》（GB50433-2018）、《生产建设项目水土流失防治标准》（GB/T50434-2018）、相关行业要求以及本报告要求，编报相应的水土保持方案并实施水土保持工程、植物、临时措施，防治水土流失。</w:t>
      </w:r>
    </w:p>
    <w:p>
      <w:pPr>
        <w:pStyle w:val="100"/>
        <w:ind w:firstLine="480"/>
        <w:rPr>
          <w:rFonts w:ascii="Times New Roman" w:hAnsi="Times New Roman"/>
        </w:rPr>
      </w:pPr>
    </w:p>
    <w:p>
      <w:pPr>
        <w:ind w:firstLine="0" w:firstLineChars="0"/>
        <w:jc w:val="left"/>
        <w:outlineLvl w:val="1"/>
      </w:pPr>
      <w:r>
        <w:br w:type="page"/>
      </w:r>
      <w:bookmarkStart w:id="40" w:name="_Toc20985"/>
      <w:r>
        <w:rPr>
          <w:b/>
          <w:bCs/>
          <w:sz w:val="32"/>
          <w:szCs w:val="32"/>
        </w:rPr>
        <w:t>1.12水土保持方案特性表</w:t>
      </w:r>
      <w:bookmarkEnd w:id="40"/>
    </w:p>
    <w:tbl>
      <w:tblPr>
        <w:tblStyle w:val="110"/>
        <w:tblW w:w="9282"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957"/>
        <w:gridCol w:w="267"/>
        <w:gridCol w:w="261"/>
        <w:gridCol w:w="922"/>
        <w:gridCol w:w="616"/>
        <w:gridCol w:w="592"/>
        <w:gridCol w:w="743"/>
        <w:gridCol w:w="767"/>
        <w:gridCol w:w="1215"/>
        <w:gridCol w:w="776"/>
        <w:gridCol w:w="610"/>
        <w:gridCol w:w="577"/>
        <w:gridCol w:w="97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224" w:type="dxa"/>
            <w:gridSpan w:val="2"/>
            <w:vAlign w:val="center"/>
          </w:tcPr>
          <w:p>
            <w:pPr>
              <w:pStyle w:val="53"/>
              <w:jc w:val="center"/>
              <w:rPr>
                <w:rFonts w:eastAsia="仿宋_GB2312"/>
                <w:sz w:val="18"/>
                <w:szCs w:val="18"/>
              </w:rPr>
            </w:pPr>
            <w:r>
              <w:rPr>
                <w:rFonts w:eastAsia="仿宋_GB2312"/>
                <w:sz w:val="18"/>
                <w:szCs w:val="18"/>
              </w:rPr>
              <w:t>项目名称</w:t>
            </w:r>
          </w:p>
        </w:tc>
        <w:tc>
          <w:tcPr>
            <w:tcW w:w="3901" w:type="dxa"/>
            <w:gridSpan w:val="6"/>
            <w:vAlign w:val="center"/>
          </w:tcPr>
          <w:p>
            <w:pPr>
              <w:pStyle w:val="53"/>
              <w:jc w:val="center"/>
              <w:rPr>
                <w:rFonts w:eastAsia="仿宋_GB2312"/>
                <w:sz w:val="18"/>
                <w:szCs w:val="18"/>
              </w:rPr>
            </w:pPr>
            <w:r>
              <w:rPr>
                <w:rFonts w:eastAsia="仿宋_GB2312"/>
                <w:bCs/>
                <w:sz w:val="18"/>
                <w:szCs w:val="18"/>
              </w:rPr>
              <w:t>乐山五通桥化工园区</w:t>
            </w:r>
          </w:p>
        </w:tc>
        <w:tc>
          <w:tcPr>
            <w:tcW w:w="2601" w:type="dxa"/>
            <w:gridSpan w:val="3"/>
            <w:vAlign w:val="center"/>
          </w:tcPr>
          <w:p>
            <w:pPr>
              <w:pStyle w:val="53"/>
              <w:jc w:val="center"/>
              <w:rPr>
                <w:rFonts w:eastAsia="仿宋_GB2312"/>
                <w:sz w:val="18"/>
                <w:szCs w:val="18"/>
              </w:rPr>
            </w:pPr>
            <w:r>
              <w:rPr>
                <w:rFonts w:eastAsia="仿宋_GB2312"/>
                <w:sz w:val="18"/>
                <w:szCs w:val="18"/>
              </w:rPr>
              <w:t>流域管理机构</w:t>
            </w:r>
          </w:p>
        </w:tc>
        <w:tc>
          <w:tcPr>
            <w:tcW w:w="1556" w:type="dxa"/>
            <w:gridSpan w:val="2"/>
            <w:vAlign w:val="center"/>
          </w:tcPr>
          <w:p>
            <w:pPr>
              <w:pStyle w:val="53"/>
              <w:jc w:val="center"/>
              <w:rPr>
                <w:rFonts w:eastAsia="仿宋_GB2312"/>
                <w:sz w:val="18"/>
                <w:szCs w:val="18"/>
              </w:rPr>
            </w:pPr>
            <w:r>
              <w:rPr>
                <w:rFonts w:eastAsia="仿宋_GB2312"/>
                <w:sz w:val="18"/>
                <w:szCs w:val="18"/>
              </w:rPr>
              <w:t>长江水利委员会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224" w:type="dxa"/>
            <w:gridSpan w:val="2"/>
            <w:vAlign w:val="center"/>
          </w:tcPr>
          <w:p>
            <w:pPr>
              <w:pStyle w:val="53"/>
              <w:jc w:val="center"/>
              <w:rPr>
                <w:rFonts w:eastAsia="仿宋_GB2312"/>
                <w:sz w:val="18"/>
                <w:szCs w:val="18"/>
              </w:rPr>
            </w:pPr>
            <w:r>
              <w:rPr>
                <w:rFonts w:eastAsia="仿宋_GB2312"/>
                <w:sz w:val="18"/>
                <w:szCs w:val="18"/>
              </w:rPr>
              <w:t>涉及省（市、区）</w:t>
            </w:r>
          </w:p>
        </w:tc>
        <w:tc>
          <w:tcPr>
            <w:tcW w:w="1799" w:type="dxa"/>
            <w:gridSpan w:val="3"/>
            <w:vAlign w:val="center"/>
          </w:tcPr>
          <w:p>
            <w:pPr>
              <w:pStyle w:val="53"/>
              <w:jc w:val="center"/>
              <w:rPr>
                <w:rFonts w:eastAsia="仿宋_GB2312"/>
                <w:sz w:val="18"/>
                <w:szCs w:val="18"/>
              </w:rPr>
            </w:pPr>
            <w:r>
              <w:rPr>
                <w:rFonts w:eastAsia="仿宋_GB2312"/>
                <w:sz w:val="18"/>
                <w:szCs w:val="18"/>
              </w:rPr>
              <w:t>四川省</w:t>
            </w:r>
          </w:p>
        </w:tc>
        <w:tc>
          <w:tcPr>
            <w:tcW w:w="2102" w:type="dxa"/>
            <w:gridSpan w:val="3"/>
            <w:vAlign w:val="center"/>
          </w:tcPr>
          <w:p>
            <w:pPr>
              <w:pStyle w:val="53"/>
              <w:jc w:val="center"/>
              <w:rPr>
                <w:rFonts w:eastAsia="仿宋_GB2312"/>
                <w:sz w:val="18"/>
                <w:szCs w:val="18"/>
              </w:rPr>
            </w:pPr>
            <w:r>
              <w:rPr>
                <w:rFonts w:eastAsia="仿宋_GB2312"/>
                <w:sz w:val="18"/>
                <w:szCs w:val="18"/>
              </w:rPr>
              <w:t>涉及地市或个数</w:t>
            </w:r>
          </w:p>
        </w:tc>
        <w:tc>
          <w:tcPr>
            <w:tcW w:w="1215" w:type="dxa"/>
            <w:vAlign w:val="center"/>
          </w:tcPr>
          <w:p>
            <w:pPr>
              <w:pStyle w:val="53"/>
              <w:jc w:val="center"/>
              <w:rPr>
                <w:rFonts w:eastAsia="仿宋_GB2312"/>
                <w:sz w:val="18"/>
                <w:szCs w:val="18"/>
              </w:rPr>
            </w:pPr>
            <w:r>
              <w:rPr>
                <w:rFonts w:eastAsia="仿宋_GB2312"/>
                <w:sz w:val="18"/>
                <w:szCs w:val="18"/>
              </w:rPr>
              <w:t>乐山市</w:t>
            </w:r>
          </w:p>
        </w:tc>
        <w:tc>
          <w:tcPr>
            <w:tcW w:w="1386" w:type="dxa"/>
            <w:gridSpan w:val="2"/>
            <w:vAlign w:val="center"/>
          </w:tcPr>
          <w:p>
            <w:pPr>
              <w:pStyle w:val="53"/>
              <w:jc w:val="center"/>
              <w:rPr>
                <w:rFonts w:eastAsia="仿宋_GB2312"/>
                <w:sz w:val="18"/>
                <w:szCs w:val="18"/>
              </w:rPr>
            </w:pPr>
            <w:r>
              <w:rPr>
                <w:rFonts w:eastAsia="仿宋_GB2312"/>
                <w:sz w:val="18"/>
                <w:szCs w:val="18"/>
              </w:rPr>
              <w:t>涉及县或个数</w:t>
            </w:r>
          </w:p>
        </w:tc>
        <w:tc>
          <w:tcPr>
            <w:tcW w:w="1556" w:type="dxa"/>
            <w:gridSpan w:val="2"/>
            <w:vAlign w:val="center"/>
          </w:tcPr>
          <w:p>
            <w:pPr>
              <w:pStyle w:val="53"/>
              <w:jc w:val="center"/>
              <w:rPr>
                <w:rFonts w:eastAsia="仿宋_GB2312"/>
                <w:sz w:val="18"/>
                <w:szCs w:val="18"/>
              </w:rPr>
            </w:pPr>
            <w:r>
              <w:rPr>
                <w:rFonts w:eastAsia="仿宋_GB2312"/>
                <w:sz w:val="18"/>
                <w:szCs w:val="18"/>
              </w:rPr>
              <w:t>五通桥区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224" w:type="dxa"/>
            <w:gridSpan w:val="2"/>
            <w:vAlign w:val="center"/>
          </w:tcPr>
          <w:p>
            <w:pPr>
              <w:pStyle w:val="53"/>
              <w:jc w:val="center"/>
              <w:rPr>
                <w:rFonts w:eastAsia="仿宋_GB2312"/>
                <w:sz w:val="18"/>
                <w:szCs w:val="18"/>
              </w:rPr>
            </w:pPr>
            <w:r>
              <w:rPr>
                <w:rFonts w:eastAsia="仿宋_GB2312"/>
                <w:sz w:val="18"/>
                <w:szCs w:val="18"/>
              </w:rPr>
              <w:t>项目规模</w:t>
            </w:r>
          </w:p>
        </w:tc>
        <w:tc>
          <w:tcPr>
            <w:tcW w:w="1799" w:type="dxa"/>
            <w:gridSpan w:val="3"/>
            <w:vAlign w:val="center"/>
          </w:tcPr>
          <w:p>
            <w:pPr>
              <w:pStyle w:val="53"/>
              <w:jc w:val="center"/>
              <w:rPr>
                <w:rFonts w:eastAsia="仿宋_GB2312"/>
                <w:sz w:val="18"/>
                <w:szCs w:val="18"/>
              </w:rPr>
            </w:pPr>
            <w:r>
              <w:rPr>
                <w:rFonts w:eastAsia="仿宋_GB2312"/>
                <w:sz w:val="18"/>
                <w:szCs w:val="18"/>
              </w:rPr>
              <w:t>园区规划范围1129.18hm</w:t>
            </w:r>
            <w:r>
              <w:rPr>
                <w:rFonts w:eastAsia="仿宋_GB2312"/>
                <w:sz w:val="18"/>
                <w:szCs w:val="18"/>
                <w:vertAlign w:val="superscript"/>
              </w:rPr>
              <w:t>2</w:t>
            </w:r>
          </w:p>
        </w:tc>
        <w:tc>
          <w:tcPr>
            <w:tcW w:w="2102" w:type="dxa"/>
            <w:gridSpan w:val="3"/>
            <w:vAlign w:val="center"/>
          </w:tcPr>
          <w:p>
            <w:pPr>
              <w:pStyle w:val="53"/>
              <w:jc w:val="center"/>
              <w:rPr>
                <w:rFonts w:eastAsia="仿宋_GB2312"/>
                <w:sz w:val="18"/>
                <w:szCs w:val="18"/>
              </w:rPr>
            </w:pPr>
            <w:r>
              <w:rPr>
                <w:rFonts w:eastAsia="仿宋_GB2312"/>
                <w:sz w:val="18"/>
                <w:szCs w:val="18"/>
              </w:rPr>
              <w:t>总投资（万元）</w:t>
            </w:r>
          </w:p>
        </w:tc>
        <w:tc>
          <w:tcPr>
            <w:tcW w:w="1215" w:type="dxa"/>
            <w:vAlign w:val="center"/>
          </w:tcPr>
          <w:p>
            <w:pPr>
              <w:pStyle w:val="53"/>
              <w:jc w:val="center"/>
              <w:rPr>
                <w:rFonts w:eastAsia="仿宋_GB2312"/>
                <w:sz w:val="18"/>
                <w:szCs w:val="18"/>
              </w:rPr>
            </w:pPr>
            <w:r>
              <w:rPr>
                <w:rFonts w:eastAsia="仿宋_GB2312"/>
                <w:sz w:val="18"/>
                <w:szCs w:val="18"/>
              </w:rPr>
              <w:t>8387000</w:t>
            </w:r>
          </w:p>
        </w:tc>
        <w:tc>
          <w:tcPr>
            <w:tcW w:w="1386" w:type="dxa"/>
            <w:gridSpan w:val="2"/>
            <w:vAlign w:val="center"/>
          </w:tcPr>
          <w:p>
            <w:pPr>
              <w:pStyle w:val="53"/>
              <w:jc w:val="center"/>
              <w:rPr>
                <w:rFonts w:eastAsia="仿宋_GB2312"/>
                <w:sz w:val="18"/>
                <w:szCs w:val="18"/>
              </w:rPr>
            </w:pPr>
            <w:r>
              <w:rPr>
                <w:rFonts w:eastAsia="仿宋_GB2312"/>
                <w:sz w:val="18"/>
                <w:szCs w:val="18"/>
              </w:rPr>
              <w:t>土建投资</w:t>
            </w:r>
          </w:p>
          <w:p>
            <w:pPr>
              <w:pStyle w:val="53"/>
              <w:jc w:val="center"/>
              <w:rPr>
                <w:rFonts w:eastAsia="仿宋_GB2312"/>
                <w:sz w:val="18"/>
                <w:szCs w:val="18"/>
              </w:rPr>
            </w:pPr>
            <w:r>
              <w:rPr>
                <w:rFonts w:eastAsia="仿宋_GB2312"/>
                <w:sz w:val="18"/>
                <w:szCs w:val="18"/>
              </w:rPr>
              <w:t>（万元）</w:t>
            </w:r>
          </w:p>
        </w:tc>
        <w:tc>
          <w:tcPr>
            <w:tcW w:w="1556" w:type="dxa"/>
            <w:gridSpan w:val="2"/>
            <w:vAlign w:val="center"/>
          </w:tcPr>
          <w:p>
            <w:pPr>
              <w:pStyle w:val="53"/>
              <w:jc w:val="center"/>
              <w:rPr>
                <w:rFonts w:eastAsia="仿宋_GB2312"/>
                <w:sz w:val="18"/>
                <w:szCs w:val="18"/>
              </w:rPr>
            </w:pPr>
            <w:r>
              <w:rPr>
                <w:rFonts w:eastAsia="仿宋_GB2312"/>
                <w:sz w:val="18"/>
                <w:szCs w:val="18"/>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224" w:type="dxa"/>
            <w:gridSpan w:val="2"/>
            <w:vAlign w:val="center"/>
          </w:tcPr>
          <w:p>
            <w:pPr>
              <w:pStyle w:val="53"/>
              <w:jc w:val="center"/>
              <w:rPr>
                <w:rFonts w:eastAsia="仿宋_GB2312"/>
                <w:sz w:val="18"/>
                <w:szCs w:val="18"/>
              </w:rPr>
            </w:pPr>
            <w:r>
              <w:rPr>
                <w:rFonts w:eastAsia="仿宋_GB2312"/>
                <w:sz w:val="18"/>
                <w:szCs w:val="18"/>
              </w:rPr>
              <w:t>动工时间</w:t>
            </w:r>
          </w:p>
        </w:tc>
        <w:tc>
          <w:tcPr>
            <w:tcW w:w="1799" w:type="dxa"/>
            <w:gridSpan w:val="3"/>
            <w:vAlign w:val="center"/>
          </w:tcPr>
          <w:p>
            <w:pPr>
              <w:pStyle w:val="53"/>
              <w:jc w:val="center"/>
              <w:rPr>
                <w:rFonts w:eastAsia="仿宋_GB2312"/>
                <w:sz w:val="18"/>
                <w:szCs w:val="18"/>
              </w:rPr>
            </w:pPr>
            <w:r>
              <w:rPr>
                <w:rFonts w:eastAsia="仿宋_GB2312"/>
                <w:sz w:val="18"/>
                <w:szCs w:val="18"/>
              </w:rPr>
              <w:t>2022年1月</w:t>
            </w:r>
          </w:p>
        </w:tc>
        <w:tc>
          <w:tcPr>
            <w:tcW w:w="2102" w:type="dxa"/>
            <w:gridSpan w:val="3"/>
            <w:vAlign w:val="center"/>
          </w:tcPr>
          <w:p>
            <w:pPr>
              <w:pStyle w:val="53"/>
              <w:jc w:val="center"/>
              <w:rPr>
                <w:rFonts w:eastAsia="仿宋_GB2312"/>
                <w:sz w:val="18"/>
                <w:szCs w:val="18"/>
              </w:rPr>
            </w:pPr>
            <w:r>
              <w:rPr>
                <w:rFonts w:eastAsia="仿宋_GB2312"/>
                <w:sz w:val="18"/>
                <w:szCs w:val="18"/>
              </w:rPr>
              <w:t>完工时间</w:t>
            </w:r>
          </w:p>
        </w:tc>
        <w:tc>
          <w:tcPr>
            <w:tcW w:w="1215" w:type="dxa"/>
            <w:vAlign w:val="center"/>
          </w:tcPr>
          <w:p>
            <w:pPr>
              <w:pStyle w:val="53"/>
              <w:jc w:val="center"/>
              <w:rPr>
                <w:rFonts w:eastAsia="仿宋_GB2312"/>
                <w:sz w:val="18"/>
                <w:szCs w:val="18"/>
              </w:rPr>
            </w:pPr>
            <w:r>
              <w:rPr>
                <w:rFonts w:eastAsia="仿宋_GB2312"/>
                <w:sz w:val="18"/>
                <w:szCs w:val="18"/>
              </w:rPr>
              <w:t>2025年12月</w:t>
            </w:r>
          </w:p>
        </w:tc>
        <w:tc>
          <w:tcPr>
            <w:tcW w:w="1386" w:type="dxa"/>
            <w:gridSpan w:val="2"/>
            <w:vAlign w:val="center"/>
          </w:tcPr>
          <w:p>
            <w:pPr>
              <w:pStyle w:val="53"/>
              <w:jc w:val="center"/>
              <w:rPr>
                <w:rFonts w:eastAsia="仿宋_GB2312"/>
                <w:sz w:val="18"/>
                <w:szCs w:val="18"/>
              </w:rPr>
            </w:pPr>
            <w:r>
              <w:rPr>
                <w:rFonts w:eastAsia="仿宋_GB2312"/>
                <w:sz w:val="18"/>
                <w:szCs w:val="18"/>
              </w:rPr>
              <w:t>设计水平年</w:t>
            </w:r>
          </w:p>
        </w:tc>
        <w:tc>
          <w:tcPr>
            <w:tcW w:w="1556" w:type="dxa"/>
            <w:gridSpan w:val="2"/>
            <w:vAlign w:val="center"/>
          </w:tcPr>
          <w:p>
            <w:pPr>
              <w:pStyle w:val="53"/>
              <w:jc w:val="center"/>
              <w:rPr>
                <w:rFonts w:eastAsia="仿宋_GB2312"/>
                <w:sz w:val="18"/>
                <w:szCs w:val="18"/>
              </w:rPr>
            </w:pPr>
            <w:r>
              <w:rPr>
                <w:rFonts w:eastAsia="仿宋_GB2312"/>
                <w:sz w:val="18"/>
                <w:szCs w:val="18"/>
              </w:rPr>
              <w:t>2026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224" w:type="dxa"/>
            <w:gridSpan w:val="2"/>
            <w:vAlign w:val="center"/>
          </w:tcPr>
          <w:p>
            <w:pPr>
              <w:pStyle w:val="53"/>
              <w:jc w:val="center"/>
              <w:rPr>
                <w:rFonts w:eastAsia="仿宋_GB2312"/>
                <w:sz w:val="18"/>
                <w:szCs w:val="18"/>
              </w:rPr>
            </w:pPr>
            <w:r>
              <w:rPr>
                <w:rFonts w:eastAsia="仿宋_GB2312"/>
                <w:sz w:val="18"/>
                <w:szCs w:val="18"/>
              </w:rPr>
              <w:t>工程占地（hm</w:t>
            </w:r>
            <w:r>
              <w:rPr>
                <w:rFonts w:eastAsia="仿宋_GB2312"/>
                <w:sz w:val="18"/>
                <w:szCs w:val="18"/>
                <w:vertAlign w:val="superscript"/>
              </w:rPr>
              <w:t>2</w:t>
            </w:r>
            <w:r>
              <w:rPr>
                <w:rFonts w:eastAsia="仿宋_GB2312"/>
                <w:sz w:val="18"/>
                <w:szCs w:val="18"/>
              </w:rPr>
              <w:t>）</w:t>
            </w:r>
          </w:p>
        </w:tc>
        <w:tc>
          <w:tcPr>
            <w:tcW w:w="1799" w:type="dxa"/>
            <w:gridSpan w:val="3"/>
            <w:vAlign w:val="center"/>
          </w:tcPr>
          <w:p>
            <w:pPr>
              <w:pStyle w:val="53"/>
              <w:jc w:val="center"/>
              <w:rPr>
                <w:rFonts w:eastAsia="仿宋_GB2312"/>
                <w:sz w:val="18"/>
                <w:szCs w:val="18"/>
              </w:rPr>
            </w:pPr>
            <w:r>
              <w:rPr>
                <w:rFonts w:eastAsia="仿宋_GB2312"/>
                <w:sz w:val="18"/>
                <w:szCs w:val="18"/>
              </w:rPr>
              <w:t>1129.18</w:t>
            </w:r>
          </w:p>
        </w:tc>
        <w:tc>
          <w:tcPr>
            <w:tcW w:w="2102" w:type="dxa"/>
            <w:gridSpan w:val="3"/>
            <w:vAlign w:val="center"/>
          </w:tcPr>
          <w:p>
            <w:pPr>
              <w:pStyle w:val="53"/>
              <w:jc w:val="center"/>
              <w:rPr>
                <w:rFonts w:eastAsia="仿宋_GB2312"/>
                <w:sz w:val="18"/>
                <w:szCs w:val="18"/>
              </w:rPr>
            </w:pPr>
            <w:r>
              <w:rPr>
                <w:rFonts w:eastAsia="仿宋_GB2312"/>
                <w:sz w:val="18"/>
                <w:szCs w:val="18"/>
              </w:rPr>
              <w:t>永久占地（hm</w:t>
            </w:r>
            <w:r>
              <w:rPr>
                <w:rFonts w:eastAsia="仿宋_GB2312"/>
                <w:sz w:val="18"/>
                <w:szCs w:val="18"/>
                <w:vertAlign w:val="superscript"/>
              </w:rPr>
              <w:t>2</w:t>
            </w:r>
            <w:r>
              <w:rPr>
                <w:rFonts w:eastAsia="仿宋_GB2312"/>
                <w:sz w:val="18"/>
                <w:szCs w:val="18"/>
              </w:rPr>
              <w:t>）</w:t>
            </w:r>
          </w:p>
        </w:tc>
        <w:tc>
          <w:tcPr>
            <w:tcW w:w="1215" w:type="dxa"/>
            <w:vAlign w:val="center"/>
          </w:tcPr>
          <w:p>
            <w:pPr>
              <w:pStyle w:val="53"/>
              <w:jc w:val="center"/>
              <w:rPr>
                <w:rFonts w:eastAsia="仿宋_GB2312"/>
                <w:sz w:val="18"/>
                <w:szCs w:val="18"/>
              </w:rPr>
            </w:pPr>
            <w:r>
              <w:rPr>
                <w:rFonts w:eastAsia="仿宋_GB2312"/>
                <w:sz w:val="18"/>
                <w:szCs w:val="18"/>
              </w:rPr>
              <w:t>1129.18</w:t>
            </w:r>
          </w:p>
        </w:tc>
        <w:tc>
          <w:tcPr>
            <w:tcW w:w="1386" w:type="dxa"/>
            <w:gridSpan w:val="2"/>
            <w:vAlign w:val="center"/>
          </w:tcPr>
          <w:p>
            <w:pPr>
              <w:pStyle w:val="53"/>
              <w:jc w:val="center"/>
              <w:rPr>
                <w:rFonts w:eastAsia="仿宋_GB2312"/>
                <w:sz w:val="18"/>
                <w:szCs w:val="18"/>
              </w:rPr>
            </w:pPr>
            <w:r>
              <w:rPr>
                <w:rFonts w:eastAsia="仿宋_GB2312"/>
                <w:sz w:val="18"/>
                <w:szCs w:val="18"/>
              </w:rPr>
              <w:t>临时占地（hm</w:t>
            </w:r>
            <w:r>
              <w:rPr>
                <w:rFonts w:eastAsia="仿宋_GB2312"/>
                <w:sz w:val="18"/>
                <w:szCs w:val="18"/>
                <w:vertAlign w:val="superscript"/>
              </w:rPr>
              <w:t>2</w:t>
            </w:r>
            <w:r>
              <w:rPr>
                <w:rFonts w:eastAsia="仿宋_GB2312"/>
                <w:sz w:val="18"/>
                <w:szCs w:val="18"/>
              </w:rPr>
              <w:t>）</w:t>
            </w:r>
          </w:p>
        </w:tc>
        <w:tc>
          <w:tcPr>
            <w:tcW w:w="1556" w:type="dxa"/>
            <w:gridSpan w:val="2"/>
            <w:vAlign w:val="center"/>
          </w:tcPr>
          <w:p>
            <w:pPr>
              <w:pStyle w:val="53"/>
              <w:jc w:val="center"/>
              <w:rPr>
                <w:rFonts w:eastAsia="仿宋_GB2312"/>
                <w:sz w:val="18"/>
                <w:szCs w:val="18"/>
              </w:rPr>
            </w:pPr>
            <w:r>
              <w:rPr>
                <w:rFonts w:eastAsia="仿宋_GB2312"/>
                <w:sz w:val="18"/>
                <w:szCs w:val="18"/>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Merge w:val="restart"/>
            <w:vAlign w:val="center"/>
          </w:tcPr>
          <w:p>
            <w:pPr>
              <w:pStyle w:val="53"/>
              <w:jc w:val="center"/>
              <w:rPr>
                <w:rFonts w:eastAsia="仿宋_GB2312"/>
                <w:sz w:val="18"/>
                <w:szCs w:val="18"/>
              </w:rPr>
            </w:pPr>
            <w:r>
              <w:rPr>
                <w:rFonts w:eastAsia="仿宋_GB2312"/>
                <w:sz w:val="18"/>
                <w:szCs w:val="18"/>
              </w:rPr>
              <w:t>土石方量（万m</w:t>
            </w:r>
            <w:r>
              <w:rPr>
                <w:rFonts w:eastAsia="仿宋_GB2312"/>
                <w:sz w:val="18"/>
                <w:szCs w:val="18"/>
                <w:vertAlign w:val="superscript"/>
              </w:rPr>
              <w:t>3</w:t>
            </w:r>
            <w:r>
              <w:rPr>
                <w:rFonts w:eastAsia="仿宋_GB2312"/>
                <w:sz w:val="18"/>
                <w:szCs w:val="18"/>
              </w:rPr>
              <w:t>）</w:t>
            </w:r>
          </w:p>
        </w:tc>
        <w:tc>
          <w:tcPr>
            <w:tcW w:w="2102" w:type="dxa"/>
            <w:gridSpan w:val="3"/>
            <w:vAlign w:val="center"/>
          </w:tcPr>
          <w:p>
            <w:pPr>
              <w:pStyle w:val="53"/>
              <w:jc w:val="center"/>
              <w:rPr>
                <w:rFonts w:eastAsia="仿宋_GB2312"/>
                <w:sz w:val="18"/>
                <w:szCs w:val="18"/>
              </w:rPr>
            </w:pPr>
            <w:r>
              <w:rPr>
                <w:rFonts w:eastAsia="仿宋_GB2312"/>
                <w:sz w:val="18"/>
                <w:szCs w:val="18"/>
              </w:rPr>
              <w:t>挖方（万m</w:t>
            </w:r>
            <w:r>
              <w:rPr>
                <w:rFonts w:eastAsia="仿宋_GB2312"/>
                <w:sz w:val="18"/>
                <w:szCs w:val="18"/>
                <w:vertAlign w:val="superscript"/>
              </w:rPr>
              <w:t>3</w:t>
            </w:r>
            <w:r>
              <w:rPr>
                <w:rFonts w:eastAsia="仿宋_GB2312"/>
                <w:sz w:val="18"/>
                <w:szCs w:val="18"/>
              </w:rPr>
              <w:t>）</w:t>
            </w:r>
          </w:p>
        </w:tc>
        <w:tc>
          <w:tcPr>
            <w:tcW w:w="1215" w:type="dxa"/>
            <w:vAlign w:val="center"/>
          </w:tcPr>
          <w:p>
            <w:pPr>
              <w:pStyle w:val="53"/>
              <w:jc w:val="center"/>
              <w:rPr>
                <w:rFonts w:eastAsia="仿宋_GB2312"/>
                <w:sz w:val="18"/>
                <w:szCs w:val="18"/>
              </w:rPr>
            </w:pPr>
            <w:r>
              <w:rPr>
                <w:rFonts w:eastAsia="仿宋_GB2312"/>
                <w:sz w:val="18"/>
                <w:szCs w:val="18"/>
              </w:rPr>
              <w:t>填方</w:t>
            </w:r>
          </w:p>
          <w:p>
            <w:pPr>
              <w:pStyle w:val="53"/>
              <w:jc w:val="center"/>
              <w:rPr>
                <w:rFonts w:eastAsia="仿宋_GB2312"/>
                <w:sz w:val="18"/>
                <w:szCs w:val="18"/>
              </w:rPr>
            </w:pPr>
            <w:r>
              <w:rPr>
                <w:rFonts w:eastAsia="仿宋_GB2312"/>
                <w:sz w:val="18"/>
                <w:szCs w:val="18"/>
              </w:rPr>
              <w:t>（万m</w:t>
            </w:r>
            <w:r>
              <w:rPr>
                <w:rFonts w:eastAsia="仿宋_GB2312"/>
                <w:sz w:val="18"/>
                <w:szCs w:val="18"/>
                <w:vertAlign w:val="superscript"/>
              </w:rPr>
              <w:t>3</w:t>
            </w:r>
            <w:r>
              <w:rPr>
                <w:rFonts w:eastAsia="仿宋_GB2312"/>
                <w:sz w:val="18"/>
                <w:szCs w:val="18"/>
              </w:rPr>
              <w:t>）</w:t>
            </w:r>
          </w:p>
        </w:tc>
        <w:tc>
          <w:tcPr>
            <w:tcW w:w="1386" w:type="dxa"/>
            <w:gridSpan w:val="2"/>
            <w:vAlign w:val="center"/>
          </w:tcPr>
          <w:p>
            <w:pPr>
              <w:pStyle w:val="53"/>
              <w:jc w:val="center"/>
              <w:rPr>
                <w:rFonts w:eastAsia="仿宋_GB2312"/>
                <w:sz w:val="18"/>
                <w:szCs w:val="18"/>
              </w:rPr>
            </w:pPr>
            <w:r>
              <w:rPr>
                <w:rFonts w:eastAsia="仿宋_GB2312"/>
                <w:sz w:val="18"/>
                <w:szCs w:val="18"/>
              </w:rPr>
              <w:t>借方</w:t>
            </w:r>
          </w:p>
          <w:p>
            <w:pPr>
              <w:pStyle w:val="53"/>
              <w:jc w:val="center"/>
              <w:rPr>
                <w:rFonts w:eastAsia="仿宋_GB2312"/>
                <w:sz w:val="18"/>
                <w:szCs w:val="18"/>
              </w:rPr>
            </w:pPr>
            <w:r>
              <w:rPr>
                <w:rFonts w:eastAsia="仿宋_GB2312"/>
                <w:sz w:val="18"/>
                <w:szCs w:val="18"/>
              </w:rPr>
              <w:t>（万m</w:t>
            </w:r>
            <w:r>
              <w:rPr>
                <w:rFonts w:eastAsia="仿宋_GB2312"/>
                <w:sz w:val="18"/>
                <w:szCs w:val="18"/>
                <w:vertAlign w:val="superscript"/>
              </w:rPr>
              <w:t>3</w:t>
            </w:r>
            <w:r>
              <w:rPr>
                <w:rFonts w:eastAsia="仿宋_GB2312"/>
                <w:sz w:val="18"/>
                <w:szCs w:val="18"/>
              </w:rPr>
              <w:t>）</w:t>
            </w:r>
          </w:p>
        </w:tc>
        <w:tc>
          <w:tcPr>
            <w:tcW w:w="1556" w:type="dxa"/>
            <w:gridSpan w:val="2"/>
            <w:vAlign w:val="center"/>
          </w:tcPr>
          <w:p>
            <w:pPr>
              <w:pStyle w:val="53"/>
              <w:jc w:val="center"/>
              <w:rPr>
                <w:rFonts w:eastAsia="仿宋_GB2312"/>
                <w:sz w:val="18"/>
                <w:szCs w:val="18"/>
              </w:rPr>
            </w:pPr>
            <w:r>
              <w:rPr>
                <w:rFonts w:eastAsia="仿宋_GB2312"/>
                <w:sz w:val="18"/>
                <w:szCs w:val="18"/>
              </w:rPr>
              <w:t>余方（万m</w:t>
            </w:r>
            <w:r>
              <w:rPr>
                <w:rFonts w:eastAsia="仿宋_GB2312"/>
                <w:sz w:val="18"/>
                <w:szCs w:val="18"/>
                <w:vertAlign w:val="superscript"/>
              </w:rPr>
              <w:t>3</w:t>
            </w:r>
            <w:r>
              <w:rPr>
                <w:rFonts w:eastAsia="仿宋_GB2312"/>
                <w:sz w:val="18"/>
                <w:szCs w:val="18"/>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Merge w:val="continue"/>
            <w:vAlign w:val="center"/>
          </w:tcPr>
          <w:p>
            <w:pPr>
              <w:pStyle w:val="53"/>
              <w:jc w:val="center"/>
              <w:rPr>
                <w:rFonts w:eastAsia="仿宋_GB2312"/>
                <w:sz w:val="18"/>
                <w:szCs w:val="18"/>
              </w:rPr>
            </w:pPr>
          </w:p>
        </w:tc>
        <w:tc>
          <w:tcPr>
            <w:tcW w:w="2102" w:type="dxa"/>
            <w:gridSpan w:val="3"/>
            <w:vAlign w:val="center"/>
          </w:tcPr>
          <w:p>
            <w:pPr>
              <w:pStyle w:val="53"/>
              <w:jc w:val="center"/>
              <w:rPr>
                <w:rFonts w:eastAsia="仿宋_GB2312"/>
                <w:sz w:val="18"/>
                <w:szCs w:val="18"/>
              </w:rPr>
            </w:pPr>
            <w:r>
              <w:rPr>
                <w:rFonts w:hint="eastAsia" w:eastAsia="仿宋_GB2312"/>
                <w:sz w:val="18"/>
                <w:szCs w:val="18"/>
              </w:rPr>
              <w:t>3012.45</w:t>
            </w:r>
          </w:p>
        </w:tc>
        <w:tc>
          <w:tcPr>
            <w:tcW w:w="1215" w:type="dxa"/>
            <w:vAlign w:val="center"/>
          </w:tcPr>
          <w:p>
            <w:pPr>
              <w:pStyle w:val="53"/>
              <w:jc w:val="center"/>
              <w:rPr>
                <w:rFonts w:eastAsia="仿宋_GB2312"/>
                <w:sz w:val="18"/>
                <w:szCs w:val="18"/>
              </w:rPr>
            </w:pPr>
            <w:r>
              <w:rPr>
                <w:rFonts w:hint="eastAsia" w:eastAsia="仿宋_GB2312"/>
                <w:sz w:val="18"/>
                <w:szCs w:val="18"/>
              </w:rPr>
              <w:t>3012.45</w:t>
            </w:r>
          </w:p>
        </w:tc>
        <w:tc>
          <w:tcPr>
            <w:tcW w:w="1386" w:type="dxa"/>
            <w:gridSpan w:val="2"/>
            <w:vAlign w:val="center"/>
          </w:tcPr>
          <w:p>
            <w:pPr>
              <w:pStyle w:val="53"/>
              <w:jc w:val="center"/>
              <w:rPr>
                <w:rFonts w:eastAsia="仿宋_GB2312"/>
                <w:sz w:val="18"/>
                <w:szCs w:val="18"/>
              </w:rPr>
            </w:pPr>
            <w:r>
              <w:rPr>
                <w:rFonts w:eastAsia="仿宋_GB2312"/>
                <w:sz w:val="18"/>
                <w:szCs w:val="18"/>
              </w:rPr>
              <w:t>0</w:t>
            </w:r>
          </w:p>
        </w:tc>
        <w:tc>
          <w:tcPr>
            <w:tcW w:w="1556" w:type="dxa"/>
            <w:gridSpan w:val="2"/>
            <w:vAlign w:val="center"/>
          </w:tcPr>
          <w:p>
            <w:pPr>
              <w:pStyle w:val="53"/>
              <w:jc w:val="center"/>
              <w:rPr>
                <w:rFonts w:eastAsia="仿宋_GB2312"/>
                <w:sz w:val="18"/>
                <w:szCs w:val="18"/>
              </w:rPr>
            </w:pPr>
            <w:r>
              <w:rPr>
                <w:rFonts w:eastAsia="仿宋_GB2312"/>
                <w:sz w:val="18"/>
                <w:szCs w:val="18"/>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重点防治区名称</w:t>
            </w:r>
          </w:p>
        </w:tc>
        <w:tc>
          <w:tcPr>
            <w:tcW w:w="6259" w:type="dxa"/>
            <w:gridSpan w:val="8"/>
            <w:vAlign w:val="center"/>
          </w:tcPr>
          <w:p>
            <w:pPr>
              <w:pStyle w:val="53"/>
              <w:jc w:val="center"/>
              <w:rPr>
                <w:rFonts w:eastAsia="仿宋_GB2312"/>
                <w:sz w:val="18"/>
                <w:szCs w:val="18"/>
              </w:rPr>
            </w:pPr>
            <w:r>
              <w:rPr>
                <w:rFonts w:eastAsia="仿宋_GB2312"/>
                <w:sz w:val="18"/>
                <w:szCs w:val="18"/>
              </w:rPr>
              <w:t>乐山市五通桥区县级水土流失重点治理区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地貌类型</w:t>
            </w:r>
          </w:p>
        </w:tc>
        <w:tc>
          <w:tcPr>
            <w:tcW w:w="1335" w:type="dxa"/>
            <w:gridSpan w:val="2"/>
            <w:vAlign w:val="center"/>
          </w:tcPr>
          <w:p>
            <w:pPr>
              <w:pStyle w:val="53"/>
              <w:jc w:val="center"/>
              <w:rPr>
                <w:rFonts w:eastAsia="仿宋_GB2312"/>
                <w:sz w:val="18"/>
                <w:szCs w:val="18"/>
              </w:rPr>
            </w:pPr>
            <w:r>
              <w:rPr>
                <w:rFonts w:eastAsia="仿宋_GB2312"/>
                <w:sz w:val="18"/>
                <w:szCs w:val="18"/>
              </w:rPr>
              <w:t>浅丘</w:t>
            </w:r>
          </w:p>
        </w:tc>
        <w:tc>
          <w:tcPr>
            <w:tcW w:w="2758" w:type="dxa"/>
            <w:gridSpan w:val="3"/>
            <w:vAlign w:val="center"/>
          </w:tcPr>
          <w:p>
            <w:pPr>
              <w:pStyle w:val="53"/>
              <w:jc w:val="center"/>
              <w:rPr>
                <w:rFonts w:eastAsia="仿宋_GB2312"/>
                <w:sz w:val="18"/>
                <w:szCs w:val="18"/>
              </w:rPr>
            </w:pPr>
            <w:r>
              <w:rPr>
                <w:rFonts w:eastAsia="仿宋_GB2312"/>
                <w:sz w:val="18"/>
                <w:szCs w:val="18"/>
              </w:rPr>
              <w:t>水土保持区划</w:t>
            </w:r>
          </w:p>
        </w:tc>
        <w:tc>
          <w:tcPr>
            <w:tcW w:w="2166" w:type="dxa"/>
            <w:gridSpan w:val="3"/>
            <w:vAlign w:val="center"/>
          </w:tcPr>
          <w:p>
            <w:pPr>
              <w:pStyle w:val="53"/>
              <w:jc w:val="center"/>
              <w:rPr>
                <w:rFonts w:eastAsia="仿宋_GB2312"/>
                <w:sz w:val="18"/>
                <w:szCs w:val="18"/>
              </w:rPr>
            </w:pPr>
            <w:r>
              <w:rPr>
                <w:rFonts w:eastAsia="仿宋_GB2312"/>
                <w:sz w:val="18"/>
                <w:szCs w:val="18"/>
              </w:rPr>
              <w:t>西南紫色土区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土壤侵蚀类型</w:t>
            </w:r>
          </w:p>
        </w:tc>
        <w:tc>
          <w:tcPr>
            <w:tcW w:w="1335" w:type="dxa"/>
            <w:gridSpan w:val="2"/>
            <w:vAlign w:val="center"/>
          </w:tcPr>
          <w:p>
            <w:pPr>
              <w:pStyle w:val="53"/>
              <w:jc w:val="center"/>
              <w:rPr>
                <w:rFonts w:eastAsia="仿宋_GB2312"/>
                <w:sz w:val="18"/>
                <w:szCs w:val="18"/>
              </w:rPr>
            </w:pPr>
            <w:r>
              <w:rPr>
                <w:rFonts w:eastAsia="仿宋_GB2312"/>
                <w:sz w:val="18"/>
                <w:szCs w:val="18"/>
              </w:rPr>
              <w:t>水力侵蚀</w:t>
            </w:r>
          </w:p>
        </w:tc>
        <w:tc>
          <w:tcPr>
            <w:tcW w:w="2758" w:type="dxa"/>
            <w:gridSpan w:val="3"/>
            <w:vAlign w:val="center"/>
          </w:tcPr>
          <w:p>
            <w:pPr>
              <w:pStyle w:val="53"/>
              <w:jc w:val="center"/>
              <w:rPr>
                <w:rFonts w:eastAsia="仿宋_GB2312"/>
                <w:sz w:val="18"/>
                <w:szCs w:val="18"/>
              </w:rPr>
            </w:pPr>
            <w:r>
              <w:rPr>
                <w:rFonts w:eastAsia="仿宋_GB2312"/>
                <w:sz w:val="18"/>
                <w:szCs w:val="18"/>
              </w:rPr>
              <w:t>土壤侵蚀强度</w:t>
            </w:r>
          </w:p>
        </w:tc>
        <w:tc>
          <w:tcPr>
            <w:tcW w:w="2166" w:type="dxa"/>
            <w:gridSpan w:val="3"/>
            <w:vAlign w:val="center"/>
          </w:tcPr>
          <w:p>
            <w:pPr>
              <w:pStyle w:val="53"/>
              <w:jc w:val="center"/>
              <w:rPr>
                <w:rFonts w:eastAsia="仿宋_GB2312"/>
                <w:sz w:val="18"/>
                <w:szCs w:val="18"/>
              </w:rPr>
            </w:pPr>
            <w:r>
              <w:rPr>
                <w:rFonts w:eastAsia="仿宋_GB2312"/>
                <w:sz w:val="18"/>
                <w:szCs w:val="18"/>
              </w:rPr>
              <w:t>轻度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防治责任范围面积（hm</w:t>
            </w:r>
            <w:r>
              <w:rPr>
                <w:rFonts w:eastAsia="仿宋_GB2312"/>
                <w:sz w:val="18"/>
                <w:szCs w:val="18"/>
                <w:vertAlign w:val="superscript"/>
              </w:rPr>
              <w:t>2</w:t>
            </w:r>
            <w:r>
              <w:rPr>
                <w:rFonts w:eastAsia="仿宋_GB2312"/>
                <w:sz w:val="18"/>
                <w:szCs w:val="18"/>
              </w:rPr>
              <w:t>）</w:t>
            </w:r>
          </w:p>
        </w:tc>
        <w:tc>
          <w:tcPr>
            <w:tcW w:w="1335" w:type="dxa"/>
            <w:gridSpan w:val="2"/>
            <w:vAlign w:val="center"/>
          </w:tcPr>
          <w:p>
            <w:pPr>
              <w:pStyle w:val="53"/>
              <w:jc w:val="center"/>
              <w:rPr>
                <w:rFonts w:eastAsia="仿宋_GB2312"/>
                <w:sz w:val="18"/>
                <w:szCs w:val="18"/>
              </w:rPr>
            </w:pPr>
            <w:r>
              <w:rPr>
                <w:rFonts w:eastAsia="仿宋_GB2312"/>
                <w:sz w:val="18"/>
                <w:szCs w:val="18"/>
              </w:rPr>
              <w:t>1129.18</w:t>
            </w:r>
          </w:p>
        </w:tc>
        <w:tc>
          <w:tcPr>
            <w:tcW w:w="2758" w:type="dxa"/>
            <w:gridSpan w:val="3"/>
            <w:vAlign w:val="center"/>
          </w:tcPr>
          <w:p>
            <w:pPr>
              <w:pStyle w:val="53"/>
              <w:jc w:val="center"/>
              <w:rPr>
                <w:rFonts w:eastAsia="仿宋_GB2312"/>
                <w:sz w:val="18"/>
                <w:szCs w:val="18"/>
              </w:rPr>
            </w:pPr>
            <w:r>
              <w:rPr>
                <w:rFonts w:eastAsia="仿宋_GB2312"/>
                <w:sz w:val="18"/>
                <w:szCs w:val="18"/>
              </w:rPr>
              <w:t>容许土壤流失量</w:t>
            </w:r>
          </w:p>
          <w:p>
            <w:pPr>
              <w:pStyle w:val="53"/>
              <w:jc w:val="center"/>
              <w:rPr>
                <w:rFonts w:eastAsia="仿宋_GB2312"/>
                <w:sz w:val="18"/>
                <w:szCs w:val="18"/>
              </w:rPr>
            </w:pPr>
            <w:r>
              <w:rPr>
                <w:rFonts w:eastAsia="仿宋_GB2312"/>
                <w:sz w:val="18"/>
                <w:szCs w:val="18"/>
              </w:rPr>
              <w:t>〔t/（km</w:t>
            </w:r>
            <w:r>
              <w:rPr>
                <w:rFonts w:eastAsia="仿宋_GB2312"/>
                <w:sz w:val="18"/>
                <w:szCs w:val="18"/>
                <w:vertAlign w:val="superscript"/>
              </w:rPr>
              <w:t>2</w:t>
            </w:r>
            <w:r>
              <w:rPr>
                <w:rFonts w:eastAsia="仿宋_GB2312"/>
                <w:sz w:val="18"/>
                <w:szCs w:val="18"/>
              </w:rPr>
              <w:t>·a）〕</w:t>
            </w:r>
          </w:p>
        </w:tc>
        <w:tc>
          <w:tcPr>
            <w:tcW w:w="2166" w:type="dxa"/>
            <w:gridSpan w:val="3"/>
            <w:vAlign w:val="center"/>
          </w:tcPr>
          <w:p>
            <w:pPr>
              <w:pStyle w:val="53"/>
              <w:jc w:val="center"/>
              <w:rPr>
                <w:rFonts w:eastAsia="仿宋_GB2312"/>
                <w:sz w:val="18"/>
                <w:szCs w:val="18"/>
              </w:rPr>
            </w:pPr>
            <w:r>
              <w:rPr>
                <w:rFonts w:eastAsia="仿宋_GB2312"/>
                <w:sz w:val="18"/>
                <w:szCs w:val="18"/>
              </w:rPr>
              <w:t>500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土壤流失预测总量（t）</w:t>
            </w:r>
          </w:p>
        </w:tc>
        <w:tc>
          <w:tcPr>
            <w:tcW w:w="1335" w:type="dxa"/>
            <w:gridSpan w:val="2"/>
            <w:vAlign w:val="center"/>
          </w:tcPr>
          <w:p>
            <w:pPr>
              <w:pStyle w:val="53"/>
              <w:jc w:val="center"/>
              <w:rPr>
                <w:rFonts w:eastAsia="仿宋_GB2312"/>
                <w:sz w:val="18"/>
                <w:szCs w:val="18"/>
              </w:rPr>
            </w:pPr>
            <w:r>
              <w:rPr>
                <w:rFonts w:eastAsia="仿宋_GB2312"/>
                <w:sz w:val="18"/>
                <w:szCs w:val="18"/>
              </w:rPr>
              <w:t>11780</w:t>
            </w:r>
            <w:r>
              <w:rPr>
                <w:rFonts w:hint="eastAsia" w:eastAsia="仿宋_GB2312"/>
                <w:sz w:val="18"/>
                <w:szCs w:val="18"/>
              </w:rPr>
              <w:t>6</w:t>
            </w:r>
          </w:p>
        </w:tc>
        <w:tc>
          <w:tcPr>
            <w:tcW w:w="2758" w:type="dxa"/>
            <w:gridSpan w:val="3"/>
            <w:vAlign w:val="center"/>
          </w:tcPr>
          <w:p>
            <w:pPr>
              <w:pStyle w:val="53"/>
              <w:jc w:val="center"/>
              <w:rPr>
                <w:rFonts w:eastAsia="仿宋_GB2312"/>
                <w:sz w:val="18"/>
                <w:szCs w:val="18"/>
              </w:rPr>
            </w:pPr>
            <w:r>
              <w:rPr>
                <w:rFonts w:eastAsia="仿宋_GB2312"/>
                <w:sz w:val="18"/>
                <w:szCs w:val="18"/>
              </w:rPr>
              <w:t>新增土壤流失量（t）</w:t>
            </w:r>
          </w:p>
        </w:tc>
        <w:tc>
          <w:tcPr>
            <w:tcW w:w="2166" w:type="dxa"/>
            <w:gridSpan w:val="3"/>
            <w:vAlign w:val="center"/>
          </w:tcPr>
          <w:p>
            <w:pPr>
              <w:pStyle w:val="53"/>
              <w:jc w:val="center"/>
              <w:rPr>
                <w:rFonts w:eastAsia="仿宋_GB2312"/>
                <w:sz w:val="18"/>
                <w:szCs w:val="18"/>
              </w:rPr>
            </w:pPr>
            <w:r>
              <w:rPr>
                <w:rFonts w:eastAsia="仿宋_GB2312"/>
                <w:sz w:val="18"/>
                <w:szCs w:val="18"/>
              </w:rPr>
              <w:t>7839</w:t>
            </w:r>
            <w:r>
              <w:rPr>
                <w:rFonts w:hint="eastAsia" w:eastAsia="仿宋_GB2312"/>
                <w:sz w:val="18"/>
                <w:szCs w:val="18"/>
              </w:rPr>
              <w:t>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水土流失防治标准及执行等级</w:t>
            </w:r>
          </w:p>
        </w:tc>
        <w:tc>
          <w:tcPr>
            <w:tcW w:w="6259" w:type="dxa"/>
            <w:gridSpan w:val="8"/>
            <w:vAlign w:val="center"/>
          </w:tcPr>
          <w:p>
            <w:pPr>
              <w:pStyle w:val="53"/>
              <w:jc w:val="center"/>
              <w:rPr>
                <w:rFonts w:eastAsia="仿宋_GB2312"/>
                <w:sz w:val="18"/>
                <w:szCs w:val="18"/>
              </w:rPr>
            </w:pPr>
            <w:r>
              <w:rPr>
                <w:rFonts w:eastAsia="仿宋_GB2312"/>
                <w:sz w:val="18"/>
                <w:szCs w:val="18"/>
              </w:rPr>
              <w:t>西南紫色土区水土流失防治一级标准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957" w:type="dxa"/>
            <w:vMerge w:val="restart"/>
            <w:vAlign w:val="center"/>
          </w:tcPr>
          <w:p>
            <w:pPr>
              <w:pStyle w:val="53"/>
              <w:jc w:val="center"/>
              <w:rPr>
                <w:rFonts w:eastAsia="仿宋_GB2312"/>
                <w:sz w:val="18"/>
                <w:szCs w:val="18"/>
              </w:rPr>
            </w:pPr>
            <w:r>
              <w:rPr>
                <w:rFonts w:eastAsia="仿宋_GB2312"/>
                <w:sz w:val="18"/>
                <w:szCs w:val="18"/>
              </w:rPr>
              <w:t>防治</w:t>
            </w:r>
          </w:p>
          <w:p>
            <w:pPr>
              <w:pStyle w:val="53"/>
              <w:jc w:val="center"/>
              <w:rPr>
                <w:rFonts w:eastAsia="仿宋_GB2312"/>
                <w:sz w:val="18"/>
                <w:szCs w:val="18"/>
              </w:rPr>
            </w:pPr>
            <w:r>
              <w:rPr>
                <w:rFonts w:eastAsia="仿宋_GB2312"/>
                <w:sz w:val="18"/>
                <w:szCs w:val="18"/>
              </w:rPr>
              <w:t>目标</w:t>
            </w:r>
          </w:p>
        </w:tc>
        <w:tc>
          <w:tcPr>
            <w:tcW w:w="2066" w:type="dxa"/>
            <w:gridSpan w:val="4"/>
            <w:vAlign w:val="center"/>
          </w:tcPr>
          <w:p>
            <w:pPr>
              <w:pStyle w:val="53"/>
              <w:jc w:val="center"/>
              <w:rPr>
                <w:rFonts w:eastAsia="仿宋_GB2312"/>
                <w:sz w:val="18"/>
                <w:szCs w:val="18"/>
              </w:rPr>
            </w:pPr>
            <w:r>
              <w:rPr>
                <w:rFonts w:eastAsia="仿宋_GB2312"/>
                <w:sz w:val="18"/>
                <w:szCs w:val="18"/>
              </w:rPr>
              <w:t>水土流失治理度（%）</w:t>
            </w:r>
          </w:p>
        </w:tc>
        <w:tc>
          <w:tcPr>
            <w:tcW w:w="1335" w:type="dxa"/>
            <w:gridSpan w:val="2"/>
            <w:vAlign w:val="center"/>
          </w:tcPr>
          <w:p>
            <w:pPr>
              <w:pStyle w:val="53"/>
              <w:jc w:val="center"/>
              <w:rPr>
                <w:rFonts w:eastAsia="仿宋_GB2312"/>
                <w:sz w:val="18"/>
                <w:szCs w:val="18"/>
              </w:rPr>
            </w:pPr>
            <w:r>
              <w:rPr>
                <w:rFonts w:eastAsia="仿宋_GB2312"/>
                <w:sz w:val="18"/>
                <w:szCs w:val="18"/>
              </w:rPr>
              <w:t>97</w:t>
            </w:r>
          </w:p>
        </w:tc>
        <w:tc>
          <w:tcPr>
            <w:tcW w:w="2758" w:type="dxa"/>
            <w:gridSpan w:val="3"/>
            <w:vAlign w:val="center"/>
          </w:tcPr>
          <w:p>
            <w:pPr>
              <w:pStyle w:val="53"/>
              <w:jc w:val="center"/>
              <w:rPr>
                <w:rFonts w:eastAsia="仿宋_GB2312"/>
                <w:sz w:val="18"/>
                <w:szCs w:val="18"/>
              </w:rPr>
            </w:pPr>
            <w:r>
              <w:rPr>
                <w:rFonts w:eastAsia="仿宋_GB2312"/>
                <w:sz w:val="18"/>
                <w:szCs w:val="18"/>
              </w:rPr>
              <w:t>土壤流失控制比</w:t>
            </w:r>
          </w:p>
        </w:tc>
        <w:tc>
          <w:tcPr>
            <w:tcW w:w="2166" w:type="dxa"/>
            <w:gridSpan w:val="3"/>
            <w:vAlign w:val="center"/>
          </w:tcPr>
          <w:p>
            <w:pPr>
              <w:pStyle w:val="53"/>
              <w:jc w:val="center"/>
              <w:rPr>
                <w:rFonts w:eastAsia="仿宋_GB2312"/>
                <w:sz w:val="18"/>
                <w:szCs w:val="18"/>
              </w:rPr>
            </w:pPr>
            <w:r>
              <w:rPr>
                <w:rFonts w:eastAsia="仿宋_GB2312"/>
                <w:sz w:val="18"/>
                <w:szCs w:val="18"/>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957" w:type="dxa"/>
            <w:vMerge w:val="continue"/>
            <w:vAlign w:val="center"/>
          </w:tcPr>
          <w:p>
            <w:pPr>
              <w:pStyle w:val="53"/>
              <w:jc w:val="center"/>
              <w:rPr>
                <w:rFonts w:eastAsia="仿宋_GB2312"/>
                <w:sz w:val="18"/>
                <w:szCs w:val="18"/>
              </w:rPr>
            </w:pPr>
          </w:p>
        </w:tc>
        <w:tc>
          <w:tcPr>
            <w:tcW w:w="2066" w:type="dxa"/>
            <w:gridSpan w:val="4"/>
            <w:vAlign w:val="center"/>
          </w:tcPr>
          <w:p>
            <w:pPr>
              <w:pStyle w:val="53"/>
              <w:jc w:val="center"/>
              <w:rPr>
                <w:rFonts w:eastAsia="仿宋_GB2312"/>
                <w:sz w:val="18"/>
                <w:szCs w:val="18"/>
              </w:rPr>
            </w:pPr>
            <w:r>
              <w:rPr>
                <w:rFonts w:eastAsia="仿宋_GB2312"/>
                <w:sz w:val="18"/>
                <w:szCs w:val="18"/>
              </w:rPr>
              <w:t>渣土防护率（%）</w:t>
            </w:r>
          </w:p>
        </w:tc>
        <w:tc>
          <w:tcPr>
            <w:tcW w:w="1335" w:type="dxa"/>
            <w:gridSpan w:val="2"/>
            <w:vAlign w:val="center"/>
          </w:tcPr>
          <w:p>
            <w:pPr>
              <w:pStyle w:val="53"/>
              <w:jc w:val="center"/>
              <w:rPr>
                <w:rFonts w:eastAsia="仿宋_GB2312"/>
                <w:sz w:val="18"/>
                <w:szCs w:val="18"/>
              </w:rPr>
            </w:pPr>
            <w:r>
              <w:rPr>
                <w:rFonts w:eastAsia="仿宋_GB2312"/>
                <w:sz w:val="18"/>
                <w:szCs w:val="18"/>
              </w:rPr>
              <w:t>94</w:t>
            </w:r>
          </w:p>
        </w:tc>
        <w:tc>
          <w:tcPr>
            <w:tcW w:w="2758" w:type="dxa"/>
            <w:gridSpan w:val="3"/>
            <w:vAlign w:val="center"/>
          </w:tcPr>
          <w:p>
            <w:pPr>
              <w:pStyle w:val="53"/>
              <w:jc w:val="center"/>
              <w:rPr>
                <w:rFonts w:eastAsia="仿宋_GB2312"/>
                <w:sz w:val="18"/>
                <w:szCs w:val="18"/>
              </w:rPr>
            </w:pPr>
            <w:r>
              <w:rPr>
                <w:rFonts w:eastAsia="仿宋_GB2312"/>
                <w:sz w:val="18"/>
                <w:szCs w:val="18"/>
              </w:rPr>
              <w:t>表土保护率（%）</w:t>
            </w:r>
          </w:p>
        </w:tc>
        <w:tc>
          <w:tcPr>
            <w:tcW w:w="2166" w:type="dxa"/>
            <w:gridSpan w:val="3"/>
            <w:vAlign w:val="center"/>
          </w:tcPr>
          <w:p>
            <w:pPr>
              <w:pStyle w:val="53"/>
              <w:jc w:val="center"/>
              <w:rPr>
                <w:rFonts w:eastAsia="仿宋_GB2312"/>
                <w:sz w:val="18"/>
                <w:szCs w:val="18"/>
              </w:rPr>
            </w:pPr>
            <w:r>
              <w:rPr>
                <w:rFonts w:eastAsia="仿宋_GB2312"/>
                <w:sz w:val="18"/>
                <w:szCs w:val="18"/>
              </w:rPr>
              <w:t>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957" w:type="dxa"/>
            <w:vMerge w:val="continue"/>
            <w:vAlign w:val="center"/>
          </w:tcPr>
          <w:p>
            <w:pPr>
              <w:pStyle w:val="53"/>
              <w:jc w:val="center"/>
              <w:rPr>
                <w:rFonts w:eastAsia="仿宋_GB2312"/>
                <w:sz w:val="18"/>
                <w:szCs w:val="18"/>
              </w:rPr>
            </w:pPr>
          </w:p>
        </w:tc>
        <w:tc>
          <w:tcPr>
            <w:tcW w:w="2066" w:type="dxa"/>
            <w:gridSpan w:val="4"/>
            <w:vAlign w:val="center"/>
          </w:tcPr>
          <w:p>
            <w:pPr>
              <w:pStyle w:val="53"/>
              <w:jc w:val="center"/>
              <w:rPr>
                <w:rFonts w:eastAsia="仿宋_GB2312"/>
                <w:sz w:val="18"/>
                <w:szCs w:val="18"/>
              </w:rPr>
            </w:pPr>
            <w:r>
              <w:rPr>
                <w:rFonts w:eastAsia="仿宋_GB2312"/>
                <w:sz w:val="18"/>
                <w:szCs w:val="18"/>
              </w:rPr>
              <w:t>林草植被恢复率（%）</w:t>
            </w:r>
          </w:p>
        </w:tc>
        <w:tc>
          <w:tcPr>
            <w:tcW w:w="1335" w:type="dxa"/>
            <w:gridSpan w:val="2"/>
            <w:vAlign w:val="center"/>
          </w:tcPr>
          <w:p>
            <w:pPr>
              <w:pStyle w:val="53"/>
              <w:jc w:val="center"/>
              <w:rPr>
                <w:rFonts w:eastAsia="仿宋_GB2312"/>
                <w:sz w:val="18"/>
                <w:szCs w:val="18"/>
              </w:rPr>
            </w:pPr>
            <w:r>
              <w:rPr>
                <w:rFonts w:eastAsia="仿宋_GB2312"/>
                <w:sz w:val="18"/>
                <w:szCs w:val="18"/>
              </w:rPr>
              <w:t>97</w:t>
            </w:r>
          </w:p>
        </w:tc>
        <w:tc>
          <w:tcPr>
            <w:tcW w:w="2758" w:type="dxa"/>
            <w:gridSpan w:val="3"/>
            <w:vAlign w:val="center"/>
          </w:tcPr>
          <w:p>
            <w:pPr>
              <w:pStyle w:val="53"/>
              <w:jc w:val="center"/>
              <w:rPr>
                <w:rFonts w:eastAsia="仿宋_GB2312"/>
                <w:sz w:val="18"/>
                <w:szCs w:val="18"/>
              </w:rPr>
            </w:pPr>
            <w:r>
              <w:rPr>
                <w:rFonts w:eastAsia="仿宋_GB2312"/>
                <w:sz w:val="18"/>
                <w:szCs w:val="18"/>
              </w:rPr>
              <w:t>林草覆盖率（%）</w:t>
            </w:r>
          </w:p>
        </w:tc>
        <w:tc>
          <w:tcPr>
            <w:tcW w:w="2166" w:type="dxa"/>
            <w:gridSpan w:val="3"/>
            <w:vAlign w:val="center"/>
          </w:tcPr>
          <w:p>
            <w:pPr>
              <w:pStyle w:val="53"/>
              <w:jc w:val="center"/>
              <w:rPr>
                <w:rFonts w:eastAsia="仿宋_GB2312"/>
                <w:sz w:val="18"/>
                <w:szCs w:val="18"/>
              </w:rPr>
            </w:pPr>
            <w:r>
              <w:rPr>
                <w:rFonts w:eastAsia="仿宋_GB2312"/>
                <w:sz w:val="18"/>
                <w:szCs w:val="18"/>
              </w:rPr>
              <w:t>23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957" w:type="dxa"/>
            <w:vMerge w:val="restart"/>
            <w:vAlign w:val="center"/>
          </w:tcPr>
          <w:p>
            <w:pPr>
              <w:pStyle w:val="53"/>
              <w:jc w:val="center"/>
              <w:rPr>
                <w:rFonts w:eastAsia="仿宋_GB2312"/>
                <w:sz w:val="18"/>
                <w:szCs w:val="18"/>
              </w:rPr>
            </w:pPr>
            <w:r>
              <w:rPr>
                <w:rFonts w:eastAsia="仿宋_GB2312"/>
                <w:sz w:val="18"/>
                <w:szCs w:val="18"/>
              </w:rPr>
              <w:t>防治措施及工程量</w:t>
            </w:r>
          </w:p>
        </w:tc>
        <w:tc>
          <w:tcPr>
            <w:tcW w:w="2066" w:type="dxa"/>
            <w:gridSpan w:val="4"/>
            <w:vAlign w:val="center"/>
          </w:tcPr>
          <w:p>
            <w:pPr>
              <w:pStyle w:val="53"/>
              <w:jc w:val="center"/>
              <w:rPr>
                <w:rFonts w:eastAsia="仿宋_GB2312"/>
                <w:sz w:val="18"/>
                <w:szCs w:val="18"/>
              </w:rPr>
            </w:pPr>
            <w:r>
              <w:rPr>
                <w:rFonts w:eastAsia="仿宋_GB2312"/>
                <w:sz w:val="18"/>
                <w:szCs w:val="18"/>
              </w:rPr>
              <w:t>防治分区</w:t>
            </w:r>
          </w:p>
        </w:tc>
        <w:tc>
          <w:tcPr>
            <w:tcW w:w="2102" w:type="dxa"/>
            <w:gridSpan w:val="3"/>
            <w:vAlign w:val="center"/>
          </w:tcPr>
          <w:p>
            <w:pPr>
              <w:pStyle w:val="53"/>
              <w:jc w:val="center"/>
              <w:rPr>
                <w:rFonts w:eastAsia="仿宋_GB2312"/>
                <w:sz w:val="18"/>
                <w:szCs w:val="18"/>
              </w:rPr>
            </w:pPr>
            <w:r>
              <w:rPr>
                <w:rFonts w:eastAsia="仿宋_GB2312"/>
                <w:sz w:val="18"/>
                <w:szCs w:val="18"/>
              </w:rPr>
              <w:t>工程措施</w:t>
            </w:r>
          </w:p>
        </w:tc>
        <w:tc>
          <w:tcPr>
            <w:tcW w:w="1991" w:type="dxa"/>
            <w:gridSpan w:val="2"/>
            <w:vAlign w:val="center"/>
          </w:tcPr>
          <w:p>
            <w:pPr>
              <w:pStyle w:val="53"/>
              <w:jc w:val="center"/>
              <w:rPr>
                <w:rFonts w:eastAsia="仿宋_GB2312"/>
                <w:sz w:val="18"/>
                <w:szCs w:val="18"/>
              </w:rPr>
            </w:pPr>
            <w:r>
              <w:rPr>
                <w:rFonts w:eastAsia="仿宋_GB2312"/>
                <w:sz w:val="18"/>
                <w:szCs w:val="18"/>
              </w:rPr>
              <w:t>植物措施</w:t>
            </w:r>
          </w:p>
        </w:tc>
        <w:tc>
          <w:tcPr>
            <w:tcW w:w="2166" w:type="dxa"/>
            <w:gridSpan w:val="3"/>
            <w:vAlign w:val="center"/>
          </w:tcPr>
          <w:p>
            <w:pPr>
              <w:pStyle w:val="53"/>
              <w:jc w:val="center"/>
              <w:rPr>
                <w:rFonts w:eastAsia="仿宋_GB2312"/>
                <w:sz w:val="18"/>
                <w:szCs w:val="18"/>
              </w:rPr>
            </w:pPr>
            <w:r>
              <w:rPr>
                <w:rFonts w:eastAsia="仿宋_GB2312"/>
                <w:sz w:val="18"/>
                <w:szCs w:val="18"/>
              </w:rPr>
              <w:t>临时措施</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3" w:hRule="atLeast"/>
        </w:trPr>
        <w:tc>
          <w:tcPr>
            <w:tcW w:w="957" w:type="dxa"/>
            <w:vMerge w:val="continue"/>
            <w:vAlign w:val="center"/>
          </w:tcPr>
          <w:p>
            <w:pPr>
              <w:pStyle w:val="53"/>
              <w:jc w:val="center"/>
              <w:rPr>
                <w:rFonts w:eastAsia="仿宋_GB2312"/>
                <w:sz w:val="18"/>
                <w:szCs w:val="18"/>
              </w:rPr>
            </w:pPr>
          </w:p>
        </w:tc>
        <w:tc>
          <w:tcPr>
            <w:tcW w:w="528" w:type="dxa"/>
            <w:gridSpan w:val="2"/>
            <w:vMerge w:val="restart"/>
            <w:vAlign w:val="center"/>
          </w:tcPr>
          <w:p>
            <w:pPr>
              <w:pStyle w:val="53"/>
              <w:jc w:val="center"/>
              <w:rPr>
                <w:rFonts w:eastAsia="仿宋_GB2312"/>
                <w:sz w:val="18"/>
                <w:szCs w:val="18"/>
              </w:rPr>
            </w:pPr>
            <w:r>
              <w:rPr>
                <w:rFonts w:eastAsia="仿宋_GB2312"/>
                <w:sz w:val="18"/>
                <w:szCs w:val="18"/>
              </w:rPr>
              <w:t>近期建设区</w:t>
            </w:r>
          </w:p>
        </w:tc>
        <w:tc>
          <w:tcPr>
            <w:tcW w:w="922" w:type="dxa"/>
            <w:vMerge w:val="restart"/>
            <w:vAlign w:val="center"/>
          </w:tcPr>
          <w:p>
            <w:pPr>
              <w:pStyle w:val="53"/>
              <w:jc w:val="center"/>
              <w:rPr>
                <w:rFonts w:eastAsia="仿宋_GB2312"/>
                <w:sz w:val="18"/>
                <w:szCs w:val="18"/>
              </w:rPr>
            </w:pPr>
            <w:r>
              <w:rPr>
                <w:rFonts w:eastAsia="仿宋_GB2312"/>
                <w:sz w:val="18"/>
                <w:szCs w:val="18"/>
              </w:rPr>
              <w:t>工业用地区</w:t>
            </w:r>
          </w:p>
        </w:tc>
        <w:tc>
          <w:tcPr>
            <w:tcW w:w="616" w:type="dxa"/>
            <w:tcBorders>
              <w:bottom w:val="single" w:color="auto" w:sz="4" w:space="0"/>
            </w:tcBorders>
            <w:vAlign w:val="center"/>
          </w:tcPr>
          <w:p>
            <w:pPr>
              <w:pStyle w:val="53"/>
              <w:jc w:val="center"/>
              <w:rPr>
                <w:rFonts w:eastAsia="仿宋_GB2312"/>
                <w:sz w:val="18"/>
                <w:szCs w:val="18"/>
              </w:rPr>
            </w:pPr>
            <w:r>
              <w:rPr>
                <w:rFonts w:eastAsia="仿宋_GB2312"/>
                <w:sz w:val="18"/>
                <w:szCs w:val="18"/>
              </w:rPr>
              <w:t>已建区</w:t>
            </w:r>
          </w:p>
        </w:tc>
        <w:tc>
          <w:tcPr>
            <w:tcW w:w="2102" w:type="dxa"/>
            <w:gridSpan w:val="3"/>
            <w:tcBorders>
              <w:bottom w:val="single" w:color="auto" w:sz="4" w:space="0"/>
            </w:tcBorders>
            <w:vAlign w:val="center"/>
          </w:tcPr>
          <w:p>
            <w:pPr>
              <w:pStyle w:val="53"/>
              <w:jc w:val="center"/>
              <w:rPr>
                <w:rFonts w:eastAsia="仿宋_GB2312"/>
                <w:sz w:val="18"/>
                <w:szCs w:val="18"/>
              </w:rPr>
            </w:pPr>
            <w:r>
              <w:rPr>
                <w:rFonts w:eastAsia="仿宋_GB2312"/>
                <w:sz w:val="18"/>
                <w:szCs w:val="18"/>
                <w:u w:val="single"/>
              </w:rPr>
              <w:t>表土剥离3.94万m</w:t>
            </w:r>
            <w:r>
              <w:rPr>
                <w:rFonts w:eastAsia="仿宋_GB2312"/>
                <w:sz w:val="18"/>
                <w:szCs w:val="18"/>
                <w:u w:val="single"/>
                <w:vertAlign w:val="superscript"/>
              </w:rPr>
              <w:t>3</w:t>
            </w:r>
            <w:r>
              <w:rPr>
                <w:rFonts w:eastAsia="仿宋_GB2312"/>
                <w:sz w:val="18"/>
                <w:szCs w:val="18"/>
                <w:u w:val="single"/>
              </w:rPr>
              <w:t>、表土回覆3.94万m</w:t>
            </w:r>
            <w:r>
              <w:rPr>
                <w:rFonts w:eastAsia="仿宋_GB2312"/>
                <w:sz w:val="18"/>
                <w:szCs w:val="18"/>
                <w:u w:val="single"/>
                <w:vertAlign w:val="superscript"/>
              </w:rPr>
              <w:t>3</w:t>
            </w:r>
          </w:p>
        </w:tc>
        <w:tc>
          <w:tcPr>
            <w:tcW w:w="1991" w:type="dxa"/>
            <w:gridSpan w:val="2"/>
            <w:tcBorders>
              <w:bottom w:val="single" w:color="auto" w:sz="4" w:space="0"/>
            </w:tcBorders>
            <w:vAlign w:val="center"/>
          </w:tcPr>
          <w:p>
            <w:pPr>
              <w:pStyle w:val="53"/>
              <w:jc w:val="center"/>
              <w:rPr>
                <w:rFonts w:eastAsia="仿宋_GB2312"/>
                <w:sz w:val="18"/>
                <w:szCs w:val="18"/>
              </w:rPr>
            </w:pPr>
          </w:p>
        </w:tc>
        <w:tc>
          <w:tcPr>
            <w:tcW w:w="2166" w:type="dxa"/>
            <w:gridSpan w:val="3"/>
            <w:tcBorders>
              <w:bottom w:val="single" w:color="auto" w:sz="4" w:space="0"/>
            </w:tcBorders>
            <w:vAlign w:val="center"/>
          </w:tcPr>
          <w:p>
            <w:pPr>
              <w:pStyle w:val="53"/>
              <w:jc w:val="center"/>
              <w:rPr>
                <w:rFonts w:eastAsia="仿宋_GB2312"/>
                <w:sz w:val="18"/>
                <w:szCs w:val="18"/>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8"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continue"/>
            <w:vAlign w:val="center"/>
          </w:tcPr>
          <w:p>
            <w:pPr>
              <w:pStyle w:val="53"/>
              <w:jc w:val="center"/>
              <w:rPr>
                <w:rFonts w:eastAsia="仿宋_GB2312"/>
                <w:sz w:val="18"/>
                <w:szCs w:val="18"/>
              </w:rPr>
            </w:pPr>
          </w:p>
        </w:tc>
        <w:tc>
          <w:tcPr>
            <w:tcW w:w="616" w:type="dxa"/>
            <w:tcBorders>
              <w:top w:val="single" w:color="auto" w:sz="4" w:space="0"/>
            </w:tcBorders>
            <w:vAlign w:val="center"/>
          </w:tcPr>
          <w:p>
            <w:pPr>
              <w:pStyle w:val="53"/>
              <w:jc w:val="center"/>
              <w:rPr>
                <w:rFonts w:eastAsia="仿宋_GB2312"/>
                <w:sz w:val="18"/>
                <w:szCs w:val="18"/>
              </w:rPr>
            </w:pPr>
            <w:r>
              <w:rPr>
                <w:rFonts w:eastAsia="仿宋_GB2312"/>
                <w:sz w:val="18"/>
                <w:szCs w:val="18"/>
              </w:rPr>
              <w:t>在建区</w:t>
            </w:r>
          </w:p>
        </w:tc>
        <w:tc>
          <w:tcPr>
            <w:tcW w:w="2102" w:type="dxa"/>
            <w:gridSpan w:val="3"/>
            <w:tcBorders>
              <w:top w:val="single" w:color="auto" w:sz="4" w:space="0"/>
            </w:tcBorders>
            <w:vAlign w:val="center"/>
          </w:tcPr>
          <w:p>
            <w:pPr>
              <w:pStyle w:val="53"/>
              <w:jc w:val="center"/>
              <w:rPr>
                <w:rFonts w:eastAsia="仿宋_GB2312"/>
                <w:sz w:val="18"/>
                <w:szCs w:val="18"/>
                <w:u w:val="single"/>
              </w:rPr>
            </w:pPr>
            <w:r>
              <w:rPr>
                <w:rFonts w:eastAsia="仿宋_GB2312"/>
                <w:sz w:val="18"/>
                <w:szCs w:val="18"/>
                <w:u w:val="single"/>
              </w:rPr>
              <w:t>表土剥离11.50万m</w:t>
            </w:r>
            <w:r>
              <w:rPr>
                <w:rFonts w:eastAsia="仿宋_GB2312"/>
                <w:sz w:val="18"/>
                <w:szCs w:val="18"/>
                <w:u w:val="single"/>
                <w:vertAlign w:val="superscript"/>
              </w:rPr>
              <w:t>3</w:t>
            </w:r>
            <w:r>
              <w:rPr>
                <w:rFonts w:eastAsia="仿宋_GB2312"/>
                <w:sz w:val="18"/>
                <w:szCs w:val="18"/>
                <w:u w:val="single"/>
              </w:rPr>
              <w:t>、表土回覆7.68万m</w:t>
            </w:r>
            <w:r>
              <w:rPr>
                <w:rFonts w:eastAsia="仿宋_GB2312"/>
                <w:sz w:val="18"/>
                <w:szCs w:val="18"/>
                <w:u w:val="single"/>
                <w:vertAlign w:val="superscript"/>
              </w:rPr>
              <w:t>3</w:t>
            </w:r>
          </w:p>
        </w:tc>
        <w:tc>
          <w:tcPr>
            <w:tcW w:w="1991" w:type="dxa"/>
            <w:gridSpan w:val="2"/>
            <w:tcBorders>
              <w:top w:val="single" w:color="auto" w:sz="4" w:space="0"/>
            </w:tcBorders>
            <w:vAlign w:val="center"/>
          </w:tcPr>
          <w:p>
            <w:pPr>
              <w:pStyle w:val="53"/>
              <w:jc w:val="center"/>
              <w:rPr>
                <w:rFonts w:eastAsia="仿宋_GB2312"/>
                <w:sz w:val="18"/>
                <w:szCs w:val="18"/>
              </w:rPr>
            </w:pPr>
          </w:p>
        </w:tc>
        <w:tc>
          <w:tcPr>
            <w:tcW w:w="2166" w:type="dxa"/>
            <w:gridSpan w:val="3"/>
            <w:tcBorders>
              <w:top w:val="single" w:color="auto" w:sz="4" w:space="0"/>
            </w:tcBorders>
            <w:vAlign w:val="center"/>
          </w:tcPr>
          <w:p>
            <w:pPr>
              <w:pStyle w:val="53"/>
              <w:jc w:val="center"/>
              <w:rPr>
                <w:rFonts w:eastAsia="仿宋_GB2312"/>
                <w:sz w:val="18"/>
                <w:szCs w:val="18"/>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1"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continue"/>
            <w:vAlign w:val="center"/>
          </w:tcPr>
          <w:p>
            <w:pPr>
              <w:pStyle w:val="53"/>
              <w:jc w:val="center"/>
              <w:rPr>
                <w:rFonts w:eastAsia="仿宋_GB2312"/>
                <w:sz w:val="18"/>
                <w:szCs w:val="18"/>
              </w:rPr>
            </w:pPr>
          </w:p>
        </w:tc>
        <w:tc>
          <w:tcPr>
            <w:tcW w:w="616" w:type="dxa"/>
            <w:vAlign w:val="center"/>
          </w:tcPr>
          <w:p>
            <w:pPr>
              <w:pStyle w:val="53"/>
              <w:jc w:val="center"/>
              <w:rPr>
                <w:rFonts w:eastAsia="仿宋_GB2312"/>
                <w:sz w:val="18"/>
                <w:szCs w:val="18"/>
              </w:rPr>
            </w:pPr>
            <w:r>
              <w:rPr>
                <w:rFonts w:eastAsia="仿宋_GB2312"/>
                <w:sz w:val="18"/>
                <w:szCs w:val="18"/>
              </w:rPr>
              <w:t>未建区</w:t>
            </w:r>
          </w:p>
        </w:tc>
        <w:tc>
          <w:tcPr>
            <w:tcW w:w="2102" w:type="dxa"/>
            <w:gridSpan w:val="3"/>
            <w:vAlign w:val="center"/>
          </w:tcPr>
          <w:p>
            <w:pPr>
              <w:pStyle w:val="53"/>
              <w:jc w:val="center"/>
              <w:rPr>
                <w:rFonts w:eastAsia="仿宋_GB2312"/>
                <w:sz w:val="18"/>
                <w:szCs w:val="18"/>
              </w:rPr>
            </w:pPr>
            <w:r>
              <w:rPr>
                <w:rFonts w:eastAsia="仿宋_GB2312"/>
                <w:sz w:val="18"/>
                <w:szCs w:val="18"/>
              </w:rPr>
              <w:t>表土剥离62.11万m</w:t>
            </w:r>
            <w:r>
              <w:rPr>
                <w:rFonts w:eastAsia="仿宋_GB2312"/>
                <w:sz w:val="18"/>
                <w:szCs w:val="18"/>
                <w:vertAlign w:val="superscript"/>
              </w:rPr>
              <w:t>3</w:t>
            </w:r>
            <w:r>
              <w:rPr>
                <w:rFonts w:eastAsia="仿宋_GB2312"/>
                <w:sz w:val="18"/>
                <w:szCs w:val="18"/>
              </w:rPr>
              <w:t>、表土回覆34.80万m</w:t>
            </w:r>
            <w:r>
              <w:rPr>
                <w:rFonts w:eastAsia="仿宋_GB2312"/>
                <w:sz w:val="18"/>
                <w:szCs w:val="18"/>
                <w:vertAlign w:val="superscript"/>
              </w:rPr>
              <w:t>3</w:t>
            </w:r>
          </w:p>
        </w:tc>
        <w:tc>
          <w:tcPr>
            <w:tcW w:w="1991" w:type="dxa"/>
            <w:gridSpan w:val="2"/>
            <w:vAlign w:val="center"/>
          </w:tcPr>
          <w:p>
            <w:pPr>
              <w:pStyle w:val="53"/>
              <w:jc w:val="center"/>
              <w:rPr>
                <w:rFonts w:eastAsia="仿宋_GB2312"/>
                <w:sz w:val="18"/>
                <w:szCs w:val="18"/>
              </w:rPr>
            </w:pPr>
          </w:p>
        </w:tc>
        <w:tc>
          <w:tcPr>
            <w:tcW w:w="2166" w:type="dxa"/>
            <w:gridSpan w:val="3"/>
            <w:vAlign w:val="center"/>
          </w:tcPr>
          <w:p>
            <w:pPr>
              <w:pStyle w:val="53"/>
              <w:jc w:val="center"/>
              <w:rPr>
                <w:rFonts w:eastAsia="仿宋_GB2312"/>
                <w:sz w:val="18"/>
                <w:szCs w:val="18"/>
              </w:rPr>
            </w:pPr>
            <w:r>
              <w:rPr>
                <w:rFonts w:eastAsia="仿宋_GB2312"/>
                <w:sz w:val="18"/>
                <w:szCs w:val="18"/>
              </w:rPr>
              <w:t>截排水沟5017m、沉沙池24座、防雨布苫盖29.93hm</w:t>
            </w:r>
            <w:r>
              <w:rPr>
                <w:rFonts w:eastAsia="仿宋_GB2312"/>
                <w:sz w:val="18"/>
                <w:szCs w:val="18"/>
                <w:vertAlign w:val="superscript"/>
              </w:rPr>
              <w:t>2</w:t>
            </w:r>
            <w:r>
              <w:rPr>
                <w:rFonts w:eastAsia="仿宋_GB2312"/>
                <w:sz w:val="18"/>
                <w:szCs w:val="18"/>
              </w:rPr>
              <w:t>、洗车池6座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99"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restart"/>
            <w:vAlign w:val="center"/>
          </w:tcPr>
          <w:p>
            <w:pPr>
              <w:pStyle w:val="53"/>
              <w:jc w:val="center"/>
              <w:rPr>
                <w:rFonts w:eastAsia="仿宋_GB2312"/>
                <w:sz w:val="18"/>
                <w:szCs w:val="18"/>
              </w:rPr>
            </w:pPr>
            <w:r>
              <w:rPr>
                <w:rFonts w:eastAsia="仿宋_GB2312"/>
                <w:sz w:val="18"/>
                <w:szCs w:val="18"/>
              </w:rPr>
              <w:t>道路与交通设施用地区</w:t>
            </w:r>
          </w:p>
        </w:tc>
        <w:tc>
          <w:tcPr>
            <w:tcW w:w="616" w:type="dxa"/>
            <w:vAlign w:val="center"/>
          </w:tcPr>
          <w:p>
            <w:pPr>
              <w:pStyle w:val="53"/>
              <w:jc w:val="center"/>
              <w:rPr>
                <w:rFonts w:eastAsia="仿宋_GB2312"/>
                <w:sz w:val="18"/>
                <w:szCs w:val="18"/>
              </w:rPr>
            </w:pPr>
            <w:r>
              <w:rPr>
                <w:rFonts w:eastAsia="仿宋_GB2312"/>
                <w:sz w:val="18"/>
                <w:szCs w:val="18"/>
              </w:rPr>
              <w:t>已建区</w:t>
            </w:r>
          </w:p>
        </w:tc>
        <w:tc>
          <w:tcPr>
            <w:tcW w:w="2102" w:type="dxa"/>
            <w:gridSpan w:val="3"/>
            <w:vAlign w:val="center"/>
          </w:tcPr>
          <w:p>
            <w:pPr>
              <w:pStyle w:val="53"/>
              <w:jc w:val="center"/>
              <w:rPr>
                <w:rFonts w:eastAsia="仿宋_GB2312"/>
                <w:sz w:val="18"/>
                <w:szCs w:val="18"/>
              </w:rPr>
            </w:pPr>
            <w:r>
              <w:rPr>
                <w:rFonts w:eastAsia="仿宋_GB2312"/>
                <w:sz w:val="18"/>
                <w:szCs w:val="18"/>
                <w:u w:val="single"/>
              </w:rPr>
              <w:t>表土回覆2.41万m</w:t>
            </w:r>
            <w:r>
              <w:rPr>
                <w:rFonts w:eastAsia="仿宋_GB2312"/>
                <w:sz w:val="18"/>
                <w:szCs w:val="18"/>
                <w:u w:val="single"/>
                <w:vertAlign w:val="superscript"/>
              </w:rPr>
              <w:t>3</w:t>
            </w:r>
            <w:r>
              <w:rPr>
                <w:rFonts w:eastAsia="仿宋_GB2312"/>
                <w:sz w:val="18"/>
                <w:szCs w:val="18"/>
                <w:u w:val="single"/>
              </w:rPr>
              <w:t>、雨水管2236m、雨水口45个</w:t>
            </w:r>
          </w:p>
        </w:tc>
        <w:tc>
          <w:tcPr>
            <w:tcW w:w="1991" w:type="dxa"/>
            <w:gridSpan w:val="2"/>
            <w:vAlign w:val="center"/>
          </w:tcPr>
          <w:p>
            <w:pPr>
              <w:pStyle w:val="53"/>
              <w:jc w:val="center"/>
              <w:rPr>
                <w:rFonts w:eastAsia="仿宋_GB2312"/>
                <w:sz w:val="18"/>
                <w:szCs w:val="18"/>
              </w:rPr>
            </w:pPr>
            <w:r>
              <w:rPr>
                <w:rFonts w:eastAsia="仿宋_GB2312"/>
                <w:sz w:val="18"/>
                <w:szCs w:val="18"/>
                <w:u w:val="single"/>
              </w:rPr>
              <w:t>行道树516株/0.07hm</w:t>
            </w:r>
            <w:r>
              <w:rPr>
                <w:rFonts w:eastAsia="仿宋_GB2312"/>
                <w:sz w:val="18"/>
                <w:szCs w:val="18"/>
                <w:u w:val="single"/>
                <w:vertAlign w:val="superscript"/>
              </w:rPr>
              <w:t>2</w:t>
            </w:r>
            <w:r>
              <w:rPr>
                <w:rFonts w:eastAsia="仿宋_GB2312"/>
                <w:sz w:val="18"/>
                <w:szCs w:val="18"/>
                <w:u w:val="single"/>
              </w:rPr>
              <w:t>、绿化带绿化2.04hm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7"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continue"/>
            <w:vAlign w:val="center"/>
          </w:tcPr>
          <w:p>
            <w:pPr>
              <w:pStyle w:val="53"/>
              <w:jc w:val="center"/>
              <w:rPr>
                <w:rFonts w:eastAsia="仿宋_GB2312"/>
                <w:sz w:val="18"/>
                <w:szCs w:val="18"/>
              </w:rPr>
            </w:pPr>
          </w:p>
        </w:tc>
        <w:tc>
          <w:tcPr>
            <w:tcW w:w="616" w:type="dxa"/>
            <w:vAlign w:val="center"/>
          </w:tcPr>
          <w:p>
            <w:pPr>
              <w:pStyle w:val="53"/>
              <w:jc w:val="center"/>
              <w:rPr>
                <w:rFonts w:eastAsia="仿宋_GB2312"/>
                <w:sz w:val="18"/>
                <w:szCs w:val="18"/>
              </w:rPr>
            </w:pPr>
            <w:r>
              <w:rPr>
                <w:rFonts w:eastAsia="仿宋_GB2312"/>
                <w:sz w:val="18"/>
                <w:szCs w:val="18"/>
              </w:rPr>
              <w:t>在建区</w:t>
            </w:r>
          </w:p>
        </w:tc>
        <w:tc>
          <w:tcPr>
            <w:tcW w:w="2102" w:type="dxa"/>
            <w:gridSpan w:val="3"/>
            <w:vAlign w:val="center"/>
          </w:tcPr>
          <w:p>
            <w:pPr>
              <w:pStyle w:val="53"/>
              <w:jc w:val="center"/>
              <w:rPr>
                <w:rFonts w:eastAsia="仿宋_GB2312"/>
                <w:sz w:val="18"/>
                <w:szCs w:val="18"/>
              </w:rPr>
            </w:pPr>
            <w:r>
              <w:rPr>
                <w:rFonts w:eastAsia="仿宋_GB2312"/>
                <w:sz w:val="18"/>
                <w:szCs w:val="18"/>
                <w:u w:val="single"/>
              </w:rPr>
              <w:t>表土剥离3.94万m</w:t>
            </w:r>
            <w:r>
              <w:rPr>
                <w:rFonts w:eastAsia="仿宋_GB2312"/>
                <w:sz w:val="18"/>
                <w:szCs w:val="18"/>
                <w:u w:val="single"/>
                <w:vertAlign w:val="superscript"/>
              </w:rPr>
              <w:t>3</w:t>
            </w:r>
            <w:r>
              <w:rPr>
                <w:rFonts w:eastAsia="仿宋_GB2312"/>
                <w:sz w:val="18"/>
                <w:szCs w:val="18"/>
                <w:u w:val="single"/>
              </w:rPr>
              <w:t>、表土回覆3.94万m</w:t>
            </w:r>
            <w:r>
              <w:rPr>
                <w:rFonts w:eastAsia="仿宋_GB2312"/>
                <w:sz w:val="18"/>
                <w:szCs w:val="18"/>
                <w:u w:val="single"/>
                <w:vertAlign w:val="superscript"/>
              </w:rPr>
              <w:t>3</w:t>
            </w:r>
            <w:r>
              <w:rPr>
                <w:rFonts w:eastAsia="仿宋_GB2312"/>
                <w:sz w:val="18"/>
                <w:szCs w:val="18"/>
                <w:u w:val="single"/>
              </w:rPr>
              <w:t>、雨水管6480m、雨水口130个</w:t>
            </w:r>
          </w:p>
        </w:tc>
        <w:tc>
          <w:tcPr>
            <w:tcW w:w="1991" w:type="dxa"/>
            <w:gridSpan w:val="2"/>
            <w:vAlign w:val="center"/>
          </w:tcPr>
          <w:p>
            <w:pPr>
              <w:pStyle w:val="53"/>
              <w:jc w:val="center"/>
              <w:rPr>
                <w:rFonts w:eastAsia="仿宋_GB2312"/>
                <w:sz w:val="18"/>
                <w:szCs w:val="18"/>
              </w:rPr>
            </w:pPr>
            <w:r>
              <w:rPr>
                <w:rFonts w:eastAsia="仿宋_GB2312"/>
                <w:sz w:val="18"/>
                <w:szCs w:val="18"/>
                <w:u w:val="single"/>
              </w:rPr>
              <w:t>行道树1980株/0.29hm</w:t>
            </w:r>
            <w:r>
              <w:rPr>
                <w:rFonts w:eastAsia="仿宋_GB2312"/>
                <w:sz w:val="18"/>
                <w:szCs w:val="18"/>
                <w:u w:val="single"/>
                <w:vertAlign w:val="superscript"/>
              </w:rPr>
              <w:t>2</w:t>
            </w:r>
            <w:r>
              <w:rPr>
                <w:rFonts w:eastAsia="仿宋_GB2312"/>
                <w:sz w:val="18"/>
                <w:szCs w:val="18"/>
                <w:u w:val="single"/>
              </w:rPr>
              <w:t>、绿化带绿化2.93hm</w:t>
            </w:r>
            <w:r>
              <w:rPr>
                <w:rFonts w:eastAsia="仿宋_GB2312"/>
                <w:sz w:val="18"/>
                <w:szCs w:val="18"/>
                <w:u w:val="single"/>
                <w:vertAlign w:val="superscript"/>
              </w:rPr>
              <w:t>2</w:t>
            </w:r>
            <w:r>
              <w:rPr>
                <w:rFonts w:eastAsia="仿宋_GB2312"/>
                <w:sz w:val="18"/>
                <w:szCs w:val="18"/>
                <w:u w:val="single"/>
              </w:rPr>
              <w:t>、喷播植草7.25hm</w:t>
            </w:r>
            <w:r>
              <w:rPr>
                <w:rFonts w:eastAsia="仿宋_GB2312"/>
                <w:sz w:val="18"/>
                <w:szCs w:val="18"/>
                <w:u w:val="single"/>
                <w:vertAlign w:val="superscript"/>
              </w:rPr>
              <w:t>2</w:t>
            </w:r>
            <w:r>
              <w:rPr>
                <w:rFonts w:eastAsia="仿宋_GB2312"/>
                <w:sz w:val="18"/>
                <w:szCs w:val="18"/>
                <w:u w:val="single"/>
              </w:rPr>
              <w:t>、挂三维网植草3.11hm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r>
              <w:rPr>
                <w:rFonts w:eastAsia="仿宋_GB2312"/>
                <w:sz w:val="18"/>
                <w:szCs w:val="18"/>
              </w:rPr>
              <w:t>截排水沟3244m、沉沙池13座、防雨布苫盖10.36hm</w:t>
            </w:r>
            <w:r>
              <w:rPr>
                <w:rFonts w:eastAsia="仿宋_GB2312"/>
                <w:sz w:val="18"/>
                <w:szCs w:val="18"/>
                <w:vertAlign w:val="superscript"/>
              </w:rPr>
              <w:t>2</w:t>
            </w:r>
            <w:r>
              <w:rPr>
                <w:rFonts w:eastAsia="仿宋_GB2312"/>
                <w:sz w:val="18"/>
                <w:szCs w:val="18"/>
              </w:rPr>
              <w:t>、编织袋装土拦挡400m</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3"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continue"/>
            <w:vAlign w:val="center"/>
          </w:tcPr>
          <w:p>
            <w:pPr>
              <w:pStyle w:val="53"/>
              <w:jc w:val="center"/>
              <w:rPr>
                <w:rFonts w:eastAsia="仿宋_GB2312"/>
                <w:sz w:val="18"/>
                <w:szCs w:val="18"/>
              </w:rPr>
            </w:pPr>
          </w:p>
        </w:tc>
        <w:tc>
          <w:tcPr>
            <w:tcW w:w="616" w:type="dxa"/>
            <w:vAlign w:val="center"/>
          </w:tcPr>
          <w:p>
            <w:pPr>
              <w:pStyle w:val="53"/>
              <w:jc w:val="center"/>
              <w:rPr>
                <w:rFonts w:eastAsia="仿宋_GB2312"/>
                <w:sz w:val="18"/>
                <w:szCs w:val="18"/>
              </w:rPr>
            </w:pPr>
            <w:r>
              <w:rPr>
                <w:rFonts w:eastAsia="仿宋_GB2312"/>
                <w:sz w:val="18"/>
                <w:szCs w:val="18"/>
              </w:rPr>
              <w:t>未建区</w:t>
            </w:r>
          </w:p>
        </w:tc>
        <w:tc>
          <w:tcPr>
            <w:tcW w:w="2102" w:type="dxa"/>
            <w:gridSpan w:val="3"/>
            <w:vAlign w:val="center"/>
          </w:tcPr>
          <w:p>
            <w:pPr>
              <w:pStyle w:val="53"/>
              <w:jc w:val="center"/>
              <w:rPr>
                <w:rFonts w:eastAsia="仿宋_GB2312"/>
                <w:sz w:val="18"/>
                <w:szCs w:val="18"/>
              </w:rPr>
            </w:pPr>
            <w:r>
              <w:rPr>
                <w:rFonts w:eastAsia="仿宋_GB2312"/>
                <w:sz w:val="18"/>
                <w:szCs w:val="18"/>
              </w:rPr>
              <w:t>表土剥离7.04万m</w:t>
            </w:r>
            <w:r>
              <w:rPr>
                <w:rFonts w:eastAsia="仿宋_GB2312"/>
                <w:sz w:val="18"/>
                <w:szCs w:val="18"/>
                <w:vertAlign w:val="superscript"/>
              </w:rPr>
              <w:t>3</w:t>
            </w:r>
            <w:r>
              <w:rPr>
                <w:rFonts w:eastAsia="仿宋_GB2312"/>
                <w:sz w:val="18"/>
                <w:szCs w:val="18"/>
              </w:rPr>
              <w:t>、表土回覆5.77万m</w:t>
            </w:r>
            <w:r>
              <w:rPr>
                <w:rFonts w:eastAsia="仿宋_GB2312"/>
                <w:sz w:val="18"/>
                <w:szCs w:val="18"/>
                <w:vertAlign w:val="superscript"/>
              </w:rPr>
              <w:t>3</w:t>
            </w:r>
            <w:r>
              <w:rPr>
                <w:rFonts w:eastAsia="仿宋_GB2312"/>
                <w:sz w:val="18"/>
                <w:szCs w:val="18"/>
              </w:rPr>
              <w:t>、</w:t>
            </w:r>
            <w:r>
              <w:rPr>
                <w:rFonts w:eastAsia="仿宋_GB2312"/>
                <w:sz w:val="18"/>
                <w:szCs w:val="18"/>
                <w:u w:val="single"/>
              </w:rPr>
              <w:t>雨水管8750m、雨水口175个</w:t>
            </w:r>
          </w:p>
        </w:tc>
        <w:tc>
          <w:tcPr>
            <w:tcW w:w="1991" w:type="dxa"/>
            <w:gridSpan w:val="2"/>
            <w:vAlign w:val="center"/>
          </w:tcPr>
          <w:p>
            <w:pPr>
              <w:pStyle w:val="53"/>
              <w:jc w:val="center"/>
              <w:rPr>
                <w:rFonts w:eastAsia="仿宋_GB2312"/>
                <w:sz w:val="18"/>
                <w:szCs w:val="18"/>
              </w:rPr>
            </w:pPr>
            <w:r>
              <w:rPr>
                <w:rFonts w:eastAsia="仿宋_GB2312"/>
                <w:sz w:val="18"/>
                <w:szCs w:val="18"/>
                <w:u w:val="single"/>
              </w:rPr>
              <w:t>行道树1475株/0.21hm</w:t>
            </w:r>
            <w:r>
              <w:rPr>
                <w:rFonts w:eastAsia="仿宋_GB2312"/>
                <w:sz w:val="18"/>
                <w:szCs w:val="18"/>
                <w:u w:val="single"/>
                <w:vertAlign w:val="superscript"/>
              </w:rPr>
              <w:t>2</w:t>
            </w:r>
            <w:r>
              <w:rPr>
                <w:rFonts w:eastAsia="仿宋_GB2312"/>
                <w:sz w:val="18"/>
                <w:szCs w:val="18"/>
                <w:u w:val="single"/>
              </w:rPr>
              <w:t>、绿化带绿化2.20hm</w:t>
            </w:r>
            <w:r>
              <w:rPr>
                <w:rFonts w:eastAsia="仿宋_GB2312"/>
                <w:sz w:val="18"/>
                <w:szCs w:val="18"/>
                <w:u w:val="single"/>
                <w:vertAlign w:val="superscript"/>
              </w:rPr>
              <w:t>2</w:t>
            </w:r>
            <w:r>
              <w:rPr>
                <w:rFonts w:eastAsia="仿宋_GB2312"/>
                <w:sz w:val="18"/>
                <w:szCs w:val="18"/>
                <w:u w:val="single"/>
              </w:rPr>
              <w:t>、喷播植草1.30hm</w:t>
            </w:r>
            <w:r>
              <w:rPr>
                <w:rFonts w:eastAsia="仿宋_GB2312"/>
                <w:sz w:val="18"/>
                <w:szCs w:val="18"/>
                <w:u w:val="single"/>
                <w:vertAlign w:val="superscript"/>
              </w:rPr>
              <w:t>2</w:t>
            </w:r>
            <w:r>
              <w:rPr>
                <w:rFonts w:eastAsia="仿宋_GB2312"/>
                <w:sz w:val="18"/>
                <w:szCs w:val="18"/>
                <w:u w:val="single"/>
              </w:rPr>
              <w:t>、挂三维网植草1.10hm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r>
              <w:rPr>
                <w:rFonts w:eastAsia="仿宋_GB2312"/>
                <w:sz w:val="18"/>
                <w:szCs w:val="18"/>
              </w:rPr>
              <w:t>截排水沟10901m、沉沙池40座、防雨布苫盖6.54hm</w:t>
            </w:r>
            <w:r>
              <w:rPr>
                <w:rFonts w:eastAsia="仿宋_GB2312"/>
                <w:sz w:val="18"/>
                <w:szCs w:val="18"/>
                <w:vertAlign w:val="superscript"/>
              </w:rPr>
              <w:t>2</w:t>
            </w:r>
            <w:r>
              <w:rPr>
                <w:rFonts w:eastAsia="仿宋_GB2312"/>
                <w:sz w:val="18"/>
                <w:szCs w:val="18"/>
              </w:rPr>
              <w:t>、编织袋装土拦挡400m</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8"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restart"/>
            <w:vAlign w:val="center"/>
          </w:tcPr>
          <w:p>
            <w:pPr>
              <w:pStyle w:val="53"/>
              <w:jc w:val="center"/>
              <w:rPr>
                <w:rFonts w:eastAsia="仿宋_GB2312"/>
                <w:sz w:val="18"/>
                <w:szCs w:val="18"/>
              </w:rPr>
            </w:pPr>
            <w:r>
              <w:rPr>
                <w:rFonts w:eastAsia="仿宋_GB2312"/>
                <w:sz w:val="18"/>
                <w:szCs w:val="18"/>
              </w:rPr>
              <w:t>公用设施用地区</w:t>
            </w:r>
          </w:p>
        </w:tc>
        <w:tc>
          <w:tcPr>
            <w:tcW w:w="616" w:type="dxa"/>
            <w:vAlign w:val="center"/>
          </w:tcPr>
          <w:p>
            <w:pPr>
              <w:pStyle w:val="53"/>
              <w:jc w:val="center"/>
              <w:rPr>
                <w:rFonts w:eastAsia="仿宋_GB2312"/>
                <w:sz w:val="18"/>
                <w:szCs w:val="18"/>
              </w:rPr>
            </w:pPr>
            <w:r>
              <w:rPr>
                <w:rFonts w:eastAsia="仿宋_GB2312"/>
                <w:sz w:val="18"/>
                <w:szCs w:val="18"/>
              </w:rPr>
              <w:t>在建区</w:t>
            </w:r>
          </w:p>
        </w:tc>
        <w:tc>
          <w:tcPr>
            <w:tcW w:w="2102" w:type="dxa"/>
            <w:gridSpan w:val="3"/>
            <w:vAlign w:val="center"/>
          </w:tcPr>
          <w:p>
            <w:pPr>
              <w:pStyle w:val="53"/>
              <w:jc w:val="center"/>
              <w:rPr>
                <w:rFonts w:eastAsia="仿宋_GB2312"/>
                <w:sz w:val="18"/>
                <w:szCs w:val="18"/>
              </w:rPr>
            </w:pPr>
            <w:r>
              <w:rPr>
                <w:rFonts w:eastAsia="仿宋_GB2312"/>
                <w:sz w:val="18"/>
                <w:szCs w:val="18"/>
                <w:u w:val="single"/>
              </w:rPr>
              <w:t>表土剥离0.71万m</w:t>
            </w:r>
            <w:r>
              <w:rPr>
                <w:rFonts w:eastAsia="仿宋_GB2312"/>
                <w:sz w:val="18"/>
                <w:szCs w:val="18"/>
                <w:u w:val="single"/>
                <w:vertAlign w:val="superscript"/>
              </w:rPr>
              <w:t>3</w:t>
            </w:r>
            <w:r>
              <w:rPr>
                <w:rFonts w:eastAsia="仿宋_GB2312"/>
                <w:sz w:val="18"/>
                <w:szCs w:val="18"/>
                <w:u w:val="single"/>
              </w:rPr>
              <w:t>、表土回覆0.71万m</w:t>
            </w:r>
            <w:r>
              <w:rPr>
                <w:rFonts w:eastAsia="仿宋_GB2312"/>
                <w:sz w:val="18"/>
                <w:szCs w:val="18"/>
                <w:u w:val="single"/>
                <w:vertAlign w:val="superscript"/>
              </w:rPr>
              <w:t>3</w:t>
            </w:r>
            <w:r>
              <w:rPr>
                <w:rFonts w:eastAsia="仿宋_GB2312"/>
                <w:sz w:val="18"/>
                <w:szCs w:val="18"/>
                <w:u w:val="single"/>
              </w:rPr>
              <w:t>、雨水管4546m、雨水口159个、排水沟408m</w:t>
            </w:r>
          </w:p>
        </w:tc>
        <w:tc>
          <w:tcPr>
            <w:tcW w:w="1991" w:type="dxa"/>
            <w:gridSpan w:val="2"/>
            <w:vAlign w:val="center"/>
          </w:tcPr>
          <w:p>
            <w:pPr>
              <w:pStyle w:val="53"/>
              <w:jc w:val="center"/>
              <w:rPr>
                <w:rFonts w:eastAsia="仿宋_GB2312"/>
                <w:sz w:val="18"/>
                <w:szCs w:val="18"/>
              </w:rPr>
            </w:pPr>
            <w:r>
              <w:rPr>
                <w:rFonts w:eastAsia="仿宋_GB2312"/>
                <w:sz w:val="18"/>
                <w:szCs w:val="18"/>
                <w:u w:val="single"/>
              </w:rPr>
              <w:t>乔灌草综合绿化2.36hm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80"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continue"/>
            <w:vAlign w:val="center"/>
          </w:tcPr>
          <w:p>
            <w:pPr>
              <w:pStyle w:val="53"/>
              <w:jc w:val="center"/>
              <w:rPr>
                <w:rFonts w:eastAsia="仿宋_GB2312"/>
                <w:sz w:val="18"/>
                <w:szCs w:val="18"/>
              </w:rPr>
            </w:pPr>
          </w:p>
        </w:tc>
        <w:tc>
          <w:tcPr>
            <w:tcW w:w="616" w:type="dxa"/>
            <w:vAlign w:val="center"/>
          </w:tcPr>
          <w:p>
            <w:pPr>
              <w:pStyle w:val="53"/>
              <w:jc w:val="center"/>
              <w:rPr>
                <w:rFonts w:eastAsia="仿宋_GB2312"/>
                <w:sz w:val="18"/>
                <w:szCs w:val="18"/>
              </w:rPr>
            </w:pPr>
            <w:r>
              <w:rPr>
                <w:rFonts w:eastAsia="仿宋_GB2312"/>
                <w:sz w:val="18"/>
                <w:szCs w:val="18"/>
              </w:rPr>
              <w:t>未建区</w:t>
            </w:r>
          </w:p>
        </w:tc>
        <w:tc>
          <w:tcPr>
            <w:tcW w:w="2102" w:type="dxa"/>
            <w:gridSpan w:val="3"/>
            <w:vAlign w:val="center"/>
          </w:tcPr>
          <w:p>
            <w:pPr>
              <w:pStyle w:val="53"/>
              <w:jc w:val="center"/>
              <w:rPr>
                <w:rFonts w:eastAsia="仿宋_GB2312"/>
                <w:sz w:val="18"/>
                <w:szCs w:val="18"/>
              </w:rPr>
            </w:pPr>
            <w:r>
              <w:rPr>
                <w:rFonts w:eastAsia="仿宋_GB2312"/>
                <w:sz w:val="18"/>
                <w:szCs w:val="18"/>
              </w:rPr>
              <w:t>表土剥离5.90万m</w:t>
            </w:r>
            <w:r>
              <w:rPr>
                <w:rFonts w:eastAsia="仿宋_GB2312"/>
                <w:sz w:val="18"/>
                <w:szCs w:val="18"/>
                <w:vertAlign w:val="superscript"/>
              </w:rPr>
              <w:t>3</w:t>
            </w:r>
            <w:r>
              <w:rPr>
                <w:rFonts w:eastAsia="仿宋_GB2312"/>
                <w:sz w:val="18"/>
                <w:szCs w:val="18"/>
              </w:rPr>
              <w:t>、表土回覆1.47万m</w:t>
            </w:r>
            <w:r>
              <w:rPr>
                <w:rFonts w:eastAsia="仿宋_GB2312"/>
                <w:sz w:val="18"/>
                <w:szCs w:val="18"/>
                <w:vertAlign w:val="superscript"/>
              </w:rPr>
              <w:t>3</w:t>
            </w:r>
          </w:p>
        </w:tc>
        <w:tc>
          <w:tcPr>
            <w:tcW w:w="1991" w:type="dxa"/>
            <w:gridSpan w:val="2"/>
            <w:vAlign w:val="center"/>
          </w:tcPr>
          <w:p>
            <w:pPr>
              <w:pStyle w:val="53"/>
              <w:jc w:val="center"/>
              <w:rPr>
                <w:rFonts w:eastAsia="仿宋_GB2312"/>
                <w:sz w:val="18"/>
                <w:szCs w:val="18"/>
              </w:rPr>
            </w:pPr>
            <w:r>
              <w:rPr>
                <w:rFonts w:eastAsia="仿宋_GB2312"/>
                <w:sz w:val="18"/>
                <w:szCs w:val="18"/>
                <w:u w:val="single"/>
              </w:rPr>
              <w:t>乔灌草综合绿化4.89hm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r>
              <w:rPr>
                <w:rFonts w:eastAsia="仿宋_GB2312"/>
                <w:sz w:val="18"/>
                <w:szCs w:val="18"/>
              </w:rPr>
              <w:t>截排水沟1282m、沉沙池6座、防雨布苫盖5.80hm</w:t>
            </w:r>
            <w:r>
              <w:rPr>
                <w:rFonts w:eastAsia="仿宋_GB2312"/>
                <w:sz w:val="18"/>
                <w:szCs w:val="18"/>
                <w:vertAlign w:val="superscript"/>
              </w:rPr>
              <w:t>2</w:t>
            </w:r>
            <w:r>
              <w:rPr>
                <w:rFonts w:eastAsia="仿宋_GB2312"/>
                <w:sz w:val="18"/>
                <w:szCs w:val="18"/>
              </w:rPr>
              <w:t>、洗车池2座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1"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restart"/>
            <w:vAlign w:val="center"/>
          </w:tcPr>
          <w:p>
            <w:pPr>
              <w:pStyle w:val="53"/>
              <w:jc w:val="center"/>
              <w:rPr>
                <w:rFonts w:eastAsia="仿宋_GB2312"/>
                <w:sz w:val="18"/>
                <w:szCs w:val="18"/>
              </w:rPr>
            </w:pPr>
            <w:r>
              <w:rPr>
                <w:rFonts w:eastAsia="仿宋_GB2312"/>
                <w:sz w:val="18"/>
                <w:szCs w:val="18"/>
              </w:rPr>
              <w:t>绿地与广场用地区</w:t>
            </w:r>
          </w:p>
        </w:tc>
        <w:tc>
          <w:tcPr>
            <w:tcW w:w="616" w:type="dxa"/>
            <w:vAlign w:val="center"/>
          </w:tcPr>
          <w:p>
            <w:pPr>
              <w:pStyle w:val="53"/>
              <w:jc w:val="center"/>
              <w:rPr>
                <w:rFonts w:eastAsia="仿宋_GB2312"/>
                <w:sz w:val="18"/>
                <w:szCs w:val="18"/>
              </w:rPr>
            </w:pPr>
            <w:r>
              <w:rPr>
                <w:rFonts w:eastAsia="仿宋_GB2312"/>
                <w:sz w:val="18"/>
                <w:szCs w:val="18"/>
              </w:rPr>
              <w:t>在建区</w:t>
            </w:r>
          </w:p>
        </w:tc>
        <w:tc>
          <w:tcPr>
            <w:tcW w:w="2102" w:type="dxa"/>
            <w:gridSpan w:val="3"/>
            <w:vAlign w:val="center"/>
          </w:tcPr>
          <w:p>
            <w:pPr>
              <w:pStyle w:val="53"/>
              <w:jc w:val="center"/>
              <w:rPr>
                <w:rFonts w:eastAsia="仿宋_GB2312"/>
                <w:sz w:val="18"/>
                <w:szCs w:val="18"/>
              </w:rPr>
            </w:pPr>
            <w:r>
              <w:rPr>
                <w:rFonts w:eastAsia="仿宋_GB2312"/>
                <w:sz w:val="18"/>
                <w:szCs w:val="18"/>
                <w:u w:val="single"/>
              </w:rPr>
              <w:t>表土回覆1.41万m</w:t>
            </w:r>
            <w:r>
              <w:rPr>
                <w:rFonts w:eastAsia="仿宋_GB2312"/>
                <w:sz w:val="18"/>
                <w:szCs w:val="18"/>
                <w:u w:val="single"/>
                <w:vertAlign w:val="superscript"/>
              </w:rPr>
              <w:t>3</w:t>
            </w:r>
          </w:p>
        </w:tc>
        <w:tc>
          <w:tcPr>
            <w:tcW w:w="1991" w:type="dxa"/>
            <w:gridSpan w:val="2"/>
            <w:vAlign w:val="center"/>
          </w:tcPr>
          <w:p>
            <w:pPr>
              <w:pStyle w:val="53"/>
              <w:jc w:val="center"/>
              <w:rPr>
                <w:rFonts w:eastAsia="仿宋_GB2312"/>
                <w:sz w:val="18"/>
                <w:szCs w:val="18"/>
              </w:rPr>
            </w:pPr>
            <w:r>
              <w:rPr>
                <w:rFonts w:eastAsia="仿宋_GB2312"/>
                <w:sz w:val="18"/>
                <w:szCs w:val="18"/>
                <w:u w:val="single"/>
              </w:rPr>
              <w:t>乔灌草综合绿化6.64hm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6"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922" w:type="dxa"/>
            <w:vMerge w:val="continue"/>
            <w:vAlign w:val="center"/>
          </w:tcPr>
          <w:p>
            <w:pPr>
              <w:pStyle w:val="53"/>
              <w:jc w:val="center"/>
              <w:rPr>
                <w:rFonts w:eastAsia="仿宋_GB2312"/>
                <w:sz w:val="18"/>
                <w:szCs w:val="18"/>
              </w:rPr>
            </w:pPr>
          </w:p>
        </w:tc>
        <w:tc>
          <w:tcPr>
            <w:tcW w:w="616" w:type="dxa"/>
            <w:vAlign w:val="center"/>
          </w:tcPr>
          <w:p>
            <w:pPr>
              <w:pStyle w:val="53"/>
              <w:jc w:val="center"/>
              <w:rPr>
                <w:rFonts w:eastAsia="仿宋_GB2312"/>
                <w:sz w:val="18"/>
                <w:szCs w:val="18"/>
              </w:rPr>
            </w:pPr>
            <w:r>
              <w:rPr>
                <w:rFonts w:eastAsia="仿宋_GB2312"/>
                <w:sz w:val="18"/>
                <w:szCs w:val="18"/>
              </w:rPr>
              <w:t>未建区</w:t>
            </w:r>
          </w:p>
        </w:tc>
        <w:tc>
          <w:tcPr>
            <w:tcW w:w="2102" w:type="dxa"/>
            <w:gridSpan w:val="3"/>
            <w:vAlign w:val="center"/>
          </w:tcPr>
          <w:p>
            <w:pPr>
              <w:pStyle w:val="53"/>
              <w:jc w:val="center"/>
              <w:rPr>
                <w:rFonts w:eastAsia="仿宋_GB2312"/>
                <w:sz w:val="18"/>
                <w:szCs w:val="18"/>
              </w:rPr>
            </w:pPr>
            <w:r>
              <w:rPr>
                <w:rFonts w:eastAsia="仿宋_GB2312"/>
                <w:sz w:val="18"/>
                <w:szCs w:val="18"/>
              </w:rPr>
              <w:t>表土剥离6.21万m</w:t>
            </w:r>
            <w:r>
              <w:rPr>
                <w:rFonts w:eastAsia="仿宋_GB2312"/>
                <w:sz w:val="18"/>
                <w:szCs w:val="18"/>
                <w:vertAlign w:val="superscript"/>
              </w:rPr>
              <w:t>3</w:t>
            </w:r>
            <w:r>
              <w:rPr>
                <w:rFonts w:eastAsia="仿宋_GB2312"/>
                <w:sz w:val="18"/>
                <w:szCs w:val="18"/>
              </w:rPr>
              <w:t>、表土回覆39.22万m</w:t>
            </w:r>
            <w:r>
              <w:rPr>
                <w:rFonts w:eastAsia="仿宋_GB2312"/>
                <w:sz w:val="18"/>
                <w:szCs w:val="18"/>
                <w:vertAlign w:val="superscript"/>
              </w:rPr>
              <w:t>3</w:t>
            </w:r>
          </w:p>
        </w:tc>
        <w:tc>
          <w:tcPr>
            <w:tcW w:w="1991" w:type="dxa"/>
            <w:gridSpan w:val="2"/>
            <w:vAlign w:val="center"/>
          </w:tcPr>
          <w:p>
            <w:pPr>
              <w:pStyle w:val="53"/>
              <w:jc w:val="center"/>
              <w:rPr>
                <w:rFonts w:eastAsia="仿宋_GB2312"/>
                <w:sz w:val="18"/>
                <w:szCs w:val="18"/>
              </w:rPr>
            </w:pPr>
            <w:r>
              <w:rPr>
                <w:rFonts w:eastAsia="仿宋_GB2312"/>
                <w:sz w:val="18"/>
                <w:szCs w:val="18"/>
                <w:u w:val="single"/>
              </w:rPr>
              <w:t>乔灌草综合绿化41.57hm</w:t>
            </w:r>
            <w:r>
              <w:rPr>
                <w:rFonts w:eastAsia="仿宋_GB2312"/>
                <w:sz w:val="18"/>
                <w:szCs w:val="18"/>
                <w:u w:val="single"/>
                <w:vertAlign w:val="superscript"/>
              </w:rPr>
              <w:t>2</w:t>
            </w:r>
          </w:p>
        </w:tc>
        <w:tc>
          <w:tcPr>
            <w:tcW w:w="2166" w:type="dxa"/>
            <w:gridSpan w:val="3"/>
            <w:vAlign w:val="center"/>
          </w:tcPr>
          <w:p>
            <w:pPr>
              <w:pStyle w:val="53"/>
              <w:jc w:val="center"/>
              <w:rPr>
                <w:rFonts w:eastAsia="仿宋_GB2312"/>
                <w:sz w:val="18"/>
                <w:szCs w:val="18"/>
              </w:rPr>
            </w:pPr>
            <w:r>
              <w:rPr>
                <w:rFonts w:eastAsia="仿宋_GB2312"/>
                <w:sz w:val="18"/>
                <w:szCs w:val="18"/>
              </w:rPr>
              <w:t>防雨布苫盖2.0hm</w:t>
            </w:r>
            <w:r>
              <w:rPr>
                <w:rFonts w:eastAsia="仿宋_GB2312"/>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7" w:type="dxa"/>
            <w:vMerge w:val="continue"/>
            <w:vAlign w:val="center"/>
          </w:tcPr>
          <w:p>
            <w:pPr>
              <w:pStyle w:val="53"/>
              <w:jc w:val="center"/>
              <w:rPr>
                <w:rFonts w:eastAsia="仿宋_GB2312"/>
                <w:sz w:val="18"/>
                <w:szCs w:val="18"/>
              </w:rPr>
            </w:pPr>
          </w:p>
        </w:tc>
        <w:tc>
          <w:tcPr>
            <w:tcW w:w="528" w:type="dxa"/>
            <w:gridSpan w:val="2"/>
            <w:vMerge w:val="restart"/>
            <w:vAlign w:val="center"/>
          </w:tcPr>
          <w:p>
            <w:pPr>
              <w:pStyle w:val="53"/>
              <w:jc w:val="center"/>
              <w:rPr>
                <w:rFonts w:eastAsia="仿宋_GB2312"/>
                <w:sz w:val="18"/>
                <w:szCs w:val="18"/>
              </w:rPr>
            </w:pPr>
            <w:r>
              <w:rPr>
                <w:rFonts w:eastAsia="仿宋_GB2312"/>
                <w:sz w:val="18"/>
                <w:szCs w:val="18"/>
              </w:rPr>
              <w:t>远期建设区</w:t>
            </w:r>
          </w:p>
        </w:tc>
        <w:tc>
          <w:tcPr>
            <w:tcW w:w="7797" w:type="dxa"/>
            <w:gridSpan w:val="10"/>
            <w:vAlign w:val="center"/>
          </w:tcPr>
          <w:p>
            <w:pPr>
              <w:pStyle w:val="53"/>
              <w:jc w:val="center"/>
              <w:rPr>
                <w:rFonts w:eastAsia="仿宋_GB2312"/>
                <w:sz w:val="18"/>
                <w:szCs w:val="18"/>
              </w:rPr>
            </w:pPr>
            <w:r>
              <w:rPr>
                <w:rFonts w:eastAsia="仿宋_GB2312"/>
                <w:sz w:val="18"/>
                <w:szCs w:val="18"/>
              </w:rPr>
              <w:t>根据近期水土保持措施布设成果，对远期提水土保持要求；本方案服务期满后，另行对远期建设区编报水土保持区域评估报告。</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03" w:hRule="atLeast"/>
        </w:trPr>
        <w:tc>
          <w:tcPr>
            <w:tcW w:w="957" w:type="dxa"/>
            <w:vMerge w:val="continue"/>
            <w:vAlign w:val="center"/>
          </w:tcPr>
          <w:p>
            <w:pPr>
              <w:pStyle w:val="53"/>
              <w:jc w:val="center"/>
              <w:rPr>
                <w:rFonts w:eastAsia="仿宋_GB2312"/>
                <w:sz w:val="18"/>
                <w:szCs w:val="18"/>
              </w:rPr>
            </w:pPr>
          </w:p>
        </w:tc>
        <w:tc>
          <w:tcPr>
            <w:tcW w:w="528" w:type="dxa"/>
            <w:gridSpan w:val="2"/>
            <w:vMerge w:val="restart"/>
            <w:vAlign w:val="center"/>
          </w:tcPr>
          <w:p>
            <w:pPr>
              <w:pStyle w:val="53"/>
              <w:jc w:val="center"/>
              <w:rPr>
                <w:rFonts w:eastAsia="仿宋_GB2312"/>
                <w:sz w:val="18"/>
                <w:szCs w:val="18"/>
              </w:rPr>
            </w:pPr>
            <w:r>
              <w:rPr>
                <w:rFonts w:eastAsia="仿宋_GB2312"/>
                <w:sz w:val="18"/>
                <w:szCs w:val="18"/>
              </w:rPr>
              <w:t>临时堆场区</w:t>
            </w:r>
          </w:p>
        </w:tc>
        <w:tc>
          <w:tcPr>
            <w:tcW w:w="1538" w:type="dxa"/>
            <w:gridSpan w:val="2"/>
            <w:vAlign w:val="center"/>
          </w:tcPr>
          <w:p>
            <w:pPr>
              <w:pStyle w:val="53"/>
              <w:jc w:val="center"/>
              <w:rPr>
                <w:rFonts w:eastAsia="仿宋_GB2312"/>
                <w:sz w:val="18"/>
                <w:szCs w:val="18"/>
              </w:rPr>
            </w:pPr>
            <w:r>
              <w:rPr>
                <w:rFonts w:eastAsia="仿宋_GB2312"/>
                <w:sz w:val="18"/>
                <w:szCs w:val="18"/>
              </w:rPr>
              <w:t>表土中转场</w:t>
            </w:r>
          </w:p>
        </w:tc>
        <w:tc>
          <w:tcPr>
            <w:tcW w:w="2102" w:type="dxa"/>
            <w:gridSpan w:val="3"/>
            <w:vAlign w:val="center"/>
          </w:tcPr>
          <w:p>
            <w:pPr>
              <w:pStyle w:val="53"/>
              <w:jc w:val="center"/>
              <w:rPr>
                <w:rFonts w:eastAsia="仿宋_GB2312"/>
                <w:sz w:val="18"/>
                <w:szCs w:val="18"/>
              </w:rPr>
            </w:pPr>
          </w:p>
        </w:tc>
        <w:tc>
          <w:tcPr>
            <w:tcW w:w="1991" w:type="dxa"/>
            <w:gridSpan w:val="2"/>
            <w:vAlign w:val="center"/>
          </w:tcPr>
          <w:p>
            <w:pPr>
              <w:pStyle w:val="53"/>
              <w:jc w:val="center"/>
              <w:rPr>
                <w:rFonts w:eastAsia="仿宋_GB2312"/>
                <w:sz w:val="18"/>
                <w:szCs w:val="18"/>
                <w:u w:val="single"/>
              </w:rPr>
            </w:pPr>
            <w:r>
              <w:rPr>
                <w:rFonts w:eastAsia="仿宋_GB2312"/>
                <w:sz w:val="18"/>
                <w:szCs w:val="18"/>
              </w:rPr>
              <w:t>播撒草籽42.19hm</w:t>
            </w:r>
            <w:r>
              <w:rPr>
                <w:rFonts w:eastAsia="仿宋_GB2312"/>
                <w:sz w:val="18"/>
                <w:szCs w:val="18"/>
                <w:vertAlign w:val="superscript"/>
              </w:rPr>
              <w:t>2</w:t>
            </w:r>
          </w:p>
        </w:tc>
        <w:tc>
          <w:tcPr>
            <w:tcW w:w="2166" w:type="dxa"/>
            <w:gridSpan w:val="3"/>
            <w:vAlign w:val="center"/>
          </w:tcPr>
          <w:p>
            <w:pPr>
              <w:pStyle w:val="53"/>
              <w:jc w:val="center"/>
              <w:rPr>
                <w:rFonts w:eastAsia="仿宋_GB2312"/>
                <w:sz w:val="18"/>
                <w:szCs w:val="18"/>
              </w:rPr>
            </w:pPr>
            <w:r>
              <w:rPr>
                <w:rFonts w:eastAsia="仿宋_GB2312"/>
                <w:sz w:val="18"/>
                <w:szCs w:val="18"/>
              </w:rPr>
              <w:t>密目网苫盖42.19hm</w:t>
            </w:r>
            <w:r>
              <w:rPr>
                <w:rFonts w:eastAsia="仿宋_GB2312"/>
                <w:sz w:val="18"/>
                <w:szCs w:val="18"/>
                <w:vertAlign w:val="superscript"/>
              </w:rPr>
              <w:t>2</w:t>
            </w:r>
            <w:r>
              <w:rPr>
                <w:rFonts w:eastAsia="仿宋_GB2312"/>
                <w:sz w:val="18"/>
                <w:szCs w:val="18"/>
              </w:rPr>
              <w:t>、编织袋装土拦挡22600m</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39" w:hRule="atLeast"/>
        </w:trPr>
        <w:tc>
          <w:tcPr>
            <w:tcW w:w="957" w:type="dxa"/>
            <w:vMerge w:val="continue"/>
            <w:vAlign w:val="center"/>
          </w:tcPr>
          <w:p>
            <w:pPr>
              <w:pStyle w:val="53"/>
              <w:jc w:val="center"/>
              <w:rPr>
                <w:rFonts w:eastAsia="仿宋_GB2312"/>
                <w:sz w:val="18"/>
                <w:szCs w:val="18"/>
              </w:rPr>
            </w:pPr>
          </w:p>
        </w:tc>
        <w:tc>
          <w:tcPr>
            <w:tcW w:w="528" w:type="dxa"/>
            <w:gridSpan w:val="2"/>
            <w:vMerge w:val="continue"/>
            <w:vAlign w:val="center"/>
          </w:tcPr>
          <w:p>
            <w:pPr>
              <w:pStyle w:val="53"/>
              <w:jc w:val="center"/>
              <w:rPr>
                <w:rFonts w:eastAsia="仿宋_GB2312"/>
                <w:sz w:val="18"/>
                <w:szCs w:val="18"/>
              </w:rPr>
            </w:pPr>
          </w:p>
        </w:tc>
        <w:tc>
          <w:tcPr>
            <w:tcW w:w="1538" w:type="dxa"/>
            <w:gridSpan w:val="2"/>
            <w:vAlign w:val="center"/>
          </w:tcPr>
          <w:p>
            <w:pPr>
              <w:pStyle w:val="53"/>
              <w:jc w:val="center"/>
              <w:rPr>
                <w:rFonts w:eastAsia="仿宋_GB2312"/>
                <w:sz w:val="18"/>
                <w:szCs w:val="18"/>
              </w:rPr>
            </w:pPr>
            <w:r>
              <w:rPr>
                <w:rFonts w:eastAsia="仿宋_GB2312"/>
                <w:sz w:val="18"/>
                <w:szCs w:val="18"/>
              </w:rPr>
              <w:t>土石方中转场</w:t>
            </w:r>
          </w:p>
        </w:tc>
        <w:tc>
          <w:tcPr>
            <w:tcW w:w="2102" w:type="dxa"/>
            <w:gridSpan w:val="3"/>
            <w:vAlign w:val="center"/>
          </w:tcPr>
          <w:p>
            <w:pPr>
              <w:pStyle w:val="53"/>
              <w:jc w:val="center"/>
              <w:rPr>
                <w:rFonts w:eastAsia="仿宋_GB2312"/>
                <w:sz w:val="18"/>
                <w:szCs w:val="18"/>
              </w:rPr>
            </w:pPr>
          </w:p>
        </w:tc>
        <w:tc>
          <w:tcPr>
            <w:tcW w:w="1991" w:type="dxa"/>
            <w:gridSpan w:val="2"/>
            <w:vAlign w:val="center"/>
          </w:tcPr>
          <w:p>
            <w:pPr>
              <w:pStyle w:val="53"/>
              <w:jc w:val="center"/>
              <w:rPr>
                <w:rFonts w:eastAsia="仿宋_GB2312"/>
                <w:sz w:val="18"/>
                <w:szCs w:val="18"/>
                <w:u w:val="single"/>
              </w:rPr>
            </w:pPr>
          </w:p>
        </w:tc>
        <w:tc>
          <w:tcPr>
            <w:tcW w:w="2166" w:type="dxa"/>
            <w:gridSpan w:val="3"/>
            <w:vAlign w:val="center"/>
          </w:tcPr>
          <w:p>
            <w:pPr>
              <w:pStyle w:val="53"/>
              <w:jc w:val="center"/>
              <w:rPr>
                <w:rFonts w:eastAsia="仿宋_GB2312"/>
                <w:sz w:val="18"/>
                <w:szCs w:val="18"/>
              </w:rPr>
            </w:pPr>
            <w:r>
              <w:rPr>
                <w:rFonts w:eastAsia="仿宋_GB2312"/>
                <w:sz w:val="18"/>
                <w:szCs w:val="18"/>
              </w:rPr>
              <w:t>浆砌石重力式挡土墙123m、截排水6202m、排水盲沟2119m、消力池10座、沉沙池10座、防雨布苫盖12.17hm</w:t>
            </w:r>
            <w:r>
              <w:rPr>
                <w:rFonts w:eastAsia="仿宋_GB2312"/>
                <w:sz w:val="18"/>
                <w:szCs w:val="18"/>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05" w:hRule="atLeast"/>
        </w:trPr>
        <w:tc>
          <w:tcPr>
            <w:tcW w:w="957" w:type="dxa"/>
            <w:vMerge w:val="continue"/>
            <w:vAlign w:val="center"/>
          </w:tcPr>
          <w:p>
            <w:pPr>
              <w:pStyle w:val="53"/>
              <w:jc w:val="center"/>
              <w:rPr>
                <w:rFonts w:eastAsia="仿宋_GB2312"/>
                <w:sz w:val="18"/>
                <w:szCs w:val="18"/>
              </w:rPr>
            </w:pPr>
          </w:p>
        </w:tc>
        <w:tc>
          <w:tcPr>
            <w:tcW w:w="2066" w:type="dxa"/>
            <w:gridSpan w:val="4"/>
            <w:vAlign w:val="center"/>
          </w:tcPr>
          <w:p>
            <w:pPr>
              <w:pStyle w:val="53"/>
              <w:jc w:val="center"/>
              <w:rPr>
                <w:rFonts w:eastAsia="仿宋_GB2312"/>
                <w:sz w:val="18"/>
                <w:szCs w:val="18"/>
              </w:rPr>
            </w:pPr>
            <w:r>
              <w:rPr>
                <w:rFonts w:eastAsia="仿宋_GB2312"/>
                <w:sz w:val="18"/>
                <w:szCs w:val="18"/>
              </w:rPr>
              <w:t>施工生产生活区</w:t>
            </w:r>
          </w:p>
        </w:tc>
        <w:tc>
          <w:tcPr>
            <w:tcW w:w="2102" w:type="dxa"/>
            <w:gridSpan w:val="3"/>
            <w:vAlign w:val="center"/>
          </w:tcPr>
          <w:p>
            <w:pPr>
              <w:pStyle w:val="53"/>
              <w:jc w:val="center"/>
              <w:rPr>
                <w:rFonts w:eastAsia="仿宋_GB2312"/>
                <w:sz w:val="18"/>
                <w:szCs w:val="18"/>
              </w:rPr>
            </w:pPr>
          </w:p>
        </w:tc>
        <w:tc>
          <w:tcPr>
            <w:tcW w:w="1991" w:type="dxa"/>
            <w:gridSpan w:val="2"/>
            <w:vAlign w:val="center"/>
          </w:tcPr>
          <w:p>
            <w:pPr>
              <w:pStyle w:val="53"/>
              <w:jc w:val="center"/>
              <w:rPr>
                <w:rFonts w:eastAsia="仿宋_GB2312"/>
                <w:sz w:val="18"/>
                <w:szCs w:val="18"/>
                <w:u w:val="single"/>
              </w:rPr>
            </w:pPr>
          </w:p>
        </w:tc>
        <w:tc>
          <w:tcPr>
            <w:tcW w:w="2166" w:type="dxa"/>
            <w:gridSpan w:val="3"/>
            <w:vAlign w:val="center"/>
          </w:tcPr>
          <w:p>
            <w:pPr>
              <w:pStyle w:val="53"/>
              <w:jc w:val="center"/>
              <w:rPr>
                <w:rFonts w:eastAsia="仿宋_GB2312"/>
                <w:sz w:val="18"/>
                <w:szCs w:val="18"/>
              </w:rPr>
            </w:pPr>
            <w:r>
              <w:rPr>
                <w:rFonts w:eastAsia="仿宋_GB2312"/>
                <w:sz w:val="18"/>
                <w:szCs w:val="18"/>
              </w:rPr>
              <w:t>截排水沟3000m、沉沙池10座、防雨布苫盖2.27hm</w:t>
            </w:r>
            <w:r>
              <w:rPr>
                <w:rFonts w:eastAsia="仿宋_GB2312"/>
                <w:sz w:val="18"/>
                <w:szCs w:val="18"/>
                <w:vertAlign w:val="superscript"/>
              </w:rPr>
              <w:t>2</w:t>
            </w:r>
            <w:r>
              <w:rPr>
                <w:rFonts w:eastAsia="仿宋_GB2312"/>
                <w:sz w:val="18"/>
                <w:szCs w:val="18"/>
              </w:rPr>
              <w:t>、编织袋装土拦挡400m</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投资（万元）</w:t>
            </w:r>
          </w:p>
        </w:tc>
        <w:tc>
          <w:tcPr>
            <w:tcW w:w="2102" w:type="dxa"/>
            <w:gridSpan w:val="3"/>
            <w:vAlign w:val="center"/>
          </w:tcPr>
          <w:p>
            <w:pPr>
              <w:pStyle w:val="53"/>
              <w:jc w:val="center"/>
              <w:rPr>
                <w:rFonts w:eastAsia="仿宋_GB2312"/>
                <w:sz w:val="18"/>
                <w:szCs w:val="18"/>
              </w:rPr>
            </w:pPr>
            <w:r>
              <w:rPr>
                <w:rFonts w:hint="eastAsia" w:eastAsia="仿宋_GB2312"/>
                <w:sz w:val="18"/>
                <w:szCs w:val="18"/>
              </w:rPr>
              <w:t>4316.32</w:t>
            </w:r>
          </w:p>
        </w:tc>
        <w:tc>
          <w:tcPr>
            <w:tcW w:w="1991" w:type="dxa"/>
            <w:gridSpan w:val="2"/>
            <w:vAlign w:val="center"/>
          </w:tcPr>
          <w:p>
            <w:pPr>
              <w:pStyle w:val="53"/>
              <w:jc w:val="center"/>
              <w:rPr>
                <w:rFonts w:eastAsia="仿宋_GB2312"/>
                <w:sz w:val="18"/>
                <w:szCs w:val="18"/>
              </w:rPr>
            </w:pPr>
            <w:r>
              <w:rPr>
                <w:rFonts w:eastAsia="仿宋_GB2312"/>
                <w:sz w:val="18"/>
                <w:szCs w:val="18"/>
              </w:rPr>
              <w:t>7991.79</w:t>
            </w:r>
          </w:p>
        </w:tc>
        <w:tc>
          <w:tcPr>
            <w:tcW w:w="2166" w:type="dxa"/>
            <w:gridSpan w:val="3"/>
            <w:vAlign w:val="center"/>
          </w:tcPr>
          <w:p>
            <w:pPr>
              <w:pStyle w:val="53"/>
              <w:jc w:val="center"/>
              <w:rPr>
                <w:rFonts w:eastAsia="仿宋_GB2312"/>
                <w:sz w:val="18"/>
                <w:szCs w:val="18"/>
              </w:rPr>
            </w:pPr>
            <w:r>
              <w:rPr>
                <w:rFonts w:eastAsia="仿宋_GB2312"/>
                <w:sz w:val="18"/>
                <w:szCs w:val="18"/>
              </w:rPr>
              <w:t>4998.97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水土保持总投资</w:t>
            </w:r>
          </w:p>
          <w:p>
            <w:pPr>
              <w:pStyle w:val="53"/>
              <w:jc w:val="center"/>
              <w:rPr>
                <w:rFonts w:eastAsia="仿宋_GB2312"/>
                <w:sz w:val="18"/>
                <w:szCs w:val="18"/>
              </w:rPr>
            </w:pPr>
            <w:r>
              <w:rPr>
                <w:rFonts w:eastAsia="仿宋_GB2312"/>
                <w:sz w:val="18"/>
                <w:szCs w:val="18"/>
              </w:rPr>
              <w:t>（万元）</w:t>
            </w:r>
          </w:p>
        </w:tc>
        <w:tc>
          <w:tcPr>
            <w:tcW w:w="2102" w:type="dxa"/>
            <w:gridSpan w:val="3"/>
            <w:vAlign w:val="center"/>
          </w:tcPr>
          <w:p>
            <w:pPr>
              <w:pStyle w:val="53"/>
              <w:jc w:val="center"/>
              <w:rPr>
                <w:rFonts w:eastAsia="仿宋_GB2312"/>
                <w:sz w:val="18"/>
                <w:szCs w:val="18"/>
              </w:rPr>
            </w:pPr>
            <w:r>
              <w:rPr>
                <w:rFonts w:hint="eastAsia" w:eastAsia="仿宋_GB2312"/>
                <w:sz w:val="18"/>
                <w:szCs w:val="18"/>
              </w:rPr>
              <w:t>20039.20</w:t>
            </w:r>
            <w:r>
              <w:rPr>
                <w:rFonts w:eastAsia="仿宋_GB2312"/>
                <w:sz w:val="18"/>
                <w:szCs w:val="18"/>
              </w:rPr>
              <w:t>（其中主体投资</w:t>
            </w:r>
            <w:r>
              <w:rPr>
                <w:rFonts w:eastAsia="仿宋_GB2312"/>
                <w:kern w:val="0"/>
                <w:sz w:val="18"/>
                <w:szCs w:val="18"/>
              </w:rPr>
              <w:t>9349.52，方案新增投资</w:t>
            </w:r>
            <w:r>
              <w:rPr>
                <w:rFonts w:hint="eastAsia" w:eastAsia="仿宋_GB2312"/>
                <w:kern w:val="0"/>
                <w:sz w:val="18"/>
                <w:szCs w:val="18"/>
              </w:rPr>
              <w:t>10689.68</w:t>
            </w:r>
            <w:r>
              <w:rPr>
                <w:rFonts w:eastAsia="仿宋_GB2312"/>
                <w:sz w:val="18"/>
                <w:szCs w:val="18"/>
              </w:rPr>
              <w:t>）</w:t>
            </w:r>
          </w:p>
        </w:tc>
        <w:tc>
          <w:tcPr>
            <w:tcW w:w="1991" w:type="dxa"/>
            <w:gridSpan w:val="2"/>
            <w:vAlign w:val="center"/>
          </w:tcPr>
          <w:p>
            <w:pPr>
              <w:pStyle w:val="53"/>
              <w:jc w:val="center"/>
              <w:rPr>
                <w:rFonts w:eastAsia="仿宋_GB2312"/>
                <w:sz w:val="18"/>
                <w:szCs w:val="18"/>
              </w:rPr>
            </w:pPr>
            <w:r>
              <w:rPr>
                <w:rFonts w:eastAsia="仿宋_GB2312"/>
                <w:sz w:val="18"/>
                <w:szCs w:val="18"/>
              </w:rPr>
              <w:t>独立费用（万元）</w:t>
            </w:r>
          </w:p>
        </w:tc>
        <w:tc>
          <w:tcPr>
            <w:tcW w:w="2166" w:type="dxa"/>
            <w:gridSpan w:val="3"/>
            <w:vAlign w:val="center"/>
          </w:tcPr>
          <w:p>
            <w:pPr>
              <w:pStyle w:val="53"/>
              <w:jc w:val="center"/>
              <w:rPr>
                <w:rFonts w:eastAsia="仿宋_GB2312"/>
                <w:sz w:val="18"/>
                <w:szCs w:val="18"/>
              </w:rPr>
            </w:pPr>
            <w:r>
              <w:rPr>
                <w:rFonts w:hint="eastAsia" w:eastAsia="仿宋_GB2312"/>
                <w:sz w:val="18"/>
                <w:szCs w:val="18"/>
              </w:rPr>
              <w:t>699.35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监理费（万元）</w:t>
            </w:r>
          </w:p>
        </w:tc>
        <w:tc>
          <w:tcPr>
            <w:tcW w:w="592" w:type="dxa"/>
            <w:vAlign w:val="center"/>
          </w:tcPr>
          <w:p>
            <w:pPr>
              <w:pStyle w:val="53"/>
              <w:jc w:val="center"/>
              <w:rPr>
                <w:rFonts w:eastAsia="仿宋_GB2312"/>
                <w:sz w:val="18"/>
                <w:szCs w:val="18"/>
              </w:rPr>
            </w:pPr>
            <w:r>
              <w:rPr>
                <w:rFonts w:eastAsia="仿宋_GB2312"/>
                <w:sz w:val="18"/>
                <w:szCs w:val="18"/>
              </w:rPr>
              <w:t>40</w:t>
            </w:r>
          </w:p>
        </w:tc>
        <w:tc>
          <w:tcPr>
            <w:tcW w:w="1510" w:type="dxa"/>
            <w:gridSpan w:val="2"/>
            <w:vAlign w:val="center"/>
          </w:tcPr>
          <w:p>
            <w:pPr>
              <w:pStyle w:val="53"/>
              <w:jc w:val="center"/>
              <w:rPr>
                <w:rFonts w:eastAsia="仿宋_GB2312"/>
                <w:sz w:val="18"/>
                <w:szCs w:val="18"/>
              </w:rPr>
            </w:pPr>
            <w:r>
              <w:rPr>
                <w:rFonts w:eastAsia="仿宋_GB2312"/>
                <w:sz w:val="18"/>
                <w:szCs w:val="18"/>
              </w:rPr>
              <w:t>监测费</w:t>
            </w:r>
          </w:p>
          <w:p>
            <w:pPr>
              <w:pStyle w:val="53"/>
              <w:jc w:val="center"/>
              <w:rPr>
                <w:rFonts w:eastAsia="仿宋_GB2312"/>
                <w:sz w:val="18"/>
                <w:szCs w:val="18"/>
              </w:rPr>
            </w:pPr>
            <w:r>
              <w:rPr>
                <w:rFonts w:eastAsia="仿宋_GB2312"/>
                <w:sz w:val="18"/>
                <w:szCs w:val="18"/>
              </w:rPr>
              <w:t>（万元）</w:t>
            </w:r>
          </w:p>
        </w:tc>
        <w:tc>
          <w:tcPr>
            <w:tcW w:w="1991" w:type="dxa"/>
            <w:gridSpan w:val="2"/>
            <w:vAlign w:val="center"/>
          </w:tcPr>
          <w:p>
            <w:pPr>
              <w:pStyle w:val="53"/>
              <w:jc w:val="center"/>
              <w:rPr>
                <w:rFonts w:eastAsia="仿宋_GB2312"/>
                <w:sz w:val="18"/>
                <w:szCs w:val="18"/>
              </w:rPr>
            </w:pPr>
            <w:r>
              <w:rPr>
                <w:rFonts w:eastAsia="仿宋_GB2312"/>
                <w:sz w:val="18"/>
                <w:szCs w:val="18"/>
              </w:rPr>
              <w:t>372</w:t>
            </w:r>
          </w:p>
        </w:tc>
        <w:tc>
          <w:tcPr>
            <w:tcW w:w="1187" w:type="dxa"/>
            <w:gridSpan w:val="2"/>
            <w:vAlign w:val="center"/>
          </w:tcPr>
          <w:p>
            <w:pPr>
              <w:pStyle w:val="53"/>
              <w:jc w:val="center"/>
              <w:rPr>
                <w:rFonts w:eastAsia="仿宋_GB2312"/>
                <w:sz w:val="18"/>
                <w:szCs w:val="18"/>
              </w:rPr>
            </w:pPr>
            <w:r>
              <w:rPr>
                <w:rFonts w:eastAsia="仿宋_GB2312"/>
                <w:sz w:val="18"/>
                <w:szCs w:val="18"/>
              </w:rPr>
              <w:t>补偿费</w:t>
            </w:r>
          </w:p>
          <w:p>
            <w:pPr>
              <w:pStyle w:val="53"/>
              <w:jc w:val="center"/>
              <w:rPr>
                <w:rFonts w:eastAsia="仿宋_GB2312"/>
                <w:sz w:val="18"/>
                <w:szCs w:val="18"/>
              </w:rPr>
            </w:pPr>
            <w:r>
              <w:rPr>
                <w:rFonts w:eastAsia="仿宋_GB2312"/>
                <w:sz w:val="18"/>
                <w:szCs w:val="18"/>
              </w:rPr>
              <w:t>（万元）</w:t>
            </w:r>
          </w:p>
        </w:tc>
        <w:tc>
          <w:tcPr>
            <w:tcW w:w="979" w:type="dxa"/>
            <w:vAlign w:val="center"/>
          </w:tcPr>
          <w:p>
            <w:pPr>
              <w:pStyle w:val="53"/>
              <w:jc w:val="center"/>
              <w:rPr>
                <w:rFonts w:eastAsia="仿宋_GB2312"/>
                <w:sz w:val="18"/>
                <w:szCs w:val="18"/>
              </w:rPr>
            </w:pPr>
            <w:r>
              <w:rPr>
                <w:rFonts w:eastAsia="仿宋_GB2312"/>
                <w:sz w:val="18"/>
                <w:szCs w:val="18"/>
              </w:rPr>
              <w:t>1200.082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方案编制单位</w:t>
            </w:r>
          </w:p>
        </w:tc>
        <w:tc>
          <w:tcPr>
            <w:tcW w:w="2102" w:type="dxa"/>
            <w:gridSpan w:val="3"/>
            <w:vAlign w:val="center"/>
          </w:tcPr>
          <w:p>
            <w:pPr>
              <w:pStyle w:val="99"/>
              <w:adjustRightInd w:val="0"/>
              <w:snapToGrid w:val="0"/>
              <w:spacing w:line="258" w:lineRule="exact"/>
              <w:jc w:val="center"/>
            </w:pPr>
            <w:r>
              <w:rPr>
                <w:lang w:val="zh-CN"/>
              </w:rPr>
              <w:t>四川省水利科学研究院</w:t>
            </w:r>
          </w:p>
        </w:tc>
        <w:tc>
          <w:tcPr>
            <w:tcW w:w="1991" w:type="dxa"/>
            <w:gridSpan w:val="2"/>
            <w:vAlign w:val="center"/>
          </w:tcPr>
          <w:p>
            <w:pPr>
              <w:pStyle w:val="53"/>
              <w:jc w:val="center"/>
              <w:rPr>
                <w:rFonts w:eastAsia="仿宋_GB2312"/>
                <w:sz w:val="18"/>
                <w:szCs w:val="18"/>
              </w:rPr>
            </w:pPr>
            <w:r>
              <w:rPr>
                <w:rFonts w:eastAsia="仿宋_GB2312"/>
                <w:sz w:val="18"/>
                <w:szCs w:val="18"/>
              </w:rPr>
              <w:t>建设单位</w:t>
            </w:r>
          </w:p>
        </w:tc>
        <w:tc>
          <w:tcPr>
            <w:tcW w:w="2166" w:type="dxa"/>
            <w:gridSpan w:val="3"/>
            <w:vAlign w:val="center"/>
          </w:tcPr>
          <w:p>
            <w:pPr>
              <w:pStyle w:val="53"/>
              <w:jc w:val="center"/>
              <w:rPr>
                <w:rFonts w:hint="eastAsia" w:eastAsia="仿宋_GB2312"/>
                <w:sz w:val="18"/>
                <w:szCs w:val="18"/>
                <w:lang w:eastAsia="zh-CN"/>
              </w:rPr>
            </w:pPr>
            <w:r>
              <w:rPr>
                <w:rFonts w:hint="eastAsia" w:eastAsia="仿宋_GB2312"/>
                <w:sz w:val="18"/>
                <w:szCs w:val="18"/>
                <w:lang w:eastAsia="zh-CN"/>
              </w:rPr>
              <w:t>四川五通桥经济开发区管理委员会（原乐山高新区五通桥基地管理委员会）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法定代表人及电话</w:t>
            </w:r>
          </w:p>
        </w:tc>
        <w:tc>
          <w:tcPr>
            <w:tcW w:w="2102" w:type="dxa"/>
            <w:gridSpan w:val="3"/>
            <w:vAlign w:val="center"/>
          </w:tcPr>
          <w:p>
            <w:pPr>
              <w:tabs>
                <w:tab w:val="left" w:pos="1008"/>
              </w:tabs>
              <w:spacing w:line="258" w:lineRule="exact"/>
              <w:ind w:firstLine="0" w:firstLineChars="0"/>
              <w:jc w:val="center"/>
              <w:rPr>
                <w:sz w:val="18"/>
              </w:rPr>
            </w:pPr>
            <w:r>
              <w:rPr>
                <w:kern w:val="0"/>
                <w:sz w:val="18"/>
              </w:rPr>
              <w:t>刘双美028-87321370</w:t>
            </w:r>
          </w:p>
        </w:tc>
        <w:tc>
          <w:tcPr>
            <w:tcW w:w="1991" w:type="dxa"/>
            <w:gridSpan w:val="2"/>
            <w:vAlign w:val="center"/>
          </w:tcPr>
          <w:p>
            <w:pPr>
              <w:pStyle w:val="53"/>
              <w:jc w:val="center"/>
              <w:rPr>
                <w:rFonts w:eastAsia="仿宋_GB2312"/>
                <w:sz w:val="18"/>
                <w:szCs w:val="18"/>
              </w:rPr>
            </w:pPr>
            <w:r>
              <w:rPr>
                <w:rFonts w:eastAsia="仿宋_GB2312"/>
                <w:sz w:val="18"/>
                <w:szCs w:val="18"/>
              </w:rPr>
              <w:t>法定代表人及电话</w:t>
            </w:r>
          </w:p>
        </w:tc>
        <w:tc>
          <w:tcPr>
            <w:tcW w:w="2166" w:type="dxa"/>
            <w:gridSpan w:val="3"/>
            <w:vAlign w:val="center"/>
          </w:tcPr>
          <w:p>
            <w:pPr>
              <w:pStyle w:val="53"/>
              <w:jc w:val="center"/>
              <w:rPr>
                <w:rFonts w:eastAsia="仿宋_GB2312"/>
                <w:sz w:val="18"/>
                <w:szCs w:val="18"/>
              </w:rPr>
            </w:pPr>
            <w:r>
              <w:rPr>
                <w:rFonts w:eastAsia="仿宋_GB2312"/>
                <w:sz w:val="18"/>
                <w:szCs w:val="18"/>
              </w:rPr>
              <w:t>钟志山 15283355713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地址</w:t>
            </w:r>
          </w:p>
        </w:tc>
        <w:tc>
          <w:tcPr>
            <w:tcW w:w="2102" w:type="dxa"/>
            <w:gridSpan w:val="3"/>
            <w:vAlign w:val="center"/>
          </w:tcPr>
          <w:p>
            <w:pPr>
              <w:tabs>
                <w:tab w:val="left" w:pos="1008"/>
              </w:tabs>
              <w:spacing w:line="258" w:lineRule="exact"/>
              <w:ind w:firstLine="0" w:firstLineChars="0"/>
              <w:jc w:val="center"/>
              <w:rPr>
                <w:sz w:val="18"/>
              </w:rPr>
            </w:pPr>
            <w:r>
              <w:rPr>
                <w:kern w:val="0"/>
                <w:sz w:val="18"/>
              </w:rPr>
              <w:t>成都市青羊区牧电路7号</w:t>
            </w:r>
          </w:p>
        </w:tc>
        <w:tc>
          <w:tcPr>
            <w:tcW w:w="1991" w:type="dxa"/>
            <w:gridSpan w:val="2"/>
            <w:vAlign w:val="center"/>
          </w:tcPr>
          <w:p>
            <w:pPr>
              <w:pStyle w:val="53"/>
              <w:jc w:val="center"/>
              <w:rPr>
                <w:rFonts w:eastAsia="仿宋_GB2312"/>
                <w:sz w:val="18"/>
                <w:szCs w:val="18"/>
              </w:rPr>
            </w:pPr>
            <w:r>
              <w:rPr>
                <w:rFonts w:eastAsia="仿宋_GB2312"/>
                <w:sz w:val="18"/>
                <w:szCs w:val="18"/>
              </w:rPr>
              <w:t>地址</w:t>
            </w:r>
          </w:p>
        </w:tc>
        <w:tc>
          <w:tcPr>
            <w:tcW w:w="2166" w:type="dxa"/>
            <w:gridSpan w:val="3"/>
            <w:vAlign w:val="center"/>
          </w:tcPr>
          <w:p>
            <w:pPr>
              <w:pStyle w:val="53"/>
              <w:jc w:val="center"/>
              <w:rPr>
                <w:rFonts w:eastAsia="仿宋_GB2312"/>
                <w:sz w:val="18"/>
                <w:szCs w:val="18"/>
              </w:rPr>
            </w:pPr>
            <w:r>
              <w:rPr>
                <w:rFonts w:eastAsia="仿宋_GB2312"/>
                <w:sz w:val="18"/>
                <w:szCs w:val="18"/>
              </w:rPr>
              <w:t>乐山市五通桥区金粟镇十字街8号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邮编</w:t>
            </w:r>
          </w:p>
        </w:tc>
        <w:tc>
          <w:tcPr>
            <w:tcW w:w="2102" w:type="dxa"/>
            <w:gridSpan w:val="3"/>
            <w:vAlign w:val="center"/>
          </w:tcPr>
          <w:p>
            <w:pPr>
              <w:tabs>
                <w:tab w:val="left" w:pos="1008"/>
              </w:tabs>
              <w:spacing w:line="258" w:lineRule="exact"/>
              <w:ind w:firstLine="0" w:firstLineChars="0"/>
              <w:jc w:val="center"/>
              <w:rPr>
                <w:sz w:val="18"/>
              </w:rPr>
            </w:pPr>
            <w:r>
              <w:rPr>
                <w:kern w:val="0"/>
                <w:sz w:val="18"/>
              </w:rPr>
              <w:t>610031</w:t>
            </w:r>
          </w:p>
        </w:tc>
        <w:tc>
          <w:tcPr>
            <w:tcW w:w="1991" w:type="dxa"/>
            <w:gridSpan w:val="2"/>
            <w:vAlign w:val="center"/>
          </w:tcPr>
          <w:p>
            <w:pPr>
              <w:pStyle w:val="53"/>
              <w:jc w:val="center"/>
              <w:rPr>
                <w:rFonts w:eastAsia="仿宋_GB2312"/>
                <w:sz w:val="18"/>
                <w:szCs w:val="18"/>
              </w:rPr>
            </w:pPr>
            <w:r>
              <w:rPr>
                <w:rFonts w:eastAsia="仿宋_GB2312"/>
                <w:sz w:val="18"/>
                <w:szCs w:val="18"/>
              </w:rPr>
              <w:t>邮编</w:t>
            </w:r>
          </w:p>
        </w:tc>
        <w:tc>
          <w:tcPr>
            <w:tcW w:w="2166" w:type="dxa"/>
            <w:gridSpan w:val="3"/>
            <w:vAlign w:val="center"/>
          </w:tcPr>
          <w:p>
            <w:pPr>
              <w:pStyle w:val="53"/>
              <w:jc w:val="center"/>
              <w:rPr>
                <w:rFonts w:eastAsia="仿宋_GB2312"/>
                <w:sz w:val="18"/>
                <w:szCs w:val="18"/>
              </w:rPr>
            </w:pPr>
            <w:r>
              <w:rPr>
                <w:rFonts w:eastAsia="仿宋_GB2312"/>
                <w:sz w:val="18"/>
                <w:szCs w:val="18"/>
              </w:rPr>
              <w:t>614803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联系人及电话</w:t>
            </w:r>
          </w:p>
        </w:tc>
        <w:tc>
          <w:tcPr>
            <w:tcW w:w="2102" w:type="dxa"/>
            <w:gridSpan w:val="3"/>
            <w:vAlign w:val="center"/>
          </w:tcPr>
          <w:p>
            <w:pPr>
              <w:tabs>
                <w:tab w:val="left" w:pos="1008"/>
              </w:tabs>
              <w:spacing w:line="258" w:lineRule="exact"/>
              <w:ind w:firstLine="0" w:firstLineChars="0"/>
              <w:jc w:val="center"/>
              <w:rPr>
                <w:sz w:val="18"/>
              </w:rPr>
            </w:pPr>
            <w:r>
              <w:rPr>
                <w:kern w:val="0"/>
                <w:sz w:val="18"/>
              </w:rPr>
              <w:t>杨涛18781404064</w:t>
            </w:r>
          </w:p>
        </w:tc>
        <w:tc>
          <w:tcPr>
            <w:tcW w:w="1991" w:type="dxa"/>
            <w:gridSpan w:val="2"/>
            <w:vAlign w:val="center"/>
          </w:tcPr>
          <w:p>
            <w:pPr>
              <w:pStyle w:val="53"/>
              <w:jc w:val="center"/>
              <w:rPr>
                <w:rFonts w:eastAsia="仿宋_GB2312"/>
                <w:sz w:val="18"/>
                <w:szCs w:val="18"/>
              </w:rPr>
            </w:pPr>
            <w:r>
              <w:rPr>
                <w:rFonts w:eastAsia="仿宋_GB2312"/>
                <w:sz w:val="18"/>
                <w:szCs w:val="18"/>
              </w:rPr>
              <w:t>联系人及电话</w:t>
            </w:r>
          </w:p>
        </w:tc>
        <w:tc>
          <w:tcPr>
            <w:tcW w:w="2166" w:type="dxa"/>
            <w:gridSpan w:val="3"/>
            <w:vAlign w:val="center"/>
          </w:tcPr>
          <w:p>
            <w:pPr>
              <w:pStyle w:val="53"/>
              <w:jc w:val="center"/>
              <w:rPr>
                <w:rFonts w:eastAsia="仿宋_GB2312"/>
                <w:sz w:val="18"/>
                <w:szCs w:val="18"/>
              </w:rPr>
            </w:pPr>
            <w:r>
              <w:rPr>
                <w:rFonts w:eastAsia="仿宋_GB2312"/>
                <w:sz w:val="18"/>
                <w:szCs w:val="18"/>
              </w:rPr>
              <w:t>陈万鹏15983390828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023" w:type="dxa"/>
            <w:gridSpan w:val="5"/>
            <w:vAlign w:val="center"/>
          </w:tcPr>
          <w:p>
            <w:pPr>
              <w:pStyle w:val="53"/>
              <w:jc w:val="center"/>
              <w:rPr>
                <w:rFonts w:eastAsia="仿宋_GB2312"/>
                <w:sz w:val="18"/>
                <w:szCs w:val="18"/>
              </w:rPr>
            </w:pPr>
            <w:r>
              <w:rPr>
                <w:rFonts w:eastAsia="仿宋_GB2312"/>
                <w:sz w:val="18"/>
                <w:szCs w:val="18"/>
              </w:rPr>
              <w:t>传真</w:t>
            </w:r>
          </w:p>
        </w:tc>
        <w:tc>
          <w:tcPr>
            <w:tcW w:w="2102" w:type="dxa"/>
            <w:gridSpan w:val="3"/>
            <w:vAlign w:val="center"/>
          </w:tcPr>
          <w:p>
            <w:pPr>
              <w:tabs>
                <w:tab w:val="left" w:pos="1008"/>
              </w:tabs>
              <w:spacing w:line="258" w:lineRule="exact"/>
              <w:ind w:firstLine="0" w:firstLineChars="0"/>
              <w:jc w:val="center"/>
              <w:rPr>
                <w:sz w:val="18"/>
              </w:rPr>
            </w:pPr>
            <w:r>
              <w:rPr>
                <w:kern w:val="0"/>
                <w:sz w:val="18"/>
              </w:rPr>
              <w:t>/</w:t>
            </w:r>
          </w:p>
        </w:tc>
        <w:tc>
          <w:tcPr>
            <w:tcW w:w="1991" w:type="dxa"/>
            <w:gridSpan w:val="2"/>
            <w:vAlign w:val="center"/>
          </w:tcPr>
          <w:p>
            <w:pPr>
              <w:pStyle w:val="53"/>
              <w:jc w:val="center"/>
              <w:rPr>
                <w:rFonts w:eastAsia="仿宋_GB2312"/>
                <w:sz w:val="18"/>
                <w:szCs w:val="18"/>
              </w:rPr>
            </w:pPr>
            <w:r>
              <w:rPr>
                <w:rFonts w:eastAsia="仿宋_GB2312"/>
                <w:sz w:val="18"/>
                <w:szCs w:val="18"/>
              </w:rPr>
              <w:t>传真</w:t>
            </w:r>
          </w:p>
        </w:tc>
        <w:tc>
          <w:tcPr>
            <w:tcW w:w="2166" w:type="dxa"/>
            <w:gridSpan w:val="3"/>
            <w:vAlign w:val="center"/>
          </w:tcPr>
          <w:p>
            <w:pPr>
              <w:pStyle w:val="53"/>
              <w:jc w:val="center"/>
              <w:rPr>
                <w:rFonts w:eastAsia="仿宋_GB2312"/>
                <w:sz w:val="18"/>
                <w:szCs w:val="18"/>
              </w:rPr>
            </w:pPr>
            <w:r>
              <w:rPr>
                <w:rFonts w:eastAsia="仿宋_GB2312"/>
                <w:sz w:val="18"/>
                <w:szCs w:val="18"/>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电子信箱</w:t>
            </w:r>
          </w:p>
        </w:tc>
        <w:tc>
          <w:tcPr>
            <w:tcW w:w="2102" w:type="dxa"/>
            <w:gridSpan w:val="3"/>
            <w:vAlign w:val="center"/>
          </w:tcPr>
          <w:p>
            <w:pPr>
              <w:tabs>
                <w:tab w:val="left" w:pos="1008"/>
              </w:tabs>
              <w:spacing w:line="258" w:lineRule="exact"/>
              <w:ind w:firstLine="0" w:firstLineChars="0"/>
              <w:jc w:val="center"/>
              <w:rPr>
                <w:sz w:val="18"/>
              </w:rPr>
            </w:pPr>
            <w:r>
              <w:rPr>
                <w:kern w:val="0"/>
                <w:sz w:val="18"/>
              </w:rPr>
              <w:t>340372635@qq.com</w:t>
            </w:r>
          </w:p>
        </w:tc>
        <w:tc>
          <w:tcPr>
            <w:tcW w:w="1991" w:type="dxa"/>
            <w:gridSpan w:val="2"/>
            <w:vAlign w:val="center"/>
          </w:tcPr>
          <w:p>
            <w:pPr>
              <w:pStyle w:val="53"/>
              <w:jc w:val="center"/>
              <w:rPr>
                <w:rFonts w:eastAsia="仿宋_GB2312"/>
                <w:sz w:val="18"/>
                <w:szCs w:val="18"/>
              </w:rPr>
            </w:pPr>
            <w:r>
              <w:rPr>
                <w:rFonts w:eastAsia="仿宋_GB2312"/>
                <w:sz w:val="18"/>
                <w:szCs w:val="18"/>
              </w:rPr>
              <w:t>电子信箱</w:t>
            </w:r>
          </w:p>
        </w:tc>
        <w:tc>
          <w:tcPr>
            <w:tcW w:w="2166" w:type="dxa"/>
            <w:gridSpan w:val="3"/>
            <w:vAlign w:val="center"/>
          </w:tcPr>
          <w:p>
            <w:pPr>
              <w:pStyle w:val="53"/>
              <w:jc w:val="center"/>
              <w:rPr>
                <w:rFonts w:eastAsia="仿宋_GB2312"/>
                <w:sz w:val="18"/>
                <w:szCs w:val="18"/>
              </w:rPr>
            </w:pPr>
            <w:r>
              <w:rPr>
                <w:rFonts w:eastAsia="仿宋_GB2312"/>
                <w:sz w:val="18"/>
                <w:szCs w:val="18"/>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3023" w:type="dxa"/>
            <w:gridSpan w:val="5"/>
            <w:vAlign w:val="center"/>
          </w:tcPr>
          <w:p>
            <w:pPr>
              <w:pStyle w:val="53"/>
              <w:jc w:val="center"/>
              <w:rPr>
                <w:rFonts w:eastAsia="仿宋_GB2312"/>
                <w:sz w:val="18"/>
                <w:szCs w:val="18"/>
              </w:rPr>
            </w:pPr>
            <w:r>
              <w:rPr>
                <w:rFonts w:eastAsia="仿宋_GB2312"/>
                <w:sz w:val="18"/>
                <w:szCs w:val="18"/>
              </w:rPr>
              <w:t>社会统一信用代码</w:t>
            </w:r>
          </w:p>
        </w:tc>
        <w:tc>
          <w:tcPr>
            <w:tcW w:w="2102" w:type="dxa"/>
            <w:gridSpan w:val="3"/>
            <w:vAlign w:val="center"/>
          </w:tcPr>
          <w:p>
            <w:pPr>
              <w:pStyle w:val="99"/>
              <w:adjustRightInd w:val="0"/>
              <w:snapToGrid w:val="0"/>
              <w:spacing w:line="258" w:lineRule="exact"/>
              <w:jc w:val="center"/>
            </w:pPr>
            <w:r>
              <w:t>12510000450717041R</w:t>
            </w:r>
          </w:p>
        </w:tc>
        <w:tc>
          <w:tcPr>
            <w:tcW w:w="1991" w:type="dxa"/>
            <w:gridSpan w:val="2"/>
            <w:vAlign w:val="center"/>
          </w:tcPr>
          <w:p>
            <w:pPr>
              <w:pStyle w:val="53"/>
              <w:jc w:val="center"/>
              <w:rPr>
                <w:rFonts w:eastAsia="仿宋_GB2312"/>
                <w:sz w:val="18"/>
                <w:szCs w:val="18"/>
              </w:rPr>
            </w:pPr>
            <w:r>
              <w:rPr>
                <w:rFonts w:eastAsia="仿宋_GB2312"/>
                <w:sz w:val="18"/>
                <w:szCs w:val="18"/>
              </w:rPr>
              <w:t>社会统一信用代码</w:t>
            </w:r>
          </w:p>
        </w:tc>
        <w:tc>
          <w:tcPr>
            <w:tcW w:w="2166" w:type="dxa"/>
            <w:gridSpan w:val="3"/>
            <w:vAlign w:val="center"/>
          </w:tcPr>
          <w:p>
            <w:pPr>
              <w:pStyle w:val="53"/>
              <w:jc w:val="center"/>
              <w:rPr>
                <w:rFonts w:eastAsia="仿宋_GB2312"/>
                <w:sz w:val="18"/>
                <w:szCs w:val="18"/>
              </w:rPr>
            </w:pPr>
            <w:r>
              <w:rPr>
                <w:rFonts w:eastAsia="仿宋_GB2312"/>
                <w:sz w:val="18"/>
                <w:szCs w:val="18"/>
              </w:rPr>
              <w:t>11511012MB1592247U</w:t>
            </w:r>
          </w:p>
        </w:tc>
      </w:tr>
    </w:tbl>
    <w:p>
      <w:pPr>
        <w:ind w:firstLine="0" w:firstLineChars="0"/>
        <w:rPr>
          <w:sz w:val="21"/>
          <w:szCs w:val="21"/>
        </w:rPr>
        <w:sectPr>
          <w:pgSz w:w="11905" w:h="16838"/>
          <w:pgMar w:top="1417" w:right="1417" w:bottom="1417" w:left="1417" w:header="850" w:footer="992" w:gutter="0"/>
          <w:cols w:space="720" w:num="1"/>
          <w:docGrid w:linePitch="312" w:charSpace="0"/>
        </w:sectPr>
      </w:pPr>
    </w:p>
    <w:p>
      <w:pPr>
        <w:pStyle w:val="4"/>
      </w:pPr>
      <w:bookmarkStart w:id="41" w:name="_Toc7031"/>
      <w:r>
        <w:t>2区域概况</w:t>
      </w:r>
      <w:bookmarkEnd w:id="41"/>
    </w:p>
    <w:p>
      <w:pPr>
        <w:pStyle w:val="5"/>
      </w:pPr>
      <w:bookmarkStart w:id="42" w:name="_Toc9577"/>
      <w:r>
        <w:t>2.1区域组成及工程布置</w:t>
      </w:r>
      <w:bookmarkEnd w:id="42"/>
    </w:p>
    <w:p>
      <w:pPr>
        <w:pStyle w:val="6"/>
      </w:pPr>
      <w:r>
        <w:t>2.1.1化工园区地理位置及相关区位关系</w:t>
      </w:r>
    </w:p>
    <w:p>
      <w:pPr>
        <w:pStyle w:val="7"/>
      </w:pPr>
      <w:r>
        <w:t>2.1.1.1化工园区地理位置及交通条件</w:t>
      </w:r>
    </w:p>
    <w:p>
      <w:pPr>
        <w:ind w:firstLine="480"/>
      </w:pPr>
      <w:r>
        <w:rPr>
          <w:bCs/>
        </w:rPr>
        <w:t>乐山五通桥化工园区</w:t>
      </w:r>
      <w:r>
        <w:rPr>
          <w:szCs w:val="21"/>
          <w:lang w:val="zh-CN"/>
        </w:rPr>
        <w:t>位于乐山市五通桥区，北邻眉山、成都，东接自贡、内江、顺岷江而下，可达宜宾、泸州、重庆和长江三峡，西接攀枝花、西昌，距乐山主城区约20公里。</w:t>
      </w:r>
      <w:r>
        <w:rPr>
          <w:bCs/>
        </w:rPr>
        <w:t>园区</w:t>
      </w:r>
      <w:r>
        <w:rPr>
          <w:szCs w:val="21"/>
          <w:lang w:val="zh-CN"/>
        </w:rPr>
        <w:t>规划范围总面积</w:t>
      </w:r>
      <w:r>
        <w:rPr>
          <w:szCs w:val="21"/>
        </w:rPr>
        <w:t>11.29km</w:t>
      </w:r>
      <w:r>
        <w:rPr>
          <w:szCs w:val="21"/>
          <w:vertAlign w:val="superscript"/>
        </w:rPr>
        <w:t>2</w:t>
      </w:r>
      <w:r>
        <w:rPr>
          <w:szCs w:val="21"/>
        </w:rPr>
        <w:t>（1129.18hm</w:t>
      </w:r>
      <w:r>
        <w:rPr>
          <w:szCs w:val="21"/>
          <w:vertAlign w:val="superscript"/>
        </w:rPr>
        <w:t>2</w:t>
      </w:r>
      <w:r>
        <w:rPr>
          <w:szCs w:val="21"/>
        </w:rPr>
        <w:t>）</w:t>
      </w:r>
      <w:r>
        <w:rPr>
          <w:szCs w:val="21"/>
          <w:lang w:val="zh-CN"/>
        </w:rPr>
        <w:t>，位于岷江岸线1km以外，四至范围为东至五通桥区金粟镇五一村、西至五通桥区竹根镇红军村、南至五通桥区金粟镇会云村、北至五通桥区金山镇民安村。主要涉及金粟镇的共裕村、平桥村、会云村、井房坳村、印盒山村，杨柳镇的红豆村，金山镇的六塘村、民安村和杏林村。园区周边有成渝环线高速、蓉丽高速、隆汉高速、乐山绕城高速、成乐高速、国道</w:t>
      </w:r>
      <w:r>
        <w:rPr>
          <w:szCs w:val="21"/>
        </w:rPr>
        <w:t>G213线</w:t>
      </w:r>
      <w:r>
        <w:rPr>
          <w:szCs w:val="21"/>
          <w:lang w:val="zh-CN"/>
        </w:rPr>
        <w:t>等道路，</w:t>
      </w:r>
      <w:r>
        <w:t>区位优越，交通便利。</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pict>
                <v:shape id="自选图形 387" o:spid="_x0000_s1128" o:spt="61" type="#_x0000_t61" style="position:absolute;left:0pt;margin-left:207.6pt;margin-top:180.85pt;height:27.8pt;width:128.25pt;z-index:251662336;mso-width-relative:page;mso-height-relative:page;" filled="f" stroked="t" coordsize="21600,21600" o:gfxdata="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" adj="8,56603">
                  <v:path/>
                  <v:fill on="f" focussize="0,0"/>
                  <v:stroke weight="1.25pt" color="#739CC3" joinstyle="miter"/>
                  <v:imagedata o:title=""/>
                  <o:lock v:ext="edit"/>
                  <v:textbox>
                    <w:txbxContent>
                      <w:p>
                        <w:pPr>
                          <w:ind w:firstLine="0" w:firstLineChars="0"/>
                          <w:jc w:val="center"/>
                          <w:rPr>
                            <w:sz w:val="21"/>
                            <w:szCs w:val="21"/>
                          </w:rPr>
                        </w:pPr>
                        <w:r>
                          <w:rPr>
                            <w:rFonts w:hint="eastAsia" w:eastAsia="仿宋"/>
                            <w:b/>
                          </w:rPr>
                          <w:t>乐山五通桥化工园区</w:t>
                        </w:r>
                      </w:p>
                    </w:txbxContent>
                  </v:textbox>
                </v:shape>
              </w:pict>
            </w:r>
            <w:r>
              <w:drawing>
                <wp:inline distT="0" distB="0" distL="114300" distR="114300">
                  <wp:extent cx="5717540" cy="4043045"/>
                  <wp:effectExtent l="0" t="0" r="16510" b="14605"/>
                  <wp:docPr id="140"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69"/>
                          <pic:cNvPicPr>
                            <a:picLocks noChangeAspect="1"/>
                          </pic:cNvPicPr>
                        </pic:nvPicPr>
                        <pic:blipFill>
                          <a:blip r:embed="rId51"/>
                          <a:stretch>
                            <a:fillRect/>
                          </a:stretch>
                        </pic:blipFill>
                        <pic:spPr>
                          <a:xfrm>
                            <a:off x="0" y="0"/>
                            <a:ext cx="5717540" cy="40430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图2.1-1项目地理位置示意图</w:t>
            </w:r>
          </w:p>
        </w:tc>
      </w:tr>
    </w:tbl>
    <w:p>
      <w:pPr>
        <w:pStyle w:val="7"/>
      </w:pPr>
      <w:r>
        <w:t>2.1.1.2化工园区相关区位关系</w:t>
      </w:r>
    </w:p>
    <w:p>
      <w:pPr>
        <w:ind w:firstLine="480"/>
      </w:pPr>
      <w:r>
        <w:rPr>
          <w:bCs/>
        </w:rPr>
        <w:t>2022年10月，乐山高新区五通桥基地管理委员会委托乐山市城乡规划设计院有限公司编制完成了《五通桥新型工业基地控制性详细规划》，详规中明确了五通桥新型工业基地范围为16.13</w:t>
      </w:r>
      <w:r>
        <w:rPr>
          <w:szCs w:val="21"/>
        </w:rPr>
        <w:t>km</w:t>
      </w:r>
      <w:r>
        <w:rPr>
          <w:szCs w:val="21"/>
          <w:vertAlign w:val="superscript"/>
        </w:rPr>
        <w:t>2</w:t>
      </w:r>
      <w:r>
        <w:rPr>
          <w:bCs/>
        </w:rPr>
        <w:t>。</w:t>
      </w:r>
      <w:r>
        <w:t>详规报告于2023年1月28日取得乐山市五通桥区人民政府关于五通桥新型工业基地控制性详细规划的批复（五府复〔2023〕31号）。</w:t>
      </w:r>
      <w:r>
        <w:rPr>
          <w:bCs/>
        </w:rPr>
        <w:t>“批复”同意《五通桥新型工业基地控制性详细规划》按程序办理。详见附件2。化工园区范围位于五通桥新型工业基地内。乐山五通桥化工园区与五通桥新型工业基地重叠面积为</w:t>
      </w:r>
      <w:r>
        <w:rPr>
          <w:szCs w:val="21"/>
        </w:rPr>
        <w:t>1129.18hm</w:t>
      </w:r>
      <w:r>
        <w:rPr>
          <w:szCs w:val="21"/>
          <w:vertAlign w:val="superscript"/>
        </w:rPr>
        <w:t>2</w:t>
      </w:r>
      <w:r>
        <w:rPr>
          <w:szCs w:val="21"/>
        </w:rPr>
        <w:t>，</w:t>
      </w:r>
      <w:r>
        <w:rPr>
          <w:bCs/>
        </w:rPr>
        <w:t>五通桥化工园区与五通桥新型工业基地的</w:t>
      </w:r>
      <w:r>
        <w:rPr>
          <w:szCs w:val="21"/>
        </w:rPr>
        <w:t>位置关系图详见图2.1-2。</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tcPr>
          <w:p>
            <w:pPr>
              <w:spacing w:line="240" w:lineRule="auto"/>
              <w:ind w:firstLine="0" w:firstLineChars="0"/>
              <w:rPr>
                <w:sz w:val="21"/>
                <w:szCs w:val="21"/>
              </w:rPr>
            </w:pPr>
            <w:r>
              <w:drawing>
                <wp:inline distT="0" distB="0" distL="114300" distR="114300">
                  <wp:extent cx="5756910" cy="3716020"/>
                  <wp:effectExtent l="0" t="0" r="15240" b="17780"/>
                  <wp:docPr id="9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52"/>
                          <pic:cNvPicPr>
                            <a:picLocks noChangeAspect="1"/>
                          </pic:cNvPicPr>
                        </pic:nvPicPr>
                        <pic:blipFill>
                          <a:blip r:embed="rId52"/>
                          <a:stretch>
                            <a:fillRect/>
                          </a:stretch>
                        </pic:blipFill>
                        <pic:spPr>
                          <a:xfrm>
                            <a:off x="0" y="0"/>
                            <a:ext cx="5756910" cy="371602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tcPr>
          <w:p>
            <w:pPr>
              <w:spacing w:line="240" w:lineRule="auto"/>
              <w:ind w:firstLine="0" w:firstLineChars="0"/>
              <w:jc w:val="center"/>
              <w:rPr>
                <w:sz w:val="21"/>
                <w:szCs w:val="21"/>
              </w:rPr>
            </w:pPr>
            <w:r>
              <w:rPr>
                <w:b/>
                <w:bCs/>
                <w:sz w:val="21"/>
                <w:szCs w:val="21"/>
              </w:rPr>
              <w:t>图2.1-2乐山五通桥化工园区与五通桥新型工业基地重叠关系图</w:t>
            </w:r>
          </w:p>
        </w:tc>
      </w:tr>
    </w:tbl>
    <w:p>
      <w:pPr>
        <w:pStyle w:val="6"/>
      </w:pPr>
      <w:r>
        <w:t>2.1.2区域规模及特性</w:t>
      </w:r>
    </w:p>
    <w:p>
      <w:pPr>
        <w:ind w:firstLine="480"/>
        <w:rPr>
          <w:b/>
          <w:bCs/>
        </w:rPr>
      </w:pPr>
      <w:r>
        <w:t>（1）园区名称：</w:t>
      </w:r>
      <w:r>
        <w:rPr>
          <w:bCs/>
        </w:rPr>
        <w:t>乐山五通桥化工园区</w:t>
      </w:r>
    </w:p>
    <w:p>
      <w:pPr>
        <w:ind w:firstLine="480"/>
        <w:rPr>
          <w:rFonts w:hint="eastAsia" w:eastAsia="仿宋_GB2312"/>
          <w:lang w:eastAsia="zh-CN"/>
        </w:rPr>
      </w:pPr>
      <w:r>
        <w:t>（2）园区管理机构：</w:t>
      </w:r>
      <w:r>
        <w:rPr>
          <w:rFonts w:hint="eastAsia"/>
          <w:bCs/>
          <w:lang w:eastAsia="zh-CN"/>
        </w:rPr>
        <w:t>四川五通桥经济开发区管理委员会（原乐山高新区五通桥基地管理委员会）</w:t>
      </w:r>
    </w:p>
    <w:p>
      <w:pPr>
        <w:ind w:firstLine="480"/>
      </w:pPr>
      <w:r>
        <w:t>（3）建设地点：</w:t>
      </w:r>
      <w:r>
        <w:rPr>
          <w:bCs/>
        </w:rPr>
        <w:t>乐山市五通桥区</w:t>
      </w:r>
      <w:r>
        <w:rPr>
          <w:szCs w:val="21"/>
          <w:lang w:val="zh-CN"/>
        </w:rPr>
        <w:t>金粟镇、竹根镇、金山镇。园区中心坐标为东经103°51′43.503″，北纬29°22′4.551″。</w:t>
      </w:r>
      <w:r>
        <w:rPr>
          <w:bCs/>
        </w:rPr>
        <w:t>园区四至界线坐标详见表2.1-1，园区四至界线拐点图详见图2.1-</w:t>
      </w:r>
      <w:r>
        <w:rPr>
          <w:rFonts w:hint="eastAsia"/>
          <w:bCs/>
        </w:rPr>
        <w:t>3</w:t>
      </w:r>
      <w:r>
        <w:rPr>
          <w:bCs/>
        </w:rPr>
        <w:t>。</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tcPr>
          <w:p>
            <w:pPr>
              <w:spacing w:line="240" w:lineRule="auto"/>
              <w:ind w:firstLine="0" w:firstLineChars="0"/>
              <w:rPr>
                <w:sz w:val="21"/>
                <w:szCs w:val="21"/>
              </w:rPr>
            </w:pPr>
            <w:r>
              <w:drawing>
                <wp:inline distT="0" distB="0" distL="114300" distR="114300">
                  <wp:extent cx="5755005" cy="3259455"/>
                  <wp:effectExtent l="0" t="0" r="17145" b="17145"/>
                  <wp:docPr id="82"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30"/>
                          <pic:cNvPicPr>
                            <a:picLocks noChangeAspect="1"/>
                          </pic:cNvPicPr>
                        </pic:nvPicPr>
                        <pic:blipFill>
                          <a:blip r:embed="rId53"/>
                          <a:stretch>
                            <a:fillRect/>
                          </a:stretch>
                        </pic:blipFill>
                        <pic:spPr>
                          <a:xfrm>
                            <a:off x="0" y="0"/>
                            <a:ext cx="5755005" cy="325945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tcPr>
          <w:p>
            <w:pPr>
              <w:spacing w:line="240" w:lineRule="auto"/>
              <w:ind w:firstLine="0" w:firstLineChars="0"/>
              <w:jc w:val="center"/>
              <w:rPr>
                <w:sz w:val="21"/>
                <w:szCs w:val="21"/>
              </w:rPr>
            </w:pPr>
            <w:r>
              <w:rPr>
                <w:b/>
                <w:bCs/>
                <w:sz w:val="21"/>
                <w:szCs w:val="21"/>
              </w:rPr>
              <w:t>图2.1-3园区四至界线拐点图</w:t>
            </w:r>
          </w:p>
        </w:tc>
      </w:tr>
    </w:tbl>
    <w:p>
      <w:pPr>
        <w:ind w:firstLine="0" w:firstLineChars="0"/>
        <w:jc w:val="center"/>
        <w:rPr>
          <w:b/>
          <w:bCs/>
        </w:rPr>
      </w:pPr>
      <w:r>
        <w:rPr>
          <w:b/>
          <w:bCs/>
        </w:rPr>
        <w:t>表2.1-1园区四至界线坐标表（2000国家大地坐标系）</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001"/>
        <w:gridCol w:w="1405"/>
        <w:gridCol w:w="2100"/>
        <w:gridCol w:w="2100"/>
        <w:gridCol w:w="268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b/>
                <w:bCs/>
                <w:sz w:val="21"/>
                <w:szCs w:val="21"/>
              </w:rPr>
            </w:pPr>
            <w:r>
              <w:rPr>
                <w:b/>
                <w:bCs/>
                <w:sz w:val="21"/>
                <w:szCs w:val="21"/>
              </w:rPr>
              <w:t>序号</w:t>
            </w:r>
          </w:p>
        </w:tc>
        <w:tc>
          <w:tcPr>
            <w:tcW w:w="1405" w:type="dxa"/>
            <w:vAlign w:val="center"/>
          </w:tcPr>
          <w:p>
            <w:pPr>
              <w:spacing w:line="240" w:lineRule="auto"/>
              <w:ind w:firstLine="0" w:firstLineChars="0"/>
              <w:jc w:val="center"/>
              <w:rPr>
                <w:b/>
                <w:bCs/>
                <w:sz w:val="21"/>
                <w:szCs w:val="21"/>
              </w:rPr>
            </w:pPr>
            <w:r>
              <w:rPr>
                <w:b/>
                <w:bCs/>
                <w:sz w:val="21"/>
                <w:szCs w:val="21"/>
              </w:rPr>
              <w:t>拐点</w:t>
            </w:r>
          </w:p>
        </w:tc>
        <w:tc>
          <w:tcPr>
            <w:tcW w:w="2100" w:type="dxa"/>
            <w:vAlign w:val="center"/>
          </w:tcPr>
          <w:p>
            <w:pPr>
              <w:spacing w:line="240" w:lineRule="auto"/>
              <w:ind w:firstLine="0" w:firstLineChars="0"/>
              <w:jc w:val="center"/>
              <w:rPr>
                <w:b/>
                <w:bCs/>
                <w:sz w:val="21"/>
                <w:szCs w:val="21"/>
              </w:rPr>
            </w:pPr>
            <w:r>
              <w:rPr>
                <w:b/>
                <w:bCs/>
                <w:sz w:val="21"/>
                <w:szCs w:val="21"/>
              </w:rPr>
              <w:t>X（m）</w:t>
            </w:r>
          </w:p>
        </w:tc>
        <w:tc>
          <w:tcPr>
            <w:tcW w:w="2100" w:type="dxa"/>
            <w:vAlign w:val="center"/>
          </w:tcPr>
          <w:p>
            <w:pPr>
              <w:spacing w:line="240" w:lineRule="auto"/>
              <w:ind w:firstLine="0" w:firstLineChars="0"/>
              <w:jc w:val="center"/>
              <w:rPr>
                <w:b/>
                <w:bCs/>
                <w:sz w:val="21"/>
                <w:szCs w:val="21"/>
              </w:rPr>
            </w:pPr>
            <w:r>
              <w:rPr>
                <w:b/>
                <w:bCs/>
                <w:sz w:val="21"/>
                <w:szCs w:val="21"/>
              </w:rPr>
              <w:t>Y（m）</w:t>
            </w:r>
          </w:p>
        </w:tc>
        <w:tc>
          <w:tcPr>
            <w:tcW w:w="2681" w:type="dxa"/>
            <w:vAlign w:val="center"/>
          </w:tcPr>
          <w:p>
            <w:pPr>
              <w:spacing w:line="240" w:lineRule="auto"/>
              <w:ind w:firstLine="0" w:firstLineChars="0"/>
              <w:jc w:val="center"/>
              <w:rPr>
                <w:b/>
                <w:bCs/>
                <w:sz w:val="21"/>
                <w:szCs w:val="21"/>
              </w:rPr>
            </w:pPr>
            <w:r>
              <w:rPr>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1</w:t>
            </w:r>
          </w:p>
        </w:tc>
        <w:tc>
          <w:tcPr>
            <w:tcW w:w="1405" w:type="dxa"/>
            <w:vAlign w:val="center"/>
          </w:tcPr>
          <w:p>
            <w:pPr>
              <w:spacing w:line="240" w:lineRule="auto"/>
              <w:ind w:firstLine="0" w:firstLineChars="0"/>
              <w:jc w:val="center"/>
              <w:rPr>
                <w:sz w:val="21"/>
                <w:szCs w:val="21"/>
              </w:rPr>
            </w:pPr>
            <w:r>
              <w:rPr>
                <w:sz w:val="21"/>
                <w:szCs w:val="21"/>
              </w:rPr>
              <w:t>J1</w:t>
            </w:r>
          </w:p>
        </w:tc>
        <w:tc>
          <w:tcPr>
            <w:tcW w:w="2100" w:type="dxa"/>
            <w:vAlign w:val="center"/>
          </w:tcPr>
          <w:p>
            <w:pPr>
              <w:spacing w:line="240" w:lineRule="auto"/>
              <w:ind w:firstLine="0" w:firstLineChars="0"/>
              <w:jc w:val="center"/>
              <w:rPr>
                <w:sz w:val="21"/>
                <w:szCs w:val="21"/>
              </w:rPr>
            </w:pPr>
            <w:r>
              <w:rPr>
                <w:sz w:val="21"/>
                <w:szCs w:val="21"/>
              </w:rPr>
              <w:t>3251757.9</w:t>
            </w:r>
          </w:p>
        </w:tc>
        <w:tc>
          <w:tcPr>
            <w:tcW w:w="2100" w:type="dxa"/>
            <w:vAlign w:val="center"/>
          </w:tcPr>
          <w:p>
            <w:pPr>
              <w:spacing w:line="240" w:lineRule="auto"/>
              <w:ind w:firstLine="0" w:firstLineChars="0"/>
              <w:jc w:val="center"/>
              <w:rPr>
                <w:sz w:val="21"/>
                <w:szCs w:val="21"/>
              </w:rPr>
            </w:pPr>
            <w:r>
              <w:rPr>
                <w:sz w:val="21"/>
                <w:szCs w:val="21"/>
              </w:rPr>
              <w:t>35386081.41</w:t>
            </w:r>
          </w:p>
        </w:tc>
        <w:tc>
          <w:tcPr>
            <w:tcW w:w="2681" w:type="dxa"/>
            <w:vAlign w:val="center"/>
          </w:tcPr>
          <w:p>
            <w:pPr>
              <w:spacing w:line="240" w:lineRule="auto"/>
              <w:ind w:firstLine="0" w:firstLineChars="0"/>
              <w:jc w:val="center"/>
              <w:rPr>
                <w:sz w:val="21"/>
                <w:szCs w:val="21"/>
              </w:rPr>
            </w:pPr>
            <w:r>
              <w:rPr>
                <w:sz w:val="21"/>
                <w:szCs w:val="21"/>
              </w:rPr>
              <w:t>J1至M1距离1.010公里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2</w:t>
            </w:r>
          </w:p>
        </w:tc>
        <w:tc>
          <w:tcPr>
            <w:tcW w:w="1405" w:type="dxa"/>
            <w:vAlign w:val="center"/>
          </w:tcPr>
          <w:p>
            <w:pPr>
              <w:spacing w:line="240" w:lineRule="auto"/>
              <w:ind w:firstLine="0" w:firstLineChars="0"/>
              <w:jc w:val="center"/>
              <w:rPr>
                <w:sz w:val="21"/>
                <w:szCs w:val="21"/>
              </w:rPr>
            </w:pPr>
            <w:r>
              <w:rPr>
                <w:sz w:val="21"/>
                <w:szCs w:val="21"/>
              </w:rPr>
              <w:t>J2</w:t>
            </w:r>
          </w:p>
        </w:tc>
        <w:tc>
          <w:tcPr>
            <w:tcW w:w="2100" w:type="dxa"/>
            <w:vAlign w:val="center"/>
          </w:tcPr>
          <w:p>
            <w:pPr>
              <w:spacing w:line="240" w:lineRule="auto"/>
              <w:ind w:firstLine="0" w:firstLineChars="0"/>
              <w:jc w:val="center"/>
              <w:rPr>
                <w:sz w:val="21"/>
                <w:szCs w:val="21"/>
              </w:rPr>
            </w:pPr>
            <w:r>
              <w:rPr>
                <w:sz w:val="21"/>
                <w:szCs w:val="21"/>
              </w:rPr>
              <w:t>3253343.33</w:t>
            </w:r>
          </w:p>
        </w:tc>
        <w:tc>
          <w:tcPr>
            <w:tcW w:w="2100" w:type="dxa"/>
            <w:vAlign w:val="center"/>
          </w:tcPr>
          <w:p>
            <w:pPr>
              <w:spacing w:line="240" w:lineRule="auto"/>
              <w:ind w:firstLine="0" w:firstLineChars="0"/>
              <w:jc w:val="center"/>
              <w:rPr>
                <w:sz w:val="21"/>
                <w:szCs w:val="21"/>
              </w:rPr>
            </w:pPr>
            <w:r>
              <w:rPr>
                <w:sz w:val="21"/>
                <w:szCs w:val="21"/>
              </w:rPr>
              <w:t>35387526.37</w:t>
            </w:r>
          </w:p>
        </w:tc>
        <w:tc>
          <w:tcPr>
            <w:tcW w:w="2681" w:type="dxa"/>
            <w:vAlign w:val="center"/>
          </w:tcPr>
          <w:p>
            <w:pPr>
              <w:spacing w:line="240" w:lineRule="auto"/>
              <w:ind w:firstLine="0" w:firstLineChars="0"/>
              <w:jc w:val="center"/>
              <w:rPr>
                <w:sz w:val="21"/>
                <w:szCs w:val="21"/>
              </w:rPr>
            </w:pPr>
            <w:r>
              <w:rPr>
                <w:sz w:val="21"/>
                <w:szCs w:val="21"/>
              </w:rPr>
              <w:t>J2至H8距离1.54公里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3</w:t>
            </w:r>
          </w:p>
        </w:tc>
        <w:tc>
          <w:tcPr>
            <w:tcW w:w="1405" w:type="dxa"/>
            <w:vAlign w:val="center"/>
          </w:tcPr>
          <w:p>
            <w:pPr>
              <w:spacing w:line="240" w:lineRule="auto"/>
              <w:ind w:firstLine="0" w:firstLineChars="0"/>
              <w:jc w:val="center"/>
              <w:rPr>
                <w:sz w:val="21"/>
                <w:szCs w:val="21"/>
              </w:rPr>
            </w:pPr>
            <w:r>
              <w:rPr>
                <w:sz w:val="21"/>
                <w:szCs w:val="21"/>
              </w:rPr>
              <w:t>J3</w:t>
            </w:r>
          </w:p>
        </w:tc>
        <w:tc>
          <w:tcPr>
            <w:tcW w:w="2100" w:type="dxa"/>
            <w:vAlign w:val="center"/>
          </w:tcPr>
          <w:p>
            <w:pPr>
              <w:spacing w:line="240" w:lineRule="auto"/>
              <w:ind w:firstLine="0" w:firstLineChars="0"/>
              <w:jc w:val="center"/>
              <w:rPr>
                <w:sz w:val="21"/>
                <w:szCs w:val="21"/>
              </w:rPr>
            </w:pPr>
            <w:r>
              <w:rPr>
                <w:sz w:val="21"/>
                <w:szCs w:val="21"/>
              </w:rPr>
              <w:t>3253769.28</w:t>
            </w:r>
          </w:p>
        </w:tc>
        <w:tc>
          <w:tcPr>
            <w:tcW w:w="2100" w:type="dxa"/>
            <w:vAlign w:val="center"/>
          </w:tcPr>
          <w:p>
            <w:pPr>
              <w:spacing w:line="240" w:lineRule="auto"/>
              <w:ind w:firstLine="0" w:firstLineChars="0"/>
              <w:jc w:val="center"/>
              <w:rPr>
                <w:sz w:val="21"/>
                <w:szCs w:val="21"/>
              </w:rPr>
            </w:pPr>
            <w:r>
              <w:rPr>
                <w:sz w:val="21"/>
                <w:szCs w:val="21"/>
              </w:rPr>
              <w:t>35388215.8</w:t>
            </w:r>
          </w:p>
        </w:tc>
        <w:tc>
          <w:tcPr>
            <w:tcW w:w="268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4</w:t>
            </w:r>
          </w:p>
        </w:tc>
        <w:tc>
          <w:tcPr>
            <w:tcW w:w="1405" w:type="dxa"/>
            <w:vAlign w:val="center"/>
          </w:tcPr>
          <w:p>
            <w:pPr>
              <w:spacing w:line="240" w:lineRule="auto"/>
              <w:ind w:firstLine="0" w:firstLineChars="0"/>
              <w:jc w:val="center"/>
              <w:rPr>
                <w:sz w:val="21"/>
                <w:szCs w:val="21"/>
              </w:rPr>
            </w:pPr>
            <w:r>
              <w:rPr>
                <w:sz w:val="21"/>
                <w:szCs w:val="21"/>
              </w:rPr>
              <w:t>J4</w:t>
            </w:r>
          </w:p>
        </w:tc>
        <w:tc>
          <w:tcPr>
            <w:tcW w:w="2100" w:type="dxa"/>
            <w:vAlign w:val="center"/>
          </w:tcPr>
          <w:p>
            <w:pPr>
              <w:spacing w:line="240" w:lineRule="auto"/>
              <w:ind w:firstLine="0" w:firstLineChars="0"/>
              <w:jc w:val="center"/>
              <w:rPr>
                <w:sz w:val="21"/>
                <w:szCs w:val="21"/>
              </w:rPr>
            </w:pPr>
            <w:r>
              <w:rPr>
                <w:sz w:val="21"/>
                <w:szCs w:val="21"/>
              </w:rPr>
              <w:t>3252035.23</w:t>
            </w:r>
          </w:p>
        </w:tc>
        <w:tc>
          <w:tcPr>
            <w:tcW w:w="2100" w:type="dxa"/>
            <w:vAlign w:val="center"/>
          </w:tcPr>
          <w:p>
            <w:pPr>
              <w:spacing w:line="240" w:lineRule="auto"/>
              <w:ind w:firstLine="0" w:firstLineChars="0"/>
              <w:jc w:val="center"/>
              <w:rPr>
                <w:sz w:val="21"/>
                <w:szCs w:val="21"/>
              </w:rPr>
            </w:pPr>
            <w:r>
              <w:rPr>
                <w:sz w:val="21"/>
                <w:szCs w:val="21"/>
              </w:rPr>
              <w:t>35391050.15</w:t>
            </w:r>
          </w:p>
        </w:tc>
        <w:tc>
          <w:tcPr>
            <w:tcW w:w="268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5</w:t>
            </w:r>
          </w:p>
        </w:tc>
        <w:tc>
          <w:tcPr>
            <w:tcW w:w="1405" w:type="dxa"/>
            <w:vAlign w:val="center"/>
          </w:tcPr>
          <w:p>
            <w:pPr>
              <w:spacing w:line="240" w:lineRule="auto"/>
              <w:ind w:firstLine="0" w:firstLineChars="0"/>
              <w:jc w:val="center"/>
              <w:rPr>
                <w:sz w:val="21"/>
                <w:szCs w:val="21"/>
              </w:rPr>
            </w:pPr>
            <w:r>
              <w:rPr>
                <w:sz w:val="21"/>
                <w:szCs w:val="21"/>
              </w:rPr>
              <w:t>J5</w:t>
            </w:r>
          </w:p>
        </w:tc>
        <w:tc>
          <w:tcPr>
            <w:tcW w:w="2100" w:type="dxa"/>
            <w:vAlign w:val="center"/>
          </w:tcPr>
          <w:p>
            <w:pPr>
              <w:spacing w:line="240" w:lineRule="auto"/>
              <w:ind w:firstLine="0" w:firstLineChars="0"/>
              <w:jc w:val="center"/>
              <w:rPr>
                <w:sz w:val="21"/>
                <w:szCs w:val="21"/>
              </w:rPr>
            </w:pPr>
            <w:r>
              <w:rPr>
                <w:sz w:val="21"/>
                <w:szCs w:val="21"/>
              </w:rPr>
              <w:t>3251036.17</w:t>
            </w:r>
          </w:p>
        </w:tc>
        <w:tc>
          <w:tcPr>
            <w:tcW w:w="2100" w:type="dxa"/>
            <w:vAlign w:val="center"/>
          </w:tcPr>
          <w:p>
            <w:pPr>
              <w:spacing w:line="240" w:lineRule="auto"/>
              <w:ind w:firstLine="0" w:firstLineChars="0"/>
              <w:jc w:val="center"/>
              <w:rPr>
                <w:sz w:val="21"/>
                <w:szCs w:val="21"/>
              </w:rPr>
            </w:pPr>
            <w:r>
              <w:rPr>
                <w:sz w:val="21"/>
                <w:szCs w:val="21"/>
              </w:rPr>
              <w:t>35392720.11</w:t>
            </w:r>
          </w:p>
        </w:tc>
        <w:tc>
          <w:tcPr>
            <w:tcW w:w="268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6</w:t>
            </w:r>
          </w:p>
        </w:tc>
        <w:tc>
          <w:tcPr>
            <w:tcW w:w="1405" w:type="dxa"/>
            <w:vAlign w:val="center"/>
          </w:tcPr>
          <w:p>
            <w:pPr>
              <w:spacing w:line="240" w:lineRule="auto"/>
              <w:ind w:firstLine="0" w:firstLineChars="0"/>
              <w:jc w:val="center"/>
              <w:rPr>
                <w:sz w:val="21"/>
                <w:szCs w:val="21"/>
              </w:rPr>
            </w:pPr>
            <w:r>
              <w:rPr>
                <w:sz w:val="21"/>
                <w:szCs w:val="21"/>
              </w:rPr>
              <w:t>J6</w:t>
            </w:r>
          </w:p>
        </w:tc>
        <w:tc>
          <w:tcPr>
            <w:tcW w:w="2100" w:type="dxa"/>
            <w:vAlign w:val="center"/>
          </w:tcPr>
          <w:p>
            <w:pPr>
              <w:spacing w:line="240" w:lineRule="auto"/>
              <w:ind w:firstLine="0" w:firstLineChars="0"/>
              <w:jc w:val="center"/>
              <w:rPr>
                <w:sz w:val="21"/>
                <w:szCs w:val="21"/>
              </w:rPr>
            </w:pPr>
            <w:r>
              <w:rPr>
                <w:sz w:val="21"/>
                <w:szCs w:val="21"/>
              </w:rPr>
              <w:t>3249895.46</w:t>
            </w:r>
          </w:p>
        </w:tc>
        <w:tc>
          <w:tcPr>
            <w:tcW w:w="2100" w:type="dxa"/>
            <w:vAlign w:val="center"/>
          </w:tcPr>
          <w:p>
            <w:pPr>
              <w:spacing w:line="240" w:lineRule="auto"/>
              <w:ind w:firstLine="0" w:firstLineChars="0"/>
              <w:jc w:val="center"/>
              <w:rPr>
                <w:sz w:val="21"/>
                <w:szCs w:val="21"/>
              </w:rPr>
            </w:pPr>
            <w:r>
              <w:rPr>
                <w:sz w:val="21"/>
                <w:szCs w:val="21"/>
              </w:rPr>
              <w:t>35392108</w:t>
            </w:r>
          </w:p>
        </w:tc>
        <w:tc>
          <w:tcPr>
            <w:tcW w:w="268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7</w:t>
            </w:r>
          </w:p>
        </w:tc>
        <w:tc>
          <w:tcPr>
            <w:tcW w:w="1405" w:type="dxa"/>
            <w:vAlign w:val="center"/>
          </w:tcPr>
          <w:p>
            <w:pPr>
              <w:spacing w:line="240" w:lineRule="auto"/>
              <w:ind w:firstLine="0" w:firstLineChars="0"/>
              <w:jc w:val="center"/>
              <w:rPr>
                <w:sz w:val="21"/>
                <w:szCs w:val="21"/>
              </w:rPr>
            </w:pPr>
            <w:r>
              <w:rPr>
                <w:sz w:val="21"/>
                <w:szCs w:val="21"/>
              </w:rPr>
              <w:t>J7</w:t>
            </w:r>
          </w:p>
        </w:tc>
        <w:tc>
          <w:tcPr>
            <w:tcW w:w="2100" w:type="dxa"/>
            <w:vAlign w:val="center"/>
          </w:tcPr>
          <w:p>
            <w:pPr>
              <w:spacing w:line="240" w:lineRule="auto"/>
              <w:ind w:firstLine="0" w:firstLineChars="0"/>
              <w:jc w:val="center"/>
              <w:rPr>
                <w:sz w:val="21"/>
                <w:szCs w:val="21"/>
              </w:rPr>
            </w:pPr>
            <w:r>
              <w:rPr>
                <w:sz w:val="21"/>
                <w:szCs w:val="21"/>
              </w:rPr>
              <w:t>3249595.21</w:t>
            </w:r>
          </w:p>
        </w:tc>
        <w:tc>
          <w:tcPr>
            <w:tcW w:w="2100" w:type="dxa"/>
            <w:vAlign w:val="center"/>
          </w:tcPr>
          <w:p>
            <w:pPr>
              <w:spacing w:line="240" w:lineRule="auto"/>
              <w:ind w:firstLine="0" w:firstLineChars="0"/>
              <w:jc w:val="center"/>
              <w:rPr>
                <w:sz w:val="21"/>
                <w:szCs w:val="21"/>
              </w:rPr>
            </w:pPr>
            <w:r>
              <w:rPr>
                <w:sz w:val="21"/>
                <w:szCs w:val="21"/>
              </w:rPr>
              <w:t>35391066.2</w:t>
            </w:r>
          </w:p>
        </w:tc>
        <w:tc>
          <w:tcPr>
            <w:tcW w:w="2681"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8</w:t>
            </w:r>
          </w:p>
        </w:tc>
        <w:tc>
          <w:tcPr>
            <w:tcW w:w="1405" w:type="dxa"/>
            <w:vAlign w:val="center"/>
          </w:tcPr>
          <w:p>
            <w:pPr>
              <w:spacing w:line="240" w:lineRule="auto"/>
              <w:ind w:firstLine="0" w:firstLineChars="0"/>
              <w:jc w:val="center"/>
              <w:rPr>
                <w:sz w:val="21"/>
                <w:szCs w:val="21"/>
              </w:rPr>
            </w:pPr>
            <w:r>
              <w:rPr>
                <w:sz w:val="21"/>
                <w:szCs w:val="21"/>
              </w:rPr>
              <w:t>J8</w:t>
            </w:r>
          </w:p>
        </w:tc>
        <w:tc>
          <w:tcPr>
            <w:tcW w:w="2100" w:type="dxa"/>
            <w:vAlign w:val="center"/>
          </w:tcPr>
          <w:p>
            <w:pPr>
              <w:spacing w:line="240" w:lineRule="auto"/>
              <w:ind w:firstLine="0" w:firstLineChars="0"/>
              <w:jc w:val="center"/>
              <w:rPr>
                <w:sz w:val="21"/>
                <w:szCs w:val="21"/>
              </w:rPr>
            </w:pPr>
            <w:r>
              <w:rPr>
                <w:sz w:val="21"/>
                <w:szCs w:val="21"/>
              </w:rPr>
              <w:t>3250053.93</w:t>
            </w:r>
          </w:p>
        </w:tc>
        <w:tc>
          <w:tcPr>
            <w:tcW w:w="2100" w:type="dxa"/>
            <w:vAlign w:val="center"/>
          </w:tcPr>
          <w:p>
            <w:pPr>
              <w:spacing w:line="240" w:lineRule="auto"/>
              <w:ind w:firstLine="0" w:firstLineChars="0"/>
              <w:jc w:val="center"/>
              <w:rPr>
                <w:sz w:val="21"/>
                <w:szCs w:val="21"/>
              </w:rPr>
            </w:pPr>
            <w:r>
              <w:rPr>
                <w:sz w:val="21"/>
                <w:szCs w:val="21"/>
              </w:rPr>
              <w:t>35388242.37</w:t>
            </w:r>
          </w:p>
        </w:tc>
        <w:tc>
          <w:tcPr>
            <w:tcW w:w="2681" w:type="dxa"/>
            <w:vAlign w:val="center"/>
          </w:tcPr>
          <w:p>
            <w:pPr>
              <w:spacing w:line="240" w:lineRule="auto"/>
              <w:ind w:firstLine="0" w:firstLineChars="0"/>
              <w:jc w:val="center"/>
              <w:rPr>
                <w:sz w:val="21"/>
                <w:szCs w:val="21"/>
              </w:rPr>
            </w:pPr>
            <w:r>
              <w:rPr>
                <w:sz w:val="21"/>
                <w:szCs w:val="21"/>
              </w:rPr>
              <w:t>J8至M4距高2.542公里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9</w:t>
            </w:r>
          </w:p>
        </w:tc>
        <w:tc>
          <w:tcPr>
            <w:tcW w:w="1405" w:type="dxa"/>
            <w:vAlign w:val="center"/>
          </w:tcPr>
          <w:p>
            <w:pPr>
              <w:spacing w:line="240" w:lineRule="auto"/>
              <w:ind w:firstLine="0" w:firstLineChars="0"/>
              <w:jc w:val="center"/>
              <w:rPr>
                <w:sz w:val="21"/>
                <w:szCs w:val="21"/>
              </w:rPr>
            </w:pPr>
            <w:r>
              <w:rPr>
                <w:sz w:val="21"/>
                <w:szCs w:val="21"/>
              </w:rPr>
              <w:t>J9</w:t>
            </w:r>
          </w:p>
        </w:tc>
        <w:tc>
          <w:tcPr>
            <w:tcW w:w="2100" w:type="dxa"/>
            <w:vAlign w:val="center"/>
          </w:tcPr>
          <w:p>
            <w:pPr>
              <w:spacing w:line="240" w:lineRule="auto"/>
              <w:ind w:firstLine="0" w:firstLineChars="0"/>
              <w:jc w:val="center"/>
              <w:rPr>
                <w:sz w:val="21"/>
                <w:szCs w:val="21"/>
              </w:rPr>
            </w:pPr>
            <w:r>
              <w:rPr>
                <w:sz w:val="21"/>
                <w:szCs w:val="21"/>
              </w:rPr>
              <w:t>3250460.86</w:t>
            </w:r>
          </w:p>
        </w:tc>
        <w:tc>
          <w:tcPr>
            <w:tcW w:w="2100" w:type="dxa"/>
            <w:vAlign w:val="center"/>
          </w:tcPr>
          <w:p>
            <w:pPr>
              <w:spacing w:line="240" w:lineRule="auto"/>
              <w:ind w:firstLine="0" w:firstLineChars="0"/>
              <w:jc w:val="center"/>
              <w:rPr>
                <w:sz w:val="21"/>
                <w:szCs w:val="21"/>
              </w:rPr>
            </w:pPr>
            <w:r>
              <w:rPr>
                <w:sz w:val="21"/>
                <w:szCs w:val="21"/>
              </w:rPr>
              <w:t>35386476.58</w:t>
            </w:r>
          </w:p>
        </w:tc>
        <w:tc>
          <w:tcPr>
            <w:tcW w:w="2681" w:type="dxa"/>
            <w:vAlign w:val="center"/>
          </w:tcPr>
          <w:p>
            <w:pPr>
              <w:spacing w:line="240" w:lineRule="auto"/>
              <w:ind w:firstLine="0" w:firstLineChars="0"/>
              <w:jc w:val="center"/>
              <w:rPr>
                <w:sz w:val="21"/>
                <w:szCs w:val="21"/>
              </w:rPr>
            </w:pPr>
            <w:r>
              <w:rPr>
                <w:sz w:val="21"/>
                <w:szCs w:val="21"/>
              </w:rPr>
              <w:t>J9至M3距离1.009公里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1" w:type="dxa"/>
            <w:vAlign w:val="center"/>
          </w:tcPr>
          <w:p>
            <w:pPr>
              <w:spacing w:line="240" w:lineRule="auto"/>
              <w:ind w:firstLine="0" w:firstLineChars="0"/>
              <w:jc w:val="center"/>
              <w:rPr>
                <w:sz w:val="21"/>
                <w:szCs w:val="21"/>
              </w:rPr>
            </w:pPr>
            <w:r>
              <w:rPr>
                <w:sz w:val="21"/>
                <w:szCs w:val="21"/>
              </w:rPr>
              <w:t>10</w:t>
            </w:r>
          </w:p>
        </w:tc>
        <w:tc>
          <w:tcPr>
            <w:tcW w:w="1405" w:type="dxa"/>
            <w:vAlign w:val="center"/>
          </w:tcPr>
          <w:p>
            <w:pPr>
              <w:spacing w:line="240" w:lineRule="auto"/>
              <w:ind w:firstLine="0" w:firstLineChars="0"/>
              <w:jc w:val="center"/>
              <w:rPr>
                <w:sz w:val="21"/>
                <w:szCs w:val="21"/>
              </w:rPr>
            </w:pPr>
            <w:r>
              <w:rPr>
                <w:sz w:val="21"/>
                <w:szCs w:val="21"/>
              </w:rPr>
              <w:t>J10</w:t>
            </w:r>
          </w:p>
        </w:tc>
        <w:tc>
          <w:tcPr>
            <w:tcW w:w="2100" w:type="dxa"/>
            <w:vAlign w:val="center"/>
          </w:tcPr>
          <w:p>
            <w:pPr>
              <w:spacing w:line="240" w:lineRule="auto"/>
              <w:ind w:firstLine="0" w:firstLineChars="0"/>
              <w:jc w:val="center"/>
              <w:rPr>
                <w:sz w:val="21"/>
                <w:szCs w:val="21"/>
              </w:rPr>
            </w:pPr>
            <w:r>
              <w:rPr>
                <w:sz w:val="21"/>
                <w:szCs w:val="21"/>
              </w:rPr>
              <w:t>3251136.18</w:t>
            </w:r>
          </w:p>
        </w:tc>
        <w:tc>
          <w:tcPr>
            <w:tcW w:w="2100" w:type="dxa"/>
            <w:vAlign w:val="center"/>
          </w:tcPr>
          <w:p>
            <w:pPr>
              <w:spacing w:line="240" w:lineRule="auto"/>
              <w:ind w:firstLine="0" w:firstLineChars="0"/>
              <w:jc w:val="center"/>
              <w:rPr>
                <w:sz w:val="21"/>
                <w:szCs w:val="21"/>
              </w:rPr>
            </w:pPr>
            <w:r>
              <w:rPr>
                <w:sz w:val="21"/>
                <w:szCs w:val="21"/>
              </w:rPr>
              <w:t>35386232.92</w:t>
            </w:r>
          </w:p>
        </w:tc>
        <w:tc>
          <w:tcPr>
            <w:tcW w:w="2681" w:type="dxa"/>
            <w:vAlign w:val="center"/>
          </w:tcPr>
          <w:p>
            <w:pPr>
              <w:spacing w:line="240" w:lineRule="auto"/>
              <w:ind w:firstLine="0" w:firstLineChars="0"/>
              <w:jc w:val="center"/>
              <w:rPr>
                <w:sz w:val="21"/>
                <w:szCs w:val="21"/>
              </w:rPr>
            </w:pPr>
            <w:r>
              <w:rPr>
                <w:sz w:val="21"/>
                <w:szCs w:val="21"/>
              </w:rPr>
              <w:t>J10至M2距离1.010公里</w:t>
            </w:r>
          </w:p>
        </w:tc>
      </w:tr>
    </w:tbl>
    <w:p>
      <w:pPr>
        <w:spacing w:beforeLines="50"/>
        <w:ind w:firstLine="480"/>
      </w:pPr>
      <w:r>
        <w:t>（4）建设性质：新建、建设类、开发区项目</w:t>
      </w:r>
    </w:p>
    <w:p>
      <w:pPr>
        <w:ind w:firstLine="480"/>
        <w:rPr>
          <w:szCs w:val="21"/>
        </w:rPr>
      </w:pPr>
      <w:r>
        <w:t>（5）</w:t>
      </w:r>
      <w:r>
        <w:rPr>
          <w:szCs w:val="21"/>
        </w:rPr>
        <w:t>园区规划面积</w:t>
      </w:r>
      <w:r>
        <w:rPr>
          <w:szCs w:val="24"/>
        </w:rPr>
        <w:t>：</w:t>
      </w:r>
      <w:r>
        <w:rPr>
          <w:szCs w:val="21"/>
        </w:rPr>
        <w:t>1129.18hm</w:t>
      </w:r>
      <w:r>
        <w:rPr>
          <w:szCs w:val="21"/>
          <w:vertAlign w:val="superscript"/>
        </w:rPr>
        <w:t>2</w:t>
      </w:r>
    </w:p>
    <w:p>
      <w:pPr>
        <w:ind w:firstLine="480"/>
      </w:pPr>
      <w:r>
        <w:rPr>
          <w:szCs w:val="21"/>
        </w:rPr>
        <w:t>（6）项目组成：项目主要由</w:t>
      </w:r>
      <w:r>
        <w:t>工业用地区、道路与交通设施用地区、公用设施用地区、绿地与广场用地区</w:t>
      </w:r>
      <w:r>
        <w:rPr>
          <w:szCs w:val="21"/>
        </w:rPr>
        <w:t>、临时堆场区组成。</w:t>
      </w:r>
    </w:p>
    <w:p>
      <w:pPr>
        <w:ind w:firstLine="480"/>
      </w:pPr>
      <w:r>
        <w:t>（7）园区规划期：根据《乐山五通桥化工园区总体规划》（2022—2035），园区整体规划期限为2022年~2035年，其中近期为2022年~2025年；远期为2026年~2035年。根据川水函〔2020〕1246号要求，“开发建设总期限超过5年的开发区，应当分期编报、办理水土保持区域评估批准手续”。本次水土保持区域评估报告服务期取2022年~2025年，设计水平年为服务期后一年，即2026年。本次评估报告服务期满后应重新编报化工园区水土保持区域评估报告。</w:t>
      </w:r>
    </w:p>
    <w:p>
      <w:pPr>
        <w:ind w:firstLine="480"/>
      </w:pPr>
      <w:r>
        <w:t>（8）规划总投资：至规划远期（2035年）规划总投资约838.7亿元，其中至近期规划（2025年）规划总投资约374亿元。</w:t>
      </w:r>
    </w:p>
    <w:p>
      <w:pPr>
        <w:ind w:firstLine="480"/>
      </w:pPr>
      <w:r>
        <w:t>（9）发展定位：根据四川省委赋予乐山的重大使命，结合现代工业发展趋势、基础条件分析，规划确定将本园区发展定位为：</w:t>
      </w:r>
      <w:r>
        <w:rPr>
          <w:b/>
          <w:bCs/>
        </w:rPr>
        <w:t>四川省能源化工及先进材料产业的核心区</w:t>
      </w:r>
      <w:r>
        <w:t>、</w:t>
      </w:r>
      <w:r>
        <w:rPr>
          <w:b/>
          <w:bCs/>
        </w:rPr>
        <w:t>西南地区重要的化工产业聚集区</w:t>
      </w:r>
      <w:r>
        <w:t>、</w:t>
      </w:r>
      <w:r>
        <w:rPr>
          <w:b/>
          <w:bCs/>
        </w:rPr>
        <w:t>国内具有重要影响、循环经济特色鲜明的绿色化工园区</w:t>
      </w:r>
      <w:r>
        <w:t>。</w:t>
      </w:r>
    </w:p>
    <w:p>
      <w:pPr>
        <w:ind w:firstLine="480"/>
      </w:pPr>
      <w:r>
        <w:t>（10）产业定位：以化工园区为重要载体，通过现有企业搬迁—技改—产业升级来实现化工园区产业整合和提质升级，通过前端强链、中段补链、后端延链，实现横向融合，纵向延伸，重点发展新能源和新材料产业，包含晶硅光伏产业关键原料（为下游硅片—电池片—电池组件提供材料支撑），锂电池材料，氢能（含氢制备、储存及灌装），以及氟基新材料（氟化氢及下游）、磷基新材料（磷系农作物保护剂、磷系阻燃剂）、硅基新材料（有机硅及下游），稀土新材料（稀土矿分离、冶炼和磁性材料）和天然气化工及氯碱化工等，构建循环经济特色鲜明的千亿级新能源和千亿级新材料生产基地。</w:t>
      </w:r>
    </w:p>
    <w:p>
      <w:pPr>
        <w:ind w:firstLine="480"/>
      </w:pPr>
      <w:r>
        <w:t>（11）规划策略：①生态打底：规划凭借园区得天独厚的生态本底，将产、景、城的格局延续和演绎的淋漓尽致。②山水共生：借助岷江良好的滨水岸线，中部山体的自然渗透，形成山水共生的园区特质。③众廊渗透：依托园区内部多廊、成片的绿地空间，将绿化渗透入园区。④多区相连：化工园区由生态绿楔有机分割的各功能空间，在形态上形成了分离，功能与结构上形成了互联。</w:t>
      </w:r>
    </w:p>
    <w:p>
      <w:pPr>
        <w:widowControl/>
        <w:ind w:firstLine="480"/>
        <w:jc w:val="left"/>
        <w:rPr>
          <w:kern w:val="0"/>
          <w:szCs w:val="24"/>
        </w:rPr>
      </w:pPr>
      <w:r>
        <w:t>（12）用地布局及主要经济技术指标：</w:t>
      </w:r>
      <w:r>
        <w:rPr>
          <w:kern w:val="0"/>
          <w:szCs w:val="24"/>
        </w:rPr>
        <w:t>根据园区规划，园区地块按用地功能可划分为工业用地957.80hm</w:t>
      </w:r>
      <w:r>
        <w:rPr>
          <w:kern w:val="0"/>
          <w:szCs w:val="24"/>
          <w:vertAlign w:val="superscript"/>
        </w:rPr>
        <w:t>2</w:t>
      </w:r>
      <w:r>
        <w:rPr>
          <w:kern w:val="0"/>
          <w:szCs w:val="24"/>
        </w:rPr>
        <w:t>，占建设用地的84.82%；道路与交通设施用地81.58hm</w:t>
      </w:r>
      <w:r>
        <w:rPr>
          <w:kern w:val="0"/>
          <w:szCs w:val="24"/>
          <w:vertAlign w:val="superscript"/>
        </w:rPr>
        <w:t>2</w:t>
      </w:r>
      <w:r>
        <w:rPr>
          <w:kern w:val="0"/>
          <w:szCs w:val="24"/>
        </w:rPr>
        <w:t>，占建设用地的7.23%；公用设施用地34.34hm</w:t>
      </w:r>
      <w:r>
        <w:rPr>
          <w:kern w:val="0"/>
          <w:szCs w:val="24"/>
          <w:vertAlign w:val="superscript"/>
        </w:rPr>
        <w:t>2</w:t>
      </w:r>
      <w:r>
        <w:rPr>
          <w:kern w:val="0"/>
          <w:szCs w:val="24"/>
        </w:rPr>
        <w:t>，占建设用地的3.04%；绿地与广场用地55.45hm</w:t>
      </w:r>
      <w:r>
        <w:rPr>
          <w:kern w:val="0"/>
          <w:szCs w:val="24"/>
          <w:vertAlign w:val="superscript"/>
        </w:rPr>
        <w:t>2</w:t>
      </w:r>
      <w:r>
        <w:rPr>
          <w:kern w:val="0"/>
          <w:szCs w:val="24"/>
        </w:rPr>
        <w:t>，占建设用地的4.91%。</w:t>
      </w:r>
    </w:p>
    <w:p>
      <w:pPr>
        <w:widowControl/>
        <w:ind w:firstLine="480"/>
        <w:jc w:val="left"/>
        <w:rPr>
          <w:kern w:val="0"/>
          <w:szCs w:val="24"/>
        </w:rPr>
      </w:pPr>
      <w:r>
        <w:rPr>
          <w:kern w:val="0"/>
          <w:szCs w:val="24"/>
        </w:rPr>
        <w:t>工业用地：容积率≥0.6，建筑密度≥40%，10%≤绿地率≤20%；公用设施用地：容积率、建筑密度均不做控制，绿地率≥15%。</w:t>
      </w:r>
    </w:p>
    <w:p>
      <w:pPr>
        <w:pStyle w:val="75"/>
        <w:jc w:val="center"/>
      </w:pPr>
    </w:p>
    <w:p>
      <w:pPr>
        <w:ind w:firstLine="480"/>
      </w:pP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287" w:type="dxa"/>
          </w:tcPr>
          <w:p>
            <w:pPr>
              <w:spacing w:line="240" w:lineRule="auto"/>
              <w:ind w:firstLine="0" w:firstLineChars="0"/>
              <w:jc w:val="center"/>
              <w:rPr>
                <w:sz w:val="21"/>
                <w:szCs w:val="21"/>
              </w:rPr>
            </w:pPr>
            <w:r>
              <w:pict>
                <v:shape id="_x0000_s1127" o:spid="_x0000_s1127" o:spt="61" type="#_x0000_t61" style="position:absolute;left:0pt;margin-left:201.55pt;margin-top:24.9pt;height:48.15pt;width:137.45pt;z-index:251684864;v-text-anchor:middle;mso-width-relative:page;mso-height-relative:page;" filled="f" stroked="t" coordsize="21600,21600" o:gfxdata="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CpZUCdgAAAAKAQAADwAAAAAAAAABACAAAAAiAAAAZHJzL2Rvd25yZXYueG1sUEsB&#10;AhQAFAAAAAgAh07iQD5Ih1ygAgAAKAUAAA4AAAAAAAAAAQAgAAAAJwEAAGRycy9lMm9Eb2MueG1s&#10;UEsFBgAAAAAGAAYAWQEAADkGAAAAAA==&#10;" adj="-11362,19379">
                  <v:path/>
                  <v:fill on="f" focussize="0,0"/>
                  <v:stroke weight="2pt" color="#4F81BD" joinstyle="round"/>
                  <v:imagedata o:title=""/>
                  <o:lock v:ext="edit"/>
                  <v:textbox>
                    <w:txbxContent>
                      <w:p>
                        <w:pPr>
                          <w:spacing w:line="240" w:lineRule="auto"/>
                          <w:ind w:firstLine="0" w:firstLineChars="0"/>
                        </w:pPr>
                        <w:r>
                          <w:rPr>
                            <w:rFonts w:hint="eastAsia"/>
                          </w:rPr>
                          <w:t>面积：745.56hm</w:t>
                        </w:r>
                        <w:r>
                          <w:rPr>
                            <w:rFonts w:hint="eastAsia"/>
                            <w:vertAlign w:val="superscript"/>
                          </w:rPr>
                          <w:t>2</w:t>
                        </w:r>
                      </w:p>
                      <w:p>
                        <w:pPr>
                          <w:spacing w:line="240" w:lineRule="auto"/>
                          <w:ind w:firstLine="0" w:firstLineChars="0"/>
                        </w:pPr>
                        <w:r>
                          <w:rPr>
                            <w:rFonts w:hint="eastAsia"/>
                          </w:rPr>
                          <w:t>开发时段：2022~2025</w:t>
                        </w:r>
                      </w:p>
                    </w:txbxContent>
                  </v:textbox>
                </v:shape>
              </w:pict>
            </w:r>
            <w:r>
              <w:pict>
                <v:shape id="_x0000_s1126" o:spid="_x0000_s1126" o:spt="61" type="#_x0000_t61" style="position:absolute;left:0pt;margin-left:186.85pt;margin-top:250.85pt;height:48.15pt;width:137.45pt;z-index:251683840;v-text-anchor:middle;mso-width-relative:page;mso-height-relative:page;" filled="f" stroked="t" coordsize="21600,21600" o:gfxdata="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" adj="7603,-27723">
                  <v:path/>
                  <v:fill on="f" focussize="0,0"/>
                  <v:stroke weight="2pt" color="#4F81BD" joinstyle="round"/>
                  <v:imagedata o:title=""/>
                  <o:lock v:ext="edit"/>
                  <v:textbox>
                    <w:txbxContent>
                      <w:p>
                        <w:pPr>
                          <w:spacing w:line="240" w:lineRule="auto"/>
                          <w:ind w:firstLine="0" w:firstLineChars="0"/>
                        </w:pPr>
                        <w:r>
                          <w:rPr>
                            <w:rFonts w:hint="eastAsia"/>
                          </w:rPr>
                          <w:t>面积：383.62hm</w:t>
                        </w:r>
                        <w:r>
                          <w:rPr>
                            <w:rFonts w:hint="eastAsia"/>
                            <w:vertAlign w:val="superscript"/>
                          </w:rPr>
                          <w:t>2</w:t>
                        </w:r>
                      </w:p>
                      <w:p>
                        <w:pPr>
                          <w:spacing w:line="240" w:lineRule="auto"/>
                          <w:ind w:firstLine="0" w:firstLineChars="0"/>
                        </w:pPr>
                        <w:r>
                          <w:rPr>
                            <w:rFonts w:hint="eastAsia"/>
                          </w:rPr>
                          <w:t>开发时段：2026~2035</w:t>
                        </w:r>
                      </w:p>
                    </w:txbxContent>
                  </v:textbox>
                </v:shape>
              </w:pict>
            </w:r>
            <w:r>
              <w:drawing>
                <wp:inline distT="0" distB="0" distL="114300" distR="114300">
                  <wp:extent cx="5717540" cy="4043045"/>
                  <wp:effectExtent l="0" t="0" r="16510" b="14605"/>
                  <wp:docPr id="153"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69"/>
                          <pic:cNvPicPr>
                            <a:picLocks noChangeAspect="1"/>
                          </pic:cNvPicPr>
                        </pic:nvPicPr>
                        <pic:blipFill>
                          <a:blip r:embed="rId54"/>
                          <a:stretch>
                            <a:fillRect/>
                          </a:stretch>
                        </pic:blipFill>
                        <pic:spPr>
                          <a:xfrm>
                            <a:off x="0" y="0"/>
                            <a:ext cx="5717540" cy="40430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图2.1-4园区开发建设时序图</w:t>
            </w:r>
          </w:p>
        </w:tc>
      </w:tr>
    </w:tbl>
    <w:p>
      <w:pPr>
        <w:pStyle w:val="6"/>
        <w:spacing w:beforeLines="50"/>
      </w:pPr>
      <w:r>
        <w:t>2.1.3区域建设现状及水土保持工作开展情况</w:t>
      </w:r>
    </w:p>
    <w:p>
      <w:pPr>
        <w:pStyle w:val="7"/>
      </w:pPr>
      <w:r>
        <w:t>2.1.3.1入驻企业建设情况</w:t>
      </w:r>
    </w:p>
    <w:p>
      <w:pPr>
        <w:ind w:firstLine="480"/>
        <w:sectPr>
          <w:headerReference r:id="rId15" w:type="default"/>
          <w:headerReference r:id="rId16" w:type="even"/>
          <w:pgSz w:w="11905" w:h="16838"/>
          <w:pgMar w:top="1417" w:right="1417" w:bottom="1417" w:left="1417" w:header="850" w:footer="992" w:gutter="0"/>
          <w:cols w:space="720" w:num="1"/>
          <w:docGrid w:linePitch="312" w:charSpace="0"/>
        </w:sectPr>
      </w:pPr>
      <w:r>
        <w:t>园区已建成及在建企业均发布在近期主要分布在园区西部及北部区域，园区近期工业用地598.64hm</w:t>
      </w:r>
      <w:r>
        <w:rPr>
          <w:vertAlign w:val="superscript"/>
        </w:rPr>
        <w:t>2</w:t>
      </w:r>
      <w:r>
        <w:t>，其中已扰动地表面积353.05hm</w:t>
      </w:r>
      <w:r>
        <w:rPr>
          <w:vertAlign w:val="superscript"/>
        </w:rPr>
        <w:t>2</w:t>
      </w:r>
      <w:r>
        <w:t>，未扰动面积为245.59hm</w:t>
      </w:r>
      <w:r>
        <w:rPr>
          <w:vertAlign w:val="superscript"/>
        </w:rPr>
        <w:t>2</w:t>
      </w:r>
      <w:r>
        <w:t>。园区已建成投产了1个项目，即四川永祥新能源有限公司建设的2.5万吨高纯晶硅项目；在建12个项目，即四川永祥新能源有限公司建设的光伏硅材料制造技改项目（二期4.5万吨高纯晶硅）、乐山协鑫新能源科技发展有限公司建设的乐山协鑫新能源新建10万吨颗粒硅项目、四川永祥光伏科技有限公司建设的15GW单晶拉棒切方项目、四川永祥能源科技有限公司建设的四川永祥能源科技有限公司一期高纯晶硅项目以及目前场平但还未入驻的四川省乐山市福华通达农药科技有限公司项目、四川省乐山市福华农科投资集团有限公司福华先进材料产业园项目、四川卢博丽尔化工有限公司项目、四川省乐山锐丰冶金有限责任公司项目、四川润和催化新词安利股份有限公司项目、乐山盛和稀土股份有限公司项目、四川和邦生物科技股份有限公司项目、乐山和邦农业科技有限公司项目。园区企业入驻情况详见表2.1-2。企业布局示意图详见图2.1-</w:t>
      </w:r>
      <w:r>
        <w:rPr>
          <w:rFonts w:hint="eastAsia"/>
        </w:rPr>
        <w:t>5</w:t>
      </w:r>
      <w:r>
        <w:t>。</w:t>
      </w:r>
    </w:p>
    <w:tbl>
      <w:tblPr>
        <w:tblStyle w:val="37"/>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1193"/>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vAlign w:val="center"/>
          </w:tcPr>
          <w:p>
            <w:pPr>
              <w:spacing w:line="240" w:lineRule="auto"/>
              <w:ind w:firstLine="0" w:firstLineChars="0"/>
              <w:jc w:val="center"/>
              <w:rPr>
                <w:sz w:val="21"/>
                <w:szCs w:val="21"/>
              </w:rPr>
            </w:pPr>
            <w:r>
              <w:drawing>
                <wp:inline distT="0" distB="0" distL="114300" distR="114300">
                  <wp:extent cx="12268200" cy="8676005"/>
                  <wp:effectExtent l="0" t="0" r="0" b="10795"/>
                  <wp:docPr id="216"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77"/>
                          <pic:cNvPicPr>
                            <a:picLocks noChangeAspect="1"/>
                          </pic:cNvPicPr>
                        </pic:nvPicPr>
                        <pic:blipFill>
                          <a:blip r:embed="rId55"/>
                          <a:stretch>
                            <a:fillRect/>
                          </a:stretch>
                        </pic:blipFill>
                        <pic:spPr>
                          <a:xfrm>
                            <a:off x="0" y="0"/>
                            <a:ext cx="12268200" cy="867600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vAlign w:val="center"/>
          </w:tcPr>
          <w:p>
            <w:pPr>
              <w:spacing w:line="240" w:lineRule="auto"/>
              <w:ind w:firstLine="0" w:firstLineChars="0"/>
              <w:jc w:val="center"/>
              <w:rPr>
                <w:sz w:val="21"/>
                <w:szCs w:val="21"/>
              </w:rPr>
            </w:pPr>
            <w:r>
              <w:rPr>
                <w:b/>
                <w:bCs/>
                <w:sz w:val="21"/>
                <w:szCs w:val="21"/>
              </w:rPr>
              <w:t>图2.1-5企业布局示意图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vAlign w:val="center"/>
          </w:tcPr>
          <w:p>
            <w:pPr>
              <w:spacing w:line="240" w:lineRule="auto"/>
              <w:ind w:firstLine="0" w:firstLineChars="0"/>
              <w:jc w:val="center"/>
              <w:rPr>
                <w:b/>
                <w:bCs/>
                <w:sz w:val="21"/>
                <w:szCs w:val="21"/>
              </w:rPr>
            </w:pPr>
            <w:r>
              <w:rPr>
                <w:b/>
                <w:bCs/>
                <w:sz w:val="21"/>
                <w:szCs w:val="21"/>
              </w:rPr>
              <w:drawing>
                <wp:inline distT="0" distB="0" distL="114300" distR="114300">
                  <wp:extent cx="13319125" cy="8431530"/>
                  <wp:effectExtent l="0" t="0" r="15875" b="7620"/>
                  <wp:docPr id="44" name="图片 44" descr="园区企业建设情况示意图 布局3 (1)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园区企业建设情况示意图 布局3 (1)_00"/>
                          <pic:cNvPicPr>
                            <a:picLocks noChangeAspect="1"/>
                          </pic:cNvPicPr>
                        </pic:nvPicPr>
                        <pic:blipFill>
                          <a:blip r:embed="rId56"/>
                          <a:stretch>
                            <a:fillRect/>
                          </a:stretch>
                        </pic:blipFill>
                        <pic:spPr>
                          <a:xfrm>
                            <a:off x="0" y="0"/>
                            <a:ext cx="13319125" cy="843153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5000" w:type="pct"/>
            <w:vAlign w:val="center"/>
          </w:tcPr>
          <w:p>
            <w:pPr>
              <w:spacing w:line="240" w:lineRule="auto"/>
              <w:ind w:firstLine="0" w:firstLineChars="0"/>
              <w:jc w:val="center"/>
              <w:rPr>
                <w:b/>
                <w:bCs/>
                <w:sz w:val="21"/>
                <w:szCs w:val="21"/>
              </w:rPr>
            </w:pPr>
            <w:r>
              <w:rPr>
                <w:b/>
                <w:bCs/>
                <w:sz w:val="21"/>
                <w:szCs w:val="21"/>
              </w:rPr>
              <w:t>图2.1-6企业建设情况示意图</w:t>
            </w:r>
          </w:p>
        </w:tc>
      </w:tr>
    </w:tbl>
    <w:p>
      <w:pPr>
        <w:ind w:firstLine="480"/>
        <w:sectPr>
          <w:pgSz w:w="23811" w:h="16838" w:orient="landscape"/>
          <w:pgMar w:top="1417" w:right="1417" w:bottom="1417" w:left="1417" w:header="850" w:footer="992" w:gutter="0"/>
          <w:cols w:space="720" w:num="1"/>
          <w:docGrid w:linePitch="312" w:charSpace="0"/>
        </w:sectPr>
      </w:pPr>
    </w:p>
    <w:p>
      <w:pPr>
        <w:ind w:firstLine="0" w:firstLineChars="0"/>
        <w:jc w:val="center"/>
        <w:rPr>
          <w:b/>
          <w:bCs/>
        </w:rPr>
      </w:pPr>
      <w:r>
        <w:rPr>
          <w:b/>
          <w:bCs/>
        </w:rPr>
        <w:t>表2.1-2-12.5万吨高纯晶硅项目实地调查记录表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62"/>
        <w:gridCol w:w="1551"/>
        <w:gridCol w:w="1749"/>
        <w:gridCol w:w="409"/>
        <w:gridCol w:w="169"/>
        <w:gridCol w:w="384"/>
        <w:gridCol w:w="779"/>
        <w:gridCol w:w="275"/>
        <w:gridCol w:w="885"/>
        <w:gridCol w:w="123"/>
        <w:gridCol w:w="458"/>
        <w:gridCol w:w="174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项目名称</w:t>
            </w:r>
          </w:p>
        </w:tc>
        <w:tc>
          <w:tcPr>
            <w:tcW w:w="6974" w:type="dxa"/>
            <w:gridSpan w:val="10"/>
            <w:vAlign w:val="center"/>
          </w:tcPr>
          <w:p>
            <w:pPr>
              <w:spacing w:line="240" w:lineRule="auto"/>
              <w:ind w:firstLine="0" w:firstLineChars="0"/>
              <w:jc w:val="center"/>
              <w:rPr>
                <w:sz w:val="21"/>
                <w:szCs w:val="21"/>
              </w:rPr>
            </w:pPr>
            <w:r>
              <w:rPr>
                <w:sz w:val="21"/>
                <w:szCs w:val="21"/>
              </w:rPr>
              <w:t>2.5万吨高纯晶硅项目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项目业主</w:t>
            </w:r>
          </w:p>
        </w:tc>
        <w:tc>
          <w:tcPr>
            <w:tcW w:w="6974" w:type="dxa"/>
            <w:gridSpan w:val="10"/>
            <w:vAlign w:val="center"/>
          </w:tcPr>
          <w:p>
            <w:pPr>
              <w:spacing w:line="240" w:lineRule="auto"/>
              <w:ind w:firstLine="0" w:firstLineChars="0"/>
              <w:jc w:val="center"/>
              <w:rPr>
                <w:sz w:val="21"/>
                <w:szCs w:val="21"/>
              </w:rPr>
            </w:pPr>
            <w:r>
              <w:rPr>
                <w:sz w:val="21"/>
                <w:szCs w:val="21"/>
              </w:rPr>
              <w:t>四川永祥新能源有限公司</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建设工期</w:t>
            </w:r>
          </w:p>
        </w:tc>
        <w:tc>
          <w:tcPr>
            <w:tcW w:w="6974" w:type="dxa"/>
            <w:gridSpan w:val="10"/>
            <w:vAlign w:val="center"/>
          </w:tcPr>
          <w:p>
            <w:pPr>
              <w:spacing w:line="240" w:lineRule="auto"/>
              <w:ind w:firstLine="0" w:firstLineChars="0"/>
              <w:jc w:val="center"/>
              <w:rPr>
                <w:sz w:val="21"/>
                <w:szCs w:val="21"/>
              </w:rPr>
            </w:pPr>
            <w:r>
              <w:rPr>
                <w:sz w:val="21"/>
                <w:szCs w:val="21"/>
              </w:rPr>
              <w:t>2017年12月~2019年5月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2313" w:type="dxa"/>
            <w:gridSpan w:val="2"/>
            <w:vAlign w:val="center"/>
          </w:tcPr>
          <w:p>
            <w:pPr>
              <w:spacing w:line="240" w:lineRule="auto"/>
              <w:ind w:firstLine="0" w:firstLineChars="0"/>
              <w:jc w:val="center"/>
              <w:rPr>
                <w:sz w:val="21"/>
                <w:szCs w:val="21"/>
              </w:rPr>
            </w:pPr>
            <w:r>
              <w:rPr>
                <w:sz w:val="21"/>
                <w:szCs w:val="21"/>
              </w:rPr>
              <w:t>建设情况</w:t>
            </w:r>
          </w:p>
        </w:tc>
        <w:tc>
          <w:tcPr>
            <w:tcW w:w="2327" w:type="dxa"/>
            <w:gridSpan w:val="3"/>
            <w:vAlign w:val="center"/>
          </w:tcPr>
          <w:p>
            <w:pPr>
              <w:spacing w:line="240" w:lineRule="auto"/>
              <w:ind w:firstLine="0" w:firstLineChars="0"/>
              <w:jc w:val="center"/>
              <w:rPr>
                <w:sz w:val="21"/>
                <w:szCs w:val="21"/>
              </w:rPr>
            </w:pPr>
            <w:r>
              <w:rPr>
                <w:sz w:val="21"/>
                <w:szCs w:val="21"/>
              </w:rPr>
              <w:t>已建成并投产使用</w:t>
            </w:r>
          </w:p>
        </w:tc>
        <w:tc>
          <w:tcPr>
            <w:tcW w:w="2323" w:type="dxa"/>
            <w:gridSpan w:val="4"/>
            <w:vAlign w:val="center"/>
          </w:tcPr>
          <w:p>
            <w:pPr>
              <w:spacing w:line="240" w:lineRule="auto"/>
              <w:ind w:firstLine="0" w:firstLineChars="0"/>
              <w:jc w:val="center"/>
              <w:rPr>
                <w:sz w:val="21"/>
                <w:szCs w:val="21"/>
              </w:rPr>
            </w:pPr>
            <w:r>
              <w:rPr>
                <w:sz w:val="21"/>
                <w:szCs w:val="21"/>
              </w:rPr>
              <w:t>主要产品及生产规模</w:t>
            </w:r>
          </w:p>
        </w:tc>
        <w:tc>
          <w:tcPr>
            <w:tcW w:w="2324" w:type="dxa"/>
            <w:gridSpan w:val="3"/>
            <w:vAlign w:val="center"/>
          </w:tcPr>
          <w:p>
            <w:pPr>
              <w:spacing w:line="240" w:lineRule="auto"/>
              <w:ind w:firstLine="0" w:firstLineChars="0"/>
              <w:jc w:val="center"/>
              <w:rPr>
                <w:sz w:val="21"/>
                <w:szCs w:val="21"/>
              </w:rPr>
            </w:pPr>
            <w:r>
              <w:rPr>
                <w:sz w:val="21"/>
                <w:szCs w:val="21"/>
              </w:rPr>
              <w:t>高纯晶硅-2.5万t/a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52"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占地面积</w:t>
            </w:r>
          </w:p>
        </w:tc>
        <w:tc>
          <w:tcPr>
            <w:tcW w:w="6974" w:type="dxa"/>
            <w:gridSpan w:val="10"/>
            <w:vAlign w:val="center"/>
          </w:tcPr>
          <w:p>
            <w:pPr>
              <w:spacing w:line="240" w:lineRule="auto"/>
              <w:ind w:firstLine="0" w:firstLineChars="0"/>
              <w:jc w:val="center"/>
              <w:rPr>
                <w:sz w:val="21"/>
                <w:szCs w:val="21"/>
              </w:rPr>
            </w:pPr>
            <w:r>
              <w:rPr>
                <w:sz w:val="21"/>
                <w:szCs w:val="21"/>
              </w:rPr>
              <w:t>方案阶段：批复总占地57.06hm</w:t>
            </w:r>
            <w:r>
              <w:rPr>
                <w:sz w:val="21"/>
                <w:szCs w:val="21"/>
                <w:vertAlign w:val="superscript"/>
              </w:rPr>
              <w:t>2</w:t>
            </w:r>
            <w:r>
              <w:rPr>
                <w:sz w:val="21"/>
                <w:szCs w:val="21"/>
              </w:rPr>
              <w:t>，其中永久占地52.96hm</w:t>
            </w:r>
            <w:r>
              <w:rPr>
                <w:sz w:val="21"/>
                <w:szCs w:val="21"/>
                <w:vertAlign w:val="superscript"/>
              </w:rPr>
              <w:t>2</w:t>
            </w:r>
            <w:r>
              <w:rPr>
                <w:sz w:val="21"/>
                <w:szCs w:val="21"/>
              </w:rPr>
              <w:t>（含厂外铺设管道的检查井盖占地0.02hm</w:t>
            </w:r>
            <w:r>
              <w:rPr>
                <w:sz w:val="21"/>
                <w:szCs w:val="21"/>
                <w:vertAlign w:val="superscript"/>
              </w:rPr>
              <w:t>2</w:t>
            </w:r>
            <w:r>
              <w:rPr>
                <w:sz w:val="21"/>
                <w:szCs w:val="21"/>
              </w:rPr>
              <w:t>），临时占地4.10hm</w:t>
            </w:r>
            <w:r>
              <w:rPr>
                <w:sz w:val="21"/>
                <w:szCs w:val="21"/>
                <w:vertAlign w:val="superscript"/>
              </w:rPr>
              <w:t>2</w:t>
            </w:r>
            <w:r>
              <w:rPr>
                <w:sz w:val="21"/>
                <w:szCs w:val="21"/>
              </w:rPr>
              <w:t>。</w:t>
            </w:r>
          </w:p>
          <w:p>
            <w:pPr>
              <w:spacing w:line="240" w:lineRule="auto"/>
              <w:ind w:firstLine="0" w:firstLineChars="0"/>
              <w:jc w:val="center"/>
              <w:rPr>
                <w:sz w:val="21"/>
                <w:szCs w:val="21"/>
              </w:rPr>
            </w:pPr>
            <w:r>
              <w:rPr>
                <w:sz w:val="21"/>
                <w:szCs w:val="21"/>
              </w:rPr>
              <w:t>厂内永久占地为52.94hm</w:t>
            </w:r>
            <w:r>
              <w:rPr>
                <w:sz w:val="21"/>
                <w:szCs w:val="21"/>
                <w:vertAlign w:val="superscript"/>
              </w:rPr>
              <w:t>2</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313" w:type="dxa"/>
            <w:gridSpan w:val="2"/>
            <w:vMerge w:val="continue"/>
            <w:vAlign w:val="center"/>
          </w:tcPr>
          <w:p>
            <w:pPr>
              <w:spacing w:line="240" w:lineRule="auto"/>
              <w:ind w:firstLine="0" w:firstLineChars="0"/>
              <w:jc w:val="center"/>
              <w:rPr>
                <w:sz w:val="21"/>
                <w:szCs w:val="21"/>
              </w:rPr>
            </w:pPr>
          </w:p>
        </w:tc>
        <w:tc>
          <w:tcPr>
            <w:tcW w:w="6974" w:type="dxa"/>
            <w:gridSpan w:val="10"/>
            <w:vAlign w:val="center"/>
          </w:tcPr>
          <w:p>
            <w:pPr>
              <w:spacing w:line="240" w:lineRule="auto"/>
              <w:ind w:firstLine="0" w:firstLineChars="0"/>
              <w:jc w:val="center"/>
              <w:rPr>
                <w:sz w:val="21"/>
                <w:szCs w:val="21"/>
              </w:rPr>
            </w:pPr>
            <w:r>
              <w:rPr>
                <w:sz w:val="21"/>
                <w:szCs w:val="21"/>
              </w:rPr>
              <w:t>验收阶段：验收占地56.98hm</w:t>
            </w:r>
            <w:r>
              <w:rPr>
                <w:sz w:val="21"/>
                <w:szCs w:val="21"/>
                <w:vertAlign w:val="superscript"/>
              </w:rPr>
              <w:t>2</w:t>
            </w:r>
            <w:r>
              <w:rPr>
                <w:sz w:val="21"/>
                <w:szCs w:val="21"/>
              </w:rPr>
              <w:t>，其中永久占地52.95hm</w:t>
            </w:r>
            <w:r>
              <w:rPr>
                <w:sz w:val="21"/>
                <w:szCs w:val="21"/>
                <w:vertAlign w:val="superscript"/>
              </w:rPr>
              <w:t>2</w:t>
            </w:r>
            <w:r>
              <w:rPr>
                <w:sz w:val="21"/>
                <w:szCs w:val="21"/>
              </w:rPr>
              <w:t>（含厂外铺设管道的永久占地0.24hm</w:t>
            </w:r>
            <w:r>
              <w:rPr>
                <w:sz w:val="21"/>
                <w:szCs w:val="21"/>
                <w:vertAlign w:val="superscript"/>
              </w:rPr>
              <w:t>2</w:t>
            </w:r>
            <w:r>
              <w:rPr>
                <w:sz w:val="21"/>
                <w:szCs w:val="21"/>
              </w:rPr>
              <w:t>），临时占地4.03hm</w:t>
            </w:r>
            <w:r>
              <w:rPr>
                <w:sz w:val="21"/>
                <w:szCs w:val="21"/>
                <w:vertAlign w:val="superscript"/>
              </w:rPr>
              <w:t>2</w:t>
            </w:r>
            <w:r>
              <w:rPr>
                <w:sz w:val="21"/>
                <w:szCs w:val="21"/>
              </w:rPr>
              <w:t>。占地减少原因为：由于本项目水土保持方案编制阶段为可研阶段，相应的数据通过地形图勾绘得出，项目建设区的面积相对粗糙，实际施工中严格控制施工征地，故项目建设区的面积减少0.08hm</w:t>
            </w:r>
            <w:r>
              <w:rPr>
                <w:sz w:val="21"/>
                <w:szCs w:val="21"/>
                <w:vertAlign w:val="superscript"/>
              </w:rPr>
              <w:t>2</w:t>
            </w:r>
            <w:r>
              <w:rPr>
                <w:sz w:val="21"/>
                <w:szCs w:val="21"/>
              </w:rPr>
              <w:t>。厂内永久占地为52.71hm</w:t>
            </w:r>
            <w:r>
              <w:rPr>
                <w:sz w:val="21"/>
                <w:szCs w:val="21"/>
                <w:vertAlign w:val="superscript"/>
              </w:rPr>
              <w:t>2</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1"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土石方量（万m</w:t>
            </w:r>
            <w:r>
              <w:rPr>
                <w:sz w:val="21"/>
                <w:szCs w:val="21"/>
                <w:vertAlign w:val="superscript"/>
              </w:rPr>
              <w:t>3</w:t>
            </w:r>
            <w:r>
              <w:rPr>
                <w:sz w:val="21"/>
                <w:szCs w:val="21"/>
              </w:rPr>
              <w:t>）</w:t>
            </w:r>
          </w:p>
        </w:tc>
        <w:tc>
          <w:tcPr>
            <w:tcW w:w="1749" w:type="dxa"/>
            <w:vAlign w:val="center"/>
          </w:tcPr>
          <w:p>
            <w:pPr>
              <w:spacing w:line="240" w:lineRule="auto"/>
              <w:ind w:firstLine="0" w:firstLineChars="0"/>
              <w:jc w:val="center"/>
              <w:rPr>
                <w:sz w:val="21"/>
                <w:szCs w:val="21"/>
              </w:rPr>
            </w:pPr>
            <w:r>
              <w:rPr>
                <w:sz w:val="21"/>
                <w:szCs w:val="21"/>
              </w:rPr>
              <w:t>挖方：77.64（含表土剥离3.94）</w:t>
            </w:r>
          </w:p>
        </w:tc>
        <w:tc>
          <w:tcPr>
            <w:tcW w:w="1741" w:type="dxa"/>
            <w:gridSpan w:val="4"/>
            <w:vAlign w:val="center"/>
          </w:tcPr>
          <w:p>
            <w:pPr>
              <w:spacing w:line="240" w:lineRule="auto"/>
              <w:ind w:firstLine="0" w:firstLineChars="0"/>
              <w:jc w:val="center"/>
              <w:rPr>
                <w:sz w:val="21"/>
                <w:szCs w:val="21"/>
              </w:rPr>
            </w:pPr>
            <w:r>
              <w:rPr>
                <w:sz w:val="21"/>
                <w:szCs w:val="21"/>
              </w:rPr>
              <w:t>填方：77.64（含表土回覆3.94）</w:t>
            </w:r>
          </w:p>
        </w:tc>
        <w:tc>
          <w:tcPr>
            <w:tcW w:w="1741" w:type="dxa"/>
            <w:gridSpan w:val="4"/>
            <w:vAlign w:val="center"/>
          </w:tcPr>
          <w:p>
            <w:pPr>
              <w:spacing w:line="240" w:lineRule="auto"/>
              <w:ind w:firstLine="0" w:firstLineChars="0"/>
              <w:jc w:val="center"/>
              <w:rPr>
                <w:sz w:val="21"/>
                <w:szCs w:val="21"/>
              </w:rPr>
            </w:pPr>
            <w:r>
              <w:rPr>
                <w:sz w:val="21"/>
                <w:szCs w:val="21"/>
              </w:rPr>
              <w:t>借方：0</w:t>
            </w:r>
          </w:p>
        </w:tc>
        <w:tc>
          <w:tcPr>
            <w:tcW w:w="1743" w:type="dxa"/>
            <w:vAlign w:val="center"/>
          </w:tcPr>
          <w:p>
            <w:pPr>
              <w:spacing w:line="240" w:lineRule="auto"/>
              <w:ind w:firstLine="0" w:firstLineChars="0"/>
              <w:jc w:val="center"/>
              <w:rPr>
                <w:sz w:val="21"/>
                <w:szCs w:val="21"/>
              </w:rPr>
            </w:pPr>
            <w:r>
              <w:rPr>
                <w:sz w:val="21"/>
                <w:szCs w:val="21"/>
              </w:rPr>
              <w:t>余方：0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Merge w:val="continue"/>
            <w:vAlign w:val="center"/>
          </w:tcPr>
          <w:p>
            <w:pPr>
              <w:spacing w:line="240" w:lineRule="auto"/>
              <w:ind w:firstLine="0" w:firstLineChars="0"/>
              <w:jc w:val="center"/>
              <w:rPr>
                <w:sz w:val="21"/>
                <w:szCs w:val="21"/>
              </w:rPr>
            </w:pPr>
          </w:p>
        </w:tc>
        <w:tc>
          <w:tcPr>
            <w:tcW w:w="6974" w:type="dxa"/>
            <w:gridSpan w:val="10"/>
            <w:vAlign w:val="center"/>
          </w:tcPr>
          <w:p>
            <w:pPr>
              <w:spacing w:line="240" w:lineRule="auto"/>
              <w:ind w:firstLine="0" w:firstLineChars="0"/>
              <w:jc w:val="center"/>
              <w:rPr>
                <w:sz w:val="21"/>
                <w:szCs w:val="21"/>
              </w:rPr>
            </w:pPr>
            <w:r>
              <w:rPr>
                <w:sz w:val="21"/>
                <w:szCs w:val="21"/>
              </w:rPr>
              <w:t>项目土石方挖填平衡，无弃方。</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30"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水土保持方案情况</w:t>
            </w:r>
          </w:p>
        </w:tc>
        <w:tc>
          <w:tcPr>
            <w:tcW w:w="2158" w:type="dxa"/>
            <w:gridSpan w:val="2"/>
            <w:vMerge w:val="restart"/>
            <w:vAlign w:val="center"/>
          </w:tcPr>
          <w:p>
            <w:pPr>
              <w:spacing w:line="240" w:lineRule="auto"/>
              <w:ind w:firstLine="0" w:firstLineChars="0"/>
              <w:jc w:val="center"/>
              <w:rPr>
                <w:sz w:val="21"/>
                <w:szCs w:val="21"/>
              </w:rPr>
            </w:pPr>
            <w:r>
              <w:rPr>
                <w:sz w:val="21"/>
                <w:szCs w:val="21"/>
              </w:rPr>
              <w:t>已取得水保批复</w:t>
            </w:r>
          </w:p>
          <w:p>
            <w:pPr>
              <w:spacing w:line="240" w:lineRule="auto"/>
              <w:ind w:firstLine="0" w:firstLineChars="0"/>
              <w:jc w:val="center"/>
              <w:rPr>
                <w:sz w:val="21"/>
                <w:szCs w:val="21"/>
              </w:rPr>
            </w:pPr>
            <w:r>
              <w:rPr>
                <w:sz w:val="21"/>
                <w:szCs w:val="21"/>
              </w:rPr>
              <w:t>批复文号：五水林函〔2017〕53号</w:t>
            </w:r>
          </w:p>
        </w:tc>
        <w:tc>
          <w:tcPr>
            <w:tcW w:w="1607" w:type="dxa"/>
            <w:gridSpan w:val="4"/>
            <w:vMerge w:val="restart"/>
            <w:vAlign w:val="center"/>
          </w:tcPr>
          <w:p>
            <w:pPr>
              <w:spacing w:line="240" w:lineRule="auto"/>
              <w:ind w:firstLine="0" w:firstLineChars="0"/>
              <w:jc w:val="center"/>
              <w:rPr>
                <w:sz w:val="21"/>
                <w:szCs w:val="21"/>
              </w:rPr>
            </w:pPr>
            <w:r>
              <w:rPr>
                <w:sz w:val="21"/>
                <w:szCs w:val="21"/>
              </w:rPr>
              <w:t>水土保持补偿费缴纳情况</w:t>
            </w:r>
          </w:p>
        </w:tc>
        <w:tc>
          <w:tcPr>
            <w:tcW w:w="1008" w:type="dxa"/>
            <w:gridSpan w:val="2"/>
            <w:vAlign w:val="center"/>
          </w:tcPr>
          <w:p>
            <w:pPr>
              <w:spacing w:line="240" w:lineRule="auto"/>
              <w:ind w:firstLine="0" w:firstLineChars="0"/>
              <w:jc w:val="center"/>
              <w:rPr>
                <w:sz w:val="21"/>
                <w:szCs w:val="21"/>
              </w:rPr>
            </w:pPr>
            <w:r>
              <w:rPr>
                <w:sz w:val="21"/>
                <w:szCs w:val="21"/>
              </w:rPr>
              <w:t>应缴：</w:t>
            </w:r>
          </w:p>
        </w:tc>
        <w:tc>
          <w:tcPr>
            <w:tcW w:w="2201" w:type="dxa"/>
            <w:gridSpan w:val="2"/>
            <w:vAlign w:val="center"/>
          </w:tcPr>
          <w:p>
            <w:pPr>
              <w:spacing w:line="240" w:lineRule="auto"/>
              <w:ind w:firstLine="0" w:firstLineChars="0"/>
              <w:jc w:val="center"/>
              <w:rPr>
                <w:sz w:val="21"/>
                <w:szCs w:val="21"/>
              </w:rPr>
            </w:pPr>
            <w:r>
              <w:rPr>
                <w:sz w:val="21"/>
                <w:szCs w:val="21"/>
              </w:rPr>
              <w:t>74.18万元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2313" w:type="dxa"/>
            <w:gridSpan w:val="2"/>
            <w:vMerge w:val="continue"/>
            <w:vAlign w:val="center"/>
          </w:tcPr>
          <w:p>
            <w:pPr>
              <w:spacing w:line="240" w:lineRule="auto"/>
              <w:ind w:firstLine="0" w:firstLineChars="0"/>
              <w:jc w:val="center"/>
              <w:rPr>
                <w:sz w:val="21"/>
                <w:szCs w:val="21"/>
              </w:rPr>
            </w:pPr>
          </w:p>
        </w:tc>
        <w:tc>
          <w:tcPr>
            <w:tcW w:w="2158" w:type="dxa"/>
            <w:gridSpan w:val="2"/>
            <w:vMerge w:val="continue"/>
            <w:vAlign w:val="center"/>
          </w:tcPr>
          <w:p>
            <w:pPr>
              <w:spacing w:line="240" w:lineRule="auto"/>
              <w:ind w:firstLine="0" w:firstLineChars="0"/>
              <w:jc w:val="center"/>
              <w:rPr>
                <w:sz w:val="21"/>
                <w:szCs w:val="21"/>
              </w:rPr>
            </w:pPr>
          </w:p>
        </w:tc>
        <w:tc>
          <w:tcPr>
            <w:tcW w:w="1607" w:type="dxa"/>
            <w:gridSpan w:val="4"/>
            <w:vMerge w:val="continue"/>
            <w:vAlign w:val="center"/>
          </w:tcPr>
          <w:p>
            <w:pPr>
              <w:spacing w:line="240" w:lineRule="auto"/>
              <w:ind w:firstLine="0" w:firstLineChars="0"/>
              <w:jc w:val="center"/>
              <w:rPr>
                <w:sz w:val="21"/>
                <w:szCs w:val="21"/>
              </w:rPr>
            </w:pPr>
          </w:p>
        </w:tc>
        <w:tc>
          <w:tcPr>
            <w:tcW w:w="1008" w:type="dxa"/>
            <w:gridSpan w:val="2"/>
            <w:vAlign w:val="center"/>
          </w:tcPr>
          <w:p>
            <w:pPr>
              <w:spacing w:line="240" w:lineRule="auto"/>
              <w:ind w:firstLine="0" w:firstLineChars="0"/>
              <w:jc w:val="center"/>
              <w:rPr>
                <w:sz w:val="21"/>
                <w:szCs w:val="21"/>
              </w:rPr>
            </w:pPr>
            <w:r>
              <w:rPr>
                <w:sz w:val="21"/>
                <w:szCs w:val="21"/>
              </w:rPr>
              <w:t>实缴：</w:t>
            </w:r>
          </w:p>
        </w:tc>
        <w:tc>
          <w:tcPr>
            <w:tcW w:w="2201" w:type="dxa"/>
            <w:gridSpan w:val="2"/>
            <w:vAlign w:val="center"/>
          </w:tcPr>
          <w:p>
            <w:pPr>
              <w:spacing w:line="240" w:lineRule="auto"/>
              <w:ind w:firstLine="0" w:firstLineChars="0"/>
              <w:jc w:val="center"/>
              <w:rPr>
                <w:sz w:val="21"/>
                <w:szCs w:val="21"/>
              </w:rPr>
            </w:pPr>
            <w:r>
              <w:rPr>
                <w:sz w:val="21"/>
                <w:szCs w:val="21"/>
              </w:rPr>
              <w:t>74.18万元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水土保持监测情况</w:t>
            </w:r>
          </w:p>
        </w:tc>
        <w:tc>
          <w:tcPr>
            <w:tcW w:w="2158" w:type="dxa"/>
            <w:gridSpan w:val="2"/>
            <w:vAlign w:val="center"/>
          </w:tcPr>
          <w:p>
            <w:pPr>
              <w:spacing w:line="240" w:lineRule="auto"/>
              <w:ind w:firstLine="0" w:firstLineChars="0"/>
              <w:jc w:val="center"/>
              <w:rPr>
                <w:sz w:val="21"/>
                <w:szCs w:val="21"/>
              </w:rPr>
            </w:pPr>
            <w:r>
              <w:rPr>
                <w:sz w:val="21"/>
                <w:szCs w:val="21"/>
              </w:rPr>
              <w:t>已开展</w:t>
            </w:r>
          </w:p>
        </w:tc>
        <w:tc>
          <w:tcPr>
            <w:tcW w:w="2615" w:type="dxa"/>
            <w:gridSpan w:val="6"/>
            <w:vAlign w:val="center"/>
          </w:tcPr>
          <w:p>
            <w:pPr>
              <w:spacing w:line="240" w:lineRule="auto"/>
              <w:ind w:firstLine="0" w:firstLineChars="0"/>
              <w:jc w:val="center"/>
              <w:rPr>
                <w:sz w:val="21"/>
                <w:szCs w:val="21"/>
              </w:rPr>
            </w:pPr>
            <w:r>
              <w:rPr>
                <w:sz w:val="21"/>
                <w:szCs w:val="21"/>
              </w:rPr>
              <w:t>水土保持设施验收情况</w:t>
            </w:r>
          </w:p>
        </w:tc>
        <w:tc>
          <w:tcPr>
            <w:tcW w:w="2201" w:type="dxa"/>
            <w:gridSpan w:val="2"/>
            <w:vAlign w:val="center"/>
          </w:tcPr>
          <w:p>
            <w:pPr>
              <w:spacing w:line="240" w:lineRule="auto"/>
              <w:ind w:firstLine="0" w:firstLineChars="0"/>
              <w:jc w:val="center"/>
              <w:rPr>
                <w:sz w:val="21"/>
                <w:szCs w:val="21"/>
              </w:rPr>
            </w:pPr>
            <w:r>
              <w:rPr>
                <w:sz w:val="21"/>
                <w:szCs w:val="21"/>
              </w:rPr>
              <w:t>已取得验收报备回执</w:t>
            </w:r>
          </w:p>
          <w:p>
            <w:pPr>
              <w:spacing w:line="240" w:lineRule="auto"/>
              <w:ind w:firstLine="0" w:firstLineChars="0"/>
              <w:jc w:val="center"/>
              <w:rPr>
                <w:sz w:val="21"/>
                <w:szCs w:val="21"/>
              </w:rPr>
            </w:pPr>
            <w:r>
              <w:rPr>
                <w:sz w:val="21"/>
                <w:szCs w:val="21"/>
              </w:rPr>
              <w:t>回执文号：五水函〔2019〕74号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restart"/>
            <w:vAlign w:val="center"/>
          </w:tcPr>
          <w:p>
            <w:pPr>
              <w:spacing w:line="240" w:lineRule="auto"/>
              <w:ind w:firstLine="0" w:firstLineChars="0"/>
              <w:jc w:val="center"/>
              <w:rPr>
                <w:sz w:val="21"/>
                <w:szCs w:val="21"/>
              </w:rPr>
            </w:pPr>
            <w:r>
              <w:rPr>
                <w:sz w:val="21"/>
                <w:szCs w:val="21"/>
              </w:rPr>
              <w:t>现场调查影像</w:t>
            </w:r>
          </w:p>
        </w:tc>
        <w:tc>
          <w:tcPr>
            <w:tcW w:w="4262" w:type="dxa"/>
            <w:gridSpan w:val="5"/>
            <w:vAlign w:val="center"/>
          </w:tcPr>
          <w:p>
            <w:pPr>
              <w:spacing w:line="240" w:lineRule="auto"/>
              <w:ind w:firstLine="0" w:firstLineChars="0"/>
              <w:jc w:val="center"/>
              <w:rPr>
                <w:sz w:val="21"/>
                <w:szCs w:val="21"/>
              </w:rPr>
            </w:pPr>
            <w:r>
              <w:drawing>
                <wp:inline distT="0" distB="0" distL="114300" distR="114300">
                  <wp:extent cx="2594610" cy="1886585"/>
                  <wp:effectExtent l="0" t="0" r="15240" b="18415"/>
                  <wp:docPr id="68" name="图片 69"/>
                  <wp:cNvGraphicFramePr/>
                  <a:graphic xmlns:a="http://schemas.openxmlformats.org/drawingml/2006/main">
                    <a:graphicData uri="http://schemas.openxmlformats.org/drawingml/2006/picture">
                      <pic:pic xmlns:pic="http://schemas.openxmlformats.org/drawingml/2006/picture">
                        <pic:nvPicPr>
                          <pic:cNvPr id="68" name="图片 69"/>
                          <pic:cNvPicPr/>
                        </pic:nvPicPr>
                        <pic:blipFill>
                          <a:blip r:embed="rId57"/>
                          <a:stretch>
                            <a:fillRect/>
                          </a:stretch>
                        </pic:blipFill>
                        <pic:spPr>
                          <a:xfrm>
                            <a:off x="0" y="0"/>
                            <a:ext cx="2594610" cy="1886585"/>
                          </a:xfrm>
                          <a:prstGeom prst="rect">
                            <a:avLst/>
                          </a:prstGeom>
                          <a:noFill/>
                          <a:ln>
                            <a:noFill/>
                          </a:ln>
                        </pic:spPr>
                      </pic:pic>
                    </a:graphicData>
                  </a:graphic>
                </wp:inline>
              </w:drawing>
            </w:r>
          </w:p>
        </w:tc>
        <w:tc>
          <w:tcPr>
            <w:tcW w:w="4263" w:type="dxa"/>
            <w:gridSpan w:val="6"/>
            <w:vAlign w:val="center"/>
          </w:tcPr>
          <w:p>
            <w:pPr>
              <w:spacing w:line="240" w:lineRule="auto"/>
              <w:ind w:firstLine="0" w:firstLineChars="0"/>
              <w:jc w:val="center"/>
              <w:rPr>
                <w:sz w:val="21"/>
                <w:szCs w:val="21"/>
              </w:rPr>
            </w:pPr>
            <w:r>
              <w:drawing>
                <wp:inline distT="0" distB="0" distL="114300" distR="114300">
                  <wp:extent cx="2569210" cy="1887220"/>
                  <wp:effectExtent l="0" t="0" r="2540" b="17780"/>
                  <wp:docPr id="14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75"/>
                          <pic:cNvPicPr>
                            <a:picLocks noChangeAspect="1"/>
                          </pic:cNvPicPr>
                        </pic:nvPicPr>
                        <pic:blipFill>
                          <a:blip r:embed="rId58"/>
                          <a:stretch>
                            <a:fillRect/>
                          </a:stretch>
                        </pic:blipFill>
                        <pic:spPr>
                          <a:xfrm>
                            <a:off x="0" y="0"/>
                            <a:ext cx="2569210" cy="1887220"/>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在园区中的位置</w:t>
            </w:r>
          </w:p>
        </w:tc>
        <w:tc>
          <w:tcPr>
            <w:tcW w:w="4263" w:type="dxa"/>
            <w:gridSpan w:val="6"/>
            <w:vAlign w:val="center"/>
          </w:tcPr>
          <w:p>
            <w:pPr>
              <w:spacing w:line="240" w:lineRule="auto"/>
              <w:ind w:firstLine="0" w:firstLineChars="0"/>
              <w:jc w:val="center"/>
              <w:rPr>
                <w:sz w:val="21"/>
                <w:szCs w:val="21"/>
              </w:rPr>
            </w:pPr>
            <w:r>
              <w:rPr>
                <w:sz w:val="21"/>
                <w:szCs w:val="21"/>
              </w:rPr>
              <w:t>无人机航拍图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1" w:hRule="atLeast"/>
        </w:trPr>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drawing>
                <wp:inline distT="0" distB="0" distL="114300" distR="114300">
                  <wp:extent cx="2540000" cy="1905000"/>
                  <wp:effectExtent l="0" t="0" r="12700" b="0"/>
                  <wp:docPr id="49" name="图片 49" descr="IMG_20221031_154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IMG_20221031_154445"/>
                          <pic:cNvPicPr>
                            <a:picLocks noChangeAspect="1"/>
                          </pic:cNvPicPr>
                        </pic:nvPicPr>
                        <pic:blipFill>
                          <a:blip r:embed="rId59"/>
                          <a:stretch>
                            <a:fillRect/>
                          </a:stretch>
                        </pic:blipFill>
                        <pic:spPr>
                          <a:xfrm>
                            <a:off x="0" y="0"/>
                            <a:ext cx="2540000" cy="1905000"/>
                          </a:xfrm>
                          <a:prstGeom prst="rect">
                            <a:avLst/>
                          </a:prstGeom>
                        </pic:spPr>
                      </pic:pic>
                    </a:graphicData>
                  </a:graphic>
                </wp:inline>
              </w:drawing>
            </w:r>
          </w:p>
        </w:tc>
        <w:tc>
          <w:tcPr>
            <w:tcW w:w="4263" w:type="dxa"/>
            <w:gridSpan w:val="6"/>
            <w:vAlign w:val="center"/>
          </w:tcPr>
          <w:p>
            <w:pPr>
              <w:spacing w:line="240" w:lineRule="auto"/>
              <w:ind w:firstLine="0" w:firstLineChars="0"/>
              <w:jc w:val="center"/>
              <w:rPr>
                <w:sz w:val="21"/>
                <w:szCs w:val="21"/>
              </w:rPr>
            </w:pPr>
            <w:r>
              <w:rPr>
                <w:sz w:val="21"/>
                <w:szCs w:val="21"/>
              </w:rPr>
              <w:drawing>
                <wp:inline distT="0" distB="0" distL="114300" distR="114300">
                  <wp:extent cx="2569210" cy="1904365"/>
                  <wp:effectExtent l="0" t="0" r="2540" b="635"/>
                  <wp:docPr id="218" name="图片 218" descr="b615d7b13b4308c1800d389ebfc5a69"/>
                  <wp:cNvGraphicFramePr/>
                  <a:graphic xmlns:a="http://schemas.openxmlformats.org/drawingml/2006/main">
                    <a:graphicData uri="http://schemas.openxmlformats.org/drawingml/2006/picture">
                      <pic:pic xmlns:pic="http://schemas.openxmlformats.org/drawingml/2006/picture">
                        <pic:nvPicPr>
                          <pic:cNvPr id="218" name="图片 218" descr="b615d7b13b4308c1800d389ebfc5a69"/>
                          <pic:cNvPicPr/>
                        </pic:nvPicPr>
                        <pic:blipFill>
                          <a:blip r:embed="rId60"/>
                          <a:stretch>
                            <a:fillRect/>
                          </a:stretch>
                        </pic:blipFill>
                        <pic:spPr>
                          <a:xfrm>
                            <a:off x="0" y="0"/>
                            <a:ext cx="2569210" cy="190436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现状照片</w:t>
            </w:r>
          </w:p>
        </w:tc>
        <w:tc>
          <w:tcPr>
            <w:tcW w:w="4263" w:type="dxa"/>
            <w:gridSpan w:val="6"/>
            <w:vAlign w:val="center"/>
          </w:tcPr>
          <w:p>
            <w:pPr>
              <w:spacing w:line="240" w:lineRule="auto"/>
              <w:ind w:firstLine="0" w:firstLineChars="0"/>
              <w:jc w:val="center"/>
              <w:rPr>
                <w:sz w:val="21"/>
                <w:szCs w:val="21"/>
              </w:rPr>
            </w:pPr>
            <w:r>
              <w:rPr>
                <w:sz w:val="21"/>
                <w:szCs w:val="21"/>
              </w:rPr>
              <w:t>现状照片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287" w:type="dxa"/>
            <w:gridSpan w:val="12"/>
            <w:vAlign w:val="center"/>
          </w:tcPr>
          <w:p>
            <w:pPr>
              <w:spacing w:line="240" w:lineRule="auto"/>
              <w:ind w:firstLine="0" w:firstLineChars="0"/>
              <w:jc w:val="center"/>
              <w:rPr>
                <w:sz w:val="21"/>
                <w:szCs w:val="21"/>
              </w:rPr>
            </w:pPr>
            <w:r>
              <w:rPr>
                <w:sz w:val="21"/>
                <w:szCs w:val="21"/>
              </w:rPr>
              <w:t>项目已建成并投运生产，场地内已被建构筑物、硬化地面及绿化措施覆盖，基本不再产生水土流失。项目已实施的永久水土保持设施有：排水沟、雨水管网、景观绿化等。场内排水顺畅，未发现内涝现象，绿化生长情况良好。</w:t>
            </w:r>
          </w:p>
        </w:tc>
      </w:tr>
    </w:tbl>
    <w:p>
      <w:pPr>
        <w:ind w:firstLine="482"/>
        <w:rPr>
          <w:b/>
          <w:bCs/>
        </w:rPr>
      </w:pPr>
      <w:r>
        <w:rPr>
          <w:b/>
          <w:bCs/>
        </w:rPr>
        <w:br w:type="page"/>
      </w:r>
      <w:r>
        <w:rPr>
          <w:b/>
          <w:bCs/>
        </w:rPr>
        <w:t>表2.1-2-2光伏硅材料制造技改项目（二期4.5万吨高纯晶硅）实地调查记录表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62"/>
        <w:gridCol w:w="1551"/>
        <w:gridCol w:w="1749"/>
        <w:gridCol w:w="409"/>
        <w:gridCol w:w="169"/>
        <w:gridCol w:w="384"/>
        <w:gridCol w:w="779"/>
        <w:gridCol w:w="275"/>
        <w:gridCol w:w="900"/>
        <w:gridCol w:w="108"/>
        <w:gridCol w:w="458"/>
        <w:gridCol w:w="174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项目名称</w:t>
            </w:r>
          </w:p>
        </w:tc>
        <w:tc>
          <w:tcPr>
            <w:tcW w:w="6974" w:type="dxa"/>
            <w:gridSpan w:val="10"/>
            <w:vAlign w:val="center"/>
          </w:tcPr>
          <w:p>
            <w:pPr>
              <w:spacing w:line="240" w:lineRule="auto"/>
              <w:ind w:firstLine="0" w:firstLineChars="0"/>
              <w:jc w:val="center"/>
              <w:rPr>
                <w:sz w:val="21"/>
                <w:szCs w:val="21"/>
              </w:rPr>
            </w:pPr>
            <w:r>
              <w:rPr>
                <w:sz w:val="21"/>
                <w:szCs w:val="21"/>
              </w:rPr>
              <w:t>光伏硅材料制造技改项目（二期4.5万吨高纯晶硅）</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项目业主</w:t>
            </w:r>
          </w:p>
        </w:tc>
        <w:tc>
          <w:tcPr>
            <w:tcW w:w="6974" w:type="dxa"/>
            <w:gridSpan w:val="10"/>
            <w:vAlign w:val="center"/>
          </w:tcPr>
          <w:p>
            <w:pPr>
              <w:spacing w:line="240" w:lineRule="auto"/>
              <w:ind w:firstLine="0" w:firstLineChars="0"/>
              <w:jc w:val="center"/>
              <w:rPr>
                <w:sz w:val="21"/>
                <w:szCs w:val="21"/>
              </w:rPr>
            </w:pPr>
            <w:r>
              <w:rPr>
                <w:sz w:val="21"/>
                <w:szCs w:val="21"/>
              </w:rPr>
              <w:t>四川永祥新能源有限公司</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建设工期</w:t>
            </w:r>
          </w:p>
        </w:tc>
        <w:tc>
          <w:tcPr>
            <w:tcW w:w="6974" w:type="dxa"/>
            <w:gridSpan w:val="10"/>
            <w:vAlign w:val="center"/>
          </w:tcPr>
          <w:p>
            <w:pPr>
              <w:spacing w:line="240" w:lineRule="auto"/>
              <w:ind w:firstLine="0" w:firstLineChars="0"/>
              <w:jc w:val="center"/>
              <w:rPr>
                <w:sz w:val="21"/>
                <w:szCs w:val="21"/>
              </w:rPr>
            </w:pPr>
            <w:r>
              <w:rPr>
                <w:sz w:val="21"/>
                <w:szCs w:val="21"/>
              </w:rPr>
              <w:t>2020年10月~2023年1月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2313" w:type="dxa"/>
            <w:gridSpan w:val="2"/>
            <w:vAlign w:val="center"/>
          </w:tcPr>
          <w:p>
            <w:pPr>
              <w:spacing w:line="240" w:lineRule="auto"/>
              <w:ind w:firstLine="0" w:firstLineChars="0"/>
              <w:jc w:val="center"/>
              <w:rPr>
                <w:sz w:val="21"/>
                <w:szCs w:val="21"/>
              </w:rPr>
            </w:pPr>
            <w:r>
              <w:rPr>
                <w:sz w:val="21"/>
                <w:szCs w:val="21"/>
              </w:rPr>
              <w:t>建设情况</w:t>
            </w:r>
          </w:p>
        </w:tc>
        <w:tc>
          <w:tcPr>
            <w:tcW w:w="2327" w:type="dxa"/>
            <w:gridSpan w:val="3"/>
            <w:vAlign w:val="center"/>
          </w:tcPr>
          <w:p>
            <w:pPr>
              <w:spacing w:line="240" w:lineRule="auto"/>
              <w:ind w:firstLine="0" w:firstLineChars="0"/>
              <w:jc w:val="center"/>
              <w:rPr>
                <w:sz w:val="21"/>
                <w:szCs w:val="21"/>
              </w:rPr>
            </w:pPr>
            <w:r>
              <w:rPr>
                <w:sz w:val="21"/>
                <w:szCs w:val="21"/>
              </w:rPr>
              <w:t>在建</w:t>
            </w:r>
          </w:p>
        </w:tc>
        <w:tc>
          <w:tcPr>
            <w:tcW w:w="2338" w:type="dxa"/>
            <w:gridSpan w:val="4"/>
            <w:vAlign w:val="center"/>
          </w:tcPr>
          <w:p>
            <w:pPr>
              <w:spacing w:line="240" w:lineRule="auto"/>
              <w:ind w:firstLine="0" w:firstLineChars="0"/>
              <w:jc w:val="center"/>
              <w:rPr>
                <w:sz w:val="21"/>
                <w:szCs w:val="21"/>
              </w:rPr>
            </w:pPr>
            <w:r>
              <w:rPr>
                <w:sz w:val="21"/>
                <w:szCs w:val="21"/>
              </w:rPr>
              <w:t>主要产品及生产规模</w:t>
            </w:r>
          </w:p>
        </w:tc>
        <w:tc>
          <w:tcPr>
            <w:tcW w:w="2309" w:type="dxa"/>
            <w:gridSpan w:val="3"/>
            <w:vAlign w:val="center"/>
          </w:tcPr>
          <w:p>
            <w:pPr>
              <w:spacing w:line="240" w:lineRule="auto"/>
              <w:ind w:firstLine="0" w:firstLineChars="0"/>
              <w:jc w:val="center"/>
              <w:rPr>
                <w:sz w:val="21"/>
                <w:szCs w:val="21"/>
              </w:rPr>
            </w:pPr>
            <w:r>
              <w:rPr>
                <w:sz w:val="21"/>
                <w:szCs w:val="21"/>
              </w:rPr>
              <w:t>高纯晶硅-4.5万t/a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73" w:hRule="atLeast"/>
        </w:trPr>
        <w:tc>
          <w:tcPr>
            <w:tcW w:w="2313" w:type="dxa"/>
            <w:gridSpan w:val="2"/>
            <w:vAlign w:val="center"/>
          </w:tcPr>
          <w:p>
            <w:pPr>
              <w:spacing w:line="240" w:lineRule="auto"/>
              <w:ind w:firstLine="0" w:firstLineChars="0"/>
              <w:jc w:val="center"/>
              <w:rPr>
                <w:sz w:val="21"/>
                <w:szCs w:val="21"/>
              </w:rPr>
            </w:pPr>
            <w:r>
              <w:rPr>
                <w:sz w:val="21"/>
                <w:szCs w:val="21"/>
              </w:rPr>
              <w:t>占地面积</w:t>
            </w:r>
          </w:p>
        </w:tc>
        <w:tc>
          <w:tcPr>
            <w:tcW w:w="6974" w:type="dxa"/>
            <w:gridSpan w:val="10"/>
            <w:vAlign w:val="center"/>
          </w:tcPr>
          <w:p>
            <w:pPr>
              <w:spacing w:line="240" w:lineRule="auto"/>
              <w:ind w:firstLine="0" w:firstLineChars="0"/>
              <w:jc w:val="center"/>
              <w:rPr>
                <w:sz w:val="21"/>
                <w:szCs w:val="21"/>
              </w:rPr>
            </w:pPr>
            <w:r>
              <w:rPr>
                <w:sz w:val="21"/>
                <w:szCs w:val="21"/>
              </w:rPr>
              <w:t>方案批复总占地41.07hm</w:t>
            </w:r>
            <w:r>
              <w:rPr>
                <w:sz w:val="21"/>
                <w:szCs w:val="21"/>
                <w:vertAlign w:val="superscript"/>
              </w:rPr>
              <w:t>2</w:t>
            </w:r>
            <w:r>
              <w:rPr>
                <w:sz w:val="21"/>
                <w:szCs w:val="21"/>
              </w:rPr>
              <w:t>，均为永久占地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1"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土石方量（万m</w:t>
            </w:r>
            <w:r>
              <w:rPr>
                <w:sz w:val="21"/>
                <w:szCs w:val="21"/>
                <w:vertAlign w:val="superscript"/>
              </w:rPr>
              <w:t>3</w:t>
            </w:r>
            <w:r>
              <w:rPr>
                <w:sz w:val="21"/>
                <w:szCs w:val="21"/>
              </w:rPr>
              <w:t>）</w:t>
            </w:r>
          </w:p>
        </w:tc>
        <w:tc>
          <w:tcPr>
            <w:tcW w:w="1749" w:type="dxa"/>
            <w:vAlign w:val="center"/>
          </w:tcPr>
          <w:p>
            <w:pPr>
              <w:spacing w:line="240" w:lineRule="auto"/>
              <w:ind w:firstLine="0" w:firstLineChars="0"/>
              <w:jc w:val="center"/>
              <w:rPr>
                <w:sz w:val="21"/>
                <w:szCs w:val="21"/>
              </w:rPr>
            </w:pPr>
            <w:r>
              <w:rPr>
                <w:sz w:val="21"/>
                <w:szCs w:val="21"/>
              </w:rPr>
              <w:t>挖方：31</w:t>
            </w:r>
          </w:p>
        </w:tc>
        <w:tc>
          <w:tcPr>
            <w:tcW w:w="1741" w:type="dxa"/>
            <w:gridSpan w:val="4"/>
            <w:vAlign w:val="center"/>
          </w:tcPr>
          <w:p>
            <w:pPr>
              <w:spacing w:line="240" w:lineRule="auto"/>
              <w:ind w:firstLine="0" w:firstLineChars="0"/>
              <w:jc w:val="center"/>
              <w:rPr>
                <w:sz w:val="21"/>
                <w:szCs w:val="21"/>
              </w:rPr>
            </w:pPr>
            <w:r>
              <w:rPr>
                <w:sz w:val="21"/>
                <w:szCs w:val="21"/>
              </w:rPr>
              <w:t>填方：33.65</w:t>
            </w:r>
          </w:p>
          <w:p>
            <w:pPr>
              <w:spacing w:line="240" w:lineRule="auto"/>
              <w:ind w:firstLine="0" w:firstLineChars="0"/>
              <w:jc w:val="center"/>
              <w:rPr>
                <w:sz w:val="21"/>
                <w:szCs w:val="21"/>
              </w:rPr>
            </w:pPr>
            <w:r>
              <w:rPr>
                <w:sz w:val="21"/>
                <w:szCs w:val="21"/>
              </w:rPr>
              <w:t>（含表土回覆2.65万m</w:t>
            </w:r>
            <w:r>
              <w:rPr>
                <w:sz w:val="21"/>
                <w:szCs w:val="21"/>
                <w:vertAlign w:val="superscript"/>
              </w:rPr>
              <w:t>3</w:t>
            </w:r>
            <w:r>
              <w:rPr>
                <w:sz w:val="21"/>
                <w:szCs w:val="21"/>
              </w:rPr>
              <w:t>）</w:t>
            </w:r>
          </w:p>
        </w:tc>
        <w:tc>
          <w:tcPr>
            <w:tcW w:w="1741" w:type="dxa"/>
            <w:gridSpan w:val="4"/>
            <w:vAlign w:val="center"/>
          </w:tcPr>
          <w:p>
            <w:pPr>
              <w:spacing w:line="240" w:lineRule="auto"/>
              <w:ind w:firstLine="0" w:firstLineChars="0"/>
              <w:jc w:val="center"/>
              <w:rPr>
                <w:sz w:val="21"/>
                <w:szCs w:val="21"/>
              </w:rPr>
            </w:pPr>
            <w:r>
              <w:rPr>
                <w:sz w:val="21"/>
                <w:szCs w:val="21"/>
              </w:rPr>
              <w:t>借方：2.65</w:t>
            </w:r>
          </w:p>
          <w:p>
            <w:pPr>
              <w:spacing w:line="240" w:lineRule="auto"/>
              <w:ind w:firstLine="0" w:firstLineChars="0"/>
              <w:jc w:val="center"/>
              <w:rPr>
                <w:sz w:val="21"/>
                <w:szCs w:val="21"/>
              </w:rPr>
            </w:pPr>
            <w:r>
              <w:rPr>
                <w:sz w:val="21"/>
                <w:szCs w:val="21"/>
              </w:rPr>
              <w:t>（为表土）</w:t>
            </w:r>
          </w:p>
        </w:tc>
        <w:tc>
          <w:tcPr>
            <w:tcW w:w="1743" w:type="dxa"/>
            <w:vAlign w:val="center"/>
          </w:tcPr>
          <w:p>
            <w:pPr>
              <w:spacing w:line="240" w:lineRule="auto"/>
              <w:ind w:firstLine="0" w:firstLineChars="0"/>
              <w:jc w:val="center"/>
              <w:rPr>
                <w:sz w:val="21"/>
                <w:szCs w:val="21"/>
              </w:rPr>
            </w:pPr>
            <w:r>
              <w:rPr>
                <w:sz w:val="21"/>
                <w:szCs w:val="21"/>
              </w:rPr>
              <w:t>余方：0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Merge w:val="continue"/>
            <w:vAlign w:val="center"/>
          </w:tcPr>
          <w:p>
            <w:pPr>
              <w:spacing w:line="240" w:lineRule="auto"/>
              <w:ind w:firstLine="0" w:firstLineChars="0"/>
              <w:jc w:val="center"/>
              <w:rPr>
                <w:sz w:val="21"/>
                <w:szCs w:val="21"/>
              </w:rPr>
            </w:pPr>
          </w:p>
        </w:tc>
        <w:tc>
          <w:tcPr>
            <w:tcW w:w="6974" w:type="dxa"/>
            <w:gridSpan w:val="10"/>
            <w:vAlign w:val="center"/>
          </w:tcPr>
          <w:p>
            <w:pPr>
              <w:spacing w:line="240" w:lineRule="auto"/>
              <w:ind w:firstLine="0" w:firstLineChars="0"/>
              <w:jc w:val="center"/>
              <w:rPr>
                <w:sz w:val="21"/>
                <w:szCs w:val="21"/>
              </w:rPr>
            </w:pPr>
            <w:r>
              <w:rPr>
                <w:sz w:val="21"/>
                <w:szCs w:val="21"/>
              </w:rPr>
              <w:t>项目进场前，地块的场平工作已由管委会完成，企业进场后场地内无表土可剥离，项目内部绿化区域所需表土来源于相邻地块场平时剥离的表土。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30"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水土保持方案情况</w:t>
            </w:r>
          </w:p>
        </w:tc>
        <w:tc>
          <w:tcPr>
            <w:tcW w:w="2158" w:type="dxa"/>
            <w:gridSpan w:val="2"/>
            <w:vMerge w:val="restart"/>
            <w:vAlign w:val="center"/>
          </w:tcPr>
          <w:p>
            <w:pPr>
              <w:spacing w:line="240" w:lineRule="auto"/>
              <w:ind w:firstLine="0" w:firstLineChars="0"/>
              <w:jc w:val="center"/>
              <w:rPr>
                <w:sz w:val="21"/>
                <w:szCs w:val="21"/>
              </w:rPr>
            </w:pPr>
            <w:r>
              <w:rPr>
                <w:sz w:val="21"/>
                <w:szCs w:val="21"/>
              </w:rPr>
              <w:t>已取得水保批复</w:t>
            </w:r>
          </w:p>
          <w:p>
            <w:pPr>
              <w:spacing w:line="240" w:lineRule="auto"/>
              <w:ind w:firstLine="0" w:firstLineChars="0"/>
              <w:jc w:val="center"/>
              <w:rPr>
                <w:sz w:val="21"/>
                <w:szCs w:val="21"/>
              </w:rPr>
            </w:pPr>
            <w:r>
              <w:rPr>
                <w:sz w:val="21"/>
                <w:szCs w:val="21"/>
              </w:rPr>
              <w:t>批复文号：五水函〔2020〕126号</w:t>
            </w:r>
          </w:p>
        </w:tc>
        <w:tc>
          <w:tcPr>
            <w:tcW w:w="1607" w:type="dxa"/>
            <w:gridSpan w:val="4"/>
            <w:vMerge w:val="restart"/>
            <w:vAlign w:val="center"/>
          </w:tcPr>
          <w:p>
            <w:pPr>
              <w:spacing w:line="240" w:lineRule="auto"/>
              <w:ind w:firstLine="0" w:firstLineChars="0"/>
              <w:jc w:val="center"/>
              <w:rPr>
                <w:sz w:val="21"/>
                <w:szCs w:val="21"/>
              </w:rPr>
            </w:pPr>
            <w:r>
              <w:rPr>
                <w:sz w:val="21"/>
                <w:szCs w:val="21"/>
              </w:rPr>
              <w:t>水土保持补偿费缴纳情况</w:t>
            </w:r>
          </w:p>
        </w:tc>
        <w:tc>
          <w:tcPr>
            <w:tcW w:w="1008" w:type="dxa"/>
            <w:gridSpan w:val="2"/>
            <w:vAlign w:val="center"/>
          </w:tcPr>
          <w:p>
            <w:pPr>
              <w:spacing w:line="240" w:lineRule="auto"/>
              <w:ind w:firstLine="0" w:firstLineChars="0"/>
              <w:jc w:val="center"/>
              <w:rPr>
                <w:sz w:val="21"/>
                <w:szCs w:val="21"/>
              </w:rPr>
            </w:pPr>
            <w:r>
              <w:rPr>
                <w:sz w:val="21"/>
                <w:szCs w:val="21"/>
              </w:rPr>
              <w:t>应缴：</w:t>
            </w:r>
          </w:p>
        </w:tc>
        <w:tc>
          <w:tcPr>
            <w:tcW w:w="2201" w:type="dxa"/>
            <w:gridSpan w:val="2"/>
            <w:vAlign w:val="center"/>
          </w:tcPr>
          <w:p>
            <w:pPr>
              <w:spacing w:line="240" w:lineRule="auto"/>
              <w:ind w:firstLine="0" w:firstLineChars="0"/>
              <w:jc w:val="center"/>
              <w:rPr>
                <w:sz w:val="21"/>
                <w:szCs w:val="21"/>
              </w:rPr>
            </w:pPr>
            <w:r>
              <w:rPr>
                <w:sz w:val="21"/>
                <w:szCs w:val="21"/>
              </w:rPr>
              <w:t>53.387万元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2313" w:type="dxa"/>
            <w:gridSpan w:val="2"/>
            <w:vMerge w:val="continue"/>
            <w:vAlign w:val="center"/>
          </w:tcPr>
          <w:p>
            <w:pPr>
              <w:spacing w:line="240" w:lineRule="auto"/>
              <w:ind w:firstLine="0" w:firstLineChars="0"/>
              <w:jc w:val="center"/>
              <w:rPr>
                <w:sz w:val="21"/>
                <w:szCs w:val="21"/>
              </w:rPr>
            </w:pPr>
          </w:p>
        </w:tc>
        <w:tc>
          <w:tcPr>
            <w:tcW w:w="2158" w:type="dxa"/>
            <w:gridSpan w:val="2"/>
            <w:vMerge w:val="continue"/>
            <w:vAlign w:val="center"/>
          </w:tcPr>
          <w:p>
            <w:pPr>
              <w:spacing w:line="240" w:lineRule="auto"/>
              <w:ind w:firstLine="0" w:firstLineChars="0"/>
              <w:jc w:val="center"/>
              <w:rPr>
                <w:sz w:val="21"/>
                <w:szCs w:val="21"/>
              </w:rPr>
            </w:pPr>
          </w:p>
        </w:tc>
        <w:tc>
          <w:tcPr>
            <w:tcW w:w="1607" w:type="dxa"/>
            <w:gridSpan w:val="4"/>
            <w:vMerge w:val="continue"/>
            <w:vAlign w:val="center"/>
          </w:tcPr>
          <w:p>
            <w:pPr>
              <w:spacing w:line="240" w:lineRule="auto"/>
              <w:ind w:firstLine="0" w:firstLineChars="0"/>
              <w:jc w:val="center"/>
              <w:rPr>
                <w:sz w:val="21"/>
                <w:szCs w:val="21"/>
              </w:rPr>
            </w:pPr>
          </w:p>
        </w:tc>
        <w:tc>
          <w:tcPr>
            <w:tcW w:w="1008" w:type="dxa"/>
            <w:gridSpan w:val="2"/>
            <w:vAlign w:val="center"/>
          </w:tcPr>
          <w:p>
            <w:pPr>
              <w:spacing w:line="240" w:lineRule="auto"/>
              <w:ind w:firstLine="0" w:firstLineChars="0"/>
              <w:jc w:val="center"/>
              <w:rPr>
                <w:sz w:val="21"/>
                <w:szCs w:val="21"/>
              </w:rPr>
            </w:pPr>
            <w:r>
              <w:rPr>
                <w:sz w:val="21"/>
                <w:szCs w:val="21"/>
              </w:rPr>
              <w:t>实缴：</w:t>
            </w:r>
          </w:p>
        </w:tc>
        <w:tc>
          <w:tcPr>
            <w:tcW w:w="2201" w:type="dxa"/>
            <w:gridSpan w:val="2"/>
            <w:vAlign w:val="center"/>
          </w:tcPr>
          <w:p>
            <w:pPr>
              <w:spacing w:line="240" w:lineRule="auto"/>
              <w:ind w:firstLine="0" w:firstLineChars="0"/>
              <w:jc w:val="center"/>
              <w:rPr>
                <w:sz w:val="21"/>
                <w:szCs w:val="21"/>
              </w:rPr>
            </w:pPr>
            <w:r>
              <w:rPr>
                <w:sz w:val="21"/>
                <w:szCs w:val="21"/>
              </w:rPr>
              <w:t>53.387万元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水土保持监测情况</w:t>
            </w:r>
          </w:p>
        </w:tc>
        <w:tc>
          <w:tcPr>
            <w:tcW w:w="2158" w:type="dxa"/>
            <w:gridSpan w:val="2"/>
            <w:vAlign w:val="center"/>
          </w:tcPr>
          <w:p>
            <w:pPr>
              <w:spacing w:line="240" w:lineRule="auto"/>
              <w:ind w:firstLine="0" w:firstLineChars="0"/>
              <w:jc w:val="center"/>
              <w:rPr>
                <w:sz w:val="21"/>
                <w:szCs w:val="21"/>
              </w:rPr>
            </w:pPr>
            <w:r>
              <w:rPr>
                <w:sz w:val="21"/>
                <w:szCs w:val="21"/>
              </w:rPr>
              <w:t>进行中</w:t>
            </w:r>
          </w:p>
        </w:tc>
        <w:tc>
          <w:tcPr>
            <w:tcW w:w="2615" w:type="dxa"/>
            <w:gridSpan w:val="6"/>
            <w:vAlign w:val="center"/>
          </w:tcPr>
          <w:p>
            <w:pPr>
              <w:spacing w:line="240" w:lineRule="auto"/>
              <w:ind w:firstLine="0" w:firstLineChars="0"/>
              <w:jc w:val="center"/>
              <w:rPr>
                <w:sz w:val="21"/>
                <w:szCs w:val="21"/>
              </w:rPr>
            </w:pPr>
            <w:r>
              <w:rPr>
                <w:sz w:val="21"/>
                <w:szCs w:val="21"/>
              </w:rPr>
              <w:t>水土保持设施验收情况</w:t>
            </w:r>
          </w:p>
        </w:tc>
        <w:tc>
          <w:tcPr>
            <w:tcW w:w="2201" w:type="dxa"/>
            <w:gridSpan w:val="2"/>
            <w:vAlign w:val="center"/>
          </w:tcPr>
          <w:p>
            <w:pPr>
              <w:spacing w:line="240" w:lineRule="auto"/>
              <w:ind w:firstLine="0" w:firstLineChars="0"/>
              <w:jc w:val="center"/>
              <w:rPr>
                <w:sz w:val="21"/>
                <w:szCs w:val="21"/>
              </w:rPr>
            </w:pPr>
            <w:r>
              <w:rPr>
                <w:sz w:val="21"/>
                <w:szCs w:val="21"/>
              </w:rPr>
              <w:t>工程未完工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restart"/>
            <w:vAlign w:val="center"/>
          </w:tcPr>
          <w:p>
            <w:pPr>
              <w:spacing w:line="240" w:lineRule="auto"/>
              <w:ind w:firstLine="0" w:firstLineChars="0"/>
              <w:jc w:val="center"/>
              <w:rPr>
                <w:sz w:val="21"/>
                <w:szCs w:val="21"/>
              </w:rPr>
            </w:pPr>
            <w:r>
              <w:rPr>
                <w:sz w:val="21"/>
                <w:szCs w:val="21"/>
              </w:rPr>
              <w:t>现场调查影像</w:t>
            </w:r>
          </w:p>
        </w:tc>
        <w:tc>
          <w:tcPr>
            <w:tcW w:w="4262" w:type="dxa"/>
            <w:gridSpan w:val="5"/>
            <w:vAlign w:val="center"/>
          </w:tcPr>
          <w:p>
            <w:pPr>
              <w:spacing w:line="240" w:lineRule="auto"/>
              <w:ind w:firstLine="0" w:firstLineChars="0"/>
              <w:jc w:val="center"/>
              <w:rPr>
                <w:sz w:val="21"/>
                <w:szCs w:val="21"/>
              </w:rPr>
            </w:pPr>
            <w:r>
              <w:drawing>
                <wp:inline distT="0" distB="0" distL="114300" distR="114300">
                  <wp:extent cx="2567940" cy="1652270"/>
                  <wp:effectExtent l="0" t="0" r="3810" b="5080"/>
                  <wp:docPr id="144" name="图片 71"/>
                  <wp:cNvGraphicFramePr/>
                  <a:graphic xmlns:a="http://schemas.openxmlformats.org/drawingml/2006/main">
                    <a:graphicData uri="http://schemas.openxmlformats.org/drawingml/2006/picture">
                      <pic:pic xmlns:pic="http://schemas.openxmlformats.org/drawingml/2006/picture">
                        <pic:nvPicPr>
                          <pic:cNvPr id="144" name="图片 71"/>
                          <pic:cNvPicPr/>
                        </pic:nvPicPr>
                        <pic:blipFill>
                          <a:blip r:embed="rId61"/>
                          <a:stretch>
                            <a:fillRect/>
                          </a:stretch>
                        </pic:blipFill>
                        <pic:spPr>
                          <a:xfrm>
                            <a:off x="0" y="0"/>
                            <a:ext cx="2567940" cy="1652270"/>
                          </a:xfrm>
                          <a:prstGeom prst="rect">
                            <a:avLst/>
                          </a:prstGeom>
                          <a:noFill/>
                          <a:ln>
                            <a:noFill/>
                          </a:ln>
                        </pic:spPr>
                      </pic:pic>
                    </a:graphicData>
                  </a:graphic>
                </wp:inline>
              </w:drawing>
            </w:r>
          </w:p>
        </w:tc>
        <w:tc>
          <w:tcPr>
            <w:tcW w:w="4263" w:type="dxa"/>
            <w:gridSpan w:val="6"/>
            <w:vAlign w:val="center"/>
          </w:tcPr>
          <w:p>
            <w:pPr>
              <w:spacing w:line="240" w:lineRule="auto"/>
              <w:ind w:firstLine="0" w:firstLineChars="0"/>
              <w:jc w:val="center"/>
              <w:rPr>
                <w:sz w:val="21"/>
                <w:szCs w:val="21"/>
              </w:rPr>
            </w:pPr>
            <w:r>
              <w:drawing>
                <wp:inline distT="0" distB="0" distL="114300" distR="114300">
                  <wp:extent cx="2567940" cy="1651635"/>
                  <wp:effectExtent l="0" t="0" r="3810" b="5715"/>
                  <wp:docPr id="14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74"/>
                          <pic:cNvPicPr>
                            <a:picLocks noChangeAspect="1"/>
                          </pic:cNvPicPr>
                        </pic:nvPicPr>
                        <pic:blipFill>
                          <a:blip r:embed="rId62"/>
                          <a:stretch>
                            <a:fillRect/>
                          </a:stretch>
                        </pic:blipFill>
                        <pic:spPr>
                          <a:xfrm>
                            <a:off x="0" y="0"/>
                            <a:ext cx="2567940" cy="165163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在园区中的位置</w:t>
            </w:r>
          </w:p>
        </w:tc>
        <w:tc>
          <w:tcPr>
            <w:tcW w:w="4263" w:type="dxa"/>
            <w:gridSpan w:val="6"/>
            <w:vAlign w:val="center"/>
          </w:tcPr>
          <w:p>
            <w:pPr>
              <w:spacing w:line="240" w:lineRule="auto"/>
              <w:ind w:firstLine="0" w:firstLineChars="0"/>
              <w:jc w:val="center"/>
              <w:rPr>
                <w:sz w:val="21"/>
                <w:szCs w:val="21"/>
              </w:rPr>
            </w:pPr>
            <w:r>
              <w:rPr>
                <w:sz w:val="21"/>
                <w:szCs w:val="21"/>
              </w:rPr>
              <w:t>无人机航拍图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b/>
                <w:bCs/>
                <w:sz w:val="21"/>
                <w:szCs w:val="21"/>
              </w:rPr>
            </w:pPr>
            <w:r>
              <w:rPr>
                <w:b/>
                <w:bCs/>
                <w:sz w:val="21"/>
                <w:szCs w:val="21"/>
              </w:rPr>
              <w:drawing>
                <wp:inline distT="0" distB="0" distL="114300" distR="114300">
                  <wp:extent cx="2566670" cy="2098675"/>
                  <wp:effectExtent l="0" t="0" r="5080" b="15875"/>
                  <wp:docPr id="141" name="图片 141" descr="IMG_20221031_154246"/>
                  <wp:cNvGraphicFramePr/>
                  <a:graphic xmlns:a="http://schemas.openxmlformats.org/drawingml/2006/main">
                    <a:graphicData uri="http://schemas.openxmlformats.org/drawingml/2006/picture">
                      <pic:pic xmlns:pic="http://schemas.openxmlformats.org/drawingml/2006/picture">
                        <pic:nvPicPr>
                          <pic:cNvPr id="141" name="图片 141" descr="IMG_20221031_154246"/>
                          <pic:cNvPicPr/>
                        </pic:nvPicPr>
                        <pic:blipFill>
                          <a:blip r:embed="rId63"/>
                          <a:stretch>
                            <a:fillRect/>
                          </a:stretch>
                        </pic:blipFill>
                        <pic:spPr>
                          <a:xfrm>
                            <a:off x="0" y="0"/>
                            <a:ext cx="2566670" cy="2098675"/>
                          </a:xfrm>
                          <a:prstGeom prst="rect">
                            <a:avLst/>
                          </a:prstGeom>
                        </pic:spPr>
                      </pic:pic>
                    </a:graphicData>
                  </a:graphic>
                </wp:inline>
              </w:drawing>
            </w:r>
          </w:p>
        </w:tc>
        <w:tc>
          <w:tcPr>
            <w:tcW w:w="4263" w:type="dxa"/>
            <w:gridSpan w:val="6"/>
            <w:vAlign w:val="center"/>
          </w:tcPr>
          <w:p>
            <w:pPr>
              <w:spacing w:line="240" w:lineRule="auto"/>
              <w:ind w:firstLine="0" w:firstLineChars="0"/>
              <w:jc w:val="center"/>
              <w:rPr>
                <w:sz w:val="21"/>
                <w:szCs w:val="21"/>
              </w:rPr>
            </w:pPr>
            <w:r>
              <w:rPr>
                <w:szCs w:val="24"/>
              </w:rPr>
              <w:drawing>
                <wp:inline distT="0" distB="0" distL="114300" distR="114300">
                  <wp:extent cx="2566670" cy="2098675"/>
                  <wp:effectExtent l="0" t="0" r="5080" b="15875"/>
                  <wp:docPr id="145" name="图片 145" descr="4e07ceb5d3f5813b5c95eabe41f8164"/>
                  <wp:cNvGraphicFramePr/>
                  <a:graphic xmlns:a="http://schemas.openxmlformats.org/drawingml/2006/main">
                    <a:graphicData uri="http://schemas.openxmlformats.org/drawingml/2006/picture">
                      <pic:pic xmlns:pic="http://schemas.openxmlformats.org/drawingml/2006/picture">
                        <pic:nvPicPr>
                          <pic:cNvPr id="145" name="图片 145" descr="4e07ceb5d3f5813b5c95eabe41f8164"/>
                          <pic:cNvPicPr/>
                        </pic:nvPicPr>
                        <pic:blipFill>
                          <a:blip r:embed="rId64"/>
                          <a:srcRect r="4342"/>
                          <a:stretch>
                            <a:fillRect/>
                          </a:stretch>
                        </pic:blipFill>
                        <pic:spPr>
                          <a:xfrm>
                            <a:off x="0" y="0"/>
                            <a:ext cx="2566670" cy="209867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现状照片</w:t>
            </w:r>
          </w:p>
        </w:tc>
        <w:tc>
          <w:tcPr>
            <w:tcW w:w="4263" w:type="dxa"/>
            <w:gridSpan w:val="6"/>
            <w:vAlign w:val="center"/>
          </w:tcPr>
          <w:p>
            <w:pPr>
              <w:spacing w:line="240" w:lineRule="auto"/>
              <w:ind w:firstLine="0" w:firstLineChars="0"/>
              <w:jc w:val="center"/>
              <w:rPr>
                <w:sz w:val="21"/>
                <w:szCs w:val="21"/>
              </w:rPr>
            </w:pPr>
            <w:r>
              <w:rPr>
                <w:sz w:val="21"/>
                <w:szCs w:val="21"/>
              </w:rPr>
              <w:t>现状照片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287" w:type="dxa"/>
            <w:gridSpan w:val="12"/>
            <w:vAlign w:val="center"/>
          </w:tcPr>
          <w:p>
            <w:pPr>
              <w:spacing w:line="240" w:lineRule="auto"/>
              <w:ind w:firstLine="0" w:firstLineChars="0"/>
              <w:jc w:val="center"/>
              <w:rPr>
                <w:sz w:val="21"/>
                <w:szCs w:val="21"/>
              </w:rPr>
            </w:pPr>
            <w:r>
              <w:rPr>
                <w:sz w:val="21"/>
                <w:szCs w:val="21"/>
              </w:rPr>
              <w:t>项目已建成95%，仅部分绿化措施还在实施中。场地内已被建构筑物、硬化地面及绿化措施覆盖，基本不再产生水土流失。项目已实施的永久水土保持设施有：排水沟、雨水管网、景观绿化等。场内排水顺畅，未发现内涝现象，绿化生长情况良好。</w:t>
            </w:r>
          </w:p>
        </w:tc>
      </w:tr>
    </w:tbl>
    <w:p>
      <w:pPr>
        <w:ind w:firstLine="482"/>
        <w:rPr>
          <w:b/>
          <w:bCs/>
        </w:rPr>
      </w:pPr>
      <w:r>
        <w:rPr>
          <w:b/>
          <w:bCs/>
        </w:rPr>
        <w:br w:type="page"/>
      </w:r>
    </w:p>
    <w:p>
      <w:pPr>
        <w:ind w:firstLine="0" w:firstLineChars="0"/>
        <w:jc w:val="center"/>
        <w:rPr>
          <w:b/>
          <w:bCs/>
        </w:rPr>
      </w:pPr>
      <w:r>
        <w:rPr>
          <w:b/>
          <w:bCs/>
        </w:rPr>
        <w:t>表2.1-2-3乐山协鑫新能源新建10万吨颗粒硅项目实地调查记录表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62"/>
        <w:gridCol w:w="1551"/>
        <w:gridCol w:w="1749"/>
        <w:gridCol w:w="409"/>
        <w:gridCol w:w="169"/>
        <w:gridCol w:w="384"/>
        <w:gridCol w:w="779"/>
        <w:gridCol w:w="275"/>
        <w:gridCol w:w="900"/>
        <w:gridCol w:w="108"/>
        <w:gridCol w:w="458"/>
        <w:gridCol w:w="174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项目名称</w:t>
            </w:r>
          </w:p>
        </w:tc>
        <w:tc>
          <w:tcPr>
            <w:tcW w:w="6974" w:type="dxa"/>
            <w:gridSpan w:val="10"/>
            <w:vAlign w:val="center"/>
          </w:tcPr>
          <w:p>
            <w:pPr>
              <w:spacing w:line="240" w:lineRule="auto"/>
              <w:ind w:firstLine="0" w:firstLineChars="0"/>
              <w:jc w:val="center"/>
              <w:rPr>
                <w:sz w:val="21"/>
                <w:szCs w:val="21"/>
              </w:rPr>
            </w:pPr>
            <w:r>
              <w:rPr>
                <w:sz w:val="21"/>
                <w:szCs w:val="21"/>
              </w:rPr>
              <w:t>乐山协鑫新能源新建10万吨颗粒硅项目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项目业主</w:t>
            </w:r>
          </w:p>
        </w:tc>
        <w:tc>
          <w:tcPr>
            <w:tcW w:w="6974" w:type="dxa"/>
            <w:gridSpan w:val="10"/>
            <w:vAlign w:val="center"/>
          </w:tcPr>
          <w:p>
            <w:pPr>
              <w:spacing w:line="240" w:lineRule="auto"/>
              <w:ind w:firstLine="0" w:firstLineChars="0"/>
              <w:jc w:val="center"/>
              <w:rPr>
                <w:sz w:val="21"/>
                <w:szCs w:val="21"/>
              </w:rPr>
            </w:pPr>
            <w:r>
              <w:rPr>
                <w:sz w:val="21"/>
                <w:szCs w:val="21"/>
              </w:rPr>
              <w:t>乐山协鑫新能源科技发展有限公司</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建设工期</w:t>
            </w:r>
          </w:p>
        </w:tc>
        <w:tc>
          <w:tcPr>
            <w:tcW w:w="6974" w:type="dxa"/>
            <w:gridSpan w:val="10"/>
            <w:vAlign w:val="center"/>
          </w:tcPr>
          <w:p>
            <w:pPr>
              <w:spacing w:line="240" w:lineRule="auto"/>
              <w:ind w:firstLine="0" w:firstLineChars="0"/>
              <w:jc w:val="center"/>
              <w:rPr>
                <w:sz w:val="21"/>
                <w:szCs w:val="21"/>
              </w:rPr>
            </w:pPr>
            <w:r>
              <w:rPr>
                <w:sz w:val="21"/>
                <w:szCs w:val="21"/>
              </w:rPr>
              <w:t>2021年3月~2023年1月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2313" w:type="dxa"/>
            <w:gridSpan w:val="2"/>
            <w:vAlign w:val="center"/>
          </w:tcPr>
          <w:p>
            <w:pPr>
              <w:spacing w:line="240" w:lineRule="auto"/>
              <w:ind w:firstLine="0" w:firstLineChars="0"/>
              <w:jc w:val="center"/>
              <w:rPr>
                <w:sz w:val="21"/>
                <w:szCs w:val="21"/>
              </w:rPr>
            </w:pPr>
            <w:r>
              <w:rPr>
                <w:sz w:val="21"/>
                <w:szCs w:val="21"/>
              </w:rPr>
              <w:t>建设情况</w:t>
            </w:r>
          </w:p>
        </w:tc>
        <w:tc>
          <w:tcPr>
            <w:tcW w:w="2327" w:type="dxa"/>
            <w:gridSpan w:val="3"/>
            <w:vAlign w:val="center"/>
          </w:tcPr>
          <w:p>
            <w:pPr>
              <w:spacing w:line="240" w:lineRule="auto"/>
              <w:ind w:firstLine="0" w:firstLineChars="0"/>
              <w:jc w:val="center"/>
              <w:rPr>
                <w:sz w:val="21"/>
                <w:szCs w:val="21"/>
              </w:rPr>
            </w:pPr>
            <w:r>
              <w:rPr>
                <w:sz w:val="21"/>
                <w:szCs w:val="21"/>
              </w:rPr>
              <w:t>在建</w:t>
            </w:r>
          </w:p>
        </w:tc>
        <w:tc>
          <w:tcPr>
            <w:tcW w:w="2338" w:type="dxa"/>
            <w:gridSpan w:val="4"/>
            <w:vAlign w:val="center"/>
          </w:tcPr>
          <w:p>
            <w:pPr>
              <w:spacing w:line="240" w:lineRule="auto"/>
              <w:ind w:firstLine="0" w:firstLineChars="0"/>
              <w:jc w:val="center"/>
              <w:rPr>
                <w:sz w:val="21"/>
                <w:szCs w:val="21"/>
              </w:rPr>
            </w:pPr>
            <w:r>
              <w:rPr>
                <w:sz w:val="21"/>
                <w:szCs w:val="21"/>
              </w:rPr>
              <w:t>主要产品及生产规模</w:t>
            </w:r>
          </w:p>
        </w:tc>
        <w:tc>
          <w:tcPr>
            <w:tcW w:w="2309" w:type="dxa"/>
            <w:gridSpan w:val="3"/>
            <w:vAlign w:val="center"/>
          </w:tcPr>
          <w:p>
            <w:pPr>
              <w:spacing w:line="240" w:lineRule="auto"/>
              <w:ind w:firstLine="0" w:firstLineChars="0"/>
              <w:jc w:val="center"/>
              <w:rPr>
                <w:sz w:val="21"/>
                <w:szCs w:val="21"/>
              </w:rPr>
            </w:pPr>
            <w:r>
              <w:rPr>
                <w:sz w:val="21"/>
                <w:szCs w:val="21"/>
              </w:rPr>
              <w:t>颗粒硅-10万t/a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73" w:hRule="atLeast"/>
        </w:trPr>
        <w:tc>
          <w:tcPr>
            <w:tcW w:w="2313" w:type="dxa"/>
            <w:gridSpan w:val="2"/>
            <w:vAlign w:val="center"/>
          </w:tcPr>
          <w:p>
            <w:pPr>
              <w:spacing w:line="240" w:lineRule="auto"/>
              <w:ind w:firstLine="0" w:firstLineChars="0"/>
              <w:jc w:val="center"/>
              <w:rPr>
                <w:sz w:val="21"/>
                <w:szCs w:val="21"/>
              </w:rPr>
            </w:pPr>
            <w:r>
              <w:rPr>
                <w:sz w:val="21"/>
                <w:szCs w:val="21"/>
              </w:rPr>
              <w:t>占地面积</w:t>
            </w:r>
          </w:p>
        </w:tc>
        <w:tc>
          <w:tcPr>
            <w:tcW w:w="6974" w:type="dxa"/>
            <w:gridSpan w:val="10"/>
            <w:vAlign w:val="center"/>
          </w:tcPr>
          <w:p>
            <w:pPr>
              <w:spacing w:line="240" w:lineRule="auto"/>
              <w:ind w:firstLine="0" w:firstLineChars="0"/>
              <w:jc w:val="center"/>
              <w:rPr>
                <w:sz w:val="21"/>
                <w:szCs w:val="21"/>
              </w:rPr>
            </w:pPr>
            <w:r>
              <w:rPr>
                <w:sz w:val="21"/>
                <w:szCs w:val="21"/>
              </w:rPr>
              <w:t>方案批复总占地69.90hm</w:t>
            </w:r>
            <w:r>
              <w:rPr>
                <w:sz w:val="21"/>
                <w:szCs w:val="21"/>
                <w:vertAlign w:val="superscript"/>
              </w:rPr>
              <w:t>2</w:t>
            </w:r>
            <w:r>
              <w:rPr>
                <w:sz w:val="21"/>
                <w:szCs w:val="21"/>
              </w:rPr>
              <w:t>，均为永久占地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1"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土石方量（万m</w:t>
            </w:r>
            <w:r>
              <w:rPr>
                <w:sz w:val="21"/>
                <w:szCs w:val="21"/>
                <w:vertAlign w:val="superscript"/>
              </w:rPr>
              <w:t>3</w:t>
            </w:r>
            <w:r>
              <w:rPr>
                <w:sz w:val="21"/>
                <w:szCs w:val="21"/>
              </w:rPr>
              <w:t>）</w:t>
            </w:r>
          </w:p>
        </w:tc>
        <w:tc>
          <w:tcPr>
            <w:tcW w:w="1749" w:type="dxa"/>
            <w:vAlign w:val="center"/>
          </w:tcPr>
          <w:p>
            <w:pPr>
              <w:spacing w:line="240" w:lineRule="auto"/>
              <w:ind w:firstLine="0" w:firstLineChars="0"/>
              <w:jc w:val="center"/>
              <w:rPr>
                <w:sz w:val="21"/>
                <w:szCs w:val="21"/>
              </w:rPr>
            </w:pPr>
            <w:r>
              <w:rPr>
                <w:sz w:val="21"/>
                <w:szCs w:val="21"/>
              </w:rPr>
              <w:t>挖方：60.19（含表土剥离11.10）</w:t>
            </w:r>
          </w:p>
        </w:tc>
        <w:tc>
          <w:tcPr>
            <w:tcW w:w="1741" w:type="dxa"/>
            <w:gridSpan w:val="4"/>
            <w:vAlign w:val="center"/>
          </w:tcPr>
          <w:p>
            <w:pPr>
              <w:spacing w:line="240" w:lineRule="auto"/>
              <w:ind w:firstLine="0" w:firstLineChars="0"/>
              <w:jc w:val="center"/>
              <w:rPr>
                <w:sz w:val="21"/>
                <w:szCs w:val="21"/>
              </w:rPr>
            </w:pPr>
            <w:r>
              <w:rPr>
                <w:sz w:val="21"/>
                <w:szCs w:val="21"/>
              </w:rPr>
              <w:t>填方：54.61</w:t>
            </w:r>
          </w:p>
          <w:p>
            <w:pPr>
              <w:spacing w:line="240" w:lineRule="auto"/>
              <w:ind w:firstLine="0" w:firstLineChars="0"/>
              <w:jc w:val="center"/>
              <w:rPr>
                <w:sz w:val="21"/>
                <w:szCs w:val="21"/>
              </w:rPr>
            </w:pPr>
            <w:r>
              <w:rPr>
                <w:sz w:val="21"/>
                <w:szCs w:val="21"/>
              </w:rPr>
              <w:t>（含表土回覆2.52）</w:t>
            </w:r>
          </w:p>
        </w:tc>
        <w:tc>
          <w:tcPr>
            <w:tcW w:w="1741" w:type="dxa"/>
            <w:gridSpan w:val="4"/>
            <w:vAlign w:val="center"/>
          </w:tcPr>
          <w:p>
            <w:pPr>
              <w:spacing w:line="240" w:lineRule="auto"/>
              <w:ind w:firstLine="0" w:firstLineChars="0"/>
              <w:jc w:val="center"/>
              <w:rPr>
                <w:sz w:val="21"/>
                <w:szCs w:val="21"/>
              </w:rPr>
            </w:pPr>
            <w:r>
              <w:rPr>
                <w:sz w:val="21"/>
                <w:szCs w:val="21"/>
              </w:rPr>
              <w:t>借方：0</w:t>
            </w:r>
          </w:p>
        </w:tc>
        <w:tc>
          <w:tcPr>
            <w:tcW w:w="1743" w:type="dxa"/>
            <w:vAlign w:val="center"/>
          </w:tcPr>
          <w:p>
            <w:pPr>
              <w:spacing w:line="240" w:lineRule="auto"/>
              <w:ind w:firstLine="0" w:firstLineChars="0"/>
              <w:jc w:val="center"/>
              <w:rPr>
                <w:sz w:val="21"/>
                <w:szCs w:val="21"/>
              </w:rPr>
            </w:pPr>
            <w:r>
              <w:rPr>
                <w:sz w:val="21"/>
                <w:szCs w:val="21"/>
              </w:rPr>
              <w:t>余方：8.58（均为表土）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Merge w:val="continue"/>
            <w:vAlign w:val="center"/>
          </w:tcPr>
          <w:p>
            <w:pPr>
              <w:spacing w:line="240" w:lineRule="auto"/>
              <w:ind w:firstLine="0" w:firstLineChars="0"/>
              <w:jc w:val="center"/>
              <w:rPr>
                <w:sz w:val="21"/>
                <w:szCs w:val="21"/>
              </w:rPr>
            </w:pPr>
          </w:p>
        </w:tc>
        <w:tc>
          <w:tcPr>
            <w:tcW w:w="6974" w:type="dxa"/>
            <w:gridSpan w:val="10"/>
            <w:vAlign w:val="center"/>
          </w:tcPr>
          <w:p>
            <w:pPr>
              <w:spacing w:line="240" w:lineRule="auto"/>
              <w:ind w:firstLine="0" w:firstLineChars="0"/>
              <w:jc w:val="center"/>
              <w:rPr>
                <w:sz w:val="21"/>
                <w:szCs w:val="21"/>
              </w:rPr>
            </w:pPr>
            <w:r>
              <w:rPr>
                <w:sz w:val="21"/>
                <w:szCs w:val="21"/>
              </w:rPr>
              <w:t>项目多余表土8.58，其中2.65用于二期4.5万吨高纯晶硅项目作为绿化覆土使用，剩余5.93用于园区公共设施绿化区作为绿化覆土使用。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30"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水土保持方案情况</w:t>
            </w:r>
          </w:p>
        </w:tc>
        <w:tc>
          <w:tcPr>
            <w:tcW w:w="2158" w:type="dxa"/>
            <w:gridSpan w:val="2"/>
            <w:vMerge w:val="restart"/>
            <w:vAlign w:val="center"/>
          </w:tcPr>
          <w:p>
            <w:pPr>
              <w:spacing w:line="240" w:lineRule="auto"/>
              <w:ind w:firstLine="0" w:firstLineChars="0"/>
              <w:jc w:val="center"/>
              <w:rPr>
                <w:sz w:val="21"/>
                <w:szCs w:val="21"/>
              </w:rPr>
            </w:pPr>
            <w:r>
              <w:rPr>
                <w:sz w:val="21"/>
                <w:szCs w:val="21"/>
              </w:rPr>
              <w:t>已取得水保批复</w:t>
            </w:r>
          </w:p>
          <w:p>
            <w:pPr>
              <w:spacing w:line="240" w:lineRule="auto"/>
              <w:ind w:firstLine="0" w:firstLineChars="0"/>
              <w:jc w:val="center"/>
              <w:rPr>
                <w:sz w:val="21"/>
                <w:szCs w:val="21"/>
              </w:rPr>
            </w:pPr>
            <w:r>
              <w:rPr>
                <w:sz w:val="21"/>
                <w:szCs w:val="21"/>
              </w:rPr>
              <w:t>批复文号：五水函〔2021〕76号</w:t>
            </w:r>
          </w:p>
        </w:tc>
        <w:tc>
          <w:tcPr>
            <w:tcW w:w="1607" w:type="dxa"/>
            <w:gridSpan w:val="4"/>
            <w:vMerge w:val="restart"/>
            <w:vAlign w:val="center"/>
          </w:tcPr>
          <w:p>
            <w:pPr>
              <w:spacing w:line="240" w:lineRule="auto"/>
              <w:ind w:firstLine="0" w:firstLineChars="0"/>
              <w:jc w:val="center"/>
              <w:rPr>
                <w:sz w:val="21"/>
                <w:szCs w:val="21"/>
              </w:rPr>
            </w:pPr>
            <w:r>
              <w:rPr>
                <w:sz w:val="21"/>
                <w:szCs w:val="21"/>
              </w:rPr>
              <w:t>水土保持补偿费缴纳情况</w:t>
            </w:r>
          </w:p>
        </w:tc>
        <w:tc>
          <w:tcPr>
            <w:tcW w:w="1008" w:type="dxa"/>
            <w:gridSpan w:val="2"/>
            <w:vAlign w:val="center"/>
          </w:tcPr>
          <w:p>
            <w:pPr>
              <w:spacing w:line="240" w:lineRule="auto"/>
              <w:ind w:firstLine="0" w:firstLineChars="0"/>
              <w:jc w:val="center"/>
              <w:rPr>
                <w:sz w:val="21"/>
                <w:szCs w:val="21"/>
              </w:rPr>
            </w:pPr>
            <w:r>
              <w:rPr>
                <w:sz w:val="21"/>
                <w:szCs w:val="21"/>
              </w:rPr>
              <w:t>应缴：</w:t>
            </w:r>
          </w:p>
        </w:tc>
        <w:tc>
          <w:tcPr>
            <w:tcW w:w="2201" w:type="dxa"/>
            <w:gridSpan w:val="2"/>
            <w:vAlign w:val="center"/>
          </w:tcPr>
          <w:p>
            <w:pPr>
              <w:spacing w:line="240" w:lineRule="auto"/>
              <w:ind w:firstLine="0" w:firstLineChars="0"/>
              <w:jc w:val="center"/>
              <w:rPr>
                <w:sz w:val="21"/>
                <w:szCs w:val="21"/>
              </w:rPr>
            </w:pPr>
            <w:r>
              <w:rPr>
                <w:sz w:val="21"/>
                <w:szCs w:val="21"/>
              </w:rPr>
              <w:t>90.87万元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2313" w:type="dxa"/>
            <w:gridSpan w:val="2"/>
            <w:vMerge w:val="continue"/>
            <w:vAlign w:val="center"/>
          </w:tcPr>
          <w:p>
            <w:pPr>
              <w:spacing w:line="240" w:lineRule="auto"/>
              <w:ind w:firstLine="0" w:firstLineChars="0"/>
              <w:jc w:val="center"/>
              <w:rPr>
                <w:sz w:val="21"/>
                <w:szCs w:val="21"/>
              </w:rPr>
            </w:pPr>
          </w:p>
        </w:tc>
        <w:tc>
          <w:tcPr>
            <w:tcW w:w="2158" w:type="dxa"/>
            <w:gridSpan w:val="2"/>
            <w:vMerge w:val="continue"/>
            <w:vAlign w:val="center"/>
          </w:tcPr>
          <w:p>
            <w:pPr>
              <w:spacing w:line="240" w:lineRule="auto"/>
              <w:ind w:firstLine="0" w:firstLineChars="0"/>
              <w:jc w:val="center"/>
              <w:rPr>
                <w:sz w:val="21"/>
                <w:szCs w:val="21"/>
              </w:rPr>
            </w:pPr>
          </w:p>
        </w:tc>
        <w:tc>
          <w:tcPr>
            <w:tcW w:w="1607" w:type="dxa"/>
            <w:gridSpan w:val="4"/>
            <w:vMerge w:val="continue"/>
            <w:vAlign w:val="center"/>
          </w:tcPr>
          <w:p>
            <w:pPr>
              <w:spacing w:line="240" w:lineRule="auto"/>
              <w:ind w:firstLine="0" w:firstLineChars="0"/>
              <w:jc w:val="center"/>
              <w:rPr>
                <w:sz w:val="21"/>
                <w:szCs w:val="21"/>
              </w:rPr>
            </w:pPr>
          </w:p>
        </w:tc>
        <w:tc>
          <w:tcPr>
            <w:tcW w:w="1008" w:type="dxa"/>
            <w:gridSpan w:val="2"/>
            <w:vAlign w:val="center"/>
          </w:tcPr>
          <w:p>
            <w:pPr>
              <w:spacing w:line="240" w:lineRule="auto"/>
              <w:ind w:firstLine="0" w:firstLineChars="0"/>
              <w:jc w:val="center"/>
              <w:rPr>
                <w:sz w:val="21"/>
                <w:szCs w:val="21"/>
              </w:rPr>
            </w:pPr>
            <w:r>
              <w:rPr>
                <w:sz w:val="21"/>
                <w:szCs w:val="21"/>
              </w:rPr>
              <w:t>实缴：</w:t>
            </w:r>
          </w:p>
        </w:tc>
        <w:tc>
          <w:tcPr>
            <w:tcW w:w="2201" w:type="dxa"/>
            <w:gridSpan w:val="2"/>
            <w:vAlign w:val="center"/>
          </w:tcPr>
          <w:p>
            <w:pPr>
              <w:spacing w:line="240" w:lineRule="auto"/>
              <w:ind w:firstLine="0" w:firstLineChars="0"/>
              <w:jc w:val="center"/>
              <w:rPr>
                <w:sz w:val="21"/>
                <w:szCs w:val="21"/>
              </w:rPr>
            </w:pPr>
            <w:r>
              <w:rPr>
                <w:sz w:val="21"/>
                <w:szCs w:val="21"/>
              </w:rPr>
              <w:t>90.87万元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水土保持监测情况</w:t>
            </w:r>
          </w:p>
        </w:tc>
        <w:tc>
          <w:tcPr>
            <w:tcW w:w="2158" w:type="dxa"/>
            <w:gridSpan w:val="2"/>
            <w:vAlign w:val="center"/>
          </w:tcPr>
          <w:p>
            <w:pPr>
              <w:spacing w:line="240" w:lineRule="auto"/>
              <w:ind w:firstLine="0" w:firstLineChars="0"/>
              <w:jc w:val="center"/>
              <w:rPr>
                <w:sz w:val="21"/>
                <w:szCs w:val="21"/>
              </w:rPr>
            </w:pPr>
            <w:r>
              <w:rPr>
                <w:sz w:val="21"/>
                <w:szCs w:val="21"/>
              </w:rPr>
              <w:t>进行中</w:t>
            </w:r>
          </w:p>
        </w:tc>
        <w:tc>
          <w:tcPr>
            <w:tcW w:w="2615" w:type="dxa"/>
            <w:gridSpan w:val="6"/>
            <w:vAlign w:val="center"/>
          </w:tcPr>
          <w:p>
            <w:pPr>
              <w:spacing w:line="240" w:lineRule="auto"/>
              <w:ind w:firstLine="0" w:firstLineChars="0"/>
              <w:jc w:val="center"/>
              <w:rPr>
                <w:sz w:val="21"/>
                <w:szCs w:val="21"/>
              </w:rPr>
            </w:pPr>
            <w:r>
              <w:rPr>
                <w:sz w:val="21"/>
                <w:szCs w:val="21"/>
              </w:rPr>
              <w:t>水土保持设施验收情况</w:t>
            </w:r>
          </w:p>
        </w:tc>
        <w:tc>
          <w:tcPr>
            <w:tcW w:w="2201" w:type="dxa"/>
            <w:gridSpan w:val="2"/>
            <w:vAlign w:val="center"/>
          </w:tcPr>
          <w:p>
            <w:pPr>
              <w:spacing w:line="240" w:lineRule="auto"/>
              <w:ind w:firstLine="0" w:firstLineChars="0"/>
              <w:jc w:val="center"/>
              <w:rPr>
                <w:sz w:val="21"/>
                <w:szCs w:val="21"/>
              </w:rPr>
            </w:pPr>
            <w:r>
              <w:rPr>
                <w:sz w:val="21"/>
                <w:szCs w:val="21"/>
              </w:rPr>
              <w:t>工程未完工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restart"/>
            <w:vAlign w:val="center"/>
          </w:tcPr>
          <w:p>
            <w:pPr>
              <w:spacing w:line="240" w:lineRule="auto"/>
              <w:ind w:firstLine="0" w:firstLineChars="0"/>
              <w:jc w:val="center"/>
              <w:rPr>
                <w:sz w:val="21"/>
                <w:szCs w:val="21"/>
              </w:rPr>
            </w:pPr>
            <w:r>
              <w:rPr>
                <w:sz w:val="21"/>
                <w:szCs w:val="21"/>
              </w:rPr>
              <w:t>现场调查影像</w:t>
            </w:r>
          </w:p>
        </w:tc>
        <w:tc>
          <w:tcPr>
            <w:tcW w:w="4262" w:type="dxa"/>
            <w:gridSpan w:val="5"/>
            <w:vAlign w:val="center"/>
          </w:tcPr>
          <w:p>
            <w:pPr>
              <w:spacing w:line="240" w:lineRule="auto"/>
              <w:ind w:firstLine="0" w:firstLineChars="0"/>
              <w:jc w:val="center"/>
              <w:rPr>
                <w:sz w:val="21"/>
                <w:szCs w:val="21"/>
              </w:rPr>
            </w:pPr>
            <w:r>
              <w:drawing>
                <wp:inline distT="0" distB="0" distL="114300" distR="114300">
                  <wp:extent cx="2599690" cy="1652270"/>
                  <wp:effectExtent l="0" t="0" r="10160" b="5080"/>
                  <wp:docPr id="142" name="图片 69"/>
                  <wp:cNvGraphicFramePr/>
                  <a:graphic xmlns:a="http://schemas.openxmlformats.org/drawingml/2006/main">
                    <a:graphicData uri="http://schemas.openxmlformats.org/drawingml/2006/picture">
                      <pic:pic xmlns:pic="http://schemas.openxmlformats.org/drawingml/2006/picture">
                        <pic:nvPicPr>
                          <pic:cNvPr id="142" name="图片 69"/>
                          <pic:cNvPicPr/>
                        </pic:nvPicPr>
                        <pic:blipFill>
                          <a:blip r:embed="rId65"/>
                          <a:stretch>
                            <a:fillRect/>
                          </a:stretch>
                        </pic:blipFill>
                        <pic:spPr>
                          <a:xfrm>
                            <a:off x="0" y="0"/>
                            <a:ext cx="2599690" cy="1652270"/>
                          </a:xfrm>
                          <a:prstGeom prst="rect">
                            <a:avLst/>
                          </a:prstGeom>
                          <a:noFill/>
                          <a:ln>
                            <a:noFill/>
                          </a:ln>
                        </pic:spPr>
                      </pic:pic>
                    </a:graphicData>
                  </a:graphic>
                </wp:inline>
              </w:drawing>
            </w:r>
          </w:p>
        </w:tc>
        <w:tc>
          <w:tcPr>
            <w:tcW w:w="4263" w:type="dxa"/>
            <w:gridSpan w:val="6"/>
            <w:vAlign w:val="center"/>
          </w:tcPr>
          <w:p>
            <w:pPr>
              <w:spacing w:line="240" w:lineRule="auto"/>
              <w:ind w:firstLine="0" w:firstLineChars="0"/>
              <w:jc w:val="center"/>
              <w:rPr>
                <w:sz w:val="21"/>
                <w:szCs w:val="21"/>
              </w:rPr>
            </w:pPr>
            <w:r>
              <w:rPr>
                <w:sz w:val="21"/>
                <w:szCs w:val="21"/>
              </w:rPr>
              <w:drawing>
                <wp:inline distT="0" distB="0" distL="114300" distR="114300">
                  <wp:extent cx="2501900" cy="1668145"/>
                  <wp:effectExtent l="0" t="0" r="12700" b="8255"/>
                  <wp:docPr id="149" name="图片 149" descr="DJI_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DJI_0233"/>
                          <pic:cNvPicPr>
                            <a:picLocks noChangeAspect="1"/>
                          </pic:cNvPicPr>
                        </pic:nvPicPr>
                        <pic:blipFill>
                          <a:blip r:embed="rId66"/>
                          <a:stretch>
                            <a:fillRect/>
                          </a:stretch>
                        </pic:blipFill>
                        <pic:spPr>
                          <a:xfrm>
                            <a:off x="0" y="0"/>
                            <a:ext cx="2501900" cy="166814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在园区中的位置</w:t>
            </w:r>
          </w:p>
        </w:tc>
        <w:tc>
          <w:tcPr>
            <w:tcW w:w="4263" w:type="dxa"/>
            <w:gridSpan w:val="6"/>
            <w:vAlign w:val="center"/>
          </w:tcPr>
          <w:p>
            <w:pPr>
              <w:spacing w:line="240" w:lineRule="auto"/>
              <w:ind w:firstLine="0" w:firstLineChars="0"/>
              <w:jc w:val="center"/>
              <w:rPr>
                <w:sz w:val="21"/>
                <w:szCs w:val="21"/>
              </w:rPr>
            </w:pPr>
            <w:r>
              <w:rPr>
                <w:sz w:val="21"/>
                <w:szCs w:val="21"/>
              </w:rPr>
              <w:t>无人机航拍图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drawing>
                <wp:inline distT="0" distB="0" distL="114300" distR="114300">
                  <wp:extent cx="2540000" cy="1905000"/>
                  <wp:effectExtent l="0" t="0" r="12700" b="0"/>
                  <wp:docPr id="146" name="图片 146" descr="IMG_20221031_15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IMG_20221031_152803"/>
                          <pic:cNvPicPr>
                            <a:picLocks noChangeAspect="1"/>
                          </pic:cNvPicPr>
                        </pic:nvPicPr>
                        <pic:blipFill>
                          <a:blip r:embed="rId67"/>
                          <a:stretch>
                            <a:fillRect/>
                          </a:stretch>
                        </pic:blipFill>
                        <pic:spPr>
                          <a:xfrm>
                            <a:off x="0" y="0"/>
                            <a:ext cx="2540000" cy="1905000"/>
                          </a:xfrm>
                          <a:prstGeom prst="rect">
                            <a:avLst/>
                          </a:prstGeom>
                        </pic:spPr>
                      </pic:pic>
                    </a:graphicData>
                  </a:graphic>
                </wp:inline>
              </w:drawing>
            </w:r>
          </w:p>
        </w:tc>
        <w:tc>
          <w:tcPr>
            <w:tcW w:w="4263" w:type="dxa"/>
            <w:gridSpan w:val="6"/>
            <w:vAlign w:val="center"/>
          </w:tcPr>
          <w:p>
            <w:pPr>
              <w:spacing w:line="240" w:lineRule="auto"/>
              <w:ind w:firstLine="0" w:firstLineChars="0"/>
              <w:jc w:val="center"/>
              <w:rPr>
                <w:sz w:val="21"/>
                <w:szCs w:val="21"/>
              </w:rPr>
            </w:pPr>
            <w:r>
              <w:rPr>
                <w:sz w:val="21"/>
                <w:szCs w:val="21"/>
              </w:rPr>
              <w:drawing>
                <wp:inline distT="0" distB="0" distL="114300" distR="114300">
                  <wp:extent cx="2540000" cy="1905000"/>
                  <wp:effectExtent l="0" t="0" r="12700" b="0"/>
                  <wp:docPr id="150" name="图片 150" descr="IMG_20221031_152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IMG_20221031_152720"/>
                          <pic:cNvPicPr>
                            <a:picLocks noChangeAspect="1"/>
                          </pic:cNvPicPr>
                        </pic:nvPicPr>
                        <pic:blipFill>
                          <a:blip r:embed="rId68"/>
                          <a:stretch>
                            <a:fillRect/>
                          </a:stretch>
                        </pic:blipFill>
                        <pic:spPr>
                          <a:xfrm>
                            <a:off x="0" y="0"/>
                            <a:ext cx="2540000" cy="1905000"/>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现状照片</w:t>
            </w:r>
          </w:p>
        </w:tc>
        <w:tc>
          <w:tcPr>
            <w:tcW w:w="4263" w:type="dxa"/>
            <w:gridSpan w:val="6"/>
            <w:vAlign w:val="center"/>
          </w:tcPr>
          <w:p>
            <w:pPr>
              <w:spacing w:line="240" w:lineRule="auto"/>
              <w:ind w:firstLine="0" w:firstLineChars="0"/>
              <w:jc w:val="center"/>
              <w:rPr>
                <w:sz w:val="21"/>
                <w:szCs w:val="21"/>
              </w:rPr>
            </w:pPr>
            <w:r>
              <w:rPr>
                <w:sz w:val="21"/>
                <w:szCs w:val="21"/>
              </w:rPr>
              <w:t>现状照片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287" w:type="dxa"/>
            <w:gridSpan w:val="12"/>
            <w:vAlign w:val="center"/>
          </w:tcPr>
          <w:p>
            <w:pPr>
              <w:spacing w:line="240" w:lineRule="auto"/>
              <w:ind w:firstLine="0" w:firstLineChars="0"/>
              <w:jc w:val="center"/>
              <w:rPr>
                <w:sz w:val="21"/>
                <w:szCs w:val="21"/>
              </w:rPr>
            </w:pPr>
            <w:r>
              <w:rPr>
                <w:sz w:val="21"/>
                <w:szCs w:val="21"/>
              </w:rPr>
              <w:t>项目已建成90%，仅部分2栋厂房及边坡绿化还在实施中。场地内已被建构筑物、硬化地面及绿化措施覆盖，仅施工区域会产生轻微的水土流失。项目已实施的永久水土保持设施有：排水沟、雨水管网、景观绿化等。场内排水顺畅，未发现内涝现象，绿化生长情况良好。</w:t>
            </w:r>
          </w:p>
        </w:tc>
      </w:tr>
    </w:tbl>
    <w:p>
      <w:pPr>
        <w:ind w:firstLine="0" w:firstLineChars="0"/>
        <w:jc w:val="center"/>
        <w:rPr>
          <w:b/>
          <w:bCs/>
        </w:rPr>
      </w:pPr>
      <w:r>
        <w:br w:type="page"/>
      </w:r>
      <w:r>
        <w:rPr>
          <w:b/>
          <w:bCs/>
        </w:rPr>
        <w:t>表2.1-2-4  15GW单晶拉棒切方项目实地调查记录表</w:t>
      </w:r>
    </w:p>
    <w:tbl>
      <w:tblPr>
        <w:tblStyle w:val="110"/>
        <w:tblW w:w="9351"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62"/>
        <w:gridCol w:w="1551"/>
        <w:gridCol w:w="1743"/>
        <w:gridCol w:w="415"/>
        <w:gridCol w:w="169"/>
        <w:gridCol w:w="384"/>
        <w:gridCol w:w="775"/>
        <w:gridCol w:w="279"/>
        <w:gridCol w:w="900"/>
        <w:gridCol w:w="108"/>
        <w:gridCol w:w="177"/>
        <w:gridCol w:w="208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项目名称</w:t>
            </w:r>
          </w:p>
        </w:tc>
        <w:tc>
          <w:tcPr>
            <w:tcW w:w="7038" w:type="dxa"/>
            <w:gridSpan w:val="10"/>
            <w:vAlign w:val="center"/>
          </w:tcPr>
          <w:p>
            <w:pPr>
              <w:spacing w:line="240" w:lineRule="auto"/>
              <w:ind w:firstLine="0" w:firstLineChars="0"/>
              <w:jc w:val="center"/>
              <w:rPr>
                <w:sz w:val="21"/>
                <w:szCs w:val="21"/>
              </w:rPr>
            </w:pPr>
            <w:r>
              <w:rPr>
                <w:sz w:val="21"/>
                <w:szCs w:val="21"/>
              </w:rPr>
              <w:t>15GW单晶拉棒切方项目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项目业主</w:t>
            </w:r>
          </w:p>
        </w:tc>
        <w:tc>
          <w:tcPr>
            <w:tcW w:w="7038" w:type="dxa"/>
            <w:gridSpan w:val="10"/>
            <w:vAlign w:val="center"/>
          </w:tcPr>
          <w:p>
            <w:pPr>
              <w:spacing w:line="240" w:lineRule="auto"/>
              <w:ind w:firstLine="0" w:firstLineChars="0"/>
              <w:jc w:val="center"/>
              <w:rPr>
                <w:sz w:val="21"/>
                <w:szCs w:val="21"/>
              </w:rPr>
            </w:pPr>
            <w:r>
              <w:rPr>
                <w:sz w:val="21"/>
                <w:szCs w:val="21"/>
              </w:rPr>
              <w:t>四川永祥光伏科技有限公司</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建设工期</w:t>
            </w:r>
          </w:p>
        </w:tc>
        <w:tc>
          <w:tcPr>
            <w:tcW w:w="7038" w:type="dxa"/>
            <w:gridSpan w:val="10"/>
            <w:vAlign w:val="center"/>
          </w:tcPr>
          <w:p>
            <w:pPr>
              <w:spacing w:line="240" w:lineRule="auto"/>
              <w:ind w:firstLine="0" w:firstLineChars="0"/>
              <w:jc w:val="center"/>
              <w:rPr>
                <w:sz w:val="21"/>
                <w:szCs w:val="21"/>
              </w:rPr>
            </w:pPr>
            <w:r>
              <w:rPr>
                <w:sz w:val="21"/>
                <w:szCs w:val="21"/>
              </w:rPr>
              <w:t>2021年3月~2023年3月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2313" w:type="dxa"/>
            <w:gridSpan w:val="2"/>
            <w:vAlign w:val="center"/>
          </w:tcPr>
          <w:p>
            <w:pPr>
              <w:spacing w:line="240" w:lineRule="auto"/>
              <w:ind w:firstLine="0" w:firstLineChars="0"/>
              <w:jc w:val="center"/>
              <w:rPr>
                <w:sz w:val="21"/>
                <w:szCs w:val="21"/>
              </w:rPr>
            </w:pPr>
            <w:r>
              <w:rPr>
                <w:sz w:val="21"/>
                <w:szCs w:val="21"/>
              </w:rPr>
              <w:t>建设情况</w:t>
            </w:r>
          </w:p>
        </w:tc>
        <w:tc>
          <w:tcPr>
            <w:tcW w:w="2327" w:type="dxa"/>
            <w:gridSpan w:val="3"/>
            <w:vAlign w:val="center"/>
          </w:tcPr>
          <w:p>
            <w:pPr>
              <w:spacing w:line="240" w:lineRule="auto"/>
              <w:ind w:firstLine="0" w:firstLineChars="0"/>
              <w:jc w:val="center"/>
              <w:rPr>
                <w:sz w:val="21"/>
                <w:szCs w:val="21"/>
              </w:rPr>
            </w:pPr>
            <w:r>
              <w:rPr>
                <w:sz w:val="21"/>
                <w:szCs w:val="21"/>
              </w:rPr>
              <w:t>在建</w:t>
            </w:r>
          </w:p>
        </w:tc>
        <w:tc>
          <w:tcPr>
            <w:tcW w:w="2338" w:type="dxa"/>
            <w:gridSpan w:val="4"/>
            <w:vAlign w:val="center"/>
          </w:tcPr>
          <w:p>
            <w:pPr>
              <w:spacing w:line="240" w:lineRule="auto"/>
              <w:ind w:firstLine="0" w:firstLineChars="0"/>
              <w:jc w:val="center"/>
              <w:rPr>
                <w:sz w:val="21"/>
                <w:szCs w:val="21"/>
              </w:rPr>
            </w:pPr>
            <w:r>
              <w:rPr>
                <w:sz w:val="21"/>
                <w:szCs w:val="21"/>
              </w:rPr>
              <w:t>主要产品及生产规模</w:t>
            </w:r>
          </w:p>
        </w:tc>
        <w:tc>
          <w:tcPr>
            <w:tcW w:w="2373" w:type="dxa"/>
            <w:gridSpan w:val="3"/>
            <w:vAlign w:val="center"/>
          </w:tcPr>
          <w:p>
            <w:pPr>
              <w:spacing w:line="240" w:lineRule="auto"/>
              <w:ind w:firstLine="0" w:firstLineChars="0"/>
              <w:jc w:val="center"/>
              <w:rPr>
                <w:sz w:val="21"/>
                <w:szCs w:val="21"/>
              </w:rPr>
            </w:pPr>
            <w:r>
              <w:rPr>
                <w:sz w:val="21"/>
                <w:szCs w:val="21"/>
              </w:rPr>
              <w:t>年产15GW单晶硅棒</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73" w:hRule="atLeast"/>
        </w:trPr>
        <w:tc>
          <w:tcPr>
            <w:tcW w:w="2313" w:type="dxa"/>
            <w:gridSpan w:val="2"/>
            <w:vAlign w:val="center"/>
          </w:tcPr>
          <w:p>
            <w:pPr>
              <w:spacing w:line="240" w:lineRule="auto"/>
              <w:ind w:firstLine="0" w:firstLineChars="0"/>
              <w:jc w:val="center"/>
              <w:rPr>
                <w:sz w:val="21"/>
                <w:szCs w:val="21"/>
              </w:rPr>
            </w:pPr>
            <w:r>
              <w:rPr>
                <w:sz w:val="21"/>
                <w:szCs w:val="21"/>
              </w:rPr>
              <w:t>占地面积</w:t>
            </w:r>
          </w:p>
        </w:tc>
        <w:tc>
          <w:tcPr>
            <w:tcW w:w="7038" w:type="dxa"/>
            <w:gridSpan w:val="10"/>
            <w:vAlign w:val="center"/>
          </w:tcPr>
          <w:p>
            <w:pPr>
              <w:spacing w:line="240" w:lineRule="auto"/>
              <w:ind w:firstLine="0" w:firstLineChars="0"/>
              <w:jc w:val="center"/>
              <w:rPr>
                <w:sz w:val="21"/>
                <w:szCs w:val="21"/>
              </w:rPr>
            </w:pPr>
            <w:r>
              <w:rPr>
                <w:sz w:val="21"/>
                <w:szCs w:val="21"/>
              </w:rPr>
              <w:t>方案批复总占地31.16hm</w:t>
            </w:r>
            <w:r>
              <w:rPr>
                <w:sz w:val="21"/>
                <w:szCs w:val="21"/>
                <w:vertAlign w:val="superscript"/>
              </w:rPr>
              <w:t>2</w:t>
            </w:r>
            <w:r>
              <w:rPr>
                <w:sz w:val="21"/>
                <w:szCs w:val="21"/>
              </w:rPr>
              <w:t>，其中永久占地30.14hm</w:t>
            </w:r>
            <w:r>
              <w:rPr>
                <w:sz w:val="21"/>
                <w:szCs w:val="21"/>
                <w:vertAlign w:val="superscript"/>
              </w:rPr>
              <w:t>2</w:t>
            </w:r>
            <w:r>
              <w:rPr>
                <w:sz w:val="21"/>
                <w:szCs w:val="21"/>
              </w:rPr>
              <w:t>，临时占地1.02hm</w:t>
            </w:r>
            <w:r>
              <w:rPr>
                <w:sz w:val="21"/>
                <w:szCs w:val="21"/>
                <w:vertAlign w:val="superscript"/>
              </w:rPr>
              <w:t>2</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313" w:type="dxa"/>
            <w:gridSpan w:val="2"/>
            <w:vAlign w:val="center"/>
          </w:tcPr>
          <w:p>
            <w:pPr>
              <w:spacing w:line="240" w:lineRule="auto"/>
              <w:ind w:firstLine="0" w:firstLineChars="0"/>
              <w:jc w:val="center"/>
              <w:rPr>
                <w:sz w:val="21"/>
                <w:szCs w:val="21"/>
              </w:rPr>
            </w:pPr>
            <w:r>
              <w:rPr>
                <w:sz w:val="21"/>
                <w:szCs w:val="21"/>
              </w:rPr>
              <w:t>土石方量（万m</w:t>
            </w:r>
            <w:r>
              <w:rPr>
                <w:sz w:val="21"/>
                <w:szCs w:val="21"/>
                <w:vertAlign w:val="superscript"/>
              </w:rPr>
              <w:t>3</w:t>
            </w:r>
            <w:r>
              <w:rPr>
                <w:sz w:val="21"/>
                <w:szCs w:val="21"/>
              </w:rPr>
              <w:t>）</w:t>
            </w:r>
          </w:p>
        </w:tc>
        <w:tc>
          <w:tcPr>
            <w:tcW w:w="1743" w:type="dxa"/>
            <w:vAlign w:val="center"/>
          </w:tcPr>
          <w:p>
            <w:pPr>
              <w:spacing w:line="240" w:lineRule="auto"/>
              <w:ind w:firstLine="0" w:firstLineChars="0"/>
              <w:jc w:val="center"/>
              <w:rPr>
                <w:sz w:val="21"/>
                <w:szCs w:val="21"/>
              </w:rPr>
            </w:pPr>
            <w:r>
              <w:rPr>
                <w:sz w:val="21"/>
                <w:szCs w:val="21"/>
              </w:rPr>
              <w:t>挖方：20.61（含表土剥离0.40）</w:t>
            </w:r>
          </w:p>
        </w:tc>
        <w:tc>
          <w:tcPr>
            <w:tcW w:w="1743" w:type="dxa"/>
            <w:gridSpan w:val="4"/>
            <w:vAlign w:val="center"/>
          </w:tcPr>
          <w:p>
            <w:pPr>
              <w:spacing w:line="240" w:lineRule="auto"/>
              <w:ind w:firstLine="0" w:firstLineChars="0"/>
              <w:jc w:val="center"/>
              <w:rPr>
                <w:sz w:val="21"/>
                <w:szCs w:val="21"/>
              </w:rPr>
            </w:pPr>
            <w:r>
              <w:rPr>
                <w:sz w:val="21"/>
                <w:szCs w:val="21"/>
              </w:rPr>
              <w:t>填方：5.72（含表土回覆2.51）</w:t>
            </w:r>
          </w:p>
        </w:tc>
        <w:tc>
          <w:tcPr>
            <w:tcW w:w="1464" w:type="dxa"/>
            <w:gridSpan w:val="4"/>
            <w:vAlign w:val="center"/>
          </w:tcPr>
          <w:p>
            <w:pPr>
              <w:spacing w:line="240" w:lineRule="auto"/>
              <w:ind w:firstLine="0" w:firstLineChars="0"/>
              <w:jc w:val="center"/>
              <w:rPr>
                <w:sz w:val="21"/>
                <w:szCs w:val="21"/>
              </w:rPr>
            </w:pPr>
            <w:r>
              <w:rPr>
                <w:sz w:val="21"/>
                <w:szCs w:val="21"/>
              </w:rPr>
              <w:t>借方：2.11（表土）</w:t>
            </w:r>
          </w:p>
        </w:tc>
        <w:tc>
          <w:tcPr>
            <w:tcW w:w="2088" w:type="dxa"/>
            <w:vAlign w:val="center"/>
          </w:tcPr>
          <w:p>
            <w:pPr>
              <w:spacing w:line="240" w:lineRule="auto"/>
              <w:ind w:firstLine="0" w:firstLineChars="0"/>
              <w:jc w:val="center"/>
              <w:rPr>
                <w:sz w:val="21"/>
                <w:szCs w:val="21"/>
              </w:rPr>
            </w:pPr>
            <w:r>
              <w:rPr>
                <w:sz w:val="21"/>
                <w:szCs w:val="21"/>
              </w:rPr>
              <w:t>余方：17（由乐山高新区五通桥基地管理委员会用于棉花沟迁改回填）</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30"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水土保持方案情况</w:t>
            </w:r>
          </w:p>
        </w:tc>
        <w:tc>
          <w:tcPr>
            <w:tcW w:w="2158" w:type="dxa"/>
            <w:gridSpan w:val="2"/>
            <w:vMerge w:val="restart"/>
            <w:vAlign w:val="center"/>
          </w:tcPr>
          <w:p>
            <w:pPr>
              <w:spacing w:line="240" w:lineRule="auto"/>
              <w:ind w:firstLine="0" w:firstLineChars="0"/>
              <w:jc w:val="center"/>
              <w:rPr>
                <w:sz w:val="21"/>
                <w:szCs w:val="21"/>
              </w:rPr>
            </w:pPr>
            <w:r>
              <w:rPr>
                <w:sz w:val="21"/>
                <w:szCs w:val="21"/>
              </w:rPr>
              <w:t>已取得水保批复</w:t>
            </w:r>
          </w:p>
          <w:p>
            <w:pPr>
              <w:spacing w:line="240" w:lineRule="auto"/>
              <w:ind w:firstLine="0" w:firstLineChars="0"/>
              <w:jc w:val="center"/>
              <w:rPr>
                <w:sz w:val="21"/>
                <w:szCs w:val="21"/>
              </w:rPr>
            </w:pPr>
            <w:r>
              <w:rPr>
                <w:sz w:val="21"/>
                <w:szCs w:val="21"/>
              </w:rPr>
              <w:t>批复文号：五水函〔2022〕2号</w:t>
            </w:r>
          </w:p>
        </w:tc>
        <w:tc>
          <w:tcPr>
            <w:tcW w:w="1607" w:type="dxa"/>
            <w:gridSpan w:val="4"/>
            <w:vMerge w:val="restart"/>
            <w:vAlign w:val="center"/>
          </w:tcPr>
          <w:p>
            <w:pPr>
              <w:spacing w:line="240" w:lineRule="auto"/>
              <w:ind w:firstLine="0" w:firstLineChars="0"/>
              <w:jc w:val="center"/>
              <w:rPr>
                <w:sz w:val="21"/>
                <w:szCs w:val="21"/>
              </w:rPr>
            </w:pPr>
            <w:r>
              <w:rPr>
                <w:sz w:val="21"/>
                <w:szCs w:val="21"/>
              </w:rPr>
              <w:t>水土保持补偿费缴纳情况</w:t>
            </w:r>
          </w:p>
        </w:tc>
        <w:tc>
          <w:tcPr>
            <w:tcW w:w="1008" w:type="dxa"/>
            <w:gridSpan w:val="2"/>
            <w:vAlign w:val="center"/>
          </w:tcPr>
          <w:p>
            <w:pPr>
              <w:spacing w:line="240" w:lineRule="auto"/>
              <w:ind w:firstLine="0" w:firstLineChars="0"/>
              <w:jc w:val="center"/>
              <w:rPr>
                <w:sz w:val="21"/>
                <w:szCs w:val="21"/>
              </w:rPr>
            </w:pPr>
            <w:r>
              <w:rPr>
                <w:sz w:val="21"/>
                <w:szCs w:val="21"/>
              </w:rPr>
              <w:t>应缴：</w:t>
            </w:r>
          </w:p>
        </w:tc>
        <w:tc>
          <w:tcPr>
            <w:tcW w:w="2265" w:type="dxa"/>
            <w:gridSpan w:val="2"/>
            <w:vAlign w:val="center"/>
          </w:tcPr>
          <w:p>
            <w:pPr>
              <w:spacing w:line="240" w:lineRule="auto"/>
              <w:ind w:firstLine="0" w:firstLineChars="0"/>
              <w:jc w:val="center"/>
              <w:rPr>
                <w:sz w:val="21"/>
                <w:szCs w:val="21"/>
              </w:rPr>
            </w:pPr>
            <w:r>
              <w:rPr>
                <w:sz w:val="21"/>
                <w:szCs w:val="21"/>
              </w:rPr>
              <w:t>40.508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2313" w:type="dxa"/>
            <w:gridSpan w:val="2"/>
            <w:vMerge w:val="continue"/>
            <w:vAlign w:val="center"/>
          </w:tcPr>
          <w:p>
            <w:pPr>
              <w:spacing w:line="240" w:lineRule="auto"/>
              <w:ind w:firstLine="0" w:firstLineChars="0"/>
              <w:jc w:val="center"/>
              <w:rPr>
                <w:sz w:val="21"/>
                <w:szCs w:val="21"/>
              </w:rPr>
            </w:pPr>
          </w:p>
        </w:tc>
        <w:tc>
          <w:tcPr>
            <w:tcW w:w="2158" w:type="dxa"/>
            <w:gridSpan w:val="2"/>
            <w:vMerge w:val="continue"/>
            <w:vAlign w:val="center"/>
          </w:tcPr>
          <w:p>
            <w:pPr>
              <w:spacing w:line="240" w:lineRule="auto"/>
              <w:ind w:firstLine="0" w:firstLineChars="0"/>
              <w:jc w:val="center"/>
              <w:rPr>
                <w:sz w:val="21"/>
                <w:szCs w:val="21"/>
              </w:rPr>
            </w:pPr>
          </w:p>
        </w:tc>
        <w:tc>
          <w:tcPr>
            <w:tcW w:w="1607" w:type="dxa"/>
            <w:gridSpan w:val="4"/>
            <w:vMerge w:val="continue"/>
            <w:vAlign w:val="center"/>
          </w:tcPr>
          <w:p>
            <w:pPr>
              <w:spacing w:line="240" w:lineRule="auto"/>
              <w:ind w:firstLine="0" w:firstLineChars="0"/>
              <w:jc w:val="center"/>
              <w:rPr>
                <w:sz w:val="21"/>
                <w:szCs w:val="21"/>
              </w:rPr>
            </w:pPr>
          </w:p>
        </w:tc>
        <w:tc>
          <w:tcPr>
            <w:tcW w:w="1008" w:type="dxa"/>
            <w:gridSpan w:val="2"/>
            <w:vAlign w:val="center"/>
          </w:tcPr>
          <w:p>
            <w:pPr>
              <w:spacing w:line="240" w:lineRule="auto"/>
              <w:ind w:firstLine="0" w:firstLineChars="0"/>
              <w:jc w:val="center"/>
              <w:rPr>
                <w:sz w:val="21"/>
                <w:szCs w:val="21"/>
              </w:rPr>
            </w:pPr>
            <w:r>
              <w:rPr>
                <w:sz w:val="21"/>
                <w:szCs w:val="21"/>
              </w:rPr>
              <w:t>实缴：</w:t>
            </w:r>
          </w:p>
        </w:tc>
        <w:tc>
          <w:tcPr>
            <w:tcW w:w="2265" w:type="dxa"/>
            <w:gridSpan w:val="2"/>
            <w:vAlign w:val="center"/>
          </w:tcPr>
          <w:p>
            <w:pPr>
              <w:spacing w:line="240" w:lineRule="auto"/>
              <w:ind w:firstLine="0" w:firstLineChars="0"/>
              <w:jc w:val="center"/>
              <w:rPr>
                <w:sz w:val="21"/>
                <w:szCs w:val="21"/>
              </w:rPr>
            </w:pPr>
            <w:r>
              <w:rPr>
                <w:sz w:val="21"/>
                <w:szCs w:val="21"/>
              </w:rPr>
              <w:t>40.508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水土保持监测情况</w:t>
            </w:r>
          </w:p>
        </w:tc>
        <w:tc>
          <w:tcPr>
            <w:tcW w:w="2158" w:type="dxa"/>
            <w:gridSpan w:val="2"/>
            <w:vAlign w:val="center"/>
          </w:tcPr>
          <w:p>
            <w:pPr>
              <w:spacing w:line="240" w:lineRule="auto"/>
              <w:ind w:firstLine="0" w:firstLineChars="0"/>
              <w:jc w:val="center"/>
              <w:rPr>
                <w:sz w:val="21"/>
                <w:szCs w:val="21"/>
              </w:rPr>
            </w:pPr>
            <w:r>
              <w:rPr>
                <w:sz w:val="21"/>
                <w:szCs w:val="21"/>
              </w:rPr>
              <w:t>进行中</w:t>
            </w:r>
          </w:p>
        </w:tc>
        <w:tc>
          <w:tcPr>
            <w:tcW w:w="2615" w:type="dxa"/>
            <w:gridSpan w:val="6"/>
            <w:vAlign w:val="center"/>
          </w:tcPr>
          <w:p>
            <w:pPr>
              <w:spacing w:line="240" w:lineRule="auto"/>
              <w:ind w:firstLine="0" w:firstLineChars="0"/>
              <w:jc w:val="center"/>
              <w:rPr>
                <w:sz w:val="21"/>
                <w:szCs w:val="21"/>
              </w:rPr>
            </w:pPr>
            <w:r>
              <w:rPr>
                <w:sz w:val="21"/>
                <w:szCs w:val="21"/>
              </w:rPr>
              <w:t>水土保持设施验收情况</w:t>
            </w:r>
          </w:p>
        </w:tc>
        <w:tc>
          <w:tcPr>
            <w:tcW w:w="2265" w:type="dxa"/>
            <w:gridSpan w:val="2"/>
            <w:vAlign w:val="center"/>
          </w:tcPr>
          <w:p>
            <w:pPr>
              <w:spacing w:line="240" w:lineRule="auto"/>
              <w:ind w:firstLine="0" w:firstLineChars="0"/>
              <w:jc w:val="center"/>
              <w:rPr>
                <w:sz w:val="21"/>
                <w:szCs w:val="21"/>
              </w:rPr>
            </w:pPr>
            <w:r>
              <w:rPr>
                <w:sz w:val="21"/>
                <w:szCs w:val="21"/>
              </w:rPr>
              <w:t>工程未完工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restart"/>
            <w:vAlign w:val="center"/>
          </w:tcPr>
          <w:p>
            <w:pPr>
              <w:spacing w:line="240" w:lineRule="auto"/>
              <w:ind w:firstLine="0" w:firstLineChars="0"/>
              <w:jc w:val="center"/>
              <w:rPr>
                <w:sz w:val="21"/>
                <w:szCs w:val="21"/>
              </w:rPr>
            </w:pPr>
            <w:r>
              <w:rPr>
                <w:sz w:val="21"/>
                <w:szCs w:val="21"/>
              </w:rPr>
              <w:t>现场调查影像</w:t>
            </w:r>
          </w:p>
        </w:tc>
        <w:tc>
          <w:tcPr>
            <w:tcW w:w="4262" w:type="dxa"/>
            <w:gridSpan w:val="5"/>
            <w:vAlign w:val="center"/>
          </w:tcPr>
          <w:p>
            <w:pPr>
              <w:spacing w:line="240" w:lineRule="auto"/>
              <w:ind w:firstLine="0" w:firstLineChars="0"/>
              <w:jc w:val="center"/>
              <w:rPr>
                <w:sz w:val="21"/>
                <w:szCs w:val="21"/>
              </w:rPr>
            </w:pPr>
            <w:r>
              <w:drawing>
                <wp:inline distT="0" distB="0" distL="114300" distR="114300">
                  <wp:extent cx="2564765" cy="1731010"/>
                  <wp:effectExtent l="0" t="0" r="6985" b="2540"/>
                  <wp:docPr id="15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69"/>
                          <pic:cNvPicPr>
                            <a:picLocks noChangeAspect="1"/>
                          </pic:cNvPicPr>
                        </pic:nvPicPr>
                        <pic:blipFill>
                          <a:blip r:embed="rId69"/>
                          <a:stretch>
                            <a:fillRect/>
                          </a:stretch>
                        </pic:blipFill>
                        <pic:spPr>
                          <a:xfrm>
                            <a:off x="0" y="0"/>
                            <a:ext cx="2564765" cy="1731010"/>
                          </a:xfrm>
                          <a:prstGeom prst="rect">
                            <a:avLst/>
                          </a:prstGeom>
                          <a:noFill/>
                          <a:ln>
                            <a:noFill/>
                          </a:ln>
                        </pic:spPr>
                      </pic:pic>
                    </a:graphicData>
                  </a:graphic>
                </wp:inline>
              </w:drawing>
            </w:r>
          </w:p>
        </w:tc>
        <w:tc>
          <w:tcPr>
            <w:tcW w:w="4327" w:type="dxa"/>
            <w:gridSpan w:val="6"/>
            <w:vAlign w:val="center"/>
          </w:tcPr>
          <w:p>
            <w:pPr>
              <w:spacing w:line="240" w:lineRule="auto"/>
              <w:ind w:firstLine="0" w:firstLineChars="0"/>
              <w:jc w:val="center"/>
              <w:rPr>
                <w:sz w:val="21"/>
                <w:szCs w:val="21"/>
              </w:rPr>
            </w:pPr>
            <w:r>
              <w:drawing>
                <wp:inline distT="0" distB="0" distL="114300" distR="114300">
                  <wp:extent cx="2561590" cy="1731645"/>
                  <wp:effectExtent l="0" t="0" r="10160" b="1905"/>
                  <wp:docPr id="155" name="图片 70"/>
                  <wp:cNvGraphicFramePr/>
                  <a:graphic xmlns:a="http://schemas.openxmlformats.org/drawingml/2006/main">
                    <a:graphicData uri="http://schemas.openxmlformats.org/drawingml/2006/picture">
                      <pic:pic xmlns:pic="http://schemas.openxmlformats.org/drawingml/2006/picture">
                        <pic:nvPicPr>
                          <pic:cNvPr id="155" name="图片 70"/>
                          <pic:cNvPicPr/>
                        </pic:nvPicPr>
                        <pic:blipFill>
                          <a:blip r:embed="rId70"/>
                          <a:stretch>
                            <a:fillRect/>
                          </a:stretch>
                        </pic:blipFill>
                        <pic:spPr>
                          <a:xfrm>
                            <a:off x="0" y="0"/>
                            <a:ext cx="2561590" cy="173164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在园区中的位置</w:t>
            </w:r>
          </w:p>
        </w:tc>
        <w:tc>
          <w:tcPr>
            <w:tcW w:w="4327" w:type="dxa"/>
            <w:gridSpan w:val="6"/>
            <w:vAlign w:val="center"/>
          </w:tcPr>
          <w:p>
            <w:pPr>
              <w:spacing w:line="240" w:lineRule="auto"/>
              <w:ind w:firstLine="0" w:firstLineChars="0"/>
              <w:jc w:val="center"/>
              <w:rPr>
                <w:sz w:val="21"/>
                <w:szCs w:val="21"/>
              </w:rPr>
            </w:pPr>
            <w:r>
              <w:rPr>
                <w:sz w:val="21"/>
                <w:szCs w:val="21"/>
              </w:rPr>
              <w:t>无人机航拍图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drawing>
                <wp:inline distT="0" distB="0" distL="114300" distR="114300">
                  <wp:extent cx="2555875" cy="1703705"/>
                  <wp:effectExtent l="0" t="0" r="15875" b="10795"/>
                  <wp:docPr id="213" name="图片 213" descr="2ad1ab714012f33108bef5e4a9bd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213" descr="2ad1ab714012f33108bef5e4a9bd497"/>
                          <pic:cNvPicPr>
                            <a:picLocks noChangeAspect="1"/>
                          </pic:cNvPicPr>
                        </pic:nvPicPr>
                        <pic:blipFill>
                          <a:blip r:embed="rId71"/>
                          <a:stretch>
                            <a:fillRect/>
                          </a:stretch>
                        </pic:blipFill>
                        <pic:spPr>
                          <a:xfrm>
                            <a:off x="0" y="0"/>
                            <a:ext cx="2555875" cy="1703705"/>
                          </a:xfrm>
                          <a:prstGeom prst="rect">
                            <a:avLst/>
                          </a:prstGeom>
                        </pic:spPr>
                      </pic:pic>
                    </a:graphicData>
                  </a:graphic>
                </wp:inline>
              </w:drawing>
            </w:r>
          </w:p>
        </w:tc>
        <w:tc>
          <w:tcPr>
            <w:tcW w:w="4327" w:type="dxa"/>
            <w:gridSpan w:val="6"/>
            <w:vAlign w:val="center"/>
          </w:tcPr>
          <w:p>
            <w:pPr>
              <w:spacing w:line="240" w:lineRule="auto"/>
              <w:ind w:firstLine="0" w:firstLineChars="0"/>
              <w:jc w:val="center"/>
              <w:rPr>
                <w:sz w:val="21"/>
                <w:szCs w:val="21"/>
              </w:rPr>
            </w:pPr>
            <w:r>
              <w:rPr>
                <w:sz w:val="21"/>
                <w:szCs w:val="21"/>
              </w:rPr>
              <w:drawing>
                <wp:inline distT="0" distB="0" distL="114300" distR="114300">
                  <wp:extent cx="2501900" cy="1668145"/>
                  <wp:effectExtent l="0" t="0" r="12700" b="8255"/>
                  <wp:docPr id="159" name="图片 159" descr="DJI_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DJI_0256"/>
                          <pic:cNvPicPr>
                            <a:picLocks noChangeAspect="1"/>
                          </pic:cNvPicPr>
                        </pic:nvPicPr>
                        <pic:blipFill>
                          <a:blip r:embed="rId72"/>
                          <a:stretch>
                            <a:fillRect/>
                          </a:stretch>
                        </pic:blipFill>
                        <pic:spPr>
                          <a:xfrm>
                            <a:off x="0" y="0"/>
                            <a:ext cx="2501900" cy="166814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5"/>
            <w:vAlign w:val="center"/>
          </w:tcPr>
          <w:p>
            <w:pPr>
              <w:spacing w:line="240" w:lineRule="auto"/>
              <w:ind w:firstLine="0" w:firstLineChars="0"/>
              <w:jc w:val="center"/>
              <w:rPr>
                <w:sz w:val="21"/>
                <w:szCs w:val="21"/>
              </w:rPr>
            </w:pPr>
            <w:r>
              <w:rPr>
                <w:sz w:val="21"/>
                <w:szCs w:val="21"/>
              </w:rPr>
              <w:t>现状照片</w:t>
            </w:r>
          </w:p>
        </w:tc>
        <w:tc>
          <w:tcPr>
            <w:tcW w:w="4327" w:type="dxa"/>
            <w:gridSpan w:val="6"/>
            <w:vAlign w:val="center"/>
          </w:tcPr>
          <w:p>
            <w:pPr>
              <w:spacing w:line="240" w:lineRule="auto"/>
              <w:ind w:firstLine="0" w:firstLineChars="0"/>
              <w:jc w:val="center"/>
              <w:rPr>
                <w:sz w:val="21"/>
                <w:szCs w:val="21"/>
              </w:rPr>
            </w:pPr>
            <w:r>
              <w:rPr>
                <w:sz w:val="21"/>
                <w:szCs w:val="21"/>
              </w:rPr>
              <w:t>现状照片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351" w:type="dxa"/>
            <w:gridSpan w:val="12"/>
            <w:vAlign w:val="center"/>
          </w:tcPr>
          <w:p>
            <w:pPr>
              <w:spacing w:line="240" w:lineRule="auto"/>
              <w:ind w:firstLine="0" w:firstLineChars="0"/>
              <w:jc w:val="center"/>
              <w:rPr>
                <w:sz w:val="21"/>
                <w:szCs w:val="21"/>
              </w:rPr>
            </w:pPr>
            <w:r>
              <w:rPr>
                <w:sz w:val="21"/>
                <w:szCs w:val="21"/>
              </w:rPr>
              <w:t>项目已完成80%的建设，水土流失整体为轻度，已实施绿化区域的植被生长情况良好。项目已实施的永久水土保持设施有：排水沟、雨水管网、景观绿化等。水土流失治理效果良好。通过现场调查，施工区域未采取防雨布临时苫盖、排水、沉沙措施。</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351" w:type="dxa"/>
            <w:gridSpan w:val="12"/>
            <w:vAlign w:val="center"/>
          </w:tcPr>
          <w:p>
            <w:pPr>
              <w:spacing w:line="240" w:lineRule="auto"/>
              <w:ind w:firstLine="0" w:firstLineChars="0"/>
              <w:jc w:val="center"/>
              <w:rPr>
                <w:sz w:val="21"/>
                <w:szCs w:val="21"/>
              </w:rPr>
            </w:pPr>
            <w:r>
              <w:rPr>
                <w:sz w:val="21"/>
                <w:szCs w:val="21"/>
              </w:rPr>
              <w:t>注：通过调查，本项目占地范围内还另行立项了“永祥硅材料2万吨高纯晶硅拉棒切芯项目（一期）”同时永祥硅材料项目取得了水保批复，批复文号：五水函〔2022〕76号；因永祥硅材料项目在15GW单晶拉棒切方项目场地内修建，不再重复计征水土保持补偿费。</w:t>
            </w:r>
          </w:p>
        </w:tc>
      </w:tr>
    </w:tbl>
    <w:p>
      <w:pPr>
        <w:ind w:firstLine="480"/>
      </w:pPr>
      <w:r>
        <w:br w:type="page"/>
      </w:r>
    </w:p>
    <w:p>
      <w:pPr>
        <w:ind w:firstLine="0" w:firstLineChars="0"/>
        <w:jc w:val="center"/>
        <w:rPr>
          <w:b/>
          <w:bCs/>
        </w:rPr>
      </w:pPr>
      <w:r>
        <w:rPr>
          <w:b/>
          <w:bCs/>
        </w:rPr>
        <w:t>表2.1-2-5四川永祥能源科技有限公司一期高纯晶硅项目实地调查记录表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62"/>
        <w:gridCol w:w="1551"/>
        <w:gridCol w:w="2158"/>
        <w:gridCol w:w="169"/>
        <w:gridCol w:w="384"/>
        <w:gridCol w:w="1054"/>
        <w:gridCol w:w="900"/>
        <w:gridCol w:w="108"/>
        <w:gridCol w:w="220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项目名称</w:t>
            </w:r>
          </w:p>
        </w:tc>
        <w:tc>
          <w:tcPr>
            <w:tcW w:w="6974" w:type="dxa"/>
            <w:gridSpan w:val="7"/>
            <w:vAlign w:val="center"/>
          </w:tcPr>
          <w:p>
            <w:pPr>
              <w:spacing w:line="240" w:lineRule="auto"/>
              <w:ind w:firstLine="0" w:firstLineChars="0"/>
              <w:jc w:val="center"/>
              <w:rPr>
                <w:sz w:val="21"/>
                <w:szCs w:val="21"/>
              </w:rPr>
            </w:pPr>
            <w:r>
              <w:rPr>
                <w:sz w:val="21"/>
                <w:szCs w:val="21"/>
              </w:rPr>
              <w:t>四川永祥能源科技有限公司一期高纯晶硅项目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项目业主</w:t>
            </w:r>
          </w:p>
        </w:tc>
        <w:tc>
          <w:tcPr>
            <w:tcW w:w="6974" w:type="dxa"/>
            <w:gridSpan w:val="7"/>
            <w:vAlign w:val="center"/>
          </w:tcPr>
          <w:p>
            <w:pPr>
              <w:spacing w:line="240" w:lineRule="auto"/>
              <w:ind w:firstLine="0" w:firstLineChars="0"/>
              <w:jc w:val="center"/>
              <w:rPr>
                <w:sz w:val="21"/>
                <w:szCs w:val="21"/>
              </w:rPr>
            </w:pPr>
            <w:r>
              <w:rPr>
                <w:sz w:val="21"/>
                <w:szCs w:val="21"/>
              </w:rPr>
              <w:t>四川永祥能源科技有限公司</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建设工期</w:t>
            </w:r>
          </w:p>
        </w:tc>
        <w:tc>
          <w:tcPr>
            <w:tcW w:w="6974" w:type="dxa"/>
            <w:gridSpan w:val="7"/>
            <w:vAlign w:val="center"/>
          </w:tcPr>
          <w:p>
            <w:pPr>
              <w:spacing w:line="240" w:lineRule="auto"/>
              <w:ind w:firstLine="0" w:firstLineChars="0"/>
              <w:jc w:val="center"/>
              <w:rPr>
                <w:sz w:val="21"/>
                <w:szCs w:val="21"/>
              </w:rPr>
            </w:pPr>
            <w:r>
              <w:rPr>
                <w:sz w:val="21"/>
                <w:szCs w:val="21"/>
              </w:rPr>
              <w:t>2022年4月~2023年6月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2313" w:type="dxa"/>
            <w:gridSpan w:val="2"/>
            <w:vAlign w:val="center"/>
          </w:tcPr>
          <w:p>
            <w:pPr>
              <w:spacing w:line="240" w:lineRule="auto"/>
              <w:ind w:firstLine="0" w:firstLineChars="0"/>
              <w:jc w:val="center"/>
              <w:rPr>
                <w:sz w:val="21"/>
                <w:szCs w:val="21"/>
              </w:rPr>
            </w:pPr>
            <w:r>
              <w:rPr>
                <w:sz w:val="21"/>
                <w:szCs w:val="21"/>
              </w:rPr>
              <w:t>建设情况</w:t>
            </w:r>
          </w:p>
        </w:tc>
        <w:tc>
          <w:tcPr>
            <w:tcW w:w="2327" w:type="dxa"/>
            <w:gridSpan w:val="2"/>
            <w:vAlign w:val="center"/>
          </w:tcPr>
          <w:p>
            <w:pPr>
              <w:spacing w:line="240" w:lineRule="auto"/>
              <w:ind w:firstLine="0" w:firstLineChars="0"/>
              <w:jc w:val="center"/>
              <w:rPr>
                <w:sz w:val="21"/>
                <w:szCs w:val="21"/>
              </w:rPr>
            </w:pPr>
            <w:r>
              <w:rPr>
                <w:sz w:val="21"/>
                <w:szCs w:val="21"/>
              </w:rPr>
              <w:t>在建</w:t>
            </w:r>
          </w:p>
        </w:tc>
        <w:tc>
          <w:tcPr>
            <w:tcW w:w="2338" w:type="dxa"/>
            <w:gridSpan w:val="3"/>
            <w:vAlign w:val="center"/>
          </w:tcPr>
          <w:p>
            <w:pPr>
              <w:spacing w:line="240" w:lineRule="auto"/>
              <w:ind w:firstLine="0" w:firstLineChars="0"/>
              <w:jc w:val="center"/>
              <w:rPr>
                <w:sz w:val="21"/>
                <w:szCs w:val="21"/>
              </w:rPr>
            </w:pPr>
            <w:r>
              <w:rPr>
                <w:sz w:val="21"/>
                <w:szCs w:val="21"/>
              </w:rPr>
              <w:t>主要产品及生产规模</w:t>
            </w:r>
          </w:p>
        </w:tc>
        <w:tc>
          <w:tcPr>
            <w:tcW w:w="2309" w:type="dxa"/>
            <w:gridSpan w:val="2"/>
            <w:vAlign w:val="center"/>
          </w:tcPr>
          <w:p>
            <w:pPr>
              <w:spacing w:line="240" w:lineRule="auto"/>
              <w:ind w:firstLine="0" w:firstLineChars="0"/>
              <w:jc w:val="center"/>
              <w:rPr>
                <w:sz w:val="21"/>
                <w:szCs w:val="21"/>
              </w:rPr>
            </w:pPr>
            <w:r>
              <w:rPr>
                <w:sz w:val="21"/>
                <w:szCs w:val="21"/>
              </w:rPr>
              <w:t>高纯晶硅-12万t/a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73" w:hRule="atLeast"/>
        </w:trPr>
        <w:tc>
          <w:tcPr>
            <w:tcW w:w="2313" w:type="dxa"/>
            <w:gridSpan w:val="2"/>
            <w:vAlign w:val="center"/>
          </w:tcPr>
          <w:p>
            <w:pPr>
              <w:spacing w:line="240" w:lineRule="auto"/>
              <w:ind w:firstLine="0" w:firstLineChars="0"/>
              <w:jc w:val="center"/>
              <w:rPr>
                <w:sz w:val="21"/>
                <w:szCs w:val="21"/>
              </w:rPr>
            </w:pPr>
            <w:r>
              <w:rPr>
                <w:sz w:val="21"/>
                <w:szCs w:val="21"/>
              </w:rPr>
              <w:t>占地面积</w:t>
            </w:r>
          </w:p>
        </w:tc>
        <w:tc>
          <w:tcPr>
            <w:tcW w:w="6974" w:type="dxa"/>
            <w:gridSpan w:val="7"/>
            <w:vAlign w:val="center"/>
          </w:tcPr>
          <w:p>
            <w:pPr>
              <w:spacing w:line="240" w:lineRule="auto"/>
              <w:ind w:firstLine="0" w:firstLineChars="0"/>
              <w:jc w:val="center"/>
              <w:rPr>
                <w:sz w:val="21"/>
                <w:szCs w:val="21"/>
              </w:rPr>
            </w:pPr>
            <w:r>
              <w:rPr>
                <w:sz w:val="21"/>
                <w:szCs w:val="21"/>
              </w:rPr>
              <w:t>56.20hm</w:t>
            </w:r>
            <w:r>
              <w:rPr>
                <w:sz w:val="21"/>
                <w:szCs w:val="21"/>
                <w:vertAlign w:val="superscript"/>
              </w:rPr>
              <w:t>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2"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土石方量（万m</w:t>
            </w:r>
            <w:r>
              <w:rPr>
                <w:sz w:val="21"/>
                <w:szCs w:val="21"/>
                <w:vertAlign w:val="superscript"/>
              </w:rPr>
              <w:t>3</w:t>
            </w:r>
            <w:r>
              <w:rPr>
                <w:sz w:val="21"/>
                <w:szCs w:val="21"/>
              </w:rPr>
              <w:t>）</w:t>
            </w:r>
          </w:p>
        </w:tc>
        <w:tc>
          <w:tcPr>
            <w:tcW w:w="6974" w:type="dxa"/>
            <w:gridSpan w:val="7"/>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30" w:hRule="atLeast"/>
        </w:trPr>
        <w:tc>
          <w:tcPr>
            <w:tcW w:w="2313" w:type="dxa"/>
            <w:gridSpan w:val="2"/>
            <w:vMerge w:val="restart"/>
            <w:vAlign w:val="center"/>
          </w:tcPr>
          <w:p>
            <w:pPr>
              <w:spacing w:line="240" w:lineRule="auto"/>
              <w:ind w:firstLine="0" w:firstLineChars="0"/>
              <w:jc w:val="center"/>
              <w:rPr>
                <w:sz w:val="21"/>
                <w:szCs w:val="21"/>
              </w:rPr>
            </w:pPr>
            <w:r>
              <w:rPr>
                <w:sz w:val="21"/>
                <w:szCs w:val="21"/>
              </w:rPr>
              <w:t>水土保持方案情况</w:t>
            </w:r>
          </w:p>
        </w:tc>
        <w:tc>
          <w:tcPr>
            <w:tcW w:w="2158" w:type="dxa"/>
            <w:vMerge w:val="restart"/>
            <w:vAlign w:val="center"/>
          </w:tcPr>
          <w:p>
            <w:pPr>
              <w:spacing w:line="240" w:lineRule="auto"/>
              <w:ind w:firstLine="0" w:firstLineChars="0"/>
              <w:jc w:val="center"/>
              <w:rPr>
                <w:sz w:val="21"/>
                <w:szCs w:val="21"/>
              </w:rPr>
            </w:pPr>
            <w:r>
              <w:rPr>
                <w:sz w:val="21"/>
                <w:szCs w:val="21"/>
              </w:rPr>
              <w:t>正在编制水保方案-未批复</w:t>
            </w:r>
          </w:p>
        </w:tc>
        <w:tc>
          <w:tcPr>
            <w:tcW w:w="1607" w:type="dxa"/>
            <w:gridSpan w:val="3"/>
            <w:vMerge w:val="restart"/>
            <w:vAlign w:val="center"/>
          </w:tcPr>
          <w:p>
            <w:pPr>
              <w:spacing w:line="240" w:lineRule="auto"/>
              <w:ind w:firstLine="0" w:firstLineChars="0"/>
              <w:jc w:val="center"/>
              <w:rPr>
                <w:sz w:val="21"/>
                <w:szCs w:val="21"/>
              </w:rPr>
            </w:pPr>
            <w:r>
              <w:rPr>
                <w:sz w:val="21"/>
                <w:szCs w:val="21"/>
              </w:rPr>
              <w:t>水土保持补偿费缴纳情况</w:t>
            </w:r>
          </w:p>
        </w:tc>
        <w:tc>
          <w:tcPr>
            <w:tcW w:w="1008" w:type="dxa"/>
            <w:gridSpan w:val="2"/>
            <w:vAlign w:val="center"/>
          </w:tcPr>
          <w:p>
            <w:pPr>
              <w:spacing w:line="240" w:lineRule="auto"/>
              <w:ind w:firstLine="0" w:firstLineChars="0"/>
              <w:jc w:val="center"/>
              <w:rPr>
                <w:sz w:val="21"/>
                <w:szCs w:val="21"/>
              </w:rPr>
            </w:pPr>
            <w:r>
              <w:rPr>
                <w:sz w:val="21"/>
                <w:szCs w:val="21"/>
              </w:rPr>
              <w:t>应缴：</w:t>
            </w:r>
          </w:p>
        </w:tc>
        <w:tc>
          <w:tcPr>
            <w:tcW w:w="2201"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2313" w:type="dxa"/>
            <w:gridSpan w:val="2"/>
            <w:vMerge w:val="continue"/>
            <w:vAlign w:val="center"/>
          </w:tcPr>
          <w:p>
            <w:pPr>
              <w:spacing w:line="240" w:lineRule="auto"/>
              <w:ind w:firstLine="0" w:firstLineChars="0"/>
              <w:jc w:val="center"/>
              <w:rPr>
                <w:sz w:val="21"/>
                <w:szCs w:val="21"/>
              </w:rPr>
            </w:pPr>
          </w:p>
        </w:tc>
        <w:tc>
          <w:tcPr>
            <w:tcW w:w="2158" w:type="dxa"/>
            <w:vMerge w:val="continue"/>
            <w:vAlign w:val="center"/>
          </w:tcPr>
          <w:p>
            <w:pPr>
              <w:spacing w:line="240" w:lineRule="auto"/>
              <w:ind w:firstLine="0" w:firstLineChars="0"/>
              <w:jc w:val="center"/>
              <w:rPr>
                <w:sz w:val="21"/>
                <w:szCs w:val="21"/>
              </w:rPr>
            </w:pPr>
          </w:p>
        </w:tc>
        <w:tc>
          <w:tcPr>
            <w:tcW w:w="1607" w:type="dxa"/>
            <w:gridSpan w:val="3"/>
            <w:vMerge w:val="continue"/>
            <w:vAlign w:val="center"/>
          </w:tcPr>
          <w:p>
            <w:pPr>
              <w:spacing w:line="240" w:lineRule="auto"/>
              <w:ind w:firstLine="0" w:firstLineChars="0"/>
              <w:jc w:val="center"/>
              <w:rPr>
                <w:sz w:val="21"/>
                <w:szCs w:val="21"/>
              </w:rPr>
            </w:pPr>
          </w:p>
        </w:tc>
        <w:tc>
          <w:tcPr>
            <w:tcW w:w="1008" w:type="dxa"/>
            <w:gridSpan w:val="2"/>
            <w:vAlign w:val="center"/>
          </w:tcPr>
          <w:p>
            <w:pPr>
              <w:spacing w:line="240" w:lineRule="auto"/>
              <w:ind w:firstLine="0" w:firstLineChars="0"/>
              <w:jc w:val="center"/>
              <w:rPr>
                <w:sz w:val="21"/>
                <w:szCs w:val="21"/>
              </w:rPr>
            </w:pPr>
            <w:r>
              <w:rPr>
                <w:sz w:val="21"/>
                <w:szCs w:val="21"/>
              </w:rPr>
              <w:t>实缴：</w:t>
            </w:r>
          </w:p>
        </w:tc>
        <w:tc>
          <w:tcPr>
            <w:tcW w:w="2201"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13" w:type="dxa"/>
            <w:gridSpan w:val="2"/>
            <w:vAlign w:val="center"/>
          </w:tcPr>
          <w:p>
            <w:pPr>
              <w:spacing w:line="240" w:lineRule="auto"/>
              <w:ind w:firstLine="0" w:firstLineChars="0"/>
              <w:jc w:val="center"/>
              <w:rPr>
                <w:sz w:val="21"/>
                <w:szCs w:val="21"/>
              </w:rPr>
            </w:pPr>
            <w:r>
              <w:rPr>
                <w:sz w:val="21"/>
                <w:szCs w:val="21"/>
              </w:rPr>
              <w:t>水土保持监测情况</w:t>
            </w:r>
          </w:p>
        </w:tc>
        <w:tc>
          <w:tcPr>
            <w:tcW w:w="2158" w:type="dxa"/>
            <w:vAlign w:val="center"/>
          </w:tcPr>
          <w:p>
            <w:pPr>
              <w:spacing w:line="240" w:lineRule="auto"/>
              <w:ind w:firstLine="0" w:firstLineChars="0"/>
              <w:jc w:val="center"/>
              <w:rPr>
                <w:sz w:val="21"/>
                <w:szCs w:val="21"/>
              </w:rPr>
            </w:pPr>
            <w:r>
              <w:rPr>
                <w:sz w:val="21"/>
                <w:szCs w:val="21"/>
              </w:rPr>
              <w:t>未开展</w:t>
            </w:r>
          </w:p>
        </w:tc>
        <w:tc>
          <w:tcPr>
            <w:tcW w:w="2615" w:type="dxa"/>
            <w:gridSpan w:val="5"/>
            <w:vAlign w:val="center"/>
          </w:tcPr>
          <w:p>
            <w:pPr>
              <w:spacing w:line="240" w:lineRule="auto"/>
              <w:ind w:firstLine="0" w:firstLineChars="0"/>
              <w:jc w:val="center"/>
              <w:rPr>
                <w:sz w:val="21"/>
                <w:szCs w:val="21"/>
              </w:rPr>
            </w:pPr>
            <w:r>
              <w:rPr>
                <w:sz w:val="21"/>
                <w:szCs w:val="21"/>
              </w:rPr>
              <w:t>水土保持设施验收情况</w:t>
            </w:r>
          </w:p>
        </w:tc>
        <w:tc>
          <w:tcPr>
            <w:tcW w:w="2201" w:type="dxa"/>
            <w:vAlign w:val="center"/>
          </w:tcPr>
          <w:p>
            <w:pPr>
              <w:spacing w:line="240" w:lineRule="auto"/>
              <w:ind w:firstLine="0" w:firstLineChars="0"/>
              <w:jc w:val="center"/>
              <w:rPr>
                <w:sz w:val="21"/>
                <w:szCs w:val="21"/>
              </w:rPr>
            </w:pPr>
            <w:r>
              <w:rPr>
                <w:sz w:val="21"/>
                <w:szCs w:val="21"/>
              </w:rPr>
              <w:t>工程未完工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restart"/>
            <w:vAlign w:val="center"/>
          </w:tcPr>
          <w:p>
            <w:pPr>
              <w:spacing w:line="240" w:lineRule="auto"/>
              <w:ind w:firstLine="0" w:firstLineChars="0"/>
              <w:jc w:val="center"/>
              <w:rPr>
                <w:sz w:val="21"/>
                <w:szCs w:val="21"/>
              </w:rPr>
            </w:pPr>
            <w:r>
              <w:rPr>
                <w:sz w:val="21"/>
                <w:szCs w:val="21"/>
              </w:rPr>
              <w:t>现场调查影像</w:t>
            </w:r>
          </w:p>
        </w:tc>
        <w:tc>
          <w:tcPr>
            <w:tcW w:w="4262" w:type="dxa"/>
            <w:gridSpan w:val="4"/>
            <w:vAlign w:val="center"/>
          </w:tcPr>
          <w:p>
            <w:pPr>
              <w:spacing w:line="240" w:lineRule="auto"/>
              <w:ind w:firstLine="0" w:firstLineChars="0"/>
              <w:jc w:val="center"/>
              <w:rPr>
                <w:sz w:val="21"/>
                <w:szCs w:val="21"/>
              </w:rPr>
            </w:pPr>
            <w:r>
              <w:drawing>
                <wp:inline distT="0" distB="0" distL="114300" distR="114300">
                  <wp:extent cx="2563495" cy="1644015"/>
                  <wp:effectExtent l="0" t="0" r="8255" b="13335"/>
                  <wp:docPr id="20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72"/>
                          <pic:cNvPicPr>
                            <a:picLocks noChangeAspect="1"/>
                          </pic:cNvPicPr>
                        </pic:nvPicPr>
                        <pic:blipFill>
                          <a:blip r:embed="rId73"/>
                          <a:stretch>
                            <a:fillRect/>
                          </a:stretch>
                        </pic:blipFill>
                        <pic:spPr>
                          <a:xfrm>
                            <a:off x="0" y="0"/>
                            <a:ext cx="2563495" cy="1644015"/>
                          </a:xfrm>
                          <a:prstGeom prst="rect">
                            <a:avLst/>
                          </a:prstGeom>
                          <a:noFill/>
                          <a:ln>
                            <a:noFill/>
                          </a:ln>
                        </pic:spPr>
                      </pic:pic>
                    </a:graphicData>
                  </a:graphic>
                </wp:inline>
              </w:drawing>
            </w:r>
          </w:p>
        </w:tc>
        <w:tc>
          <w:tcPr>
            <w:tcW w:w="4263" w:type="dxa"/>
            <w:gridSpan w:val="4"/>
            <w:vAlign w:val="center"/>
          </w:tcPr>
          <w:p>
            <w:pPr>
              <w:spacing w:line="240" w:lineRule="auto"/>
              <w:ind w:firstLine="0" w:firstLineChars="0"/>
              <w:jc w:val="center"/>
              <w:rPr>
                <w:sz w:val="21"/>
                <w:szCs w:val="21"/>
              </w:rPr>
            </w:pPr>
            <w:r>
              <w:drawing>
                <wp:inline distT="0" distB="0" distL="114300" distR="114300">
                  <wp:extent cx="2557145" cy="1645285"/>
                  <wp:effectExtent l="0" t="0" r="14605" b="12065"/>
                  <wp:docPr id="211" name="图片 74"/>
                  <wp:cNvGraphicFramePr/>
                  <a:graphic xmlns:a="http://schemas.openxmlformats.org/drawingml/2006/main">
                    <a:graphicData uri="http://schemas.openxmlformats.org/drawingml/2006/picture">
                      <pic:pic xmlns:pic="http://schemas.openxmlformats.org/drawingml/2006/picture">
                        <pic:nvPicPr>
                          <pic:cNvPr id="211" name="图片 74"/>
                          <pic:cNvPicPr/>
                        </pic:nvPicPr>
                        <pic:blipFill>
                          <a:blip r:embed="rId74"/>
                          <a:stretch>
                            <a:fillRect/>
                          </a:stretch>
                        </pic:blipFill>
                        <pic:spPr>
                          <a:xfrm>
                            <a:off x="0" y="0"/>
                            <a:ext cx="2557145" cy="164528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762" w:type="dxa"/>
            <w:vMerge w:val="continue"/>
            <w:vAlign w:val="center"/>
          </w:tcPr>
          <w:p>
            <w:pPr>
              <w:spacing w:line="240" w:lineRule="auto"/>
              <w:ind w:firstLine="0" w:firstLineChars="0"/>
              <w:jc w:val="center"/>
              <w:rPr>
                <w:sz w:val="21"/>
                <w:szCs w:val="21"/>
              </w:rPr>
            </w:pPr>
          </w:p>
        </w:tc>
        <w:tc>
          <w:tcPr>
            <w:tcW w:w="4262" w:type="dxa"/>
            <w:gridSpan w:val="4"/>
            <w:vAlign w:val="center"/>
          </w:tcPr>
          <w:p>
            <w:pPr>
              <w:spacing w:line="240" w:lineRule="auto"/>
              <w:ind w:firstLine="0" w:firstLineChars="0"/>
              <w:jc w:val="center"/>
              <w:rPr>
                <w:sz w:val="21"/>
                <w:szCs w:val="21"/>
              </w:rPr>
            </w:pPr>
            <w:r>
              <w:rPr>
                <w:sz w:val="21"/>
                <w:szCs w:val="21"/>
              </w:rPr>
              <w:t>在园区中的位置</w:t>
            </w:r>
          </w:p>
        </w:tc>
        <w:tc>
          <w:tcPr>
            <w:tcW w:w="4263" w:type="dxa"/>
            <w:gridSpan w:val="4"/>
            <w:vAlign w:val="center"/>
          </w:tcPr>
          <w:p>
            <w:pPr>
              <w:spacing w:line="240" w:lineRule="auto"/>
              <w:ind w:firstLine="0" w:firstLineChars="0"/>
              <w:jc w:val="center"/>
              <w:rPr>
                <w:sz w:val="21"/>
                <w:szCs w:val="21"/>
              </w:rPr>
            </w:pPr>
            <w:r>
              <w:rPr>
                <w:sz w:val="21"/>
                <w:szCs w:val="21"/>
              </w:rPr>
              <w:t>无人机航拍图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4"/>
            <w:vAlign w:val="center"/>
          </w:tcPr>
          <w:p>
            <w:pPr>
              <w:spacing w:line="240" w:lineRule="auto"/>
              <w:ind w:firstLine="0" w:firstLineChars="0"/>
              <w:jc w:val="center"/>
              <w:rPr>
                <w:sz w:val="21"/>
                <w:szCs w:val="21"/>
              </w:rPr>
            </w:pPr>
            <w:r>
              <w:rPr>
                <w:sz w:val="21"/>
                <w:szCs w:val="21"/>
              </w:rPr>
              <w:drawing>
                <wp:inline distT="0" distB="0" distL="114300" distR="114300">
                  <wp:extent cx="2567940" cy="1707515"/>
                  <wp:effectExtent l="0" t="0" r="3810" b="6985"/>
                  <wp:docPr id="210" name="图片 210" descr="fa5a0c57c7713162fca8d4852fee7a89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210" descr="fa5a0c57c7713162fca8d4852fee7a89_"/>
                          <pic:cNvPicPr>
                            <a:picLocks noChangeAspect="1"/>
                          </pic:cNvPicPr>
                        </pic:nvPicPr>
                        <pic:blipFill>
                          <a:blip r:embed="rId75"/>
                          <a:stretch>
                            <a:fillRect/>
                          </a:stretch>
                        </pic:blipFill>
                        <pic:spPr>
                          <a:xfrm>
                            <a:off x="0" y="0"/>
                            <a:ext cx="2567940" cy="1707515"/>
                          </a:xfrm>
                          <a:prstGeom prst="rect">
                            <a:avLst/>
                          </a:prstGeom>
                        </pic:spPr>
                      </pic:pic>
                    </a:graphicData>
                  </a:graphic>
                </wp:inline>
              </w:drawing>
            </w:r>
          </w:p>
        </w:tc>
        <w:tc>
          <w:tcPr>
            <w:tcW w:w="4263" w:type="dxa"/>
            <w:gridSpan w:val="4"/>
            <w:vAlign w:val="center"/>
          </w:tcPr>
          <w:p>
            <w:pPr>
              <w:spacing w:line="240" w:lineRule="auto"/>
              <w:ind w:firstLine="0" w:firstLineChars="0"/>
              <w:jc w:val="center"/>
              <w:rPr>
                <w:sz w:val="21"/>
                <w:szCs w:val="21"/>
              </w:rPr>
            </w:pPr>
            <w:r>
              <w:rPr>
                <w:sz w:val="21"/>
                <w:szCs w:val="21"/>
              </w:rPr>
              <w:drawing>
                <wp:inline distT="0" distB="0" distL="114300" distR="114300">
                  <wp:extent cx="2567940" cy="1707515"/>
                  <wp:effectExtent l="0" t="0" r="3810" b="6985"/>
                  <wp:docPr id="212" name="图片 212" descr="2bf96ab769b5e386ca6cfb352d506afe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212" descr="2bf96ab769b5e386ca6cfb352d506afe_"/>
                          <pic:cNvPicPr>
                            <a:picLocks noChangeAspect="1"/>
                          </pic:cNvPicPr>
                        </pic:nvPicPr>
                        <pic:blipFill>
                          <a:blip r:embed="rId76"/>
                          <a:stretch>
                            <a:fillRect/>
                          </a:stretch>
                        </pic:blipFill>
                        <pic:spPr>
                          <a:xfrm>
                            <a:off x="0" y="0"/>
                            <a:ext cx="2567940" cy="170751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62" w:type="dxa"/>
            <w:vMerge w:val="continue"/>
            <w:vAlign w:val="center"/>
          </w:tcPr>
          <w:p>
            <w:pPr>
              <w:spacing w:line="240" w:lineRule="auto"/>
              <w:ind w:firstLine="0" w:firstLineChars="0"/>
              <w:jc w:val="center"/>
              <w:rPr>
                <w:sz w:val="21"/>
                <w:szCs w:val="21"/>
              </w:rPr>
            </w:pPr>
          </w:p>
        </w:tc>
        <w:tc>
          <w:tcPr>
            <w:tcW w:w="4262" w:type="dxa"/>
            <w:gridSpan w:val="4"/>
            <w:vAlign w:val="center"/>
          </w:tcPr>
          <w:p>
            <w:pPr>
              <w:spacing w:line="240" w:lineRule="auto"/>
              <w:ind w:firstLine="0" w:firstLineChars="0"/>
              <w:jc w:val="center"/>
              <w:rPr>
                <w:sz w:val="21"/>
                <w:szCs w:val="21"/>
              </w:rPr>
            </w:pPr>
            <w:r>
              <w:rPr>
                <w:sz w:val="21"/>
                <w:szCs w:val="21"/>
              </w:rPr>
              <w:t>现状照片</w:t>
            </w:r>
          </w:p>
        </w:tc>
        <w:tc>
          <w:tcPr>
            <w:tcW w:w="4263" w:type="dxa"/>
            <w:gridSpan w:val="4"/>
            <w:vAlign w:val="center"/>
          </w:tcPr>
          <w:p>
            <w:pPr>
              <w:spacing w:line="240" w:lineRule="auto"/>
              <w:ind w:firstLine="0" w:firstLineChars="0"/>
              <w:jc w:val="center"/>
              <w:rPr>
                <w:sz w:val="21"/>
                <w:szCs w:val="21"/>
              </w:rPr>
            </w:pPr>
            <w:r>
              <w:rPr>
                <w:sz w:val="21"/>
                <w:szCs w:val="21"/>
              </w:rPr>
              <w:t>现状照片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287" w:type="dxa"/>
            <w:gridSpan w:val="9"/>
            <w:vAlign w:val="center"/>
          </w:tcPr>
          <w:p>
            <w:pPr>
              <w:spacing w:line="240" w:lineRule="auto"/>
              <w:ind w:firstLine="0" w:firstLineChars="0"/>
              <w:jc w:val="center"/>
              <w:rPr>
                <w:sz w:val="21"/>
                <w:szCs w:val="21"/>
              </w:rPr>
            </w:pPr>
            <w:r>
              <w:rPr>
                <w:sz w:val="21"/>
                <w:szCs w:val="21"/>
              </w:rPr>
              <w:t>项目正在实施基础工程施工，工程整体完成10%的建设，水土流失整体为轻度，通过现场调查，施工区域部分采取了密目网临时苫盖，道路一侧实施了临时砖砌矩形排水沟，施工进出口实施了临时洗车池及沉沙池措施。</w:t>
            </w:r>
          </w:p>
        </w:tc>
      </w:tr>
    </w:tbl>
    <w:p>
      <w:pPr>
        <w:spacing w:beforeLines="50"/>
        <w:ind w:firstLine="480"/>
      </w:pPr>
      <w:r>
        <w:t>园区目前在建的企业项目有四川省乐山市福华通达农药科技有限公司项目、四川省乐山市福华农科投资集团有限公司福华先进材料产业园项目、四川卢博丽尔化工有限公司项目</w:t>
      </w:r>
      <w:r>
        <w:rPr>
          <w:szCs w:val="24"/>
        </w:rPr>
        <w:t>（已取得水保批复，批复文号为五水函〔2022〕61号，已足额缴纳补偿费8.49万元）</w:t>
      </w:r>
      <w:r>
        <w:t>、四川省乐山锐丰冶金有限责任公司项目、四川润和催化新词安利股份有限公司项目、乐山盛和稀土股份有限公司项目、四川和邦生物科技股份有限公司项目、乐山和邦农业科技有限公司项目等8个项目，在建项目于2022年4月进行场平工作，截止11月已场平完成，等待企业入驻后进行建筑物基础工程建设。上述项目均位于近期建设区。远期建设区开发时段为2026年~2035年，远期建设区均处于原始地貌状态，未进行人为扰动。</w:t>
      </w:r>
    </w:p>
    <w:tbl>
      <w:tblPr>
        <w:tblStyle w:val="3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sz w:val="21"/>
                <w:szCs w:val="21"/>
              </w:rPr>
            </w:pPr>
            <w:r>
              <w:rPr>
                <w:sz w:val="21"/>
                <w:szCs w:val="21"/>
              </w:rPr>
              <w:drawing>
                <wp:inline distT="0" distB="0" distL="114300" distR="114300">
                  <wp:extent cx="5755640" cy="4368165"/>
                  <wp:effectExtent l="0" t="0" r="16510" b="13335"/>
                  <wp:docPr id="21" name="图片 21" descr="LDTPW7%BNM6BFMYCZUQXRS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LDTPW7%BNM6BFMYCZUQXRSY"/>
                          <pic:cNvPicPr>
                            <a:picLocks noChangeAspect="1"/>
                          </pic:cNvPicPr>
                        </pic:nvPicPr>
                        <pic:blipFill>
                          <a:blip r:embed="rId77"/>
                          <a:stretch>
                            <a:fillRect/>
                          </a:stretch>
                        </pic:blipFill>
                        <pic:spPr>
                          <a:xfrm>
                            <a:off x="0" y="0"/>
                            <a:ext cx="5755640" cy="436816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图2.1-7小企业园场平现状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drawing>
                <wp:inline distT="0" distB="0" distL="114300" distR="114300">
                  <wp:extent cx="5710555" cy="3119120"/>
                  <wp:effectExtent l="0" t="0" r="4445" b="5080"/>
                  <wp:docPr id="215"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76"/>
                          <pic:cNvPicPr>
                            <a:picLocks noChangeAspect="1"/>
                          </pic:cNvPicPr>
                        </pic:nvPicPr>
                        <pic:blipFill>
                          <a:blip r:embed="rId78"/>
                          <a:stretch>
                            <a:fillRect/>
                          </a:stretch>
                        </pic:blipFill>
                        <pic:spPr>
                          <a:xfrm>
                            <a:off x="0" y="0"/>
                            <a:ext cx="5710555" cy="311912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图2.1-8锐丰稀土项目场平现状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drawing>
                <wp:inline distT="0" distB="0" distL="114300" distR="114300">
                  <wp:extent cx="5685790" cy="3791585"/>
                  <wp:effectExtent l="0" t="0" r="10160" b="18415"/>
                  <wp:docPr id="219" name="图片 219" descr="DJI_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219" descr="DJI_0262"/>
                          <pic:cNvPicPr>
                            <a:picLocks noChangeAspect="1"/>
                          </pic:cNvPicPr>
                        </pic:nvPicPr>
                        <pic:blipFill>
                          <a:blip r:embed="rId79"/>
                          <a:stretch>
                            <a:fillRect/>
                          </a:stretch>
                        </pic:blipFill>
                        <pic:spPr>
                          <a:xfrm>
                            <a:off x="0" y="0"/>
                            <a:ext cx="5685790" cy="379158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图2.1-9入驻新能源、新材料项目区域场平现状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00" w:type="pct"/>
          </w:tcPr>
          <w:p>
            <w:pPr>
              <w:spacing w:line="240" w:lineRule="auto"/>
              <w:ind w:firstLine="0" w:firstLineChars="0"/>
              <w:jc w:val="center"/>
              <w:rPr>
                <w:b/>
                <w:bCs/>
                <w:sz w:val="21"/>
                <w:szCs w:val="21"/>
              </w:rPr>
            </w:pPr>
            <w:r>
              <w:rPr>
                <w:b/>
                <w:bCs/>
                <w:sz w:val="21"/>
                <w:szCs w:val="21"/>
              </w:rPr>
              <w:drawing>
                <wp:inline distT="0" distB="0" distL="114300" distR="114300">
                  <wp:extent cx="5698490" cy="3799205"/>
                  <wp:effectExtent l="0" t="0" r="16510" b="10795"/>
                  <wp:docPr id="11" name="图片 11" descr="DJI_0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DJI_0270"/>
                          <pic:cNvPicPr>
                            <a:picLocks noChangeAspect="1"/>
                          </pic:cNvPicPr>
                        </pic:nvPicPr>
                        <pic:blipFill>
                          <a:blip r:embed="rId80"/>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图2.1-10远期建设区现状1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drawing>
                <wp:inline distT="0" distB="0" distL="114300" distR="114300">
                  <wp:extent cx="5698490" cy="3799205"/>
                  <wp:effectExtent l="0" t="0" r="16510" b="10795"/>
                  <wp:docPr id="16" name="图片 16" descr="DJI_0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DJI_0278"/>
                          <pic:cNvPicPr>
                            <a:picLocks noChangeAspect="1"/>
                          </pic:cNvPicPr>
                        </pic:nvPicPr>
                        <pic:blipFill>
                          <a:blip r:embed="rId81"/>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图2.1-11远期建设区现状2</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drawing>
                <wp:inline distT="0" distB="0" distL="114300" distR="114300">
                  <wp:extent cx="5698490" cy="3799205"/>
                  <wp:effectExtent l="0" t="0" r="16510" b="10795"/>
                  <wp:docPr id="18" name="图片 18" descr="DJI_0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DJI_0500"/>
                          <pic:cNvPicPr>
                            <a:picLocks noChangeAspect="1"/>
                          </pic:cNvPicPr>
                        </pic:nvPicPr>
                        <pic:blipFill>
                          <a:blip r:embed="rId82"/>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图2.1-12远期建设区现状3</w:t>
            </w:r>
          </w:p>
        </w:tc>
      </w:tr>
    </w:tbl>
    <w:p>
      <w:pPr>
        <w:pStyle w:val="7"/>
      </w:pPr>
      <w:r>
        <w:t>2.1.3.2公共基础设施建设情况</w:t>
      </w:r>
    </w:p>
    <w:p>
      <w:pPr>
        <w:ind w:firstLine="480"/>
      </w:pPr>
      <w:r>
        <w:t>根据化工园区总规资料及现场调查，园区范围内的公共基础设施有道路工程、工业污水处理厂、变电站工程、服务中心和停车场工程、配气站、热力站等。</w:t>
      </w:r>
    </w:p>
    <w:p>
      <w:pPr>
        <w:ind w:firstLine="482"/>
        <w:rPr>
          <w:b/>
          <w:bCs/>
        </w:rPr>
      </w:pPr>
      <w:r>
        <w:rPr>
          <w:b/>
          <w:bCs/>
        </w:rPr>
        <w:t>1、道路工程</w:t>
      </w:r>
    </w:p>
    <w:p>
      <w:pPr>
        <w:ind w:firstLine="480"/>
      </w:pPr>
      <w:r>
        <w:rPr>
          <w:kern w:val="0"/>
          <w:szCs w:val="24"/>
        </w:rPr>
        <w:t>园区内部规划道路总长度19.29km（19285m），园区道路工程总占地面积为60.56hm</w:t>
      </w:r>
      <w:r>
        <w:rPr>
          <w:kern w:val="0"/>
          <w:szCs w:val="24"/>
          <w:vertAlign w:val="superscript"/>
        </w:rPr>
        <w:t>2</w:t>
      </w:r>
      <w:r>
        <w:rPr>
          <w:kern w:val="0"/>
          <w:szCs w:val="24"/>
        </w:rPr>
        <w:t>。</w:t>
      </w:r>
      <w:r>
        <w:t>园区内道路建设情况如下：</w:t>
      </w:r>
    </w:p>
    <w:p>
      <w:pPr>
        <w:ind w:firstLine="480"/>
      </w:pPr>
      <w:r>
        <w:t>已建成道路长度为2202m，</w:t>
      </w:r>
      <w:r>
        <w:rPr>
          <w:kern w:val="0"/>
          <w:szCs w:val="24"/>
        </w:rPr>
        <w:t>占园区道路总长的11.42%。已建成道路</w:t>
      </w:r>
      <w:r>
        <w:t>有北永路、永祥物流通道、北二路（全长5300m，已建成590m）、西二路（园区段）。</w:t>
      </w:r>
    </w:p>
    <w:p>
      <w:pPr>
        <w:ind w:firstLine="480"/>
      </w:pPr>
      <w:r>
        <w:t>在建道路9284m，</w:t>
      </w:r>
      <w:r>
        <w:rPr>
          <w:kern w:val="0"/>
          <w:szCs w:val="24"/>
        </w:rPr>
        <w:t>占园区道路总长的48.14%。</w:t>
      </w:r>
      <w:r>
        <w:t>在建道路有龙翔路（在原有道路基础上拓宽中）、西一路（园区段）、北一路（全长2113m，在建1339m）、北二路（全长5300m，在建1905m）、龙东路、会云路、凤翔路（园区段）（全长2330m，在建段1583m）、东三路（全长2110m，在建1077m）。</w:t>
      </w:r>
    </w:p>
    <w:p>
      <w:pPr>
        <w:ind w:firstLine="480"/>
      </w:pPr>
      <w:r>
        <w:t>未建道路7799m，占园区道路总长的40.44%。未建道路有东三路（全长2110m，未建1033m）、北一路（全长2113m，未建774m）、北二路（全长5300m，未建2805m）、凤翔路（园区段）（全长2330m，未建段747m）。</w:t>
      </w:r>
    </w:p>
    <w:p>
      <w:pPr>
        <w:ind w:firstLine="480"/>
      </w:pPr>
      <w:r>
        <w:t>园区现状内部交通主要依托龙翔路，并由龙翔路连接外部交通要道（即</w:t>
      </w:r>
      <w:r>
        <w:rPr>
          <w:kern w:val="0"/>
          <w:szCs w:val="24"/>
        </w:rPr>
        <w:t>五犍沐快速路、国道G213线、省道104线、成渝环线高速等</w:t>
      </w:r>
      <w:r>
        <w:t>）。根据调查，龙翔路工程于</w:t>
      </w:r>
      <w:r>
        <w:rPr>
          <w:kern w:val="0"/>
          <w:szCs w:val="24"/>
        </w:rPr>
        <w:t>2022年8月17日取得乐山市五通桥区水务局关于乐山市五通桥区绿色新型产业园片区开发配套基础设施建设项目（一期）一龙翔路工程（K1+360~K3+900）新建配套管网及绿化水土保持方案报告书的批复（五水函〔2022〕58号）。</w:t>
      </w:r>
    </w:p>
    <w:p>
      <w:pPr>
        <w:ind w:firstLine="482"/>
        <w:rPr>
          <w:b/>
          <w:bCs/>
        </w:rPr>
      </w:pPr>
      <w:r>
        <w:rPr>
          <w:b/>
          <w:bCs/>
        </w:rPr>
        <w:t>2、工业污水处理厂</w:t>
      </w:r>
    </w:p>
    <w:p>
      <w:pPr>
        <w:ind w:firstLine="480"/>
      </w:pPr>
      <w:r>
        <w:t>园区在西二路南侧、龙翔路北侧设置了1座工业污水处理厂，截止2022年11月，污水厂正在进行主体工程基础建设。污水处理厂设计处理规模为2万m</w:t>
      </w:r>
      <w:r>
        <w:rPr>
          <w:vertAlign w:val="superscript"/>
        </w:rPr>
        <w:t>3</w:t>
      </w:r>
      <w:r>
        <w:t>/d。其中一期设计处理规模8000m</w:t>
      </w:r>
      <w:r>
        <w:rPr>
          <w:vertAlign w:val="superscript"/>
        </w:rPr>
        <w:t>3</w:t>
      </w:r>
      <w:r>
        <w:t>/d，二、三期根据后期招商引资入驻企业情况确定。工程于2020年4月3日取得乐山市五通桥区水务局关于五通桥工业基地污水处理厂及配套管网工程水土保持方案报告书的批复（五水函〔2020〕19号）。</w:t>
      </w:r>
    </w:p>
    <w:p>
      <w:pPr>
        <w:ind w:firstLine="482"/>
        <w:rPr>
          <w:b/>
          <w:bCs/>
        </w:rPr>
      </w:pPr>
      <w:r>
        <w:rPr>
          <w:b/>
          <w:bCs/>
        </w:rPr>
        <w:t>3、变电站</w:t>
      </w:r>
    </w:p>
    <w:p>
      <w:pPr>
        <w:ind w:firstLine="480"/>
      </w:pPr>
      <w:r>
        <w:t>目前园区用电主要由园区范围以外的金粟220KV变电站以及500KV嘉州站供应。园区内规划新建110KV变电站2座，220KV变电站4座。目前在建变电站有220kv变电站2座、110KV变电站2座。其中</w:t>
      </w:r>
      <w:r>
        <w:rPr>
          <w:kern w:val="0"/>
          <w:szCs w:val="24"/>
        </w:rPr>
        <w:t>会云220kV变电站于2021年1月26日取得乐山市五通桥区水务局关于220千伏会云输变电新建工程水土保持方案报告表的回复（五水函〔2021〕6号）。</w:t>
      </w:r>
    </w:p>
    <w:p>
      <w:pPr>
        <w:ind w:firstLine="482"/>
      </w:pPr>
      <w:r>
        <w:rPr>
          <w:b/>
          <w:bCs/>
        </w:rPr>
        <w:t>4、服务中心及停车场</w:t>
      </w:r>
    </w:p>
    <w:p>
      <w:pPr>
        <w:ind w:firstLine="480"/>
      </w:pPr>
      <w:r>
        <w:t>园区内配套建设有1处服务中心及配套停车场、2处停车场（含车辆维修站）、1处危险化学品停车场。目前在建的设施有服务中心及配套停车场、1处停车场（含车辆维修站）、1处危险化学品停车场。其中服务中心和停车场配套工程于2022年10月12日取得乐山市五通桥区水务局关于乐山市五通桥区绿色新型产业园片区开发配套基</w:t>
      </w:r>
      <w:r>
        <w:rPr>
          <w:szCs w:val="24"/>
        </w:rPr>
        <w:t>础设施建设项目（一期）-服务中心和停车场配套工程水土保持方案报告书的批复（</w:t>
      </w:r>
      <w:r>
        <w:rPr>
          <w:kern w:val="0"/>
          <w:szCs w:val="24"/>
        </w:rPr>
        <w:t>五水函〔2022〕66号</w:t>
      </w:r>
      <w:r>
        <w:rPr>
          <w:szCs w:val="24"/>
        </w:rPr>
        <w:t>）、园区危险化学品停车场工程于2022年10月12日取得乐山市五通桥区水务局关于乐山市五通桥区东西协作新型工业园区工业基地货运专用停车场建设项目水土保持方案报告书的批复（</w:t>
      </w:r>
      <w:r>
        <w:rPr>
          <w:kern w:val="0"/>
          <w:szCs w:val="24"/>
        </w:rPr>
        <w:t>五水函〔2022〕67号</w:t>
      </w:r>
      <w:r>
        <w:rPr>
          <w:szCs w:val="24"/>
        </w:rPr>
        <w:t>）。</w:t>
      </w:r>
    </w:p>
    <w:p>
      <w:pPr>
        <w:ind w:firstLine="482"/>
        <w:rPr>
          <w:b/>
          <w:bCs/>
        </w:rPr>
      </w:pPr>
      <w:r>
        <w:rPr>
          <w:b/>
          <w:bCs/>
        </w:rPr>
        <w:t>5、配气站</w:t>
      </w:r>
    </w:p>
    <w:p>
      <w:pPr>
        <w:ind w:firstLine="480"/>
      </w:pPr>
      <w:r>
        <w:t>园区内配套建设有工业配气站1座，明前已完成场平工程。</w:t>
      </w:r>
    </w:p>
    <w:p>
      <w:pPr>
        <w:ind w:firstLine="480"/>
      </w:pPr>
      <w:r>
        <w:t>园区内部各项公共基础设施布设位置及建设状态详见图2.1-13。建设情况及水土保持工作开展情况详见表2.1-3。</w:t>
      </w:r>
    </w:p>
    <w:p>
      <w:pPr>
        <w:ind w:firstLine="480"/>
        <w:sectPr>
          <w:pgSz w:w="11905" w:h="16838"/>
          <w:pgMar w:top="1417" w:right="1417" w:bottom="1417" w:left="1417" w:header="850" w:footer="992" w:gutter="0"/>
          <w:cols w:space="720" w:num="1"/>
          <w:docGrid w:linePitch="312" w:charSpace="0"/>
        </w:sectPr>
      </w:pPr>
    </w:p>
    <w:tbl>
      <w:tblPr>
        <w:tblStyle w:val="3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2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00" w:type="pct"/>
          </w:tcPr>
          <w:p>
            <w:pPr>
              <w:spacing w:line="240" w:lineRule="auto"/>
              <w:ind w:firstLine="0" w:firstLineChars="0"/>
              <w:jc w:val="center"/>
              <w:rPr>
                <w:sz w:val="21"/>
                <w:szCs w:val="21"/>
              </w:rPr>
            </w:pPr>
            <w:r>
              <w:rPr>
                <w:sz w:val="21"/>
              </w:rPr>
              <w:pict>
                <v:group id="_x0000_s1112" o:spid="_x0000_s1112" o:spt="203" style="position:absolute;left:0pt;margin-left:155.35pt;margin-top:82.3pt;height:238.35pt;width:326.35pt;z-index:251685888;mso-width-relative:page;mso-height-relative:page;" coordorigin="4834,702706" coordsize="6527,4767203" o:gfxdata="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">
                  <o:lock v:ext="edit"/>
                  <v:group id="_x0000_s1114" o:spid="_x0000_s1114" o:spt="203" style="position:absolute;left:4834;top:702706;height:3851;width:6527;" coordorigin="5525,651427" coordsize="6527,3851" o:gfxdata="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DrIrpmvAAAANwAAAAPAAAAAAAAAAEAIAAAACIAAABkcnMvZG93bnJldi54bWxQ&#10;SwECFAAUAAAACACHTuJAMy8FnjsAAAA5AAAAFQAAAAAAAAABACAAAAALAQAAZHJzL2dyb3Vwc2hh&#10;cGV4bWwueG1sUEsFBgAAAAAGAAYAYAEAAMgDAAAAAA==&#10;">
                    <o:lock v:ext="edit"/>
                    <v:group id="_x0000_s1123" o:spid="_x0000_s1123" o:spt="203" style="position:absolute;left:7288;top:651797;height:2797;width:1621;" coordorigin="6608,583273" coordsize="1630,2837" o:gfxdata="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r6uKqvwAAANwAAAAPAAAAAAAAAAEAIAAAACIAAABkcnMvZG93bnJldi54&#10;bWxQSwECFAAUAAAACACHTuJAMy8FnjsAAAA5AAAAFQAAAAAAAAABACAAAAAOAQAAZHJzL2dyb3Vw&#10;c2hhcGV4bWwueG1sUEsFBgAAAAAGAAYAYAEAAMsDAAAAAA==&#10;">
                      <o:lock v:ext="edit"/>
                      <v:shape id="_x0000_s1125" o:spid="_x0000_s1125" o:spt="100" style="position:absolute;left:7016;top:583273;height:2381;width:1222;" filled="f" stroked="t" coordsize="713740,1428750" o:gfxdata="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l0UjbsAAADc&#10;AAAADwAAAAAAAAABACAAAAAiAAAAZHJzL2Rvd25yZXYueG1sUEsBAhQAFAAAAAgAh07iQDMvBZ47&#10;AAAAOQAAABAAAAAAAAAAAQAgAAAACgEAAGRycy9zaGFwZXhtbC54bWxQSwUGAAAAAAYABgBbAQAA&#10;tAMAAAAA&#10;" adj="," path="m713740,0c475615,476250,238125,952500,0,1428750e">
                        <v:path o:connecttype="segments" o:connectlocs="1222,0;0,2381" o:connectangles="0,0"/>
                        <v:fill on="f" focussize="0,0"/>
                        <v:stroke weight="3pt" color="#F707F5" joinstyle="round"/>
                        <v:imagedata o:title=""/>
                        <o:lock v:ext="edit"/>
                        <v:shadow on="t" color="#000000" opacity="22937f" offset="0pt,1.81102362204724pt" origin="0f,32768f"/>
                      </v:shape>
                      <v:line id="_x0000_s1124" o:spid="_x0000_s1124" o:spt="20" style="position:absolute;left:6608;top:585654;flip:x;height:456;width:408;" stroked="t" coordsize="21600,21600" o:gfxdata="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V+oxQvQAA&#10;ANwAAAAPAAAAAAAAAAEAIAAAACIAAABkcnMvZG93bnJldi54bWxQSwECFAAUAAAACACHTuJAMy8F&#10;njsAAAA5AAAAEAAAAAAAAAABACAAAAAMAQAAZHJzL3NoYXBleG1sLnhtbFBLBQYAAAAABgAGAFsB&#10;AAC2AwAAAAA=&#10;">
                        <v:path arrowok="t"/>
                        <v:fill focussize="0,0"/>
                        <v:stroke weight="3pt" color="#F707F5"/>
                        <v:imagedata o:title=""/>
                        <o:lock v:ext="edit"/>
                        <v:shadow on="t" color="#000000" opacity="22937f" offset="0pt,1.81102362204724pt" origin="0f,32768f"/>
                      </v:line>
                    </v:group>
                    <v:group id="_x0000_s1115" o:spid="_x0000_s1115" o:spt="203" style="position:absolute;left:5525;top:651427;height:3851;width:6527;" coordorigin="4834,582943" coordsize="6527,3851" o:gfxdata="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khx0G+AAAA3AAAAA8AAAAAAAAAAQAgAAAAIgAAAGRycy9kb3ducmV2Lnht&#10;bFBLAQIUABQAAAAIAIdO4kAzLwWeOwAAADkAAAAVAAAAAAAAAAEAIAAAAA0BAABkcnMvZ3JvdXBz&#10;aGFwZXhtbC54bWxQSwUGAAAAAAYABgBgAQAAygMAAAAA&#10;">
                      <o:lock v:ext="edit"/>
                      <v:group id="_x0000_s1117" o:spid="_x0000_s1117" o:spt="203" style="position:absolute;left:4834;top:582943;height:3851;width:3499;" coordorigin="4834,582943" coordsize="3499,3851" o:gfxdata="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156vOvAAAANwAAAAPAAAAAAAAAAEAIAAAACIAAABkcnMvZG93bnJldi54bWxQ&#10;SwECFAAUAAAACACHTuJAMy8FnjsAAAA5AAAAFQAAAAAAAAABACAAAAALAQAAZHJzL2dyb3Vwc2hh&#10;cGV4bWwueG1sUEsFBgAAAAAGAAYAYAEAAMgDAAAAAA==&#10;">
                        <o:lock v:ext="edit"/>
                        <v:shape id="_x0000_s1122" o:spid="_x0000_s1122" o:spt="100" style="position:absolute;left:4834;top:584544;height:1033;width:849;" filled="f" stroked="t" coordsize="497205,645795" o:gfxdata="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yQpiTvQAA&#10;ANwAAAAPAAAAAAAAAAEAIAAAACIAAABkcnMvZG93bnJldi54bWxQSwECFAAUAAAACACHTuJAMy8F&#10;njsAAAA5AAAAEAAAAAAAAAABACAAAAAMAQAAZHJzL3NoYXBleG1sLnhtbFBLBQYAAAAABgAGAFsB&#10;AAC2AwAAAAA=&#10;" adj="," path="m497205,645795c464820,631825,389255,614680,317500,555625c245745,496570,201295,460375,137795,349250c74295,238125,24130,65405,0,0e">
                          <v:path o:connecttype="segments" o:connectlocs="849,1033;542,888;235,558;0,0" o:connectangles="0,0,0,0"/>
                          <v:fill on="f" focussize="0,0"/>
                          <v:stroke weight="3pt" color="#F707F5" joinstyle="round"/>
                          <v:imagedata o:title=""/>
                          <o:lock v:ext="edit"/>
                        </v:shape>
                        <v:shape id="_x0000_s1121" o:spid="_x0000_s1121" o:spt="100" style="position:absolute;left:6083;top:582943;height:1159;width:1700;" filled="f" stroked="t" coordsize="1079500,735965" o:gfxdata="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sjTbM7UAAADcAAAADwAA&#10;AAAAAAABACAAAAAiAAAAZHJzL2Rvd25yZXYueG1sUEsBAhQAFAAAAAgAh07iQDMvBZ47AAAAOQAA&#10;ABAAAAAAAAAAAQAgAAAABAEAAGRycy9zaGFwZXhtbC54bWxQSwUGAAAAAAYABgBbAQAArgMAAAAA&#10;" adj="," path="m0,0c53975,59055,184150,215900,296545,312420c408940,408940,403860,397510,560705,481965c717550,566420,981075,688340,1079500,735965e">
                          <v:path o:connecttype="segments" o:connectlocs="0,0;467,492;883,759;1700,1159" o:connectangles="0,0,0,0"/>
                          <v:fill on="f" focussize="0,0"/>
                          <v:stroke weight="3pt" color="#F707F5" joinstyle="round"/>
                          <v:imagedata o:title=""/>
                          <o:lock v:ext="edit"/>
                        </v:shape>
                        <v:line id="_x0000_s1120" o:spid="_x0000_s1120" o:spt="20" style="position:absolute;left:7141;top:585502;height:625;width:1192;" stroked="t" coordsize="21600,21600" o:gfxdata="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8KbLtugAAANwA&#10;AAAPAAAAAAAAAAEAIAAAACIAAABkcnMvZG93bnJldi54bWxQSwECFAAUAAAACACHTuJAMy8FnjsA&#10;AAA5AAAAEAAAAAAAAAABACAAAAAJAQAAZHJzL3NoYXBleG1sLnhtbFBLBQYAAAAABgAGAFsBAACz&#10;AwAAAAA=&#10;">
                          <v:path arrowok="t"/>
                          <v:fill focussize="0,0"/>
                          <v:stroke weight="3pt" color="#F707F5"/>
                          <v:imagedata o:title=""/>
                          <o:lock v:ext="edit"/>
                          <v:shadow on="t" color="#000000" opacity="22937f" offset="0pt,1.81102362204724pt" origin="0f,32768f"/>
                        </v:line>
                        <v:line id="_x0000_s1119" o:spid="_x0000_s1119" o:spt="20" style="position:absolute;left:6700;top:586069;height:725;width:1333;" stroked="t" coordsize="21600,21600" o:gfxdata="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lF3a8AAAA&#10;3AAAAA8AAAAAAAAAAQAgAAAAIgAAAGRycy9kb3ducmV2LnhtbFBLAQIUABQAAAAIAIdO4kAzLwWe&#10;OwAAADkAAAAQAAAAAAAAAAEAIAAAAAsBAABkcnMvc2hhcGV4bWwueG1sUEsFBgAAAAAGAAYAWwEA&#10;ALUDAAAAAA==&#10;">
                          <v:path arrowok="t"/>
                          <v:fill focussize="0,0"/>
                          <v:stroke weight="3pt" color="#F707F5"/>
                          <v:imagedata o:title=""/>
                          <o:lock v:ext="edit"/>
                          <v:shadow on="t" color="#000000" opacity="22937f" offset="0pt,1.81102362204724pt" origin="0f,32768f"/>
                        </v:line>
                        <v:line id="_x0000_s1118" o:spid="_x0000_s1118" o:spt="20" style="position:absolute;left:7583;top:585894;flip:x;height:616;width:350;" stroked="t" coordsize="21600,21600" o:gfxdata="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1ST03b4A&#10;AADcAAAADwAAAAAAAAABACAAAAAiAAAAZHJzL2Rvd25yZXYueG1sUEsBAhQAFAAAAAgAh07iQDMv&#10;BZ47AAAAOQAAABAAAAAAAAAAAQAgAAAADQEAAGRycy9zaGFwZXhtbC54bWxQSwUGAAAAAAYABgBb&#10;AQAAtwMAAAAA&#10;">
                          <v:path arrowok="t"/>
                          <v:fill focussize="0,0"/>
                          <v:stroke weight="3pt" color="#F707F5"/>
                          <v:imagedata o:title=""/>
                          <o:lock v:ext="edit"/>
                          <v:shadow on="t" color="#000000" opacity="22937f" offset="0pt,1.81102362204724pt" origin="0f,32768f"/>
                        </v:line>
                      </v:group>
                      <v:shape id="_x0000_s1116" o:spid="_x0000_s1116" o:spt="100" style="position:absolute;left:9817;top:584356;height:2309;width:1544;" filled="f" stroked="t" coordsize="789862,1225550" o:gfxdata="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w8n8VvQAA&#10;ANwAAAAPAAAAAAAAAAEAIAAAACIAAABkcnMvZG93bnJldi54bWxQSwECFAAUAAAACACHTuJAMy8F&#10;njsAAAA5AAAAEAAAAAAAAAABACAAAAAMAQAAZHJzL3NoYXBleG1sLnhtbFBLBQYAAAAABgAGAFsB&#10;AAC2AwAAAAA=&#10;" adj="," path="m787400,0c786765,29845,798830,95250,774700,171450c750570,247650,772160,233680,666750,381000c561340,528320,381000,739140,247650,908050c114300,1076960,41275,1172845,0,1225550e">
                        <v:path o:connecttype="segments" o:connectlocs="1539,0;1514,323;1303,717;484,1710;0,2309" o:connectangles="0,0,0,0,0"/>
                        <v:fill on="f" focussize="0,0"/>
                        <v:stroke weight="3pt" color="#F707F5" joinstyle="round"/>
                        <v:imagedata o:title=""/>
                        <o:lock v:ext="edit"/>
                        <v:shadow on="t" color="#000000" opacity="22937f" offset="0pt,1.81102362204724pt" origin="0f,32768f"/>
                      </v:shape>
                    </v:group>
                  </v:group>
                  <v:shape id="_x0000_s1113" o:spid="_x0000_s1113" o:spt="100" style="position:absolute;left:7543;top:705916;height:1557;width:750;" filled="f" stroked="t" coordsize="476250,988695" o:gfxdata="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3wjxe8AAAA&#10;2wAAAA8AAAAAAAAAAQAgAAAAIgAAAGRycy9kb3ducmV2LnhtbFBLAQIUABQAAAAIAIdO4kAzLwWe&#10;OwAAADkAAAAQAAAAAAAAAAEAIAAAAAsBAABkcnMvc2hhcGV4bWwueG1sUEsFBgAAAAAGAAYAWwEA&#10;ALUDAAAAAA==&#10;" adj="," path="m476250,0c317500,329565,158750,659130,0,988695e">
                    <v:path o:connecttype="segments" o:connectlocs="750,0;0,1557" o:connectangles="0,0"/>
                    <v:fill on="f" focussize="0,0"/>
                    <v:stroke weight="3pt" color="#FF02FF" joinstyle="round"/>
                    <v:imagedata o:title=""/>
                    <o:lock v:ext="edit"/>
                    <v:shadow on="t" color="#000000" opacity="22937f" offset="0pt,1.81102362204724pt" origin="0f,32768f"/>
                  </v:shape>
                </v:group>
              </w:pict>
            </w:r>
            <w:r>
              <w:rPr>
                <w:sz w:val="21"/>
              </w:rPr>
              <w:pict>
                <v:group id="_x0000_s1108" o:spid="_x0000_s1108" o:spt="203" style="position:absolute;left:0pt;margin-left:63.7pt;margin-top:368.25pt;height:41.35pt;width:38.45pt;z-index:251678720;mso-width-relative:page;mso-height-relative:page;" coordorigin="7721,588363" coordsize="769,827203" o:gfxdata="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">
                  <o:lock v:ext="edit"/>
                  <v:line id="_x0000_s1111" o:spid="_x0000_s1111" o:spt="20" style="position:absolute;left:7721;top:588363;height:0;width:761;" stroked="t" coordsize="21600,21600" o:gfxdata="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wF6BbsAAADc&#10;AAAADwAAAAAAAAABACAAAAAiAAAAZHJzL2Rvd25yZXYueG1sUEsBAhQAFAAAAAgAh07iQDMvBZ47&#10;AAAAOQAAABAAAAAAAAAAAQAgAAAACgEAAGRycy9zaGFwZXhtbC54bWxQSwUGAAAAAAYABgBbAQAA&#10;tAMAAAAA&#10;">
                    <v:path arrowok="t"/>
                    <v:fill focussize="0,0"/>
                    <v:stroke weight="3pt" color="#0070C0"/>
                    <v:imagedata o:title=""/>
                    <o:lock v:ext="edit"/>
                    <v:shadow on="t" color="#000000" opacity="22937f" offset="0pt,1.81102362204724pt" origin="0f,32768f"/>
                  </v:line>
                  <v:line id="_x0000_s1110" o:spid="_x0000_s1110" o:spt="20" style="position:absolute;left:7730;top:588776;height:0;width:761;" stroked="t" coordsize="21600,21600" o:gfxdata="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dwYUHvQAA&#10;ANwAAAAPAAAAAAAAAAEAIAAAACIAAABkcnMvZG93bnJldi54bWxQSwECFAAUAAAACACHTuJAMy8F&#10;njsAAAA5AAAAEAAAAAAAAAABACAAAAAMAQAAZHJzL3NoYXBleG1sLnhtbFBLBQYAAAAABgAGAFsB&#10;AAC2AwAAAAA=&#10;">
                    <v:path arrowok="t"/>
                    <v:fill focussize="0,0"/>
                    <v:stroke weight="3pt" color="#F707F5"/>
                    <v:imagedata o:title=""/>
                    <o:lock v:ext="edit"/>
                    <v:shadow on="t" color="#000000" opacity="22937f" offset="0pt,1.81102362204724pt" origin="0f,32768f"/>
                  </v:line>
                  <v:line id="_x0000_s1109" o:spid="_x0000_s1109" o:spt="20" style="position:absolute;left:7728;top:589190;height:0;width:761;" stroked="t" coordsize="21600,21600" o:gfxdata="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Q8zlbsAAADc&#10;AAAADwAAAAAAAAABACAAAAAiAAAAZHJzL2Rvd25yZXYueG1sUEsBAhQAFAAAAAgAh07iQDMvBZ47&#10;AAAAOQAAABAAAAAAAAAAAQAgAAAACgEAAGRycy9zaGFwZXhtbC54bWxQSwUGAAAAAAYABgBbAQAA&#10;tAMAAAAA&#10;">
                    <v:path arrowok="t"/>
                    <v:fill focussize="0,0"/>
                    <v:stroke weight="3pt" color="#000000"/>
                    <v:imagedata o:title=""/>
                    <o:lock v:ext="edit"/>
                    <v:shadow on="t" color="#000000" opacity="22937f" offset="0pt,1.81102362204724pt" origin="0f,32768f"/>
                  </v:line>
                </v:group>
              </w:pict>
            </w:r>
            <w:r>
              <w:rPr>
                <w:sz w:val="21"/>
              </w:rPr>
              <w:pict>
                <v:group id="_x0000_s1103" o:spid="_x0000_s1103" o:spt="203" style="position:absolute;left:0pt;margin-left:134.15pt;margin-top:190.2pt;height:51.25pt;width:128.45pt;z-index:251679744;mso-width-relative:page;mso-height-relative:page;" coordorigin="5224,653576" coordsize="2486,976203" o:gfxdata="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">
                  <o:lock v:ext="edit"/>
                  <v:shape id="_x0000_s1107" o:spid="_x0000_s1107" o:spt="100" style="position:absolute;left:5224;top:654044;height:509;width:1194;" filled="f" stroked="t" coordsize="762000,327660" o:gfxdata="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TsESFvQAA&#10;ANwAAAAPAAAAAAAAAAEAIAAAACIAAABkcnMvZG93bnJldi54bWxQSwECFAAUAAAACACHTuJAMy8F&#10;njsAAAA5AAAAEAAAAAAAAAABACAAAAAMAQAAZHJzL3NoYXBleG1sLnhtbFBLBQYAAAAABgAGAFsB&#10;AAC2AwAAAAA=&#10;" adj="," path="m0,327660c71120,308610,239395,276860,391795,211455c544195,146050,695960,40005,762000,0e">
                    <v:path o:connecttype="segments" o:connectlocs="0,509;613,328;1194,0" o:connectangles="0,0,0"/>
                    <v:fill on="f" focussize="0,0"/>
                    <v:stroke weight="3pt" color="#0070C0" joinstyle="round"/>
                    <v:imagedata o:title=""/>
                    <o:lock v:ext="edit"/>
                    <v:shadow on="t" color="#000000" opacity="22937f" offset="0pt,1.81102362204724pt" origin="0f,32768f"/>
                  </v:shape>
                  <v:line id="_x0000_s1106" o:spid="_x0000_s1106" o:spt="20" style="position:absolute;left:6418;top:654044;height:476;width:920;" stroked="t" coordsize="21600,21600" o:gfxdata="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CfdE3ugAAANwA&#10;AAAPAAAAAAAAAAEAIAAAACIAAABkcnMvZG93bnJldi54bWxQSwECFAAUAAAACACHTuJAMy8FnjsA&#10;AAA5AAAAEAAAAAAAAAABACAAAAAJAQAAZHJzL3NoYXBleG1sLnhtbFBLBQYAAAAABgAGAFsBAACz&#10;AwAAAAA=&#10;">
                    <v:path arrowok="t"/>
                    <v:fill focussize="0,0"/>
                    <v:stroke weight="3pt" color="#0070C0"/>
                    <v:imagedata o:title=""/>
                    <o:lock v:ext="edit"/>
                    <v:shadow on="t" color="#000000" opacity="22937f" offset="0pt,1.81102362204724pt" origin="0f,32768f"/>
                  </v:line>
                  <v:line id="_x0000_s1105" o:spid="_x0000_s1105" o:spt="20" style="position:absolute;left:6766;top:653576;height:492;width:945;" stroked="t" coordsize="21600,21600" o:gfxdata="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q9PQLsAAADc&#10;AAAADwAAAAAAAAABACAAAAAiAAAAZHJzL2Rvd25yZXYueG1sUEsBAhQAFAAAAAgAh07iQDMvBZ47&#10;AAAAOQAAABAAAAAAAAAAAQAgAAAACgEAAGRycy9zaGFwZXhtbC54bWxQSwUGAAAAAAYABgBbAQAA&#10;tAMAAAAA&#10;">
                    <v:path arrowok="t"/>
                    <v:fill focussize="0,0"/>
                    <v:stroke weight="3pt" color="#0070C0"/>
                    <v:imagedata o:title=""/>
                    <o:lock v:ext="edit"/>
                    <v:shadow on="t" color="#000000" opacity="22937f" offset="0pt,1.81102362204724pt" origin="0f,32768f"/>
                  </v:line>
                  <v:line id="_x0000_s1104" o:spid="_x0000_s1104" o:spt="20" style="position:absolute;left:7156;top:653945;flip:y;height:460;width:306;" stroked="t" coordsize="21600,21600" o:gfxdata="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tAfiTrgAAADcAAAA&#10;DwAAAAAAAAABACAAAAAiAAAAZHJzL2Rvd25yZXYueG1sUEsBAhQAFAAAAAgAh07iQDMvBZ47AAAA&#10;OQAAABAAAAAAAAAAAQAgAAAABwEAAGRycy9zaGFwZXhtbC54bWxQSwUGAAAAAAYABgBbAQAAsQMA&#10;AAAA&#10;">
                    <v:path arrowok="t"/>
                    <v:fill focussize="0,0"/>
                    <v:stroke weight="3pt" color="#0070C0"/>
                    <v:imagedata o:title=""/>
                    <o:lock v:ext="edit"/>
                    <v:shadow on="t" color="#000000" opacity="22937f" offset="0pt,1.81102362204724pt" origin="0f,32768f"/>
                  </v:line>
                </v:group>
              </w:pict>
            </w:r>
            <w:r>
              <w:drawing>
                <wp:inline distT="0" distB="0" distL="114300" distR="114300">
                  <wp:extent cx="7826375" cy="5497195"/>
                  <wp:effectExtent l="0" t="0" r="3175" b="8255"/>
                  <wp:docPr id="6"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5"/>
                          <pic:cNvPicPr>
                            <a:picLocks noChangeAspect="1"/>
                          </pic:cNvPicPr>
                        </pic:nvPicPr>
                        <pic:blipFill>
                          <a:blip r:embed="rId83"/>
                          <a:stretch>
                            <a:fillRect/>
                          </a:stretch>
                        </pic:blipFill>
                        <pic:spPr>
                          <a:xfrm>
                            <a:off x="0" y="0"/>
                            <a:ext cx="7826375" cy="549719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5000" w:type="pct"/>
          </w:tcPr>
          <w:p>
            <w:pPr>
              <w:spacing w:line="240" w:lineRule="auto"/>
              <w:ind w:firstLine="0" w:firstLineChars="0"/>
              <w:jc w:val="center"/>
              <w:rPr>
                <w:sz w:val="21"/>
                <w:szCs w:val="21"/>
              </w:rPr>
            </w:pPr>
            <w:r>
              <w:rPr>
                <w:b/>
                <w:bCs/>
                <w:sz w:val="21"/>
                <w:szCs w:val="21"/>
              </w:rPr>
              <w:t>图2.1-13园区公共基础设施布设位置及建设状态示意图</w:t>
            </w:r>
          </w:p>
        </w:tc>
      </w:tr>
    </w:tbl>
    <w:p>
      <w:pPr>
        <w:ind w:firstLine="480"/>
        <w:sectPr>
          <w:pgSz w:w="16838" w:h="11905" w:orient="landscape"/>
          <w:pgMar w:top="1417" w:right="1417" w:bottom="1417" w:left="1417" w:header="850" w:footer="992" w:gutter="0"/>
          <w:cols w:space="720" w:num="1"/>
          <w:docGrid w:linePitch="312" w:charSpace="0"/>
        </w:sectPr>
      </w:pP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287" w:type="dxa"/>
            <w:tcBorders>
              <w:top w:val="single" w:color="auto" w:sz="4" w:space="0"/>
            </w:tcBorders>
          </w:tcPr>
          <w:p>
            <w:pPr>
              <w:spacing w:line="240" w:lineRule="auto"/>
              <w:ind w:firstLine="0" w:firstLineChars="0"/>
              <w:jc w:val="center"/>
              <w:rPr>
                <w:sz w:val="21"/>
                <w:szCs w:val="21"/>
              </w:rPr>
            </w:pPr>
            <w:r>
              <w:rPr>
                <w:sz w:val="21"/>
              </w:rPr>
              <w:pict>
                <v:shape id="_x0000_s1102" o:spid="_x0000_s1102" o:spt="61" type="#_x0000_t61" style="position:absolute;left:0pt;margin-left:172.55pt;margin-top:107.05pt;height:59.75pt;width:34.55pt;rotation:1441792f;z-index:251677696;v-text-anchor:middle;mso-width-relative:page;mso-height-relative:page;" filled="f" stroked="f" coordsize="21600,21600" o:gfxdata="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oL+4X2gAAAAsBAAAPAAAAAAAAAAEAIAAAACIAAABkcnMvZG93&#10;bnJldi54bWxQSwECFAAUAAAACACHTuJAzOBhl3ACAAC5BAAADgAAAAAAAAABACAAAAApAQAAZHJz&#10;L2Uyb0RvYy54bWxQSwUGAAAAAAYABgBZAQAACwY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101" o:spid="_x0000_s1101" o:spt="61" type="#_x0000_t61" style="position:absolute;left:0pt;margin-left:234pt;margin-top:150.55pt;height:59.75pt;width:34.55pt;z-index:251674624;v-text-anchor:middle;mso-width-relative:page;mso-height-relative:page;" filled="f" stroked="f" coordsize="21600,21600" o:gfxdata="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qgmjDdgAAAALAQAADwAAAAAAAAABACAAAAAiAAAAZHJzL2Rvd25yZXYueG1sUEsB&#10;AhQAFAAAAAgAh07iQHww+eJnAgAAqwQAAA4AAAAAAAAAAQAgAAAAJwEAAGRycy9lMm9Eb2MueG1s&#10;UEsFBgAAAAAGAAYAWQEAAAAG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100" o:spid="_x0000_s1100" o:spt="61" type="#_x0000_t61" style="position:absolute;left:0pt;margin-left:229.9pt;margin-top:76.05pt;height:59.75pt;width:34.55pt;z-index:251676672;v-text-anchor:middle;mso-width-relative:page;mso-height-relative:page;" filled="f" stroked="f" coordsize="21600,21600" o:gfxdata="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Sceq+tgAAAALAQAADwAAAAAAAAABACAAAAAiAAAAZHJzL2Rvd25yZXYueG1sUEsB&#10;AhQAFAAAAAgAh07iQOf5M0dnAgAAqwQAAA4AAAAAAAAAAQAgAAAAJwEAAGRycy9lMm9Eb2MueG1s&#10;UEsFBgAAAAAGAAYAWQEAAAAG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099" o:spid="_x0000_s1099" o:spt="61" type="#_x0000_t61" style="position:absolute;left:0pt;margin-left:86.2pt;margin-top:218.5pt;height:59.75pt;width:34.55pt;rotation:1441792f;z-index:251675648;v-text-anchor:middle;mso-width-relative:page;mso-height-relative:page;" filled="f" stroked="f" coordsize="21600,21600" o:gfxdata="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rbrN2NkAAAALAQAADwAAAAAAAAABACAAAAAiAAAAZHJzL2Rvd25y&#10;ZXYueG1sUEsBAhQAFAAAAAgAh07iQLPNxKdvAgAAuQQAAA4AAAAAAAAAAQAgAAAAKAEAAGRycy9l&#10;Mm9Eb2MueG1sUEsFBgAAAAAGAAYAWQEAAAkG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098" o:spid="_x0000_s1098" o:spt="61" type="#_x0000_t61" style="position:absolute;left:0pt;margin-left:193.15pt;margin-top:189.3pt;height:59.75pt;width:34.55pt;rotation:851968f;z-index:251673600;v-text-anchor:middle;mso-width-relative:page;mso-height-relative:page;" filled="f" stroked="f" coordsize="21600,21600" o:gfxdata="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龙翔路</w:t>
                        </w:r>
                      </w:p>
                    </w:txbxContent>
                  </v:textbox>
                </v:shape>
              </w:pict>
            </w:r>
            <w:r>
              <w:rPr>
                <w:sz w:val="21"/>
                <w:szCs w:val="21"/>
              </w:rPr>
              <w:drawing>
                <wp:inline distT="0" distB="0" distL="114300" distR="114300">
                  <wp:extent cx="5698490" cy="3799205"/>
                  <wp:effectExtent l="0" t="0" r="16510" b="10795"/>
                  <wp:docPr id="174" name="图片 174" descr="DJI_0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74" descr="DJI_0242"/>
                          <pic:cNvPicPr>
                            <a:picLocks noChangeAspect="1"/>
                          </pic:cNvPicPr>
                        </pic:nvPicPr>
                        <pic:blipFill>
                          <a:blip r:embed="rId84"/>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图2.1-14龙翔路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sz w:val="21"/>
                <w:szCs w:val="21"/>
              </w:rPr>
              <w:drawing>
                <wp:inline distT="0" distB="0" distL="114300" distR="114300">
                  <wp:extent cx="5740400" cy="4305300"/>
                  <wp:effectExtent l="0" t="0" r="12700" b="0"/>
                  <wp:docPr id="157" name="图片 157" descr="IMG_20221031_154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IMG_20221031_154553"/>
                          <pic:cNvPicPr>
                            <a:picLocks noChangeAspect="1"/>
                          </pic:cNvPicPr>
                        </pic:nvPicPr>
                        <pic:blipFill>
                          <a:blip r:embed="rId85"/>
                          <a:stretch>
                            <a:fillRect/>
                          </a:stretch>
                        </pic:blipFill>
                        <pic:spPr>
                          <a:xfrm>
                            <a:off x="0" y="0"/>
                            <a:ext cx="5740400" cy="43053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图2.1-15永祥物流通道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9287" w:type="dxa"/>
          </w:tcPr>
          <w:p>
            <w:pPr>
              <w:spacing w:line="240" w:lineRule="auto"/>
              <w:ind w:firstLine="0" w:firstLineChars="0"/>
              <w:jc w:val="center"/>
              <w:rPr>
                <w:sz w:val="21"/>
                <w:szCs w:val="21"/>
              </w:rPr>
            </w:pPr>
            <w:r>
              <w:rPr>
                <w:sz w:val="21"/>
                <w:szCs w:val="21"/>
              </w:rPr>
              <w:drawing>
                <wp:inline distT="0" distB="0" distL="114300" distR="114300">
                  <wp:extent cx="5740400" cy="4305300"/>
                  <wp:effectExtent l="0" t="0" r="12700" b="0"/>
                  <wp:docPr id="158" name="图片 158" descr="IMG_20221031_155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IMG_20221031_155630"/>
                          <pic:cNvPicPr>
                            <a:picLocks noChangeAspect="1"/>
                          </pic:cNvPicPr>
                        </pic:nvPicPr>
                        <pic:blipFill>
                          <a:blip r:embed="rId86"/>
                          <a:stretch>
                            <a:fillRect/>
                          </a:stretch>
                        </pic:blipFill>
                        <pic:spPr>
                          <a:xfrm>
                            <a:off x="0" y="0"/>
                            <a:ext cx="5740400" cy="43053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图2.1-16北永路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sz w:val="21"/>
              </w:rPr>
              <w:pict>
                <v:shape id="_x0000_s1097" o:spid="_x0000_s1097" o:spt="61" type="#_x0000_t61" style="position:absolute;left:0pt;margin-left:19.15pt;margin-top:169.25pt;height:59.75pt;width:60pt;z-index:251669504;v-text-anchor:middle;mso-width-relative:page;mso-height-relative:page;" filled="f" stroked="f" coordsize="21600,21600" o:gfxdata="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096" o:spid="_x0000_s1096" o:spt="61" type="#_x0000_t61" style="position:absolute;left:0pt;margin-left:310.15pt;margin-top:190.25pt;height:59.75pt;width:60pt;z-index:251668480;v-text-anchor:middle;mso-width-relative:page;mso-height-relative:page;" filled="f" stroked="f" coordsize="21600,21600" o:gfxdata="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095" o:spid="_x0000_s1095" o:spt="61" type="#_x0000_t61" style="position:absolute;left:0pt;margin-left:157.7pt;margin-top:181.05pt;height:59.75pt;width:53.55pt;z-index:251667456;v-text-anchor:middle;mso-width-relative:page;mso-height-relative:page;" filled="f" stroked="f" coordsize="21600,21600" o:gfxdata="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lxmK/NgAAAALAQAADwAAAAAAAAABACAAAAAiAAAAZHJzL2Rvd25yZXYueG1sUEsB&#10;AhQAFAAAAAgAh07iQFYj5l9nAgAAqwQAAA4AAAAAAAAAAQAgAAAAJwEAAGRycy9lMm9Eb2MueG1s&#10;UEsFBgAAAAAGAAYAWQEAAAAG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北二路</w:t>
                        </w:r>
                      </w:p>
                    </w:txbxContent>
                  </v:textbox>
                </v:shape>
              </w:pict>
            </w:r>
            <w:r>
              <w:rPr>
                <w:sz w:val="21"/>
                <w:szCs w:val="21"/>
              </w:rPr>
              <w:drawing>
                <wp:inline distT="0" distB="0" distL="114300" distR="114300">
                  <wp:extent cx="5698490" cy="3799205"/>
                  <wp:effectExtent l="0" t="0" r="16510" b="10795"/>
                  <wp:docPr id="163" name="图片 163" descr="DJI_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63" descr="DJI_0246"/>
                          <pic:cNvPicPr>
                            <a:picLocks noChangeAspect="1"/>
                          </pic:cNvPicPr>
                        </pic:nvPicPr>
                        <pic:blipFill>
                          <a:blip r:embed="rId87"/>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图2.1-17北二路（建成段）</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sz w:val="21"/>
              </w:rPr>
              <w:pict>
                <v:shape id="_x0000_s1094" o:spid="_x0000_s1094" o:spt="61" type="#_x0000_t61" style="position:absolute;left:0pt;margin-left:219.4pt;margin-top:166.05pt;height:60.5pt;width:30.05pt;rotation:-393216f;z-index:251672576;v-text-anchor:middle;mso-width-relative:page;mso-height-relative:page;" filled="f" stroked="f" coordsize="21600,21600" o:gfxdata="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pCNlm9wAAAALAQAADwAAAAAAAAABACAAAAAiAAAAZHJzL2Rv&#10;d25yZXYueG1sUEsBAhQAFAAAAAgAh07iQKqS17VvAgAAugQAAA4AAAAAAAAAAQAgAAAAKwEAAGRy&#10;cy9lMm9Eb2MueG1sUEsFBgAAAAAGAAYAWQEAAAwG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093" o:spid="_x0000_s1093" o:spt="61" type="#_x0000_t61" style="position:absolute;left:0pt;margin-left:133.15pt;margin-top:166.8pt;height:60.5pt;width:30.05pt;rotation:851968f;z-index:251671552;v-text-anchor:middle;mso-width-relative:page;mso-height-relative:page;" filled="f" stroked="f" coordsize="21600,21600" o:gfxdata="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EhOfULcAAAACwEAAA8AAAAAAAAAAQAgAAAAIgAAAGRycy9k&#10;b3ducmV2LnhtbFBLAQIUABQAAAAIAIdO4kCeMwAZcAIAALgEAAAOAAAAAAAAAAEAIAAAACsBAABk&#10;cnMvZTJvRG9jLnhtbFBLBQYAAAAABgAGAFkBAAANBg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绿化带</w:t>
                        </w:r>
                      </w:p>
                    </w:txbxContent>
                  </v:textbox>
                </v:shape>
              </w:pict>
            </w:r>
            <w:r>
              <w:rPr>
                <w:sz w:val="21"/>
              </w:rPr>
              <w:pict>
                <v:shape id="_x0000_s1092" o:spid="_x0000_s1092" o:spt="61" type="#_x0000_t61" style="position:absolute;left:0pt;margin-left:165.95pt;margin-top:172.3pt;height:59.75pt;width:53.55pt;z-index:251670528;v-text-anchor:middle;mso-width-relative:page;mso-height-relative:page;" filled="f" stroked="f" coordsize="21600,21600" o:gfxdata="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" adj="6300,24300">
                  <v:path/>
                  <v:fill on="f" focussize="0,0"/>
                  <v:stroke on="f" weight="2pt" joinstyle="miter"/>
                  <v:imagedata o:title=""/>
                  <o:lock v:ext="edit"/>
                  <v:textbox>
                    <w:txbxContent>
                      <w:p>
                        <w:pPr>
                          <w:spacing w:line="240" w:lineRule="auto"/>
                          <w:ind w:firstLine="0" w:firstLineChars="0"/>
                          <w:jc w:val="center"/>
                          <w:rPr>
                            <w:b/>
                            <w:bCs/>
                            <w:color w:val="FF0000"/>
                          </w:rPr>
                        </w:pPr>
                        <w:r>
                          <w:rPr>
                            <w:rFonts w:hint="eastAsia"/>
                            <w:b/>
                            <w:bCs/>
                            <w:color w:val="FF0000"/>
                          </w:rPr>
                          <w:t>西二路</w:t>
                        </w:r>
                      </w:p>
                    </w:txbxContent>
                  </v:textbox>
                </v:shape>
              </w:pict>
            </w:r>
            <w:r>
              <w:rPr>
                <w:b/>
                <w:bCs/>
                <w:sz w:val="21"/>
                <w:szCs w:val="21"/>
              </w:rPr>
              <w:drawing>
                <wp:inline distT="0" distB="0" distL="114300" distR="114300">
                  <wp:extent cx="5698490" cy="3799205"/>
                  <wp:effectExtent l="0" t="0" r="16510" b="10795"/>
                  <wp:docPr id="164" name="图片 164" descr="DJI_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DJI_0254"/>
                          <pic:cNvPicPr>
                            <a:picLocks noChangeAspect="1"/>
                          </pic:cNvPicPr>
                        </pic:nvPicPr>
                        <pic:blipFill>
                          <a:blip r:embed="rId88"/>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图2.1-18西二路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vAlign w:val="center"/>
          </w:tcPr>
          <w:p>
            <w:pPr>
              <w:spacing w:line="240" w:lineRule="auto"/>
              <w:ind w:firstLine="0" w:firstLineChars="0"/>
              <w:jc w:val="center"/>
              <w:rPr>
                <w:sz w:val="21"/>
                <w:szCs w:val="21"/>
              </w:rPr>
            </w:pPr>
            <w:r>
              <w:pict>
                <v:shape id="_x0000_s1091" o:spid="_x0000_s1091" o:spt="61" type="#_x0000_t61" style="position:absolute;left:0pt;margin-left:294.2pt;margin-top:23.95pt;height:33.3pt;width:114.1pt;z-index:251688960;mso-width-relative:page;mso-height-relative:page;" filled="f" stroked="t" coordsize="21600,21600" o:gfxdata="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JlWnG7ZAAAACgEAAA8AAAAA&#10;AAAAAQAgAAAAIgAAAGRycy9kb3ducmV2LnhtbFBLAQIUABQAAAAIAIdO4kBpHYjCTAIAAIwEAAAO&#10;AAAAAAAAAAEAIAAAACgBAABkcnMvZTJvRG9jLnhtbFBLBQYAAAAABgAGAFkBAADmBQAAAAA=&#10;" adj="-8500,22703">
                  <v:path/>
                  <v:fill on="f" focussize="0,0"/>
                  <v:stroke weight="1.25pt" color="#00B0F0" joinstyle="miter"/>
                  <v:imagedata o:title=""/>
                  <o:lock v:ext="edit"/>
                  <v:textbox>
                    <w:txbxContent>
                      <w:p>
                        <w:pPr>
                          <w:ind w:firstLine="0" w:firstLineChars="0"/>
                          <w:rPr>
                            <w:b/>
                            <w:bCs/>
                            <w:color w:val="FF0000"/>
                          </w:rPr>
                        </w:pPr>
                        <w:r>
                          <w:rPr>
                            <w:rFonts w:hint="eastAsia"/>
                            <w:b/>
                            <w:bCs/>
                            <w:color w:val="FF0000"/>
                          </w:rPr>
                          <w:t>危险化学品停车场</w:t>
                        </w:r>
                      </w:p>
                    </w:txbxContent>
                  </v:textbox>
                </v:shape>
              </w:pict>
            </w:r>
            <w:r>
              <w:pict>
                <v:shape id="_x0000_s1090" o:spid="_x0000_s1090" o:spt="61" type="#_x0000_t61" style="position:absolute;left:0pt;margin-left:131.6pt;margin-top:52.95pt;height:29.2pt;width:60.3pt;z-index:251687936;mso-width-relative:page;mso-height-relative:page;" filled="f" stroked="t" coordsize="21600,21600" o:gfxdata="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NzYqItoAAAALAQAADwAA&#10;AAAAAAABACAAAAAiAAAAZHJzL2Rvd25yZXYueG1sUEsBAhQAFAAAAAgAh07iQFC06TNNAgAAjAQA&#10;AA4AAAAAAAAAAQAgAAAAKQEAAGRycy9lMm9Eb2MueG1sUEsFBgAAAAAGAAYAWQEAAOgFAAAAAA==&#10;" adj="18931,42090">
                  <v:path/>
                  <v:fill on="f" focussize="0,0"/>
                  <v:stroke weight="1.25pt" color="#00B0F0" joinstyle="miter"/>
                  <v:imagedata o:title=""/>
                  <o:lock v:ext="edit"/>
                  <v:textbox>
                    <w:txbxContent>
                      <w:p>
                        <w:pPr>
                          <w:ind w:firstLine="0" w:firstLineChars="0"/>
                          <w:jc w:val="center"/>
                          <w:rPr>
                            <w:b/>
                            <w:bCs/>
                            <w:color w:val="FF0000"/>
                          </w:rPr>
                        </w:pPr>
                        <w:r>
                          <w:rPr>
                            <w:rFonts w:hint="eastAsia"/>
                            <w:b/>
                            <w:bCs/>
                            <w:color w:val="FF0000"/>
                          </w:rPr>
                          <w:t>龙翔路</w:t>
                        </w:r>
                      </w:p>
                    </w:txbxContent>
                  </v:textbox>
                </v:shape>
              </w:pict>
            </w:r>
            <w:r>
              <w:pict>
                <v:shape id="自选图形 423" o:spid="_x0000_s1089" o:spt="61" type="#_x0000_t61" style="position:absolute;left:0pt;margin-left:109.65pt;margin-top:203.4pt;height:31.5pt;width:108.35pt;z-index:251686912;mso-width-relative:page;mso-height-relative:page;" filled="f" stroked="t" coordsize="21600,21600" o:gfxdata="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" adj="20743,-28183">
                  <v:path/>
                  <v:fill on="f" focussize="0,0"/>
                  <v:stroke weight="1.25pt" color="#00B0F0" joinstyle="miter"/>
                  <v:imagedata o:title=""/>
                  <o:lock v:ext="edit"/>
                  <v:textbox>
                    <w:txbxContent>
                      <w:p>
                        <w:pPr>
                          <w:ind w:firstLine="0" w:firstLineChars="0"/>
                          <w:jc w:val="center"/>
                          <w:rPr>
                            <w:b/>
                            <w:bCs/>
                            <w:color w:val="FF0000"/>
                          </w:rPr>
                        </w:pPr>
                        <w:r>
                          <w:rPr>
                            <w:rFonts w:hint="eastAsia"/>
                            <w:b/>
                            <w:bCs/>
                            <w:color w:val="FF0000"/>
                          </w:rPr>
                          <w:t>工业污水处理厂</w:t>
                        </w:r>
                      </w:p>
                    </w:txbxContent>
                  </v:textbox>
                </v:shape>
              </w:pict>
            </w:r>
            <w:r>
              <w:rPr>
                <w:sz w:val="21"/>
                <w:szCs w:val="21"/>
              </w:rPr>
              <w:drawing>
                <wp:inline distT="0" distB="0" distL="114300" distR="114300">
                  <wp:extent cx="5698490" cy="3799205"/>
                  <wp:effectExtent l="0" t="0" r="16510" b="10795"/>
                  <wp:docPr id="59" name="图片 59" descr="DJI_0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DJI_0259"/>
                          <pic:cNvPicPr>
                            <a:picLocks noChangeAspect="1"/>
                          </pic:cNvPicPr>
                        </pic:nvPicPr>
                        <pic:blipFill>
                          <a:blip r:embed="rId89"/>
                          <a:stretch>
                            <a:fillRect/>
                          </a:stretch>
                        </pic:blipFill>
                        <pic:spPr>
                          <a:xfrm>
                            <a:off x="0" y="0"/>
                            <a:ext cx="5698490" cy="379920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vAlign w:val="center"/>
          </w:tcPr>
          <w:p>
            <w:pPr>
              <w:spacing w:line="240" w:lineRule="auto"/>
              <w:ind w:firstLine="0" w:firstLineChars="0"/>
              <w:jc w:val="center"/>
              <w:rPr>
                <w:sz w:val="21"/>
                <w:szCs w:val="21"/>
              </w:rPr>
            </w:pPr>
            <w:r>
              <w:rPr>
                <w:b/>
                <w:bCs/>
                <w:sz w:val="21"/>
                <w:szCs w:val="21"/>
              </w:rPr>
              <w:t>图2.1-19园区危险化学品停车场</w:t>
            </w:r>
          </w:p>
        </w:tc>
      </w:tr>
    </w:tbl>
    <w:p>
      <w:pPr>
        <w:ind w:firstLine="480"/>
        <w:sectPr>
          <w:pgSz w:w="11905" w:h="16838"/>
          <w:pgMar w:top="1417" w:right="1417" w:bottom="1417" w:left="1417" w:header="850" w:footer="992" w:gutter="0"/>
          <w:cols w:space="720" w:num="1"/>
          <w:docGrid w:linePitch="312" w:charSpace="0"/>
        </w:sectPr>
      </w:pPr>
    </w:p>
    <w:p>
      <w:pPr>
        <w:ind w:firstLine="0" w:firstLineChars="0"/>
        <w:jc w:val="center"/>
        <w:rPr>
          <w:b/>
          <w:bCs/>
        </w:rPr>
      </w:pPr>
      <w:r>
        <w:rPr>
          <w:b/>
          <w:bCs/>
        </w:rPr>
        <w:t>表2.1-3园区内已开工建设的工程情况一览表</w:t>
      </w:r>
    </w:p>
    <w:tbl>
      <w:tblPr>
        <w:tblStyle w:val="110"/>
        <w:tblW w:w="5073"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15"/>
        <w:gridCol w:w="2182"/>
        <w:gridCol w:w="1627"/>
        <w:gridCol w:w="1226"/>
        <w:gridCol w:w="3362"/>
        <w:gridCol w:w="1775"/>
        <w:gridCol w:w="1062"/>
        <w:gridCol w:w="1241"/>
        <w:gridCol w:w="123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48" w:type="pct"/>
            <w:vAlign w:val="center"/>
          </w:tcPr>
          <w:p>
            <w:pPr>
              <w:spacing w:line="240" w:lineRule="auto"/>
              <w:ind w:firstLine="0" w:firstLineChars="0"/>
              <w:jc w:val="center"/>
              <w:rPr>
                <w:b/>
                <w:bCs/>
                <w:sz w:val="21"/>
                <w:szCs w:val="21"/>
              </w:rPr>
            </w:pPr>
            <w:r>
              <w:rPr>
                <w:b/>
                <w:bCs/>
                <w:sz w:val="21"/>
                <w:szCs w:val="21"/>
              </w:rPr>
              <w:t>序号</w:t>
            </w:r>
          </w:p>
        </w:tc>
        <w:tc>
          <w:tcPr>
            <w:tcW w:w="756" w:type="pct"/>
            <w:vAlign w:val="center"/>
          </w:tcPr>
          <w:p>
            <w:pPr>
              <w:spacing w:line="240" w:lineRule="auto"/>
              <w:ind w:firstLine="0" w:firstLineChars="0"/>
              <w:jc w:val="center"/>
              <w:rPr>
                <w:b/>
                <w:bCs/>
                <w:sz w:val="21"/>
                <w:szCs w:val="21"/>
              </w:rPr>
            </w:pPr>
            <w:r>
              <w:rPr>
                <w:b/>
                <w:bCs/>
                <w:sz w:val="21"/>
                <w:szCs w:val="21"/>
              </w:rPr>
              <w:t>建设内容</w:t>
            </w:r>
          </w:p>
        </w:tc>
        <w:tc>
          <w:tcPr>
            <w:tcW w:w="564" w:type="pct"/>
            <w:vAlign w:val="center"/>
          </w:tcPr>
          <w:p>
            <w:pPr>
              <w:spacing w:line="240" w:lineRule="auto"/>
              <w:ind w:firstLine="0" w:firstLineChars="0"/>
              <w:jc w:val="center"/>
              <w:rPr>
                <w:b/>
                <w:bCs/>
                <w:sz w:val="21"/>
                <w:szCs w:val="21"/>
              </w:rPr>
            </w:pPr>
            <w:r>
              <w:rPr>
                <w:b/>
                <w:bCs/>
                <w:sz w:val="21"/>
                <w:szCs w:val="21"/>
              </w:rPr>
              <w:t>防治责任范围（hm</w:t>
            </w:r>
            <w:r>
              <w:rPr>
                <w:b/>
                <w:bCs/>
                <w:sz w:val="21"/>
                <w:szCs w:val="21"/>
                <w:vertAlign w:val="superscript"/>
              </w:rPr>
              <w:t>2</w:t>
            </w:r>
            <w:r>
              <w:rPr>
                <w:b/>
                <w:bCs/>
                <w:sz w:val="21"/>
                <w:szCs w:val="21"/>
              </w:rPr>
              <w:t>）</w:t>
            </w:r>
          </w:p>
        </w:tc>
        <w:tc>
          <w:tcPr>
            <w:tcW w:w="424" w:type="pct"/>
            <w:vAlign w:val="center"/>
          </w:tcPr>
          <w:p>
            <w:pPr>
              <w:spacing w:line="240" w:lineRule="auto"/>
              <w:ind w:firstLine="0" w:firstLineChars="0"/>
              <w:jc w:val="center"/>
              <w:rPr>
                <w:b/>
                <w:bCs/>
                <w:sz w:val="21"/>
                <w:szCs w:val="21"/>
              </w:rPr>
            </w:pPr>
            <w:r>
              <w:rPr>
                <w:b/>
                <w:bCs/>
                <w:sz w:val="21"/>
                <w:szCs w:val="21"/>
              </w:rPr>
              <w:t>已扰动面积（hm</w:t>
            </w:r>
            <w:r>
              <w:rPr>
                <w:b/>
                <w:bCs/>
                <w:sz w:val="21"/>
                <w:szCs w:val="21"/>
                <w:vertAlign w:val="superscript"/>
              </w:rPr>
              <w:t>2</w:t>
            </w:r>
            <w:r>
              <w:rPr>
                <w:b/>
                <w:bCs/>
                <w:sz w:val="21"/>
                <w:szCs w:val="21"/>
              </w:rPr>
              <w:t>）</w:t>
            </w:r>
          </w:p>
        </w:tc>
        <w:tc>
          <w:tcPr>
            <w:tcW w:w="1165" w:type="pct"/>
            <w:vAlign w:val="center"/>
          </w:tcPr>
          <w:p>
            <w:pPr>
              <w:spacing w:line="240" w:lineRule="auto"/>
              <w:ind w:firstLine="0" w:firstLineChars="0"/>
              <w:jc w:val="center"/>
              <w:rPr>
                <w:b/>
                <w:bCs/>
                <w:sz w:val="21"/>
                <w:szCs w:val="21"/>
              </w:rPr>
            </w:pPr>
            <w:r>
              <w:rPr>
                <w:b/>
                <w:bCs/>
                <w:sz w:val="21"/>
                <w:szCs w:val="21"/>
              </w:rPr>
              <w:t>建设情况</w:t>
            </w:r>
          </w:p>
        </w:tc>
        <w:tc>
          <w:tcPr>
            <w:tcW w:w="615" w:type="pct"/>
            <w:vAlign w:val="center"/>
          </w:tcPr>
          <w:p>
            <w:pPr>
              <w:spacing w:line="240" w:lineRule="auto"/>
              <w:ind w:firstLine="0" w:firstLineChars="0"/>
              <w:jc w:val="center"/>
              <w:rPr>
                <w:b/>
                <w:bCs/>
                <w:sz w:val="21"/>
                <w:szCs w:val="21"/>
              </w:rPr>
            </w:pPr>
            <w:r>
              <w:rPr>
                <w:b/>
                <w:bCs/>
                <w:sz w:val="21"/>
                <w:szCs w:val="21"/>
              </w:rPr>
              <w:t>是否编报水保方案</w:t>
            </w:r>
          </w:p>
        </w:tc>
        <w:tc>
          <w:tcPr>
            <w:tcW w:w="368" w:type="pct"/>
            <w:vAlign w:val="center"/>
          </w:tcPr>
          <w:p>
            <w:pPr>
              <w:spacing w:line="240" w:lineRule="auto"/>
              <w:ind w:firstLine="0" w:firstLineChars="0"/>
              <w:jc w:val="center"/>
              <w:rPr>
                <w:b/>
                <w:bCs/>
                <w:sz w:val="21"/>
                <w:szCs w:val="21"/>
              </w:rPr>
            </w:pPr>
            <w:r>
              <w:rPr>
                <w:b/>
                <w:bCs/>
                <w:sz w:val="21"/>
                <w:szCs w:val="21"/>
              </w:rPr>
              <w:t>是否足额缴纳补偿费</w:t>
            </w:r>
          </w:p>
        </w:tc>
        <w:tc>
          <w:tcPr>
            <w:tcW w:w="430" w:type="pct"/>
            <w:vAlign w:val="center"/>
          </w:tcPr>
          <w:p>
            <w:pPr>
              <w:spacing w:line="240" w:lineRule="auto"/>
              <w:ind w:firstLine="0" w:firstLineChars="0"/>
              <w:jc w:val="center"/>
              <w:rPr>
                <w:b/>
                <w:bCs/>
                <w:sz w:val="21"/>
                <w:szCs w:val="21"/>
              </w:rPr>
            </w:pPr>
            <w:r>
              <w:rPr>
                <w:b/>
                <w:bCs/>
                <w:sz w:val="21"/>
                <w:szCs w:val="21"/>
              </w:rPr>
              <w:t>是否开展水土保持监测</w:t>
            </w:r>
          </w:p>
        </w:tc>
        <w:tc>
          <w:tcPr>
            <w:tcW w:w="426" w:type="pct"/>
            <w:vAlign w:val="center"/>
          </w:tcPr>
          <w:p>
            <w:pPr>
              <w:spacing w:line="240" w:lineRule="auto"/>
              <w:ind w:firstLine="0" w:firstLineChars="0"/>
              <w:jc w:val="center"/>
              <w:rPr>
                <w:b/>
                <w:bCs/>
                <w:sz w:val="21"/>
                <w:szCs w:val="21"/>
              </w:rPr>
            </w:pPr>
            <w:r>
              <w:rPr>
                <w:b/>
                <w:bCs/>
                <w:sz w:val="21"/>
                <w:szCs w:val="21"/>
              </w:rPr>
              <w:t>是否完成水保验收</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5000" w:type="pct"/>
            <w:gridSpan w:val="9"/>
            <w:vAlign w:val="center"/>
          </w:tcPr>
          <w:p>
            <w:pPr>
              <w:spacing w:line="240" w:lineRule="auto"/>
              <w:ind w:firstLine="0" w:firstLineChars="0"/>
              <w:jc w:val="center"/>
              <w:rPr>
                <w:b/>
                <w:bCs/>
                <w:sz w:val="21"/>
                <w:szCs w:val="21"/>
              </w:rPr>
            </w:pPr>
            <w:r>
              <w:rPr>
                <w:b/>
                <w:bCs/>
                <w:sz w:val="21"/>
                <w:szCs w:val="21"/>
              </w:rPr>
              <w:t>入驻企业基本情况</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3" w:hRule="atLeast"/>
        </w:trPr>
        <w:tc>
          <w:tcPr>
            <w:tcW w:w="248" w:type="pct"/>
            <w:vAlign w:val="center"/>
          </w:tcPr>
          <w:p>
            <w:pPr>
              <w:pStyle w:val="99"/>
              <w:spacing w:line="240" w:lineRule="auto"/>
              <w:jc w:val="center"/>
              <w:rPr>
                <w:sz w:val="21"/>
                <w:szCs w:val="21"/>
              </w:rPr>
            </w:pPr>
            <w:r>
              <w:rPr>
                <w:sz w:val="21"/>
                <w:szCs w:val="21"/>
              </w:rPr>
              <w:t>1</w:t>
            </w:r>
          </w:p>
        </w:tc>
        <w:tc>
          <w:tcPr>
            <w:tcW w:w="756" w:type="pct"/>
            <w:vAlign w:val="center"/>
          </w:tcPr>
          <w:p>
            <w:pPr>
              <w:pStyle w:val="99"/>
              <w:spacing w:line="240" w:lineRule="auto"/>
              <w:jc w:val="center"/>
              <w:rPr>
                <w:sz w:val="21"/>
                <w:szCs w:val="21"/>
              </w:rPr>
            </w:pPr>
            <w:r>
              <w:rPr>
                <w:sz w:val="21"/>
                <w:szCs w:val="21"/>
              </w:rPr>
              <w:t>2.5万吨高纯晶硅项目</w:t>
            </w:r>
          </w:p>
        </w:tc>
        <w:tc>
          <w:tcPr>
            <w:tcW w:w="564" w:type="pct"/>
            <w:vAlign w:val="center"/>
          </w:tcPr>
          <w:p>
            <w:pPr>
              <w:pStyle w:val="99"/>
              <w:spacing w:line="240" w:lineRule="auto"/>
              <w:jc w:val="center"/>
              <w:rPr>
                <w:sz w:val="21"/>
                <w:szCs w:val="21"/>
              </w:rPr>
            </w:pPr>
            <w:r>
              <w:rPr>
                <w:sz w:val="21"/>
                <w:szCs w:val="21"/>
              </w:rPr>
              <w:t>56.98</w:t>
            </w:r>
          </w:p>
          <w:p>
            <w:pPr>
              <w:pStyle w:val="99"/>
              <w:spacing w:line="240" w:lineRule="auto"/>
              <w:jc w:val="center"/>
              <w:rPr>
                <w:sz w:val="21"/>
                <w:szCs w:val="21"/>
              </w:rPr>
            </w:pPr>
            <w:r>
              <w:rPr>
                <w:sz w:val="21"/>
                <w:szCs w:val="21"/>
              </w:rPr>
              <w:t>（厂内52.71）</w:t>
            </w:r>
          </w:p>
        </w:tc>
        <w:tc>
          <w:tcPr>
            <w:tcW w:w="424" w:type="pct"/>
            <w:vAlign w:val="center"/>
          </w:tcPr>
          <w:p>
            <w:pPr>
              <w:pStyle w:val="99"/>
              <w:spacing w:line="240" w:lineRule="auto"/>
              <w:jc w:val="center"/>
              <w:rPr>
                <w:sz w:val="21"/>
                <w:szCs w:val="21"/>
              </w:rPr>
            </w:pPr>
            <w:r>
              <w:rPr>
                <w:sz w:val="21"/>
                <w:szCs w:val="21"/>
              </w:rPr>
              <w:t>56.98</w:t>
            </w:r>
          </w:p>
        </w:tc>
        <w:tc>
          <w:tcPr>
            <w:tcW w:w="1165" w:type="pct"/>
            <w:vAlign w:val="center"/>
          </w:tcPr>
          <w:p>
            <w:pPr>
              <w:pStyle w:val="99"/>
              <w:spacing w:line="240" w:lineRule="auto"/>
              <w:jc w:val="center"/>
              <w:rPr>
                <w:sz w:val="21"/>
                <w:szCs w:val="21"/>
              </w:rPr>
            </w:pPr>
            <w:r>
              <w:rPr>
                <w:sz w:val="21"/>
                <w:szCs w:val="21"/>
              </w:rPr>
              <w:t>已建成且投产使用，园区设立前已在规划范围内。</w:t>
            </w:r>
          </w:p>
        </w:tc>
        <w:tc>
          <w:tcPr>
            <w:tcW w:w="615" w:type="pct"/>
            <w:vAlign w:val="center"/>
          </w:tcPr>
          <w:p>
            <w:pPr>
              <w:pStyle w:val="99"/>
              <w:spacing w:line="240" w:lineRule="auto"/>
              <w:jc w:val="center"/>
              <w:rPr>
                <w:sz w:val="21"/>
                <w:szCs w:val="21"/>
              </w:rPr>
            </w:pPr>
            <w:r>
              <w:rPr>
                <w:sz w:val="21"/>
                <w:szCs w:val="21"/>
              </w:rPr>
              <w:t>是-五水林函〔2017〕53号</w:t>
            </w:r>
          </w:p>
        </w:tc>
        <w:tc>
          <w:tcPr>
            <w:tcW w:w="368" w:type="pct"/>
            <w:vAlign w:val="center"/>
          </w:tcPr>
          <w:p>
            <w:pPr>
              <w:pStyle w:val="99"/>
              <w:spacing w:line="240" w:lineRule="auto"/>
              <w:jc w:val="center"/>
              <w:rPr>
                <w:sz w:val="21"/>
                <w:szCs w:val="21"/>
              </w:rPr>
            </w:pPr>
            <w:r>
              <w:rPr>
                <w:sz w:val="21"/>
                <w:szCs w:val="21"/>
              </w:rPr>
              <w:t>是</w:t>
            </w:r>
          </w:p>
        </w:tc>
        <w:tc>
          <w:tcPr>
            <w:tcW w:w="430" w:type="pct"/>
            <w:vAlign w:val="center"/>
          </w:tcPr>
          <w:p>
            <w:pPr>
              <w:pStyle w:val="99"/>
              <w:spacing w:line="240" w:lineRule="auto"/>
              <w:jc w:val="center"/>
              <w:rPr>
                <w:sz w:val="21"/>
                <w:szCs w:val="21"/>
              </w:rPr>
            </w:pPr>
            <w:r>
              <w:rPr>
                <w:sz w:val="21"/>
                <w:szCs w:val="21"/>
              </w:rPr>
              <w:t>是</w:t>
            </w:r>
          </w:p>
        </w:tc>
        <w:tc>
          <w:tcPr>
            <w:tcW w:w="426" w:type="pct"/>
            <w:vAlign w:val="center"/>
          </w:tcPr>
          <w:p>
            <w:pPr>
              <w:pStyle w:val="99"/>
              <w:spacing w:line="240" w:lineRule="auto"/>
              <w:jc w:val="center"/>
              <w:rPr>
                <w:sz w:val="21"/>
                <w:szCs w:val="21"/>
              </w:rPr>
            </w:pPr>
            <w:r>
              <w:rPr>
                <w:sz w:val="21"/>
                <w:szCs w:val="21"/>
              </w:rPr>
              <w:t>是-五水函〔2019〕74号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0" w:hRule="atLeast"/>
        </w:trPr>
        <w:tc>
          <w:tcPr>
            <w:tcW w:w="248" w:type="pct"/>
            <w:vAlign w:val="center"/>
          </w:tcPr>
          <w:p>
            <w:pPr>
              <w:pStyle w:val="99"/>
              <w:spacing w:line="240" w:lineRule="auto"/>
              <w:jc w:val="center"/>
              <w:rPr>
                <w:sz w:val="21"/>
                <w:szCs w:val="21"/>
              </w:rPr>
            </w:pPr>
            <w:r>
              <w:rPr>
                <w:sz w:val="21"/>
                <w:szCs w:val="21"/>
              </w:rPr>
              <w:t>2</w:t>
            </w:r>
          </w:p>
        </w:tc>
        <w:tc>
          <w:tcPr>
            <w:tcW w:w="756" w:type="pct"/>
            <w:vAlign w:val="center"/>
          </w:tcPr>
          <w:p>
            <w:pPr>
              <w:pStyle w:val="99"/>
              <w:spacing w:line="240" w:lineRule="auto"/>
              <w:jc w:val="center"/>
              <w:rPr>
                <w:sz w:val="21"/>
                <w:szCs w:val="21"/>
              </w:rPr>
            </w:pPr>
            <w:r>
              <w:rPr>
                <w:sz w:val="21"/>
                <w:szCs w:val="21"/>
              </w:rPr>
              <w:t>光伏硅材料制造技改项目（二期4.5万吨高纯晶硅）</w:t>
            </w:r>
          </w:p>
        </w:tc>
        <w:tc>
          <w:tcPr>
            <w:tcW w:w="564" w:type="pct"/>
            <w:vAlign w:val="center"/>
          </w:tcPr>
          <w:p>
            <w:pPr>
              <w:pStyle w:val="99"/>
              <w:spacing w:line="240" w:lineRule="auto"/>
              <w:jc w:val="center"/>
              <w:rPr>
                <w:sz w:val="21"/>
                <w:szCs w:val="21"/>
              </w:rPr>
            </w:pPr>
            <w:r>
              <w:rPr>
                <w:sz w:val="21"/>
                <w:szCs w:val="21"/>
              </w:rPr>
              <w:t>41.07</w:t>
            </w:r>
          </w:p>
        </w:tc>
        <w:tc>
          <w:tcPr>
            <w:tcW w:w="424" w:type="pct"/>
            <w:vAlign w:val="center"/>
          </w:tcPr>
          <w:p>
            <w:pPr>
              <w:pStyle w:val="99"/>
              <w:spacing w:line="240" w:lineRule="auto"/>
              <w:jc w:val="center"/>
              <w:rPr>
                <w:sz w:val="21"/>
                <w:szCs w:val="21"/>
              </w:rPr>
            </w:pPr>
            <w:r>
              <w:rPr>
                <w:sz w:val="21"/>
                <w:szCs w:val="21"/>
              </w:rPr>
              <w:t>41.07</w:t>
            </w:r>
          </w:p>
        </w:tc>
        <w:tc>
          <w:tcPr>
            <w:tcW w:w="1165" w:type="pct"/>
            <w:vAlign w:val="center"/>
          </w:tcPr>
          <w:p>
            <w:pPr>
              <w:pStyle w:val="99"/>
              <w:spacing w:line="240" w:lineRule="auto"/>
              <w:jc w:val="center"/>
              <w:rPr>
                <w:sz w:val="21"/>
                <w:szCs w:val="21"/>
              </w:rPr>
            </w:pPr>
            <w:r>
              <w:rPr>
                <w:sz w:val="21"/>
                <w:szCs w:val="21"/>
              </w:rPr>
              <w:t>在建，仅部分绿化还未实施完成，其余工程均实施完成。</w:t>
            </w:r>
          </w:p>
        </w:tc>
        <w:tc>
          <w:tcPr>
            <w:tcW w:w="615" w:type="pct"/>
            <w:vAlign w:val="center"/>
          </w:tcPr>
          <w:p>
            <w:pPr>
              <w:pStyle w:val="99"/>
              <w:spacing w:line="240" w:lineRule="auto"/>
              <w:jc w:val="center"/>
              <w:rPr>
                <w:sz w:val="21"/>
                <w:szCs w:val="21"/>
              </w:rPr>
            </w:pPr>
            <w:r>
              <w:rPr>
                <w:sz w:val="21"/>
                <w:szCs w:val="21"/>
              </w:rPr>
              <w:t>是-五水函〔2020〕126号</w:t>
            </w:r>
          </w:p>
        </w:tc>
        <w:tc>
          <w:tcPr>
            <w:tcW w:w="368" w:type="pct"/>
            <w:vAlign w:val="center"/>
          </w:tcPr>
          <w:p>
            <w:pPr>
              <w:pStyle w:val="99"/>
              <w:spacing w:line="240" w:lineRule="auto"/>
              <w:jc w:val="center"/>
              <w:rPr>
                <w:sz w:val="21"/>
                <w:szCs w:val="21"/>
              </w:rPr>
            </w:pPr>
            <w:r>
              <w:rPr>
                <w:sz w:val="21"/>
                <w:szCs w:val="21"/>
              </w:rPr>
              <w:t>是</w:t>
            </w:r>
          </w:p>
        </w:tc>
        <w:tc>
          <w:tcPr>
            <w:tcW w:w="430" w:type="pct"/>
            <w:vAlign w:val="center"/>
          </w:tcPr>
          <w:p>
            <w:pPr>
              <w:pStyle w:val="99"/>
              <w:spacing w:line="240" w:lineRule="auto"/>
              <w:jc w:val="center"/>
              <w:rPr>
                <w:sz w:val="21"/>
                <w:szCs w:val="21"/>
              </w:rPr>
            </w:pPr>
            <w:r>
              <w:rPr>
                <w:sz w:val="21"/>
                <w:szCs w:val="21"/>
              </w:rPr>
              <w:t>是</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0" w:hRule="atLeast"/>
        </w:trPr>
        <w:tc>
          <w:tcPr>
            <w:tcW w:w="248" w:type="pct"/>
            <w:vAlign w:val="center"/>
          </w:tcPr>
          <w:p>
            <w:pPr>
              <w:pStyle w:val="99"/>
              <w:spacing w:line="240" w:lineRule="auto"/>
              <w:jc w:val="center"/>
              <w:rPr>
                <w:sz w:val="21"/>
                <w:szCs w:val="21"/>
              </w:rPr>
            </w:pPr>
            <w:r>
              <w:rPr>
                <w:sz w:val="21"/>
                <w:szCs w:val="21"/>
              </w:rPr>
              <w:t>3</w:t>
            </w:r>
          </w:p>
        </w:tc>
        <w:tc>
          <w:tcPr>
            <w:tcW w:w="756" w:type="pct"/>
            <w:vAlign w:val="center"/>
          </w:tcPr>
          <w:p>
            <w:pPr>
              <w:pStyle w:val="99"/>
              <w:spacing w:line="240" w:lineRule="auto"/>
              <w:jc w:val="center"/>
              <w:rPr>
                <w:sz w:val="21"/>
                <w:szCs w:val="21"/>
              </w:rPr>
            </w:pPr>
            <w:r>
              <w:rPr>
                <w:sz w:val="21"/>
                <w:szCs w:val="21"/>
              </w:rPr>
              <w:t>乐山协鑫新能源新建10万吨颗粒硅项目</w:t>
            </w:r>
          </w:p>
        </w:tc>
        <w:tc>
          <w:tcPr>
            <w:tcW w:w="564" w:type="pct"/>
            <w:vAlign w:val="center"/>
          </w:tcPr>
          <w:p>
            <w:pPr>
              <w:pStyle w:val="99"/>
              <w:spacing w:line="240" w:lineRule="auto"/>
              <w:jc w:val="center"/>
              <w:rPr>
                <w:sz w:val="21"/>
                <w:szCs w:val="21"/>
              </w:rPr>
            </w:pPr>
            <w:r>
              <w:rPr>
                <w:sz w:val="21"/>
                <w:szCs w:val="21"/>
              </w:rPr>
              <w:t>69.90</w:t>
            </w:r>
          </w:p>
        </w:tc>
        <w:tc>
          <w:tcPr>
            <w:tcW w:w="424" w:type="pct"/>
            <w:vAlign w:val="center"/>
          </w:tcPr>
          <w:p>
            <w:pPr>
              <w:pStyle w:val="99"/>
              <w:spacing w:line="240" w:lineRule="auto"/>
              <w:jc w:val="center"/>
              <w:rPr>
                <w:sz w:val="21"/>
                <w:szCs w:val="21"/>
              </w:rPr>
            </w:pPr>
            <w:r>
              <w:rPr>
                <w:sz w:val="21"/>
                <w:szCs w:val="21"/>
              </w:rPr>
              <w:t>69.90</w:t>
            </w:r>
          </w:p>
        </w:tc>
        <w:tc>
          <w:tcPr>
            <w:tcW w:w="1165" w:type="pct"/>
            <w:vAlign w:val="center"/>
          </w:tcPr>
          <w:p>
            <w:pPr>
              <w:pStyle w:val="99"/>
              <w:spacing w:line="240" w:lineRule="auto"/>
              <w:jc w:val="center"/>
              <w:rPr>
                <w:sz w:val="21"/>
                <w:szCs w:val="21"/>
              </w:rPr>
            </w:pPr>
            <w:r>
              <w:rPr>
                <w:sz w:val="21"/>
                <w:szCs w:val="21"/>
              </w:rPr>
              <w:t>在建，建筑物已建成90%，场内绿化工程完成30%，道路硬化工程基本完工。</w:t>
            </w:r>
          </w:p>
        </w:tc>
        <w:tc>
          <w:tcPr>
            <w:tcW w:w="615" w:type="pct"/>
            <w:vAlign w:val="center"/>
          </w:tcPr>
          <w:p>
            <w:pPr>
              <w:pStyle w:val="99"/>
              <w:spacing w:line="240" w:lineRule="auto"/>
              <w:jc w:val="center"/>
              <w:rPr>
                <w:sz w:val="21"/>
                <w:szCs w:val="21"/>
              </w:rPr>
            </w:pPr>
            <w:r>
              <w:rPr>
                <w:sz w:val="21"/>
                <w:szCs w:val="21"/>
              </w:rPr>
              <w:t>是-五水函〔2021〕76号</w:t>
            </w:r>
          </w:p>
        </w:tc>
        <w:tc>
          <w:tcPr>
            <w:tcW w:w="368" w:type="pct"/>
            <w:vAlign w:val="center"/>
          </w:tcPr>
          <w:p>
            <w:pPr>
              <w:pStyle w:val="99"/>
              <w:spacing w:line="240" w:lineRule="auto"/>
              <w:jc w:val="center"/>
              <w:rPr>
                <w:sz w:val="21"/>
                <w:szCs w:val="21"/>
              </w:rPr>
            </w:pPr>
            <w:r>
              <w:rPr>
                <w:sz w:val="21"/>
                <w:szCs w:val="21"/>
              </w:rPr>
              <w:t>是</w:t>
            </w:r>
          </w:p>
        </w:tc>
        <w:tc>
          <w:tcPr>
            <w:tcW w:w="430" w:type="pct"/>
            <w:vAlign w:val="center"/>
          </w:tcPr>
          <w:p>
            <w:pPr>
              <w:pStyle w:val="99"/>
              <w:spacing w:line="240" w:lineRule="auto"/>
              <w:jc w:val="center"/>
              <w:rPr>
                <w:sz w:val="21"/>
                <w:szCs w:val="21"/>
              </w:rPr>
            </w:pPr>
            <w:r>
              <w:rPr>
                <w:sz w:val="21"/>
                <w:szCs w:val="21"/>
              </w:rPr>
              <w:t>是</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5" w:hRule="atLeast"/>
        </w:trPr>
        <w:tc>
          <w:tcPr>
            <w:tcW w:w="248" w:type="pct"/>
            <w:vAlign w:val="center"/>
          </w:tcPr>
          <w:p>
            <w:pPr>
              <w:pStyle w:val="99"/>
              <w:spacing w:line="240" w:lineRule="auto"/>
              <w:jc w:val="center"/>
              <w:rPr>
                <w:sz w:val="21"/>
                <w:szCs w:val="21"/>
              </w:rPr>
            </w:pPr>
            <w:r>
              <w:rPr>
                <w:sz w:val="21"/>
                <w:szCs w:val="21"/>
              </w:rPr>
              <w:t>4</w:t>
            </w:r>
          </w:p>
        </w:tc>
        <w:tc>
          <w:tcPr>
            <w:tcW w:w="756" w:type="pct"/>
            <w:vAlign w:val="center"/>
          </w:tcPr>
          <w:p>
            <w:pPr>
              <w:pStyle w:val="99"/>
              <w:spacing w:line="240" w:lineRule="auto"/>
              <w:jc w:val="center"/>
              <w:rPr>
                <w:sz w:val="21"/>
                <w:szCs w:val="21"/>
              </w:rPr>
            </w:pPr>
            <w:r>
              <w:rPr>
                <w:sz w:val="21"/>
                <w:szCs w:val="21"/>
              </w:rPr>
              <w:t>四川永祥能源科技有限公司一期高纯晶硅项目</w:t>
            </w:r>
          </w:p>
        </w:tc>
        <w:tc>
          <w:tcPr>
            <w:tcW w:w="564" w:type="pct"/>
            <w:vAlign w:val="center"/>
          </w:tcPr>
          <w:p>
            <w:pPr>
              <w:pStyle w:val="99"/>
              <w:spacing w:line="240" w:lineRule="auto"/>
              <w:jc w:val="center"/>
              <w:rPr>
                <w:sz w:val="21"/>
                <w:szCs w:val="21"/>
              </w:rPr>
            </w:pPr>
            <w:r>
              <w:rPr>
                <w:sz w:val="21"/>
                <w:szCs w:val="21"/>
              </w:rPr>
              <w:t>56.20</w:t>
            </w:r>
          </w:p>
        </w:tc>
        <w:tc>
          <w:tcPr>
            <w:tcW w:w="424" w:type="pct"/>
            <w:vAlign w:val="center"/>
          </w:tcPr>
          <w:p>
            <w:pPr>
              <w:pStyle w:val="99"/>
              <w:spacing w:line="240" w:lineRule="auto"/>
              <w:jc w:val="center"/>
              <w:rPr>
                <w:sz w:val="21"/>
                <w:szCs w:val="21"/>
              </w:rPr>
            </w:pPr>
            <w:r>
              <w:rPr>
                <w:sz w:val="21"/>
                <w:szCs w:val="21"/>
              </w:rPr>
              <w:t>56.20</w:t>
            </w:r>
          </w:p>
        </w:tc>
        <w:tc>
          <w:tcPr>
            <w:tcW w:w="1165" w:type="pct"/>
            <w:vAlign w:val="center"/>
          </w:tcPr>
          <w:p>
            <w:pPr>
              <w:pStyle w:val="99"/>
              <w:spacing w:line="240" w:lineRule="auto"/>
              <w:jc w:val="center"/>
              <w:rPr>
                <w:sz w:val="21"/>
                <w:szCs w:val="21"/>
              </w:rPr>
            </w:pPr>
            <w:r>
              <w:rPr>
                <w:sz w:val="21"/>
                <w:szCs w:val="21"/>
              </w:rPr>
              <w:t>在建，厂房的基础施工中，工程整体完成度5%左右。</w:t>
            </w:r>
          </w:p>
        </w:tc>
        <w:tc>
          <w:tcPr>
            <w:tcW w:w="615" w:type="pct"/>
            <w:vAlign w:val="center"/>
          </w:tcPr>
          <w:p>
            <w:pPr>
              <w:pStyle w:val="99"/>
              <w:spacing w:line="240" w:lineRule="auto"/>
              <w:jc w:val="center"/>
              <w:rPr>
                <w:sz w:val="21"/>
                <w:szCs w:val="21"/>
              </w:rPr>
            </w:pPr>
            <w:r>
              <w:rPr>
                <w:sz w:val="21"/>
                <w:szCs w:val="21"/>
              </w:rPr>
              <w:t>否</w:t>
            </w:r>
          </w:p>
        </w:tc>
        <w:tc>
          <w:tcPr>
            <w:tcW w:w="368" w:type="pct"/>
            <w:vAlign w:val="center"/>
          </w:tcPr>
          <w:p>
            <w:pPr>
              <w:pStyle w:val="99"/>
              <w:spacing w:line="240" w:lineRule="auto"/>
              <w:jc w:val="center"/>
              <w:rPr>
                <w:sz w:val="21"/>
                <w:szCs w:val="21"/>
              </w:rPr>
            </w:pPr>
            <w:r>
              <w:rPr>
                <w:sz w:val="21"/>
                <w:szCs w:val="21"/>
              </w:rPr>
              <w:t>否</w:t>
            </w:r>
          </w:p>
        </w:tc>
        <w:tc>
          <w:tcPr>
            <w:tcW w:w="430" w:type="pct"/>
            <w:vAlign w:val="center"/>
          </w:tcPr>
          <w:p>
            <w:pPr>
              <w:pStyle w:val="99"/>
              <w:spacing w:line="240" w:lineRule="auto"/>
              <w:jc w:val="center"/>
              <w:rPr>
                <w:sz w:val="21"/>
                <w:szCs w:val="21"/>
              </w:rPr>
            </w:pPr>
            <w:r>
              <w:rPr>
                <w:sz w:val="21"/>
                <w:szCs w:val="21"/>
              </w:rPr>
              <w:t>否</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9" w:hRule="atLeast"/>
        </w:trPr>
        <w:tc>
          <w:tcPr>
            <w:tcW w:w="248" w:type="pct"/>
            <w:vAlign w:val="center"/>
          </w:tcPr>
          <w:p>
            <w:pPr>
              <w:pStyle w:val="99"/>
              <w:spacing w:line="240" w:lineRule="auto"/>
              <w:jc w:val="center"/>
              <w:rPr>
                <w:sz w:val="21"/>
                <w:szCs w:val="21"/>
              </w:rPr>
            </w:pPr>
            <w:r>
              <w:rPr>
                <w:sz w:val="21"/>
                <w:szCs w:val="21"/>
              </w:rPr>
              <w:t>5</w:t>
            </w:r>
          </w:p>
        </w:tc>
        <w:tc>
          <w:tcPr>
            <w:tcW w:w="756" w:type="pct"/>
            <w:vAlign w:val="center"/>
          </w:tcPr>
          <w:p>
            <w:pPr>
              <w:pStyle w:val="99"/>
              <w:spacing w:line="240" w:lineRule="auto"/>
              <w:jc w:val="center"/>
              <w:rPr>
                <w:sz w:val="21"/>
                <w:szCs w:val="21"/>
              </w:rPr>
            </w:pPr>
            <w:r>
              <w:rPr>
                <w:sz w:val="21"/>
                <w:szCs w:val="21"/>
              </w:rPr>
              <w:t>15GW单晶拉棒切方项目</w:t>
            </w:r>
          </w:p>
        </w:tc>
        <w:tc>
          <w:tcPr>
            <w:tcW w:w="564" w:type="pct"/>
            <w:vAlign w:val="center"/>
          </w:tcPr>
          <w:p>
            <w:pPr>
              <w:pStyle w:val="99"/>
              <w:spacing w:line="240" w:lineRule="auto"/>
              <w:jc w:val="center"/>
              <w:rPr>
                <w:sz w:val="21"/>
                <w:szCs w:val="21"/>
              </w:rPr>
            </w:pPr>
            <w:r>
              <w:rPr>
                <w:sz w:val="21"/>
                <w:szCs w:val="21"/>
              </w:rPr>
              <w:t>31.16</w:t>
            </w:r>
          </w:p>
        </w:tc>
        <w:tc>
          <w:tcPr>
            <w:tcW w:w="424" w:type="pct"/>
            <w:vAlign w:val="center"/>
          </w:tcPr>
          <w:p>
            <w:pPr>
              <w:pStyle w:val="99"/>
              <w:spacing w:line="240" w:lineRule="auto"/>
              <w:jc w:val="center"/>
              <w:rPr>
                <w:sz w:val="21"/>
                <w:szCs w:val="21"/>
              </w:rPr>
            </w:pPr>
            <w:r>
              <w:rPr>
                <w:sz w:val="21"/>
                <w:szCs w:val="21"/>
              </w:rPr>
              <w:t>31.16</w:t>
            </w:r>
          </w:p>
        </w:tc>
        <w:tc>
          <w:tcPr>
            <w:tcW w:w="1165" w:type="pct"/>
            <w:vAlign w:val="center"/>
          </w:tcPr>
          <w:p>
            <w:pPr>
              <w:pStyle w:val="99"/>
              <w:spacing w:line="240" w:lineRule="auto"/>
              <w:jc w:val="center"/>
              <w:rPr>
                <w:sz w:val="21"/>
                <w:szCs w:val="21"/>
              </w:rPr>
            </w:pPr>
            <w:r>
              <w:rPr>
                <w:sz w:val="21"/>
                <w:szCs w:val="21"/>
              </w:rPr>
              <w:t>在建，整体工程完成度70%左右。</w:t>
            </w:r>
          </w:p>
        </w:tc>
        <w:tc>
          <w:tcPr>
            <w:tcW w:w="615" w:type="pct"/>
            <w:vAlign w:val="center"/>
          </w:tcPr>
          <w:p>
            <w:pPr>
              <w:pStyle w:val="99"/>
              <w:spacing w:line="240" w:lineRule="auto"/>
              <w:jc w:val="center"/>
              <w:rPr>
                <w:sz w:val="21"/>
                <w:szCs w:val="21"/>
              </w:rPr>
            </w:pPr>
            <w:r>
              <w:rPr>
                <w:sz w:val="21"/>
                <w:szCs w:val="21"/>
              </w:rPr>
              <w:t>是-五水函〔2022〕2号</w:t>
            </w:r>
          </w:p>
        </w:tc>
        <w:tc>
          <w:tcPr>
            <w:tcW w:w="368" w:type="pct"/>
            <w:vAlign w:val="center"/>
          </w:tcPr>
          <w:p>
            <w:pPr>
              <w:pStyle w:val="99"/>
              <w:spacing w:line="240" w:lineRule="auto"/>
              <w:jc w:val="center"/>
              <w:rPr>
                <w:sz w:val="21"/>
                <w:szCs w:val="21"/>
              </w:rPr>
            </w:pPr>
            <w:r>
              <w:rPr>
                <w:sz w:val="21"/>
                <w:szCs w:val="21"/>
              </w:rPr>
              <w:t>是</w:t>
            </w:r>
          </w:p>
        </w:tc>
        <w:tc>
          <w:tcPr>
            <w:tcW w:w="430" w:type="pct"/>
            <w:vAlign w:val="center"/>
          </w:tcPr>
          <w:p>
            <w:pPr>
              <w:pStyle w:val="99"/>
              <w:spacing w:line="240" w:lineRule="auto"/>
              <w:jc w:val="center"/>
              <w:rPr>
                <w:sz w:val="21"/>
                <w:szCs w:val="21"/>
              </w:rPr>
            </w:pPr>
            <w:r>
              <w:rPr>
                <w:sz w:val="21"/>
                <w:szCs w:val="21"/>
              </w:rPr>
              <w:t>是</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9" w:hRule="atLeast"/>
        </w:trPr>
        <w:tc>
          <w:tcPr>
            <w:tcW w:w="248" w:type="pct"/>
            <w:vAlign w:val="center"/>
          </w:tcPr>
          <w:p>
            <w:pPr>
              <w:pStyle w:val="99"/>
              <w:spacing w:line="240" w:lineRule="auto"/>
              <w:jc w:val="center"/>
              <w:rPr>
                <w:sz w:val="21"/>
                <w:szCs w:val="21"/>
              </w:rPr>
            </w:pPr>
            <w:r>
              <w:rPr>
                <w:sz w:val="21"/>
                <w:szCs w:val="21"/>
              </w:rPr>
              <w:t>6</w:t>
            </w:r>
          </w:p>
        </w:tc>
        <w:tc>
          <w:tcPr>
            <w:tcW w:w="756" w:type="pct"/>
            <w:vAlign w:val="center"/>
          </w:tcPr>
          <w:p>
            <w:pPr>
              <w:pStyle w:val="99"/>
              <w:spacing w:line="240" w:lineRule="auto"/>
              <w:jc w:val="center"/>
              <w:rPr>
                <w:sz w:val="21"/>
                <w:szCs w:val="21"/>
              </w:rPr>
            </w:pPr>
            <w:r>
              <w:rPr>
                <w:sz w:val="21"/>
                <w:szCs w:val="21"/>
              </w:rPr>
              <w:t>永祥硅材料2万吨高纯晶硅拉棒切芯项目（一期）</w:t>
            </w:r>
          </w:p>
        </w:tc>
        <w:tc>
          <w:tcPr>
            <w:tcW w:w="989" w:type="pct"/>
            <w:gridSpan w:val="2"/>
            <w:vAlign w:val="center"/>
          </w:tcPr>
          <w:p>
            <w:pPr>
              <w:pStyle w:val="99"/>
              <w:spacing w:line="240" w:lineRule="auto"/>
              <w:jc w:val="center"/>
              <w:rPr>
                <w:sz w:val="21"/>
                <w:szCs w:val="21"/>
              </w:rPr>
            </w:pPr>
            <w:r>
              <w:rPr>
                <w:sz w:val="21"/>
                <w:szCs w:val="21"/>
              </w:rPr>
              <w:t>位于15GW单晶拉棒切方项目范围内</w:t>
            </w:r>
          </w:p>
        </w:tc>
        <w:tc>
          <w:tcPr>
            <w:tcW w:w="1165" w:type="pct"/>
            <w:vAlign w:val="center"/>
          </w:tcPr>
          <w:p>
            <w:pPr>
              <w:pStyle w:val="99"/>
              <w:spacing w:line="240" w:lineRule="auto"/>
              <w:jc w:val="center"/>
              <w:rPr>
                <w:sz w:val="21"/>
                <w:szCs w:val="21"/>
              </w:rPr>
            </w:pPr>
            <w:r>
              <w:rPr>
                <w:sz w:val="21"/>
                <w:szCs w:val="21"/>
              </w:rPr>
              <w:t>在建</w:t>
            </w:r>
          </w:p>
        </w:tc>
        <w:tc>
          <w:tcPr>
            <w:tcW w:w="615" w:type="pct"/>
            <w:vAlign w:val="center"/>
          </w:tcPr>
          <w:p>
            <w:pPr>
              <w:pStyle w:val="99"/>
              <w:spacing w:line="240" w:lineRule="auto"/>
              <w:jc w:val="center"/>
              <w:rPr>
                <w:sz w:val="21"/>
                <w:szCs w:val="21"/>
              </w:rPr>
            </w:pPr>
            <w:r>
              <w:rPr>
                <w:sz w:val="21"/>
                <w:szCs w:val="21"/>
              </w:rPr>
              <w:t>是-五水函〔2022〕76号</w:t>
            </w:r>
          </w:p>
        </w:tc>
        <w:tc>
          <w:tcPr>
            <w:tcW w:w="368" w:type="pct"/>
            <w:vAlign w:val="center"/>
          </w:tcPr>
          <w:p>
            <w:pPr>
              <w:pStyle w:val="99"/>
              <w:spacing w:line="240" w:lineRule="auto"/>
              <w:jc w:val="center"/>
              <w:rPr>
                <w:sz w:val="21"/>
                <w:szCs w:val="21"/>
              </w:rPr>
            </w:pPr>
            <w:r>
              <w:rPr>
                <w:sz w:val="21"/>
                <w:szCs w:val="21"/>
              </w:rPr>
              <w:t>是</w:t>
            </w:r>
          </w:p>
        </w:tc>
        <w:tc>
          <w:tcPr>
            <w:tcW w:w="430" w:type="pct"/>
            <w:vAlign w:val="center"/>
          </w:tcPr>
          <w:p>
            <w:pPr>
              <w:pStyle w:val="99"/>
              <w:spacing w:line="240" w:lineRule="auto"/>
              <w:jc w:val="center"/>
              <w:rPr>
                <w:sz w:val="21"/>
                <w:szCs w:val="21"/>
              </w:rPr>
            </w:pPr>
            <w:r>
              <w:rPr>
                <w:sz w:val="21"/>
                <w:szCs w:val="21"/>
              </w:rPr>
              <w:t>是</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248" w:type="pct"/>
            <w:vAlign w:val="center"/>
          </w:tcPr>
          <w:p>
            <w:pPr>
              <w:pStyle w:val="99"/>
              <w:spacing w:line="240" w:lineRule="auto"/>
              <w:jc w:val="center"/>
              <w:rPr>
                <w:sz w:val="21"/>
                <w:szCs w:val="21"/>
              </w:rPr>
            </w:pPr>
            <w:r>
              <w:rPr>
                <w:sz w:val="21"/>
                <w:szCs w:val="21"/>
              </w:rPr>
              <w:t>7</w:t>
            </w:r>
          </w:p>
        </w:tc>
        <w:tc>
          <w:tcPr>
            <w:tcW w:w="756" w:type="pct"/>
            <w:vAlign w:val="center"/>
          </w:tcPr>
          <w:p>
            <w:pPr>
              <w:pStyle w:val="99"/>
              <w:spacing w:line="240" w:lineRule="auto"/>
              <w:jc w:val="center"/>
              <w:rPr>
                <w:sz w:val="21"/>
                <w:szCs w:val="21"/>
              </w:rPr>
            </w:pPr>
            <w:r>
              <w:rPr>
                <w:sz w:val="21"/>
                <w:szCs w:val="21"/>
              </w:rPr>
              <w:t>锐丰稀土</w:t>
            </w:r>
          </w:p>
        </w:tc>
        <w:tc>
          <w:tcPr>
            <w:tcW w:w="564" w:type="pct"/>
            <w:vAlign w:val="center"/>
          </w:tcPr>
          <w:p>
            <w:pPr>
              <w:pStyle w:val="99"/>
              <w:spacing w:line="240" w:lineRule="auto"/>
              <w:jc w:val="center"/>
              <w:rPr>
                <w:sz w:val="21"/>
                <w:szCs w:val="21"/>
              </w:rPr>
            </w:pPr>
            <w:r>
              <w:rPr>
                <w:sz w:val="21"/>
                <w:szCs w:val="21"/>
              </w:rPr>
              <w:t>20.82</w:t>
            </w:r>
          </w:p>
        </w:tc>
        <w:tc>
          <w:tcPr>
            <w:tcW w:w="424" w:type="pct"/>
            <w:vAlign w:val="center"/>
          </w:tcPr>
          <w:p>
            <w:pPr>
              <w:pStyle w:val="99"/>
              <w:spacing w:line="240" w:lineRule="auto"/>
              <w:jc w:val="center"/>
              <w:rPr>
                <w:sz w:val="21"/>
                <w:szCs w:val="21"/>
              </w:rPr>
            </w:pPr>
            <w:r>
              <w:rPr>
                <w:sz w:val="21"/>
                <w:szCs w:val="21"/>
              </w:rPr>
              <w:t>20.82</w:t>
            </w:r>
          </w:p>
        </w:tc>
        <w:tc>
          <w:tcPr>
            <w:tcW w:w="1165" w:type="pct"/>
            <w:vAlign w:val="center"/>
          </w:tcPr>
          <w:p>
            <w:pPr>
              <w:pStyle w:val="99"/>
              <w:spacing w:line="240" w:lineRule="auto"/>
              <w:jc w:val="center"/>
              <w:rPr>
                <w:sz w:val="21"/>
                <w:szCs w:val="21"/>
              </w:rPr>
            </w:pPr>
            <w:r>
              <w:rPr>
                <w:sz w:val="21"/>
                <w:szCs w:val="21"/>
              </w:rPr>
              <w:t>在建，已由园区管委会完成场平工程，企业还未进场建设。</w:t>
            </w:r>
          </w:p>
        </w:tc>
        <w:tc>
          <w:tcPr>
            <w:tcW w:w="615" w:type="pct"/>
            <w:vAlign w:val="center"/>
          </w:tcPr>
          <w:p>
            <w:pPr>
              <w:pStyle w:val="99"/>
              <w:spacing w:line="240" w:lineRule="auto"/>
              <w:jc w:val="center"/>
              <w:rPr>
                <w:sz w:val="21"/>
                <w:szCs w:val="21"/>
              </w:rPr>
            </w:pPr>
            <w:r>
              <w:rPr>
                <w:sz w:val="21"/>
                <w:szCs w:val="21"/>
              </w:rPr>
              <w:t>否</w:t>
            </w:r>
          </w:p>
        </w:tc>
        <w:tc>
          <w:tcPr>
            <w:tcW w:w="368" w:type="pct"/>
            <w:vAlign w:val="center"/>
          </w:tcPr>
          <w:p>
            <w:pPr>
              <w:pStyle w:val="99"/>
              <w:spacing w:line="240" w:lineRule="auto"/>
              <w:jc w:val="center"/>
              <w:rPr>
                <w:sz w:val="21"/>
                <w:szCs w:val="21"/>
              </w:rPr>
            </w:pPr>
            <w:r>
              <w:rPr>
                <w:sz w:val="21"/>
                <w:szCs w:val="21"/>
              </w:rPr>
              <w:t>否</w:t>
            </w:r>
          </w:p>
        </w:tc>
        <w:tc>
          <w:tcPr>
            <w:tcW w:w="430" w:type="pct"/>
            <w:vAlign w:val="center"/>
          </w:tcPr>
          <w:p>
            <w:pPr>
              <w:pStyle w:val="99"/>
              <w:spacing w:line="240" w:lineRule="auto"/>
              <w:jc w:val="center"/>
              <w:rPr>
                <w:sz w:val="21"/>
                <w:szCs w:val="21"/>
              </w:rPr>
            </w:pPr>
            <w:r>
              <w:rPr>
                <w:sz w:val="21"/>
                <w:szCs w:val="21"/>
              </w:rPr>
              <w:t>否</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9" w:hRule="atLeast"/>
        </w:trPr>
        <w:tc>
          <w:tcPr>
            <w:tcW w:w="248" w:type="pct"/>
            <w:vAlign w:val="center"/>
          </w:tcPr>
          <w:p>
            <w:pPr>
              <w:pStyle w:val="99"/>
              <w:spacing w:line="240" w:lineRule="auto"/>
              <w:jc w:val="center"/>
              <w:rPr>
                <w:sz w:val="21"/>
                <w:szCs w:val="21"/>
              </w:rPr>
            </w:pPr>
            <w:r>
              <w:rPr>
                <w:sz w:val="21"/>
                <w:szCs w:val="21"/>
              </w:rPr>
              <w:t>8</w:t>
            </w:r>
          </w:p>
        </w:tc>
        <w:tc>
          <w:tcPr>
            <w:tcW w:w="756" w:type="pct"/>
            <w:vAlign w:val="center"/>
          </w:tcPr>
          <w:p>
            <w:pPr>
              <w:pStyle w:val="99"/>
              <w:spacing w:line="240" w:lineRule="auto"/>
              <w:jc w:val="center"/>
              <w:rPr>
                <w:sz w:val="21"/>
                <w:szCs w:val="21"/>
              </w:rPr>
            </w:pPr>
            <w:r>
              <w:rPr>
                <w:sz w:val="21"/>
                <w:szCs w:val="21"/>
              </w:rPr>
              <w:t>小企业园场平区域</w:t>
            </w:r>
          </w:p>
        </w:tc>
        <w:tc>
          <w:tcPr>
            <w:tcW w:w="564" w:type="pct"/>
            <w:vAlign w:val="center"/>
          </w:tcPr>
          <w:p>
            <w:pPr>
              <w:pStyle w:val="99"/>
              <w:spacing w:line="240" w:lineRule="auto"/>
              <w:jc w:val="center"/>
              <w:rPr>
                <w:sz w:val="21"/>
                <w:szCs w:val="21"/>
              </w:rPr>
            </w:pPr>
            <w:r>
              <w:rPr>
                <w:sz w:val="21"/>
                <w:szCs w:val="21"/>
              </w:rPr>
              <w:t>32.38</w:t>
            </w:r>
          </w:p>
        </w:tc>
        <w:tc>
          <w:tcPr>
            <w:tcW w:w="424" w:type="pct"/>
            <w:vAlign w:val="center"/>
          </w:tcPr>
          <w:p>
            <w:pPr>
              <w:pStyle w:val="99"/>
              <w:spacing w:line="240" w:lineRule="auto"/>
              <w:jc w:val="center"/>
              <w:rPr>
                <w:sz w:val="21"/>
                <w:szCs w:val="21"/>
              </w:rPr>
            </w:pPr>
            <w:r>
              <w:rPr>
                <w:sz w:val="21"/>
                <w:szCs w:val="21"/>
              </w:rPr>
              <w:t>32.38</w:t>
            </w:r>
          </w:p>
        </w:tc>
        <w:tc>
          <w:tcPr>
            <w:tcW w:w="1165" w:type="pct"/>
            <w:vAlign w:val="center"/>
          </w:tcPr>
          <w:p>
            <w:pPr>
              <w:pStyle w:val="99"/>
              <w:spacing w:line="240" w:lineRule="auto"/>
              <w:jc w:val="center"/>
              <w:rPr>
                <w:sz w:val="21"/>
                <w:szCs w:val="21"/>
              </w:rPr>
            </w:pPr>
            <w:r>
              <w:rPr>
                <w:sz w:val="21"/>
                <w:szCs w:val="21"/>
              </w:rPr>
              <w:t>在建，已由园区管委会完成场平工程，企业还未进场建设。</w:t>
            </w:r>
          </w:p>
        </w:tc>
        <w:tc>
          <w:tcPr>
            <w:tcW w:w="615" w:type="pct"/>
            <w:vAlign w:val="center"/>
          </w:tcPr>
          <w:p>
            <w:pPr>
              <w:pStyle w:val="99"/>
              <w:spacing w:line="240" w:lineRule="auto"/>
              <w:jc w:val="center"/>
              <w:rPr>
                <w:sz w:val="21"/>
                <w:szCs w:val="21"/>
              </w:rPr>
            </w:pPr>
            <w:r>
              <w:rPr>
                <w:sz w:val="21"/>
                <w:szCs w:val="21"/>
              </w:rPr>
              <w:t>否</w:t>
            </w:r>
          </w:p>
        </w:tc>
        <w:tc>
          <w:tcPr>
            <w:tcW w:w="368" w:type="pct"/>
            <w:vAlign w:val="center"/>
          </w:tcPr>
          <w:p>
            <w:pPr>
              <w:pStyle w:val="99"/>
              <w:spacing w:line="240" w:lineRule="auto"/>
              <w:jc w:val="center"/>
              <w:rPr>
                <w:sz w:val="21"/>
                <w:szCs w:val="21"/>
              </w:rPr>
            </w:pPr>
            <w:r>
              <w:rPr>
                <w:sz w:val="21"/>
                <w:szCs w:val="21"/>
              </w:rPr>
              <w:t>否</w:t>
            </w:r>
          </w:p>
        </w:tc>
        <w:tc>
          <w:tcPr>
            <w:tcW w:w="430" w:type="pct"/>
            <w:vAlign w:val="center"/>
          </w:tcPr>
          <w:p>
            <w:pPr>
              <w:pStyle w:val="99"/>
              <w:spacing w:line="240" w:lineRule="auto"/>
              <w:jc w:val="center"/>
              <w:rPr>
                <w:sz w:val="21"/>
                <w:szCs w:val="21"/>
              </w:rPr>
            </w:pPr>
            <w:r>
              <w:rPr>
                <w:sz w:val="21"/>
                <w:szCs w:val="21"/>
              </w:rPr>
              <w:t>否</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9" w:hRule="atLeast"/>
        </w:trPr>
        <w:tc>
          <w:tcPr>
            <w:tcW w:w="248" w:type="pct"/>
            <w:vAlign w:val="center"/>
          </w:tcPr>
          <w:p>
            <w:pPr>
              <w:pStyle w:val="99"/>
              <w:spacing w:line="240" w:lineRule="auto"/>
              <w:jc w:val="center"/>
              <w:rPr>
                <w:sz w:val="21"/>
                <w:szCs w:val="21"/>
              </w:rPr>
            </w:pPr>
            <w:r>
              <w:rPr>
                <w:sz w:val="21"/>
                <w:szCs w:val="21"/>
              </w:rPr>
              <w:t>9</w:t>
            </w:r>
          </w:p>
        </w:tc>
        <w:tc>
          <w:tcPr>
            <w:tcW w:w="756" w:type="pct"/>
            <w:vAlign w:val="center"/>
          </w:tcPr>
          <w:p>
            <w:pPr>
              <w:pStyle w:val="99"/>
              <w:spacing w:line="240" w:lineRule="auto"/>
              <w:jc w:val="center"/>
              <w:rPr>
                <w:sz w:val="21"/>
                <w:szCs w:val="21"/>
              </w:rPr>
            </w:pPr>
            <w:r>
              <w:t>四川卢博丽尔化工有限公司项目</w:t>
            </w:r>
          </w:p>
        </w:tc>
        <w:tc>
          <w:tcPr>
            <w:tcW w:w="989" w:type="pct"/>
            <w:gridSpan w:val="2"/>
            <w:vAlign w:val="center"/>
          </w:tcPr>
          <w:p>
            <w:pPr>
              <w:pStyle w:val="99"/>
              <w:spacing w:line="240" w:lineRule="auto"/>
              <w:jc w:val="center"/>
              <w:rPr>
                <w:sz w:val="21"/>
                <w:szCs w:val="21"/>
              </w:rPr>
            </w:pPr>
            <w:r>
              <w:rPr>
                <w:sz w:val="21"/>
                <w:szCs w:val="21"/>
              </w:rPr>
              <w:t>6.53，位于小企业园场平区域内</w:t>
            </w:r>
          </w:p>
        </w:tc>
        <w:tc>
          <w:tcPr>
            <w:tcW w:w="1165" w:type="pct"/>
            <w:vAlign w:val="center"/>
          </w:tcPr>
          <w:p>
            <w:pPr>
              <w:pStyle w:val="99"/>
              <w:spacing w:line="240" w:lineRule="auto"/>
              <w:jc w:val="center"/>
              <w:rPr>
                <w:sz w:val="21"/>
                <w:szCs w:val="21"/>
              </w:rPr>
            </w:pPr>
            <w:r>
              <w:rPr>
                <w:sz w:val="21"/>
                <w:szCs w:val="21"/>
              </w:rPr>
              <w:t>在建，已由园区管委会完成场平工程，企业还未进场建设。</w:t>
            </w:r>
          </w:p>
        </w:tc>
        <w:tc>
          <w:tcPr>
            <w:tcW w:w="615" w:type="pct"/>
            <w:vAlign w:val="center"/>
          </w:tcPr>
          <w:p>
            <w:pPr>
              <w:pStyle w:val="99"/>
              <w:spacing w:line="240" w:lineRule="auto"/>
              <w:jc w:val="center"/>
              <w:rPr>
                <w:sz w:val="21"/>
                <w:szCs w:val="21"/>
              </w:rPr>
            </w:pPr>
            <w:r>
              <w:rPr>
                <w:sz w:val="21"/>
                <w:szCs w:val="21"/>
              </w:rPr>
              <w:t>是-</w:t>
            </w:r>
            <w:r>
              <w:rPr>
                <w:sz w:val="24"/>
                <w:szCs w:val="24"/>
              </w:rPr>
              <w:t>五水函〔2022〕61号</w:t>
            </w:r>
          </w:p>
        </w:tc>
        <w:tc>
          <w:tcPr>
            <w:tcW w:w="368" w:type="pct"/>
            <w:vAlign w:val="center"/>
          </w:tcPr>
          <w:p>
            <w:pPr>
              <w:pStyle w:val="99"/>
              <w:spacing w:line="240" w:lineRule="auto"/>
              <w:jc w:val="center"/>
              <w:rPr>
                <w:sz w:val="21"/>
                <w:szCs w:val="21"/>
              </w:rPr>
            </w:pPr>
            <w:r>
              <w:rPr>
                <w:sz w:val="21"/>
                <w:szCs w:val="21"/>
              </w:rPr>
              <w:t>是</w:t>
            </w:r>
          </w:p>
        </w:tc>
        <w:tc>
          <w:tcPr>
            <w:tcW w:w="430" w:type="pct"/>
            <w:vAlign w:val="center"/>
          </w:tcPr>
          <w:p>
            <w:pPr>
              <w:pStyle w:val="99"/>
              <w:spacing w:line="240" w:lineRule="auto"/>
              <w:jc w:val="center"/>
              <w:rPr>
                <w:sz w:val="21"/>
                <w:szCs w:val="21"/>
              </w:rPr>
            </w:pPr>
            <w:r>
              <w:rPr>
                <w:sz w:val="21"/>
                <w:szCs w:val="21"/>
              </w:rPr>
              <w:t>否</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2" w:hRule="atLeast"/>
        </w:trPr>
        <w:tc>
          <w:tcPr>
            <w:tcW w:w="248" w:type="pct"/>
            <w:vAlign w:val="center"/>
          </w:tcPr>
          <w:p>
            <w:pPr>
              <w:pStyle w:val="99"/>
              <w:spacing w:line="240" w:lineRule="auto"/>
              <w:jc w:val="center"/>
              <w:rPr>
                <w:sz w:val="21"/>
                <w:szCs w:val="21"/>
              </w:rPr>
            </w:pPr>
            <w:r>
              <w:rPr>
                <w:sz w:val="21"/>
                <w:szCs w:val="21"/>
              </w:rPr>
              <w:t>10</w:t>
            </w:r>
          </w:p>
        </w:tc>
        <w:tc>
          <w:tcPr>
            <w:tcW w:w="756" w:type="pct"/>
            <w:vAlign w:val="center"/>
          </w:tcPr>
          <w:p>
            <w:pPr>
              <w:pStyle w:val="99"/>
              <w:spacing w:line="240" w:lineRule="auto"/>
              <w:jc w:val="center"/>
              <w:rPr>
                <w:sz w:val="21"/>
                <w:szCs w:val="21"/>
              </w:rPr>
            </w:pPr>
            <w:r>
              <w:rPr>
                <w:sz w:val="21"/>
                <w:szCs w:val="21"/>
              </w:rPr>
              <w:t>入驻新能源、新材料项目区域</w:t>
            </w:r>
          </w:p>
        </w:tc>
        <w:tc>
          <w:tcPr>
            <w:tcW w:w="564" w:type="pct"/>
            <w:vAlign w:val="center"/>
          </w:tcPr>
          <w:p>
            <w:pPr>
              <w:pStyle w:val="99"/>
              <w:spacing w:line="240" w:lineRule="auto"/>
              <w:jc w:val="center"/>
              <w:rPr>
                <w:sz w:val="21"/>
                <w:szCs w:val="21"/>
              </w:rPr>
            </w:pPr>
            <w:r>
              <w:rPr>
                <w:sz w:val="21"/>
                <w:szCs w:val="21"/>
              </w:rPr>
              <w:t>88.81</w:t>
            </w:r>
          </w:p>
        </w:tc>
        <w:tc>
          <w:tcPr>
            <w:tcW w:w="424" w:type="pct"/>
            <w:vAlign w:val="center"/>
          </w:tcPr>
          <w:p>
            <w:pPr>
              <w:pStyle w:val="99"/>
              <w:spacing w:line="240" w:lineRule="auto"/>
              <w:jc w:val="center"/>
              <w:rPr>
                <w:sz w:val="21"/>
                <w:szCs w:val="21"/>
              </w:rPr>
            </w:pPr>
            <w:r>
              <w:rPr>
                <w:sz w:val="21"/>
                <w:szCs w:val="21"/>
              </w:rPr>
              <w:t>44.54</w:t>
            </w:r>
          </w:p>
        </w:tc>
        <w:tc>
          <w:tcPr>
            <w:tcW w:w="1165" w:type="pct"/>
            <w:vAlign w:val="center"/>
          </w:tcPr>
          <w:p>
            <w:pPr>
              <w:pStyle w:val="99"/>
              <w:spacing w:line="240" w:lineRule="auto"/>
              <w:jc w:val="center"/>
              <w:rPr>
                <w:sz w:val="21"/>
                <w:szCs w:val="21"/>
              </w:rPr>
            </w:pPr>
            <w:r>
              <w:rPr>
                <w:sz w:val="21"/>
                <w:szCs w:val="21"/>
              </w:rPr>
              <w:t>在建，已由园区管委会完成场平工程，企业还未进场建设。</w:t>
            </w:r>
          </w:p>
        </w:tc>
        <w:tc>
          <w:tcPr>
            <w:tcW w:w="615" w:type="pct"/>
            <w:vAlign w:val="center"/>
          </w:tcPr>
          <w:p>
            <w:pPr>
              <w:pStyle w:val="99"/>
              <w:spacing w:line="240" w:lineRule="auto"/>
              <w:jc w:val="center"/>
              <w:rPr>
                <w:sz w:val="21"/>
                <w:szCs w:val="21"/>
              </w:rPr>
            </w:pPr>
            <w:r>
              <w:rPr>
                <w:sz w:val="21"/>
                <w:szCs w:val="21"/>
              </w:rPr>
              <w:t>否</w:t>
            </w:r>
          </w:p>
        </w:tc>
        <w:tc>
          <w:tcPr>
            <w:tcW w:w="368" w:type="pct"/>
            <w:vAlign w:val="center"/>
          </w:tcPr>
          <w:p>
            <w:pPr>
              <w:pStyle w:val="99"/>
              <w:spacing w:line="240" w:lineRule="auto"/>
              <w:jc w:val="center"/>
              <w:rPr>
                <w:sz w:val="21"/>
                <w:szCs w:val="21"/>
              </w:rPr>
            </w:pPr>
            <w:r>
              <w:rPr>
                <w:sz w:val="21"/>
                <w:szCs w:val="21"/>
              </w:rPr>
              <w:t>否</w:t>
            </w:r>
          </w:p>
        </w:tc>
        <w:tc>
          <w:tcPr>
            <w:tcW w:w="430" w:type="pct"/>
            <w:vAlign w:val="center"/>
          </w:tcPr>
          <w:p>
            <w:pPr>
              <w:pStyle w:val="99"/>
              <w:spacing w:line="240" w:lineRule="auto"/>
              <w:jc w:val="center"/>
              <w:rPr>
                <w:sz w:val="21"/>
                <w:szCs w:val="21"/>
              </w:rPr>
            </w:pPr>
            <w:r>
              <w:rPr>
                <w:sz w:val="21"/>
                <w:szCs w:val="21"/>
              </w:rPr>
              <w:t>否</w:t>
            </w:r>
          </w:p>
        </w:tc>
        <w:tc>
          <w:tcPr>
            <w:tcW w:w="426" w:type="pct"/>
            <w:vAlign w:val="center"/>
          </w:tcPr>
          <w:p>
            <w:pPr>
              <w:pStyle w:val="99"/>
              <w:spacing w:line="240" w:lineRule="auto"/>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97" w:hRule="atLeast"/>
        </w:trPr>
        <w:tc>
          <w:tcPr>
            <w:tcW w:w="1004" w:type="pct"/>
            <w:gridSpan w:val="2"/>
            <w:vAlign w:val="center"/>
          </w:tcPr>
          <w:p>
            <w:pPr>
              <w:pStyle w:val="99"/>
              <w:spacing w:line="240" w:lineRule="auto"/>
              <w:jc w:val="center"/>
              <w:rPr>
                <w:b/>
                <w:bCs/>
                <w:sz w:val="21"/>
                <w:szCs w:val="21"/>
              </w:rPr>
            </w:pPr>
            <w:r>
              <w:rPr>
                <w:b/>
                <w:bCs/>
                <w:sz w:val="21"/>
                <w:szCs w:val="21"/>
              </w:rPr>
              <w:t>小计</w:t>
            </w:r>
          </w:p>
        </w:tc>
        <w:tc>
          <w:tcPr>
            <w:tcW w:w="564" w:type="pct"/>
            <w:vAlign w:val="center"/>
          </w:tcPr>
          <w:p>
            <w:pPr>
              <w:pStyle w:val="99"/>
              <w:spacing w:line="240" w:lineRule="auto"/>
              <w:jc w:val="center"/>
              <w:rPr>
                <w:b/>
                <w:bCs/>
                <w:sz w:val="21"/>
                <w:szCs w:val="21"/>
              </w:rPr>
            </w:pPr>
            <w:r>
              <w:rPr>
                <w:b/>
                <w:bCs/>
                <w:sz w:val="21"/>
                <w:szCs w:val="21"/>
              </w:rPr>
              <w:t>397.32</w:t>
            </w:r>
          </w:p>
        </w:tc>
        <w:tc>
          <w:tcPr>
            <w:tcW w:w="424" w:type="pct"/>
            <w:vAlign w:val="center"/>
          </w:tcPr>
          <w:p>
            <w:pPr>
              <w:pStyle w:val="99"/>
              <w:spacing w:line="240" w:lineRule="auto"/>
              <w:jc w:val="center"/>
              <w:rPr>
                <w:b/>
                <w:bCs/>
                <w:sz w:val="21"/>
                <w:szCs w:val="21"/>
              </w:rPr>
            </w:pPr>
            <w:r>
              <w:rPr>
                <w:b/>
                <w:bCs/>
                <w:sz w:val="21"/>
                <w:szCs w:val="21"/>
              </w:rPr>
              <w:t>353.05</w:t>
            </w:r>
          </w:p>
        </w:tc>
        <w:tc>
          <w:tcPr>
            <w:tcW w:w="3005" w:type="pct"/>
            <w:gridSpan w:val="5"/>
            <w:vAlign w:val="center"/>
          </w:tcPr>
          <w:p>
            <w:pPr>
              <w:pStyle w:val="99"/>
              <w:spacing w:line="240" w:lineRule="auto"/>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8" w:hRule="atLeast"/>
        </w:trPr>
        <w:tc>
          <w:tcPr>
            <w:tcW w:w="5000" w:type="pct"/>
            <w:gridSpan w:val="9"/>
            <w:vAlign w:val="center"/>
          </w:tcPr>
          <w:p>
            <w:pPr>
              <w:pStyle w:val="99"/>
              <w:spacing w:line="240" w:lineRule="auto"/>
              <w:jc w:val="center"/>
              <w:rPr>
                <w:sz w:val="21"/>
                <w:szCs w:val="21"/>
              </w:rPr>
            </w:pPr>
            <w:r>
              <w:rPr>
                <w:b/>
                <w:bCs/>
                <w:sz w:val="21"/>
                <w:szCs w:val="21"/>
              </w:rPr>
              <w:t>道路及公共基础设施基本情况</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6" w:hRule="atLeast"/>
        </w:trPr>
        <w:tc>
          <w:tcPr>
            <w:tcW w:w="248" w:type="pct"/>
            <w:vAlign w:val="center"/>
          </w:tcPr>
          <w:p>
            <w:pPr>
              <w:spacing w:line="240" w:lineRule="auto"/>
              <w:ind w:firstLine="0" w:firstLineChars="0"/>
              <w:jc w:val="center"/>
              <w:rPr>
                <w:sz w:val="21"/>
                <w:szCs w:val="21"/>
              </w:rPr>
            </w:pPr>
            <w:r>
              <w:rPr>
                <w:sz w:val="21"/>
                <w:szCs w:val="21"/>
              </w:rPr>
              <w:t>1</w:t>
            </w:r>
          </w:p>
        </w:tc>
        <w:tc>
          <w:tcPr>
            <w:tcW w:w="756" w:type="pct"/>
            <w:vAlign w:val="center"/>
          </w:tcPr>
          <w:p>
            <w:pPr>
              <w:spacing w:line="240" w:lineRule="auto"/>
              <w:ind w:firstLine="0" w:firstLineChars="0"/>
              <w:jc w:val="center"/>
              <w:rPr>
                <w:sz w:val="21"/>
                <w:szCs w:val="21"/>
              </w:rPr>
            </w:pPr>
            <w:r>
              <w:rPr>
                <w:sz w:val="21"/>
                <w:szCs w:val="21"/>
              </w:rPr>
              <w:t>龙翔路</w:t>
            </w:r>
          </w:p>
        </w:tc>
        <w:tc>
          <w:tcPr>
            <w:tcW w:w="564" w:type="pct"/>
            <w:vAlign w:val="center"/>
          </w:tcPr>
          <w:p>
            <w:pPr>
              <w:spacing w:line="240" w:lineRule="auto"/>
              <w:ind w:firstLine="0" w:firstLineChars="0"/>
              <w:jc w:val="center"/>
              <w:rPr>
                <w:sz w:val="21"/>
                <w:szCs w:val="21"/>
              </w:rPr>
            </w:pPr>
            <w:r>
              <w:rPr>
                <w:sz w:val="21"/>
                <w:szCs w:val="21"/>
              </w:rPr>
              <w:t>6.08</w:t>
            </w:r>
          </w:p>
        </w:tc>
        <w:tc>
          <w:tcPr>
            <w:tcW w:w="424" w:type="pct"/>
            <w:vAlign w:val="center"/>
          </w:tcPr>
          <w:p>
            <w:pPr>
              <w:spacing w:line="240" w:lineRule="auto"/>
              <w:ind w:firstLine="0" w:firstLineChars="0"/>
              <w:jc w:val="center"/>
              <w:rPr>
                <w:sz w:val="21"/>
                <w:szCs w:val="21"/>
              </w:rPr>
            </w:pPr>
            <w:r>
              <w:rPr>
                <w:sz w:val="21"/>
                <w:szCs w:val="21"/>
              </w:rPr>
              <w:t>6.08</w:t>
            </w:r>
          </w:p>
        </w:tc>
        <w:tc>
          <w:tcPr>
            <w:tcW w:w="1165" w:type="pct"/>
            <w:vAlign w:val="center"/>
          </w:tcPr>
          <w:p>
            <w:pPr>
              <w:spacing w:line="240" w:lineRule="auto"/>
              <w:ind w:firstLine="0" w:firstLineChars="0"/>
              <w:jc w:val="center"/>
              <w:rPr>
                <w:sz w:val="21"/>
                <w:szCs w:val="21"/>
              </w:rPr>
            </w:pPr>
            <w:r>
              <w:rPr>
                <w:sz w:val="21"/>
                <w:szCs w:val="21"/>
              </w:rPr>
              <w:t>在建，路面拓宽工程已完成，绿化带埋管覆土中</w:t>
            </w:r>
          </w:p>
        </w:tc>
        <w:tc>
          <w:tcPr>
            <w:tcW w:w="615" w:type="pct"/>
            <w:vAlign w:val="center"/>
          </w:tcPr>
          <w:p>
            <w:pPr>
              <w:spacing w:line="240" w:lineRule="auto"/>
              <w:ind w:firstLine="0" w:firstLineChars="0"/>
              <w:jc w:val="center"/>
              <w:rPr>
                <w:sz w:val="21"/>
                <w:szCs w:val="21"/>
              </w:rPr>
            </w:pPr>
            <w:r>
              <w:rPr>
                <w:sz w:val="21"/>
                <w:szCs w:val="21"/>
              </w:rPr>
              <w:t>是-五水函〔2022〕58号</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7" w:hRule="atLeast"/>
        </w:trPr>
        <w:tc>
          <w:tcPr>
            <w:tcW w:w="248" w:type="pct"/>
            <w:vAlign w:val="center"/>
          </w:tcPr>
          <w:p>
            <w:pPr>
              <w:spacing w:line="240" w:lineRule="auto"/>
              <w:ind w:firstLine="0" w:firstLineChars="0"/>
              <w:jc w:val="center"/>
              <w:rPr>
                <w:sz w:val="21"/>
                <w:szCs w:val="21"/>
              </w:rPr>
            </w:pPr>
            <w:r>
              <w:rPr>
                <w:sz w:val="21"/>
                <w:szCs w:val="21"/>
              </w:rPr>
              <w:t>2</w:t>
            </w:r>
          </w:p>
        </w:tc>
        <w:tc>
          <w:tcPr>
            <w:tcW w:w="756" w:type="pct"/>
            <w:vAlign w:val="center"/>
          </w:tcPr>
          <w:p>
            <w:pPr>
              <w:spacing w:line="240" w:lineRule="auto"/>
              <w:ind w:firstLine="0" w:firstLineChars="0"/>
              <w:jc w:val="center"/>
              <w:rPr>
                <w:sz w:val="21"/>
                <w:szCs w:val="21"/>
              </w:rPr>
            </w:pPr>
            <w:r>
              <w:rPr>
                <w:sz w:val="21"/>
                <w:szCs w:val="21"/>
              </w:rPr>
              <w:t>北二路</w:t>
            </w:r>
          </w:p>
        </w:tc>
        <w:tc>
          <w:tcPr>
            <w:tcW w:w="564" w:type="pct"/>
            <w:vAlign w:val="center"/>
          </w:tcPr>
          <w:p>
            <w:pPr>
              <w:spacing w:line="240" w:lineRule="auto"/>
              <w:ind w:firstLine="0" w:firstLineChars="0"/>
              <w:jc w:val="center"/>
              <w:rPr>
                <w:sz w:val="21"/>
                <w:szCs w:val="21"/>
              </w:rPr>
            </w:pPr>
            <w:r>
              <w:rPr>
                <w:sz w:val="21"/>
                <w:szCs w:val="21"/>
              </w:rPr>
              <w:t>21.20</w:t>
            </w:r>
          </w:p>
        </w:tc>
        <w:tc>
          <w:tcPr>
            <w:tcW w:w="424" w:type="pct"/>
            <w:vAlign w:val="center"/>
          </w:tcPr>
          <w:p>
            <w:pPr>
              <w:spacing w:line="240" w:lineRule="auto"/>
              <w:ind w:firstLine="0" w:firstLineChars="0"/>
              <w:jc w:val="center"/>
              <w:rPr>
                <w:sz w:val="21"/>
                <w:szCs w:val="21"/>
              </w:rPr>
            </w:pPr>
            <w:r>
              <w:rPr>
                <w:sz w:val="21"/>
                <w:szCs w:val="21"/>
              </w:rPr>
              <w:t>9.98</w:t>
            </w:r>
          </w:p>
        </w:tc>
        <w:tc>
          <w:tcPr>
            <w:tcW w:w="1165" w:type="pct"/>
            <w:vAlign w:val="center"/>
          </w:tcPr>
          <w:p>
            <w:pPr>
              <w:spacing w:line="240" w:lineRule="auto"/>
              <w:ind w:firstLine="0" w:firstLineChars="0"/>
              <w:jc w:val="center"/>
              <w:rPr>
                <w:sz w:val="21"/>
                <w:szCs w:val="21"/>
              </w:rPr>
            </w:pPr>
            <w:r>
              <w:rPr>
                <w:sz w:val="21"/>
                <w:szCs w:val="21"/>
              </w:rPr>
              <w:t>已建成590m，在建1905m，未建2805m。在建段场平中</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5" w:hRule="atLeast"/>
        </w:trPr>
        <w:tc>
          <w:tcPr>
            <w:tcW w:w="248" w:type="pct"/>
            <w:vAlign w:val="center"/>
          </w:tcPr>
          <w:p>
            <w:pPr>
              <w:spacing w:line="240" w:lineRule="auto"/>
              <w:ind w:firstLine="0" w:firstLineChars="0"/>
              <w:jc w:val="center"/>
              <w:rPr>
                <w:sz w:val="21"/>
                <w:szCs w:val="21"/>
              </w:rPr>
            </w:pPr>
            <w:r>
              <w:rPr>
                <w:sz w:val="21"/>
                <w:szCs w:val="21"/>
              </w:rPr>
              <w:t>3</w:t>
            </w:r>
          </w:p>
        </w:tc>
        <w:tc>
          <w:tcPr>
            <w:tcW w:w="756" w:type="pct"/>
            <w:vAlign w:val="center"/>
          </w:tcPr>
          <w:p>
            <w:pPr>
              <w:spacing w:line="240" w:lineRule="auto"/>
              <w:ind w:firstLine="0" w:firstLineChars="0"/>
              <w:jc w:val="center"/>
              <w:rPr>
                <w:sz w:val="21"/>
                <w:szCs w:val="21"/>
              </w:rPr>
            </w:pPr>
            <w:r>
              <w:rPr>
                <w:sz w:val="21"/>
                <w:szCs w:val="21"/>
              </w:rPr>
              <w:t>北一路</w:t>
            </w:r>
          </w:p>
        </w:tc>
        <w:tc>
          <w:tcPr>
            <w:tcW w:w="564" w:type="pct"/>
            <w:vAlign w:val="center"/>
          </w:tcPr>
          <w:p>
            <w:pPr>
              <w:spacing w:line="240" w:lineRule="auto"/>
              <w:ind w:firstLine="0" w:firstLineChars="0"/>
              <w:jc w:val="center"/>
              <w:rPr>
                <w:sz w:val="21"/>
                <w:szCs w:val="21"/>
              </w:rPr>
            </w:pPr>
            <w:r>
              <w:rPr>
                <w:sz w:val="21"/>
                <w:szCs w:val="21"/>
              </w:rPr>
              <w:t>6.34</w:t>
            </w:r>
          </w:p>
        </w:tc>
        <w:tc>
          <w:tcPr>
            <w:tcW w:w="424" w:type="pct"/>
            <w:vAlign w:val="center"/>
          </w:tcPr>
          <w:p>
            <w:pPr>
              <w:spacing w:line="240" w:lineRule="auto"/>
              <w:ind w:firstLine="0" w:firstLineChars="0"/>
              <w:jc w:val="center"/>
              <w:rPr>
                <w:sz w:val="21"/>
                <w:szCs w:val="21"/>
              </w:rPr>
            </w:pPr>
            <w:r>
              <w:rPr>
                <w:sz w:val="21"/>
                <w:szCs w:val="21"/>
              </w:rPr>
              <w:t>4.02</w:t>
            </w:r>
          </w:p>
        </w:tc>
        <w:tc>
          <w:tcPr>
            <w:tcW w:w="1165" w:type="pct"/>
            <w:vAlign w:val="center"/>
          </w:tcPr>
          <w:p>
            <w:pPr>
              <w:spacing w:line="240" w:lineRule="auto"/>
              <w:ind w:firstLine="0" w:firstLineChars="0"/>
              <w:jc w:val="center"/>
              <w:rPr>
                <w:sz w:val="21"/>
                <w:szCs w:val="21"/>
              </w:rPr>
            </w:pPr>
            <w:r>
              <w:rPr>
                <w:sz w:val="21"/>
                <w:szCs w:val="21"/>
              </w:rPr>
              <w:t>在建1339m，未建774m。在建段场平中</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2" w:hRule="atLeast"/>
        </w:trPr>
        <w:tc>
          <w:tcPr>
            <w:tcW w:w="248" w:type="pct"/>
            <w:vAlign w:val="center"/>
          </w:tcPr>
          <w:p>
            <w:pPr>
              <w:spacing w:line="240" w:lineRule="auto"/>
              <w:ind w:firstLine="0" w:firstLineChars="0"/>
              <w:jc w:val="center"/>
              <w:rPr>
                <w:sz w:val="21"/>
                <w:szCs w:val="21"/>
              </w:rPr>
            </w:pPr>
            <w:r>
              <w:rPr>
                <w:sz w:val="21"/>
                <w:szCs w:val="21"/>
              </w:rPr>
              <w:t>4</w:t>
            </w:r>
          </w:p>
        </w:tc>
        <w:tc>
          <w:tcPr>
            <w:tcW w:w="756" w:type="pct"/>
            <w:vAlign w:val="center"/>
          </w:tcPr>
          <w:p>
            <w:pPr>
              <w:spacing w:line="240" w:lineRule="auto"/>
              <w:ind w:firstLine="0" w:firstLineChars="0"/>
              <w:jc w:val="center"/>
              <w:rPr>
                <w:sz w:val="21"/>
                <w:szCs w:val="21"/>
              </w:rPr>
            </w:pPr>
            <w:r>
              <w:rPr>
                <w:sz w:val="21"/>
                <w:szCs w:val="21"/>
              </w:rPr>
              <w:t>西一路</w:t>
            </w:r>
          </w:p>
        </w:tc>
        <w:tc>
          <w:tcPr>
            <w:tcW w:w="564" w:type="pct"/>
            <w:vAlign w:val="center"/>
          </w:tcPr>
          <w:p>
            <w:pPr>
              <w:spacing w:line="240" w:lineRule="auto"/>
              <w:ind w:firstLine="0" w:firstLineChars="0"/>
              <w:jc w:val="center"/>
              <w:rPr>
                <w:sz w:val="21"/>
                <w:szCs w:val="21"/>
              </w:rPr>
            </w:pPr>
            <w:r>
              <w:rPr>
                <w:sz w:val="21"/>
                <w:szCs w:val="21"/>
              </w:rPr>
              <w:t>7.32</w:t>
            </w:r>
          </w:p>
        </w:tc>
        <w:tc>
          <w:tcPr>
            <w:tcW w:w="424" w:type="pct"/>
            <w:vAlign w:val="center"/>
          </w:tcPr>
          <w:p>
            <w:pPr>
              <w:spacing w:line="240" w:lineRule="auto"/>
              <w:ind w:firstLine="0" w:firstLineChars="0"/>
              <w:jc w:val="center"/>
              <w:rPr>
                <w:sz w:val="21"/>
                <w:szCs w:val="21"/>
              </w:rPr>
            </w:pPr>
            <w:r>
              <w:rPr>
                <w:sz w:val="21"/>
                <w:szCs w:val="21"/>
              </w:rPr>
              <w:t>0</w:t>
            </w:r>
          </w:p>
        </w:tc>
        <w:tc>
          <w:tcPr>
            <w:tcW w:w="1165" w:type="pct"/>
            <w:vAlign w:val="center"/>
          </w:tcPr>
          <w:p>
            <w:pPr>
              <w:spacing w:line="240" w:lineRule="auto"/>
              <w:ind w:firstLine="0" w:firstLineChars="0"/>
              <w:jc w:val="center"/>
              <w:rPr>
                <w:sz w:val="21"/>
                <w:szCs w:val="21"/>
              </w:rPr>
            </w:pPr>
            <w:r>
              <w:rPr>
                <w:sz w:val="21"/>
                <w:szCs w:val="21"/>
              </w:rPr>
              <w:t>未建</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0" w:hRule="atLeast"/>
        </w:trPr>
        <w:tc>
          <w:tcPr>
            <w:tcW w:w="248" w:type="pct"/>
            <w:vAlign w:val="center"/>
          </w:tcPr>
          <w:p>
            <w:pPr>
              <w:spacing w:line="240" w:lineRule="auto"/>
              <w:ind w:firstLine="0" w:firstLineChars="0"/>
              <w:jc w:val="center"/>
              <w:rPr>
                <w:sz w:val="21"/>
                <w:szCs w:val="21"/>
              </w:rPr>
            </w:pPr>
            <w:r>
              <w:rPr>
                <w:sz w:val="21"/>
                <w:szCs w:val="21"/>
              </w:rPr>
              <w:t>5</w:t>
            </w:r>
          </w:p>
        </w:tc>
        <w:tc>
          <w:tcPr>
            <w:tcW w:w="756" w:type="pct"/>
            <w:vAlign w:val="center"/>
          </w:tcPr>
          <w:p>
            <w:pPr>
              <w:spacing w:line="240" w:lineRule="auto"/>
              <w:ind w:firstLine="0" w:firstLineChars="0"/>
              <w:jc w:val="center"/>
              <w:rPr>
                <w:sz w:val="21"/>
                <w:szCs w:val="21"/>
              </w:rPr>
            </w:pPr>
            <w:r>
              <w:rPr>
                <w:sz w:val="21"/>
                <w:szCs w:val="21"/>
              </w:rPr>
              <w:t>东三路</w:t>
            </w:r>
          </w:p>
        </w:tc>
        <w:tc>
          <w:tcPr>
            <w:tcW w:w="564" w:type="pct"/>
            <w:vAlign w:val="center"/>
          </w:tcPr>
          <w:p>
            <w:pPr>
              <w:spacing w:line="240" w:lineRule="auto"/>
              <w:ind w:firstLine="0" w:firstLineChars="0"/>
              <w:jc w:val="center"/>
              <w:rPr>
                <w:sz w:val="21"/>
                <w:szCs w:val="21"/>
              </w:rPr>
            </w:pPr>
            <w:r>
              <w:rPr>
                <w:sz w:val="21"/>
                <w:szCs w:val="21"/>
              </w:rPr>
              <w:t>6.33</w:t>
            </w:r>
          </w:p>
        </w:tc>
        <w:tc>
          <w:tcPr>
            <w:tcW w:w="424" w:type="pct"/>
            <w:vAlign w:val="center"/>
          </w:tcPr>
          <w:p>
            <w:pPr>
              <w:spacing w:line="240" w:lineRule="auto"/>
              <w:ind w:firstLine="0" w:firstLineChars="0"/>
              <w:jc w:val="center"/>
              <w:rPr>
                <w:sz w:val="21"/>
                <w:szCs w:val="21"/>
              </w:rPr>
            </w:pPr>
            <w:r>
              <w:rPr>
                <w:sz w:val="21"/>
                <w:szCs w:val="21"/>
              </w:rPr>
              <w:t>3.23</w:t>
            </w:r>
          </w:p>
        </w:tc>
        <w:tc>
          <w:tcPr>
            <w:tcW w:w="1165" w:type="pct"/>
            <w:vAlign w:val="center"/>
          </w:tcPr>
          <w:p>
            <w:pPr>
              <w:spacing w:line="240" w:lineRule="auto"/>
              <w:ind w:firstLine="0" w:firstLineChars="0"/>
              <w:jc w:val="center"/>
              <w:rPr>
                <w:sz w:val="21"/>
                <w:szCs w:val="21"/>
              </w:rPr>
            </w:pPr>
            <w:r>
              <w:rPr>
                <w:sz w:val="21"/>
                <w:szCs w:val="21"/>
              </w:rPr>
              <w:t>在建1077m，未建1033m。在建段场平中</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2" w:hRule="atLeast"/>
        </w:trPr>
        <w:tc>
          <w:tcPr>
            <w:tcW w:w="248" w:type="pct"/>
            <w:vAlign w:val="center"/>
          </w:tcPr>
          <w:p>
            <w:pPr>
              <w:spacing w:line="240" w:lineRule="auto"/>
              <w:ind w:firstLine="0" w:firstLineChars="0"/>
              <w:jc w:val="center"/>
              <w:rPr>
                <w:sz w:val="21"/>
                <w:szCs w:val="21"/>
              </w:rPr>
            </w:pPr>
            <w:r>
              <w:rPr>
                <w:sz w:val="21"/>
                <w:szCs w:val="21"/>
              </w:rPr>
              <w:t>6</w:t>
            </w:r>
          </w:p>
        </w:tc>
        <w:tc>
          <w:tcPr>
            <w:tcW w:w="756" w:type="pct"/>
            <w:vAlign w:val="center"/>
          </w:tcPr>
          <w:p>
            <w:pPr>
              <w:spacing w:line="240" w:lineRule="auto"/>
              <w:ind w:firstLine="0" w:firstLineChars="0"/>
              <w:jc w:val="center"/>
              <w:rPr>
                <w:sz w:val="21"/>
                <w:szCs w:val="21"/>
              </w:rPr>
            </w:pPr>
            <w:r>
              <w:rPr>
                <w:sz w:val="21"/>
                <w:szCs w:val="21"/>
              </w:rPr>
              <w:t>凤翔路</w:t>
            </w:r>
          </w:p>
        </w:tc>
        <w:tc>
          <w:tcPr>
            <w:tcW w:w="564" w:type="pct"/>
            <w:vAlign w:val="center"/>
          </w:tcPr>
          <w:p>
            <w:pPr>
              <w:spacing w:line="240" w:lineRule="auto"/>
              <w:ind w:firstLine="0" w:firstLineChars="0"/>
              <w:jc w:val="center"/>
              <w:rPr>
                <w:sz w:val="21"/>
                <w:szCs w:val="21"/>
              </w:rPr>
            </w:pPr>
            <w:r>
              <w:rPr>
                <w:sz w:val="21"/>
                <w:szCs w:val="21"/>
              </w:rPr>
              <w:t>6.99</w:t>
            </w:r>
          </w:p>
        </w:tc>
        <w:tc>
          <w:tcPr>
            <w:tcW w:w="424" w:type="pct"/>
            <w:vAlign w:val="center"/>
          </w:tcPr>
          <w:p>
            <w:pPr>
              <w:spacing w:line="240" w:lineRule="auto"/>
              <w:ind w:firstLine="0" w:firstLineChars="0"/>
              <w:jc w:val="center"/>
              <w:rPr>
                <w:sz w:val="21"/>
                <w:szCs w:val="21"/>
              </w:rPr>
            </w:pPr>
            <w:r>
              <w:rPr>
                <w:sz w:val="21"/>
                <w:szCs w:val="21"/>
              </w:rPr>
              <w:t>4.75</w:t>
            </w:r>
          </w:p>
        </w:tc>
        <w:tc>
          <w:tcPr>
            <w:tcW w:w="1165" w:type="pct"/>
            <w:vAlign w:val="center"/>
          </w:tcPr>
          <w:p>
            <w:pPr>
              <w:spacing w:line="240" w:lineRule="auto"/>
              <w:ind w:firstLine="0" w:firstLineChars="0"/>
              <w:jc w:val="center"/>
              <w:rPr>
                <w:sz w:val="21"/>
                <w:szCs w:val="21"/>
              </w:rPr>
            </w:pPr>
            <w:r>
              <w:rPr>
                <w:sz w:val="21"/>
                <w:szCs w:val="21"/>
              </w:rPr>
              <w:t>在建1583m，未建747m。在建段场平中</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48" w:type="pct"/>
            <w:vAlign w:val="center"/>
          </w:tcPr>
          <w:p>
            <w:pPr>
              <w:spacing w:line="240" w:lineRule="auto"/>
              <w:ind w:firstLine="0" w:firstLineChars="0"/>
              <w:jc w:val="center"/>
              <w:rPr>
                <w:sz w:val="21"/>
                <w:szCs w:val="21"/>
              </w:rPr>
            </w:pPr>
            <w:r>
              <w:rPr>
                <w:sz w:val="21"/>
                <w:szCs w:val="21"/>
              </w:rPr>
              <w:t>7</w:t>
            </w:r>
          </w:p>
        </w:tc>
        <w:tc>
          <w:tcPr>
            <w:tcW w:w="756" w:type="pct"/>
            <w:vAlign w:val="center"/>
          </w:tcPr>
          <w:p>
            <w:pPr>
              <w:spacing w:line="240" w:lineRule="auto"/>
              <w:ind w:firstLine="0" w:firstLineChars="0"/>
              <w:jc w:val="center"/>
              <w:rPr>
                <w:sz w:val="21"/>
                <w:szCs w:val="21"/>
              </w:rPr>
            </w:pPr>
            <w:r>
              <w:rPr>
                <w:sz w:val="21"/>
                <w:szCs w:val="21"/>
              </w:rPr>
              <w:t>西二路</w:t>
            </w:r>
          </w:p>
        </w:tc>
        <w:tc>
          <w:tcPr>
            <w:tcW w:w="564" w:type="pct"/>
            <w:vAlign w:val="center"/>
          </w:tcPr>
          <w:p>
            <w:pPr>
              <w:spacing w:line="240" w:lineRule="auto"/>
              <w:ind w:firstLine="0" w:firstLineChars="0"/>
              <w:jc w:val="center"/>
              <w:rPr>
                <w:sz w:val="21"/>
                <w:szCs w:val="21"/>
              </w:rPr>
            </w:pPr>
            <w:r>
              <w:rPr>
                <w:sz w:val="21"/>
                <w:szCs w:val="21"/>
              </w:rPr>
              <w:t>2.56</w:t>
            </w:r>
          </w:p>
        </w:tc>
        <w:tc>
          <w:tcPr>
            <w:tcW w:w="424" w:type="pct"/>
            <w:vAlign w:val="center"/>
          </w:tcPr>
          <w:p>
            <w:pPr>
              <w:spacing w:line="240" w:lineRule="auto"/>
              <w:ind w:firstLine="0" w:firstLineChars="0"/>
              <w:jc w:val="center"/>
              <w:rPr>
                <w:sz w:val="21"/>
                <w:szCs w:val="21"/>
              </w:rPr>
            </w:pPr>
            <w:r>
              <w:rPr>
                <w:sz w:val="21"/>
                <w:szCs w:val="21"/>
              </w:rPr>
              <w:t>2.56</w:t>
            </w:r>
          </w:p>
        </w:tc>
        <w:tc>
          <w:tcPr>
            <w:tcW w:w="1165" w:type="pct"/>
            <w:vAlign w:val="center"/>
          </w:tcPr>
          <w:p>
            <w:pPr>
              <w:spacing w:line="240" w:lineRule="auto"/>
              <w:ind w:firstLine="0" w:firstLineChars="0"/>
              <w:jc w:val="center"/>
              <w:rPr>
                <w:sz w:val="21"/>
                <w:szCs w:val="21"/>
              </w:rPr>
            </w:pPr>
            <w:r>
              <w:rPr>
                <w:sz w:val="21"/>
                <w:szCs w:val="21"/>
              </w:rPr>
              <w:t>已建成</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4" w:hRule="atLeast"/>
        </w:trPr>
        <w:tc>
          <w:tcPr>
            <w:tcW w:w="248" w:type="pct"/>
            <w:vAlign w:val="center"/>
          </w:tcPr>
          <w:p>
            <w:pPr>
              <w:spacing w:line="240" w:lineRule="auto"/>
              <w:ind w:firstLine="0" w:firstLineChars="0"/>
              <w:jc w:val="center"/>
              <w:rPr>
                <w:sz w:val="21"/>
                <w:szCs w:val="21"/>
              </w:rPr>
            </w:pPr>
            <w:r>
              <w:rPr>
                <w:sz w:val="21"/>
                <w:szCs w:val="21"/>
              </w:rPr>
              <w:t>8</w:t>
            </w:r>
          </w:p>
        </w:tc>
        <w:tc>
          <w:tcPr>
            <w:tcW w:w="756" w:type="pct"/>
            <w:vAlign w:val="center"/>
          </w:tcPr>
          <w:p>
            <w:pPr>
              <w:spacing w:line="240" w:lineRule="auto"/>
              <w:ind w:firstLine="0" w:firstLineChars="0"/>
              <w:jc w:val="center"/>
              <w:rPr>
                <w:sz w:val="21"/>
                <w:szCs w:val="21"/>
              </w:rPr>
            </w:pPr>
            <w:r>
              <w:rPr>
                <w:sz w:val="21"/>
                <w:szCs w:val="21"/>
              </w:rPr>
              <w:t>北永路</w:t>
            </w:r>
          </w:p>
        </w:tc>
        <w:tc>
          <w:tcPr>
            <w:tcW w:w="564" w:type="pct"/>
            <w:vAlign w:val="center"/>
          </w:tcPr>
          <w:p>
            <w:pPr>
              <w:spacing w:line="240" w:lineRule="auto"/>
              <w:ind w:firstLine="0" w:firstLineChars="0"/>
              <w:jc w:val="center"/>
              <w:rPr>
                <w:sz w:val="21"/>
                <w:szCs w:val="21"/>
              </w:rPr>
            </w:pPr>
            <w:r>
              <w:rPr>
                <w:sz w:val="21"/>
                <w:szCs w:val="21"/>
              </w:rPr>
              <w:t>0.65</w:t>
            </w:r>
          </w:p>
        </w:tc>
        <w:tc>
          <w:tcPr>
            <w:tcW w:w="424" w:type="pct"/>
            <w:vAlign w:val="center"/>
          </w:tcPr>
          <w:p>
            <w:pPr>
              <w:spacing w:line="240" w:lineRule="auto"/>
              <w:ind w:firstLine="0" w:firstLineChars="0"/>
              <w:jc w:val="center"/>
              <w:rPr>
                <w:sz w:val="21"/>
                <w:szCs w:val="21"/>
              </w:rPr>
            </w:pPr>
            <w:r>
              <w:rPr>
                <w:sz w:val="21"/>
                <w:szCs w:val="21"/>
              </w:rPr>
              <w:t>0.65</w:t>
            </w:r>
          </w:p>
        </w:tc>
        <w:tc>
          <w:tcPr>
            <w:tcW w:w="1165" w:type="pct"/>
            <w:vAlign w:val="center"/>
          </w:tcPr>
          <w:p>
            <w:pPr>
              <w:spacing w:line="240" w:lineRule="auto"/>
              <w:ind w:firstLine="0" w:firstLineChars="0"/>
              <w:jc w:val="center"/>
              <w:rPr>
                <w:sz w:val="21"/>
                <w:szCs w:val="21"/>
              </w:rPr>
            </w:pPr>
            <w:r>
              <w:rPr>
                <w:sz w:val="21"/>
                <w:szCs w:val="21"/>
              </w:rPr>
              <w:t>已建成</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5" w:hRule="atLeast"/>
        </w:trPr>
        <w:tc>
          <w:tcPr>
            <w:tcW w:w="248" w:type="pct"/>
            <w:vAlign w:val="center"/>
          </w:tcPr>
          <w:p>
            <w:pPr>
              <w:spacing w:line="240" w:lineRule="auto"/>
              <w:ind w:firstLine="0" w:firstLineChars="0"/>
              <w:jc w:val="center"/>
              <w:rPr>
                <w:sz w:val="21"/>
                <w:szCs w:val="21"/>
              </w:rPr>
            </w:pPr>
            <w:r>
              <w:rPr>
                <w:sz w:val="21"/>
                <w:szCs w:val="21"/>
              </w:rPr>
              <w:t>9</w:t>
            </w:r>
          </w:p>
        </w:tc>
        <w:tc>
          <w:tcPr>
            <w:tcW w:w="756" w:type="pct"/>
            <w:vAlign w:val="center"/>
          </w:tcPr>
          <w:p>
            <w:pPr>
              <w:spacing w:line="240" w:lineRule="auto"/>
              <w:ind w:firstLine="0" w:firstLineChars="0"/>
              <w:jc w:val="center"/>
              <w:rPr>
                <w:sz w:val="21"/>
                <w:szCs w:val="21"/>
              </w:rPr>
            </w:pPr>
            <w:r>
              <w:rPr>
                <w:sz w:val="21"/>
                <w:szCs w:val="21"/>
              </w:rPr>
              <w:t>永祥物流通道</w:t>
            </w:r>
          </w:p>
        </w:tc>
        <w:tc>
          <w:tcPr>
            <w:tcW w:w="564" w:type="pct"/>
            <w:vAlign w:val="center"/>
          </w:tcPr>
          <w:p>
            <w:pPr>
              <w:spacing w:line="240" w:lineRule="auto"/>
              <w:ind w:firstLine="0" w:firstLineChars="0"/>
              <w:jc w:val="center"/>
              <w:rPr>
                <w:sz w:val="21"/>
                <w:szCs w:val="21"/>
              </w:rPr>
            </w:pPr>
            <w:r>
              <w:rPr>
                <w:sz w:val="21"/>
                <w:szCs w:val="21"/>
              </w:rPr>
              <w:t>0.72</w:t>
            </w:r>
          </w:p>
        </w:tc>
        <w:tc>
          <w:tcPr>
            <w:tcW w:w="424" w:type="pct"/>
            <w:vAlign w:val="center"/>
          </w:tcPr>
          <w:p>
            <w:pPr>
              <w:spacing w:line="240" w:lineRule="auto"/>
              <w:ind w:firstLine="0" w:firstLineChars="0"/>
              <w:jc w:val="center"/>
              <w:rPr>
                <w:sz w:val="21"/>
                <w:szCs w:val="21"/>
              </w:rPr>
            </w:pPr>
            <w:r>
              <w:rPr>
                <w:sz w:val="21"/>
                <w:szCs w:val="21"/>
              </w:rPr>
              <w:t>0.72</w:t>
            </w:r>
          </w:p>
        </w:tc>
        <w:tc>
          <w:tcPr>
            <w:tcW w:w="1165" w:type="pct"/>
            <w:vAlign w:val="center"/>
          </w:tcPr>
          <w:p>
            <w:pPr>
              <w:spacing w:line="240" w:lineRule="auto"/>
              <w:ind w:firstLine="0" w:firstLineChars="0"/>
              <w:jc w:val="center"/>
              <w:rPr>
                <w:sz w:val="21"/>
                <w:szCs w:val="21"/>
              </w:rPr>
            </w:pPr>
            <w:r>
              <w:rPr>
                <w:sz w:val="21"/>
                <w:szCs w:val="21"/>
              </w:rPr>
              <w:t>已建成</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5" w:hRule="atLeast"/>
        </w:trPr>
        <w:tc>
          <w:tcPr>
            <w:tcW w:w="248" w:type="pct"/>
            <w:vAlign w:val="center"/>
          </w:tcPr>
          <w:p>
            <w:pPr>
              <w:spacing w:line="240" w:lineRule="auto"/>
              <w:ind w:firstLine="0" w:firstLineChars="0"/>
              <w:jc w:val="center"/>
              <w:rPr>
                <w:sz w:val="21"/>
                <w:szCs w:val="21"/>
              </w:rPr>
            </w:pPr>
            <w:r>
              <w:rPr>
                <w:sz w:val="21"/>
                <w:szCs w:val="21"/>
              </w:rPr>
              <w:t>10</w:t>
            </w:r>
          </w:p>
        </w:tc>
        <w:tc>
          <w:tcPr>
            <w:tcW w:w="756" w:type="pct"/>
            <w:vAlign w:val="center"/>
          </w:tcPr>
          <w:p>
            <w:pPr>
              <w:spacing w:line="240" w:lineRule="auto"/>
              <w:ind w:firstLine="0" w:firstLineChars="0"/>
              <w:jc w:val="center"/>
              <w:rPr>
                <w:sz w:val="21"/>
                <w:szCs w:val="21"/>
              </w:rPr>
            </w:pPr>
            <w:r>
              <w:rPr>
                <w:sz w:val="21"/>
                <w:szCs w:val="21"/>
              </w:rPr>
              <w:t>会云路</w:t>
            </w:r>
          </w:p>
        </w:tc>
        <w:tc>
          <w:tcPr>
            <w:tcW w:w="564" w:type="pct"/>
            <w:vAlign w:val="center"/>
          </w:tcPr>
          <w:p>
            <w:pPr>
              <w:spacing w:line="240" w:lineRule="auto"/>
              <w:ind w:firstLine="0" w:firstLineChars="0"/>
              <w:jc w:val="center"/>
              <w:rPr>
                <w:sz w:val="21"/>
                <w:szCs w:val="21"/>
              </w:rPr>
            </w:pPr>
            <w:r>
              <w:rPr>
                <w:sz w:val="21"/>
                <w:szCs w:val="21"/>
              </w:rPr>
              <w:t>0.81</w:t>
            </w:r>
          </w:p>
        </w:tc>
        <w:tc>
          <w:tcPr>
            <w:tcW w:w="424" w:type="pct"/>
            <w:vAlign w:val="center"/>
          </w:tcPr>
          <w:p>
            <w:pPr>
              <w:spacing w:line="240" w:lineRule="auto"/>
              <w:ind w:firstLine="0" w:firstLineChars="0"/>
              <w:jc w:val="center"/>
              <w:rPr>
                <w:sz w:val="21"/>
                <w:szCs w:val="21"/>
              </w:rPr>
            </w:pPr>
            <w:r>
              <w:rPr>
                <w:sz w:val="21"/>
                <w:szCs w:val="21"/>
              </w:rPr>
              <w:t>0.81</w:t>
            </w:r>
          </w:p>
        </w:tc>
        <w:tc>
          <w:tcPr>
            <w:tcW w:w="1165" w:type="pct"/>
            <w:vAlign w:val="center"/>
          </w:tcPr>
          <w:p>
            <w:pPr>
              <w:spacing w:line="240" w:lineRule="auto"/>
              <w:ind w:firstLine="0" w:firstLineChars="0"/>
              <w:jc w:val="center"/>
              <w:rPr>
                <w:sz w:val="21"/>
                <w:szCs w:val="21"/>
              </w:rPr>
            </w:pPr>
            <w:r>
              <w:rPr>
                <w:sz w:val="21"/>
                <w:szCs w:val="21"/>
              </w:rPr>
              <w:t>在建，场平中</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48" w:type="pct"/>
            <w:vAlign w:val="center"/>
          </w:tcPr>
          <w:p>
            <w:pPr>
              <w:spacing w:line="240" w:lineRule="auto"/>
              <w:ind w:firstLine="0" w:firstLineChars="0"/>
              <w:jc w:val="center"/>
              <w:rPr>
                <w:sz w:val="21"/>
                <w:szCs w:val="21"/>
              </w:rPr>
            </w:pPr>
            <w:r>
              <w:rPr>
                <w:sz w:val="21"/>
                <w:szCs w:val="21"/>
              </w:rPr>
              <w:t>11</w:t>
            </w:r>
          </w:p>
        </w:tc>
        <w:tc>
          <w:tcPr>
            <w:tcW w:w="756" w:type="pct"/>
            <w:vAlign w:val="center"/>
          </w:tcPr>
          <w:p>
            <w:pPr>
              <w:spacing w:line="240" w:lineRule="auto"/>
              <w:ind w:firstLine="0" w:firstLineChars="0"/>
              <w:jc w:val="center"/>
              <w:rPr>
                <w:sz w:val="21"/>
                <w:szCs w:val="21"/>
              </w:rPr>
            </w:pPr>
            <w:r>
              <w:rPr>
                <w:sz w:val="21"/>
                <w:szCs w:val="21"/>
              </w:rPr>
              <w:t>龙东路</w:t>
            </w:r>
          </w:p>
        </w:tc>
        <w:tc>
          <w:tcPr>
            <w:tcW w:w="564" w:type="pct"/>
            <w:vAlign w:val="center"/>
          </w:tcPr>
          <w:p>
            <w:pPr>
              <w:spacing w:line="240" w:lineRule="auto"/>
              <w:ind w:firstLine="0" w:firstLineChars="0"/>
              <w:jc w:val="center"/>
              <w:rPr>
                <w:sz w:val="21"/>
                <w:szCs w:val="21"/>
              </w:rPr>
            </w:pPr>
            <w:r>
              <w:rPr>
                <w:sz w:val="21"/>
                <w:szCs w:val="21"/>
              </w:rPr>
              <w:t>1.57</w:t>
            </w:r>
          </w:p>
        </w:tc>
        <w:tc>
          <w:tcPr>
            <w:tcW w:w="424" w:type="pct"/>
            <w:vAlign w:val="center"/>
          </w:tcPr>
          <w:p>
            <w:pPr>
              <w:spacing w:line="240" w:lineRule="auto"/>
              <w:ind w:firstLine="0" w:firstLineChars="0"/>
              <w:jc w:val="center"/>
              <w:rPr>
                <w:sz w:val="21"/>
                <w:szCs w:val="21"/>
              </w:rPr>
            </w:pPr>
            <w:r>
              <w:rPr>
                <w:sz w:val="21"/>
                <w:szCs w:val="21"/>
              </w:rPr>
              <w:t>1.57</w:t>
            </w:r>
          </w:p>
        </w:tc>
        <w:tc>
          <w:tcPr>
            <w:tcW w:w="1165" w:type="pct"/>
            <w:vAlign w:val="center"/>
          </w:tcPr>
          <w:p>
            <w:pPr>
              <w:spacing w:line="240" w:lineRule="auto"/>
              <w:ind w:firstLine="0" w:firstLineChars="0"/>
              <w:jc w:val="center"/>
              <w:rPr>
                <w:sz w:val="21"/>
                <w:szCs w:val="21"/>
              </w:rPr>
            </w:pPr>
            <w:r>
              <w:rPr>
                <w:sz w:val="21"/>
                <w:szCs w:val="21"/>
              </w:rPr>
              <w:t>在建，场平中</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6" w:hRule="atLeast"/>
        </w:trPr>
        <w:tc>
          <w:tcPr>
            <w:tcW w:w="248" w:type="pct"/>
            <w:vAlign w:val="center"/>
          </w:tcPr>
          <w:p>
            <w:pPr>
              <w:spacing w:line="240" w:lineRule="auto"/>
              <w:ind w:firstLine="0" w:firstLineChars="0"/>
              <w:jc w:val="center"/>
              <w:rPr>
                <w:sz w:val="21"/>
                <w:szCs w:val="21"/>
              </w:rPr>
            </w:pPr>
            <w:r>
              <w:rPr>
                <w:sz w:val="21"/>
                <w:szCs w:val="21"/>
              </w:rPr>
              <w:t>12</w:t>
            </w:r>
          </w:p>
        </w:tc>
        <w:tc>
          <w:tcPr>
            <w:tcW w:w="756" w:type="pct"/>
            <w:vAlign w:val="center"/>
          </w:tcPr>
          <w:p>
            <w:pPr>
              <w:spacing w:line="240" w:lineRule="auto"/>
              <w:ind w:firstLine="0" w:firstLineChars="0"/>
              <w:jc w:val="center"/>
              <w:rPr>
                <w:sz w:val="21"/>
                <w:szCs w:val="21"/>
              </w:rPr>
            </w:pPr>
            <w:r>
              <w:rPr>
                <w:sz w:val="21"/>
                <w:szCs w:val="21"/>
              </w:rPr>
              <w:t>工业污水处理厂</w:t>
            </w:r>
          </w:p>
        </w:tc>
        <w:tc>
          <w:tcPr>
            <w:tcW w:w="564" w:type="pct"/>
            <w:vAlign w:val="center"/>
          </w:tcPr>
          <w:p>
            <w:pPr>
              <w:spacing w:line="240" w:lineRule="auto"/>
              <w:ind w:firstLine="0" w:firstLineChars="0"/>
              <w:jc w:val="center"/>
              <w:rPr>
                <w:sz w:val="21"/>
                <w:szCs w:val="21"/>
              </w:rPr>
            </w:pPr>
            <w:r>
              <w:rPr>
                <w:sz w:val="21"/>
                <w:szCs w:val="21"/>
              </w:rPr>
              <w:t>17.90（批复面积2.20）</w:t>
            </w:r>
          </w:p>
        </w:tc>
        <w:tc>
          <w:tcPr>
            <w:tcW w:w="424" w:type="pct"/>
            <w:vAlign w:val="center"/>
          </w:tcPr>
          <w:p>
            <w:pPr>
              <w:spacing w:line="240" w:lineRule="auto"/>
              <w:ind w:firstLine="0" w:firstLineChars="0"/>
              <w:jc w:val="center"/>
              <w:rPr>
                <w:sz w:val="21"/>
                <w:szCs w:val="21"/>
              </w:rPr>
            </w:pPr>
            <w:r>
              <w:rPr>
                <w:sz w:val="21"/>
                <w:szCs w:val="21"/>
              </w:rPr>
              <w:t>2.20</w:t>
            </w:r>
          </w:p>
        </w:tc>
        <w:tc>
          <w:tcPr>
            <w:tcW w:w="1165" w:type="pct"/>
            <w:vAlign w:val="center"/>
          </w:tcPr>
          <w:p>
            <w:pPr>
              <w:spacing w:line="240" w:lineRule="auto"/>
              <w:ind w:firstLine="0" w:firstLineChars="0"/>
              <w:jc w:val="center"/>
              <w:rPr>
                <w:sz w:val="21"/>
                <w:szCs w:val="21"/>
              </w:rPr>
            </w:pPr>
            <w:r>
              <w:rPr>
                <w:sz w:val="21"/>
                <w:szCs w:val="21"/>
              </w:rPr>
              <w:t>在建，整体完成度60%</w:t>
            </w:r>
          </w:p>
        </w:tc>
        <w:tc>
          <w:tcPr>
            <w:tcW w:w="615" w:type="pct"/>
            <w:vAlign w:val="center"/>
          </w:tcPr>
          <w:p>
            <w:pPr>
              <w:spacing w:line="240" w:lineRule="auto"/>
              <w:ind w:firstLine="0" w:firstLineChars="0"/>
              <w:jc w:val="center"/>
              <w:rPr>
                <w:sz w:val="21"/>
                <w:szCs w:val="21"/>
              </w:rPr>
            </w:pPr>
            <w:r>
              <w:rPr>
                <w:sz w:val="21"/>
                <w:szCs w:val="21"/>
              </w:rPr>
              <w:t>是-五水函〔2020〕19号</w:t>
            </w:r>
          </w:p>
        </w:tc>
        <w:tc>
          <w:tcPr>
            <w:tcW w:w="368" w:type="pct"/>
            <w:vAlign w:val="center"/>
          </w:tcPr>
          <w:p>
            <w:pPr>
              <w:spacing w:line="240" w:lineRule="auto"/>
              <w:ind w:firstLine="0" w:firstLineChars="0"/>
              <w:jc w:val="center"/>
              <w:rPr>
                <w:sz w:val="21"/>
                <w:szCs w:val="21"/>
              </w:rPr>
            </w:pPr>
            <w:r>
              <w:rPr>
                <w:sz w:val="21"/>
                <w:szCs w:val="21"/>
              </w:rPr>
              <w:t>是</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3" w:hRule="atLeast"/>
        </w:trPr>
        <w:tc>
          <w:tcPr>
            <w:tcW w:w="248" w:type="pct"/>
            <w:vMerge w:val="restart"/>
            <w:vAlign w:val="center"/>
          </w:tcPr>
          <w:p>
            <w:pPr>
              <w:spacing w:line="240" w:lineRule="auto"/>
              <w:ind w:firstLine="0" w:firstLineChars="0"/>
              <w:jc w:val="center"/>
              <w:rPr>
                <w:sz w:val="21"/>
                <w:szCs w:val="21"/>
              </w:rPr>
            </w:pPr>
            <w:r>
              <w:rPr>
                <w:sz w:val="21"/>
                <w:szCs w:val="21"/>
              </w:rPr>
              <w:t>13</w:t>
            </w:r>
          </w:p>
        </w:tc>
        <w:tc>
          <w:tcPr>
            <w:tcW w:w="756" w:type="pct"/>
            <w:vAlign w:val="center"/>
          </w:tcPr>
          <w:p>
            <w:pPr>
              <w:spacing w:line="240" w:lineRule="auto"/>
              <w:ind w:firstLine="0" w:firstLineChars="0"/>
              <w:jc w:val="center"/>
              <w:rPr>
                <w:sz w:val="21"/>
                <w:szCs w:val="21"/>
              </w:rPr>
            </w:pPr>
            <w:r>
              <w:rPr>
                <w:sz w:val="21"/>
                <w:szCs w:val="21"/>
              </w:rPr>
              <w:t>4#电站（会云220kV变电站）</w:t>
            </w:r>
          </w:p>
        </w:tc>
        <w:tc>
          <w:tcPr>
            <w:tcW w:w="564" w:type="pct"/>
            <w:vAlign w:val="center"/>
          </w:tcPr>
          <w:p>
            <w:pPr>
              <w:spacing w:line="240" w:lineRule="auto"/>
              <w:ind w:firstLine="0" w:firstLineChars="0"/>
              <w:jc w:val="center"/>
              <w:rPr>
                <w:sz w:val="21"/>
                <w:szCs w:val="21"/>
              </w:rPr>
            </w:pPr>
            <w:r>
              <w:rPr>
                <w:sz w:val="21"/>
                <w:szCs w:val="21"/>
              </w:rPr>
              <w:t>1.84</w:t>
            </w:r>
          </w:p>
        </w:tc>
        <w:tc>
          <w:tcPr>
            <w:tcW w:w="424" w:type="pct"/>
            <w:vAlign w:val="center"/>
          </w:tcPr>
          <w:p>
            <w:pPr>
              <w:spacing w:line="240" w:lineRule="auto"/>
              <w:ind w:firstLine="0" w:firstLineChars="0"/>
              <w:jc w:val="center"/>
              <w:rPr>
                <w:sz w:val="21"/>
                <w:szCs w:val="21"/>
              </w:rPr>
            </w:pPr>
            <w:r>
              <w:rPr>
                <w:sz w:val="21"/>
                <w:szCs w:val="21"/>
              </w:rPr>
              <w:t>1.84</w:t>
            </w:r>
          </w:p>
        </w:tc>
        <w:tc>
          <w:tcPr>
            <w:tcW w:w="1165" w:type="pct"/>
            <w:vAlign w:val="center"/>
          </w:tcPr>
          <w:p>
            <w:pPr>
              <w:spacing w:line="240" w:lineRule="auto"/>
              <w:ind w:firstLine="0" w:firstLineChars="0"/>
              <w:jc w:val="center"/>
              <w:rPr>
                <w:sz w:val="21"/>
                <w:szCs w:val="21"/>
              </w:rPr>
            </w:pPr>
            <w:r>
              <w:rPr>
                <w:sz w:val="21"/>
                <w:szCs w:val="21"/>
              </w:rPr>
              <w:t>在建，整体完成度90%</w:t>
            </w:r>
          </w:p>
        </w:tc>
        <w:tc>
          <w:tcPr>
            <w:tcW w:w="615" w:type="pct"/>
            <w:vAlign w:val="center"/>
          </w:tcPr>
          <w:p>
            <w:pPr>
              <w:spacing w:line="240" w:lineRule="auto"/>
              <w:ind w:firstLine="0" w:firstLineChars="0"/>
              <w:jc w:val="center"/>
              <w:rPr>
                <w:sz w:val="21"/>
                <w:szCs w:val="21"/>
              </w:rPr>
            </w:pPr>
            <w:r>
              <w:rPr>
                <w:sz w:val="21"/>
                <w:szCs w:val="21"/>
              </w:rPr>
              <w:t>是-五水函〔2021〕6号</w:t>
            </w:r>
          </w:p>
        </w:tc>
        <w:tc>
          <w:tcPr>
            <w:tcW w:w="368" w:type="pct"/>
            <w:vAlign w:val="center"/>
          </w:tcPr>
          <w:p>
            <w:pPr>
              <w:spacing w:line="240" w:lineRule="auto"/>
              <w:ind w:firstLine="0" w:firstLineChars="0"/>
              <w:jc w:val="center"/>
              <w:rPr>
                <w:sz w:val="21"/>
                <w:szCs w:val="21"/>
              </w:rPr>
            </w:pPr>
            <w:r>
              <w:rPr>
                <w:sz w:val="21"/>
                <w:szCs w:val="21"/>
              </w:rPr>
              <w:t>是</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8" w:hRule="atLeast"/>
        </w:trPr>
        <w:tc>
          <w:tcPr>
            <w:tcW w:w="248" w:type="pct"/>
            <w:vMerge w:val="continue"/>
            <w:vAlign w:val="center"/>
          </w:tcPr>
          <w:p>
            <w:pPr>
              <w:spacing w:line="240" w:lineRule="auto"/>
              <w:ind w:firstLine="0" w:firstLineChars="0"/>
              <w:jc w:val="center"/>
              <w:rPr>
                <w:sz w:val="21"/>
                <w:szCs w:val="21"/>
              </w:rPr>
            </w:pPr>
          </w:p>
        </w:tc>
        <w:tc>
          <w:tcPr>
            <w:tcW w:w="756" w:type="pct"/>
            <w:vAlign w:val="center"/>
          </w:tcPr>
          <w:p>
            <w:pPr>
              <w:spacing w:line="240" w:lineRule="auto"/>
              <w:ind w:firstLine="0" w:firstLineChars="0"/>
              <w:jc w:val="center"/>
              <w:rPr>
                <w:sz w:val="21"/>
                <w:szCs w:val="21"/>
              </w:rPr>
            </w:pPr>
            <w:r>
              <w:rPr>
                <w:sz w:val="21"/>
                <w:szCs w:val="21"/>
              </w:rPr>
              <w:t>1#及2#电站</w:t>
            </w:r>
          </w:p>
        </w:tc>
        <w:tc>
          <w:tcPr>
            <w:tcW w:w="564" w:type="pct"/>
            <w:vAlign w:val="center"/>
          </w:tcPr>
          <w:p>
            <w:pPr>
              <w:spacing w:line="240" w:lineRule="auto"/>
              <w:ind w:firstLine="0" w:firstLineChars="0"/>
              <w:jc w:val="center"/>
              <w:rPr>
                <w:sz w:val="21"/>
                <w:szCs w:val="21"/>
              </w:rPr>
            </w:pPr>
            <w:r>
              <w:rPr>
                <w:sz w:val="21"/>
                <w:szCs w:val="21"/>
              </w:rPr>
              <w:t>1.58</w:t>
            </w:r>
          </w:p>
        </w:tc>
        <w:tc>
          <w:tcPr>
            <w:tcW w:w="424" w:type="pct"/>
            <w:vAlign w:val="center"/>
          </w:tcPr>
          <w:p>
            <w:pPr>
              <w:spacing w:line="240" w:lineRule="auto"/>
              <w:ind w:firstLine="0" w:firstLineChars="0"/>
              <w:jc w:val="center"/>
              <w:rPr>
                <w:sz w:val="21"/>
                <w:szCs w:val="21"/>
              </w:rPr>
            </w:pPr>
            <w:r>
              <w:rPr>
                <w:sz w:val="21"/>
                <w:szCs w:val="21"/>
              </w:rPr>
              <w:t>1.58</w:t>
            </w:r>
          </w:p>
        </w:tc>
        <w:tc>
          <w:tcPr>
            <w:tcW w:w="1165" w:type="pct"/>
            <w:vAlign w:val="center"/>
          </w:tcPr>
          <w:p>
            <w:pPr>
              <w:spacing w:line="240" w:lineRule="auto"/>
              <w:ind w:firstLine="0" w:firstLineChars="0"/>
              <w:jc w:val="center"/>
              <w:rPr>
                <w:sz w:val="21"/>
                <w:szCs w:val="21"/>
              </w:rPr>
            </w:pPr>
            <w:r>
              <w:rPr>
                <w:sz w:val="21"/>
                <w:szCs w:val="21"/>
              </w:rPr>
              <w:t>在建，整体完成度90%</w:t>
            </w:r>
          </w:p>
        </w:tc>
        <w:tc>
          <w:tcPr>
            <w:tcW w:w="615" w:type="pct"/>
            <w:vAlign w:val="center"/>
          </w:tcPr>
          <w:p>
            <w:pPr>
              <w:spacing w:line="240" w:lineRule="auto"/>
              <w:ind w:firstLine="0" w:firstLineChars="0"/>
              <w:jc w:val="center"/>
              <w:rPr>
                <w:sz w:val="21"/>
                <w:szCs w:val="21"/>
              </w:rPr>
            </w:pPr>
            <w:r>
              <w:rPr>
                <w:sz w:val="21"/>
                <w:szCs w:val="21"/>
              </w:rPr>
              <w:t>工程一并纳入协鑫项目水保方案进行了批复</w:t>
            </w:r>
          </w:p>
        </w:tc>
        <w:tc>
          <w:tcPr>
            <w:tcW w:w="368" w:type="pct"/>
            <w:vAlign w:val="center"/>
          </w:tcPr>
          <w:p>
            <w:pPr>
              <w:spacing w:line="240" w:lineRule="auto"/>
              <w:ind w:firstLine="0" w:firstLineChars="0"/>
              <w:jc w:val="center"/>
              <w:rPr>
                <w:sz w:val="21"/>
                <w:szCs w:val="21"/>
              </w:rPr>
            </w:pPr>
            <w:r>
              <w:rPr>
                <w:sz w:val="21"/>
                <w:szCs w:val="21"/>
              </w:rPr>
              <w:t>是</w:t>
            </w:r>
          </w:p>
        </w:tc>
        <w:tc>
          <w:tcPr>
            <w:tcW w:w="430" w:type="pct"/>
            <w:vAlign w:val="center"/>
          </w:tcPr>
          <w:p>
            <w:pPr>
              <w:spacing w:line="240" w:lineRule="auto"/>
              <w:ind w:firstLine="0" w:firstLineChars="0"/>
              <w:jc w:val="center"/>
              <w:rPr>
                <w:sz w:val="21"/>
                <w:szCs w:val="21"/>
              </w:rPr>
            </w:pPr>
            <w:r>
              <w:rPr>
                <w:sz w:val="21"/>
                <w:szCs w:val="21"/>
              </w:rPr>
              <w:t>是</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18" w:hRule="atLeast"/>
        </w:trPr>
        <w:tc>
          <w:tcPr>
            <w:tcW w:w="248" w:type="pct"/>
            <w:vMerge w:val="continue"/>
            <w:vAlign w:val="center"/>
          </w:tcPr>
          <w:p>
            <w:pPr>
              <w:spacing w:line="240" w:lineRule="auto"/>
              <w:ind w:firstLine="0" w:firstLineChars="0"/>
              <w:jc w:val="center"/>
              <w:rPr>
                <w:sz w:val="21"/>
                <w:szCs w:val="21"/>
              </w:rPr>
            </w:pPr>
          </w:p>
        </w:tc>
        <w:tc>
          <w:tcPr>
            <w:tcW w:w="756" w:type="pct"/>
            <w:vAlign w:val="center"/>
          </w:tcPr>
          <w:p>
            <w:pPr>
              <w:spacing w:line="240" w:lineRule="auto"/>
              <w:ind w:firstLine="0" w:firstLineChars="0"/>
              <w:jc w:val="center"/>
              <w:rPr>
                <w:sz w:val="21"/>
                <w:szCs w:val="21"/>
              </w:rPr>
            </w:pPr>
            <w:r>
              <w:rPr>
                <w:sz w:val="21"/>
                <w:szCs w:val="21"/>
              </w:rPr>
              <w:t>3#电站</w:t>
            </w:r>
          </w:p>
        </w:tc>
        <w:tc>
          <w:tcPr>
            <w:tcW w:w="564" w:type="pct"/>
            <w:vAlign w:val="center"/>
          </w:tcPr>
          <w:p>
            <w:pPr>
              <w:spacing w:line="240" w:lineRule="auto"/>
              <w:ind w:firstLine="0" w:firstLineChars="0"/>
              <w:jc w:val="center"/>
              <w:rPr>
                <w:sz w:val="21"/>
                <w:szCs w:val="21"/>
              </w:rPr>
            </w:pPr>
            <w:r>
              <w:rPr>
                <w:sz w:val="21"/>
                <w:szCs w:val="21"/>
              </w:rPr>
              <w:t>1.47</w:t>
            </w:r>
          </w:p>
        </w:tc>
        <w:tc>
          <w:tcPr>
            <w:tcW w:w="424" w:type="pct"/>
            <w:vAlign w:val="center"/>
          </w:tcPr>
          <w:p>
            <w:pPr>
              <w:spacing w:line="240" w:lineRule="auto"/>
              <w:ind w:firstLine="0" w:firstLineChars="0"/>
              <w:jc w:val="center"/>
              <w:rPr>
                <w:sz w:val="21"/>
                <w:szCs w:val="21"/>
              </w:rPr>
            </w:pPr>
            <w:r>
              <w:rPr>
                <w:sz w:val="21"/>
                <w:szCs w:val="21"/>
              </w:rPr>
              <w:t>1.47</w:t>
            </w:r>
          </w:p>
        </w:tc>
        <w:tc>
          <w:tcPr>
            <w:tcW w:w="1165" w:type="pct"/>
            <w:vAlign w:val="center"/>
          </w:tcPr>
          <w:p>
            <w:pPr>
              <w:spacing w:line="240" w:lineRule="auto"/>
              <w:ind w:firstLine="0" w:firstLineChars="0"/>
              <w:jc w:val="center"/>
              <w:rPr>
                <w:sz w:val="21"/>
                <w:szCs w:val="21"/>
              </w:rPr>
            </w:pPr>
            <w:r>
              <w:rPr>
                <w:sz w:val="21"/>
                <w:szCs w:val="21"/>
              </w:rPr>
              <w:t>在建，整体完成度95%</w:t>
            </w:r>
          </w:p>
        </w:tc>
        <w:tc>
          <w:tcPr>
            <w:tcW w:w="615" w:type="pct"/>
            <w:vAlign w:val="center"/>
          </w:tcPr>
          <w:p>
            <w:pPr>
              <w:spacing w:line="240" w:lineRule="auto"/>
              <w:ind w:firstLine="0" w:firstLineChars="0"/>
              <w:jc w:val="center"/>
              <w:rPr>
                <w:sz w:val="21"/>
                <w:szCs w:val="21"/>
              </w:rPr>
            </w:pPr>
            <w:r>
              <w:rPr>
                <w:sz w:val="21"/>
                <w:szCs w:val="21"/>
              </w:rPr>
              <w:t>工程一并纳入永祥4.5万吨高纯晶硅项目水保方案进行了批复</w:t>
            </w:r>
          </w:p>
        </w:tc>
        <w:tc>
          <w:tcPr>
            <w:tcW w:w="368" w:type="pct"/>
            <w:vAlign w:val="center"/>
          </w:tcPr>
          <w:p>
            <w:pPr>
              <w:spacing w:line="240" w:lineRule="auto"/>
              <w:ind w:firstLine="0" w:firstLineChars="0"/>
              <w:jc w:val="center"/>
              <w:rPr>
                <w:sz w:val="21"/>
                <w:szCs w:val="21"/>
              </w:rPr>
            </w:pPr>
            <w:r>
              <w:rPr>
                <w:sz w:val="21"/>
                <w:szCs w:val="21"/>
              </w:rPr>
              <w:t>是</w:t>
            </w:r>
          </w:p>
        </w:tc>
        <w:tc>
          <w:tcPr>
            <w:tcW w:w="430" w:type="pct"/>
            <w:vAlign w:val="center"/>
          </w:tcPr>
          <w:p>
            <w:pPr>
              <w:spacing w:line="240" w:lineRule="auto"/>
              <w:ind w:firstLine="0" w:firstLineChars="0"/>
              <w:jc w:val="center"/>
              <w:rPr>
                <w:sz w:val="21"/>
                <w:szCs w:val="21"/>
              </w:rPr>
            </w:pPr>
            <w:r>
              <w:rPr>
                <w:sz w:val="21"/>
                <w:szCs w:val="21"/>
              </w:rPr>
              <w:t>是</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1" w:hRule="atLeast"/>
        </w:trPr>
        <w:tc>
          <w:tcPr>
            <w:tcW w:w="248" w:type="pct"/>
            <w:vMerge w:val="continue"/>
            <w:vAlign w:val="center"/>
          </w:tcPr>
          <w:p>
            <w:pPr>
              <w:spacing w:line="240" w:lineRule="auto"/>
              <w:ind w:firstLine="0" w:firstLineChars="0"/>
              <w:jc w:val="center"/>
              <w:rPr>
                <w:sz w:val="21"/>
                <w:szCs w:val="21"/>
              </w:rPr>
            </w:pPr>
          </w:p>
        </w:tc>
        <w:tc>
          <w:tcPr>
            <w:tcW w:w="756" w:type="pct"/>
            <w:vAlign w:val="center"/>
          </w:tcPr>
          <w:p>
            <w:pPr>
              <w:spacing w:line="240" w:lineRule="auto"/>
              <w:ind w:firstLine="0" w:firstLineChars="0"/>
              <w:jc w:val="center"/>
              <w:rPr>
                <w:sz w:val="21"/>
                <w:szCs w:val="21"/>
              </w:rPr>
            </w:pPr>
            <w:r>
              <w:rPr>
                <w:sz w:val="21"/>
                <w:szCs w:val="21"/>
              </w:rPr>
              <w:t>5#电站</w:t>
            </w:r>
          </w:p>
        </w:tc>
        <w:tc>
          <w:tcPr>
            <w:tcW w:w="564" w:type="pct"/>
            <w:vAlign w:val="center"/>
          </w:tcPr>
          <w:p>
            <w:pPr>
              <w:spacing w:line="240" w:lineRule="auto"/>
              <w:ind w:firstLine="0" w:firstLineChars="0"/>
              <w:jc w:val="center"/>
              <w:rPr>
                <w:sz w:val="21"/>
                <w:szCs w:val="21"/>
              </w:rPr>
            </w:pPr>
            <w:r>
              <w:rPr>
                <w:sz w:val="21"/>
                <w:szCs w:val="21"/>
              </w:rPr>
              <w:t>1.12</w:t>
            </w:r>
          </w:p>
        </w:tc>
        <w:tc>
          <w:tcPr>
            <w:tcW w:w="424" w:type="pct"/>
            <w:vAlign w:val="center"/>
          </w:tcPr>
          <w:p>
            <w:pPr>
              <w:spacing w:line="240" w:lineRule="auto"/>
              <w:ind w:firstLine="0" w:firstLineChars="0"/>
              <w:jc w:val="center"/>
              <w:rPr>
                <w:sz w:val="21"/>
                <w:szCs w:val="21"/>
              </w:rPr>
            </w:pPr>
            <w:r>
              <w:rPr>
                <w:sz w:val="21"/>
                <w:szCs w:val="21"/>
              </w:rPr>
              <w:t>1.12</w:t>
            </w:r>
          </w:p>
        </w:tc>
        <w:tc>
          <w:tcPr>
            <w:tcW w:w="1165" w:type="pct"/>
            <w:vAlign w:val="center"/>
          </w:tcPr>
          <w:p>
            <w:pPr>
              <w:spacing w:line="240" w:lineRule="auto"/>
              <w:ind w:firstLine="0" w:firstLineChars="0"/>
              <w:jc w:val="center"/>
              <w:rPr>
                <w:sz w:val="21"/>
                <w:szCs w:val="21"/>
              </w:rPr>
            </w:pPr>
            <w:r>
              <w:rPr>
                <w:sz w:val="21"/>
                <w:szCs w:val="21"/>
              </w:rPr>
              <w:t>在建，整体完成度80%</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9" w:hRule="atLeast"/>
        </w:trPr>
        <w:tc>
          <w:tcPr>
            <w:tcW w:w="248" w:type="pct"/>
            <w:vAlign w:val="center"/>
          </w:tcPr>
          <w:p>
            <w:pPr>
              <w:spacing w:line="240" w:lineRule="auto"/>
              <w:ind w:firstLine="0" w:firstLineChars="0"/>
              <w:jc w:val="center"/>
              <w:rPr>
                <w:sz w:val="21"/>
                <w:szCs w:val="21"/>
              </w:rPr>
            </w:pPr>
            <w:r>
              <w:rPr>
                <w:sz w:val="21"/>
                <w:szCs w:val="21"/>
              </w:rPr>
              <w:t>14</w:t>
            </w:r>
          </w:p>
        </w:tc>
        <w:tc>
          <w:tcPr>
            <w:tcW w:w="756" w:type="pct"/>
            <w:vAlign w:val="center"/>
          </w:tcPr>
          <w:p>
            <w:pPr>
              <w:spacing w:line="240" w:lineRule="auto"/>
              <w:ind w:firstLine="0" w:firstLineChars="0"/>
              <w:jc w:val="center"/>
              <w:rPr>
                <w:sz w:val="21"/>
                <w:szCs w:val="21"/>
              </w:rPr>
            </w:pPr>
            <w:r>
              <w:rPr>
                <w:sz w:val="21"/>
                <w:szCs w:val="21"/>
              </w:rPr>
              <w:t>服务中心和停车场配套工程</w:t>
            </w:r>
          </w:p>
        </w:tc>
        <w:tc>
          <w:tcPr>
            <w:tcW w:w="564" w:type="pct"/>
            <w:vAlign w:val="center"/>
          </w:tcPr>
          <w:p>
            <w:pPr>
              <w:spacing w:line="240" w:lineRule="auto"/>
              <w:ind w:firstLine="0" w:firstLineChars="0"/>
              <w:jc w:val="center"/>
              <w:rPr>
                <w:sz w:val="21"/>
                <w:szCs w:val="21"/>
              </w:rPr>
            </w:pPr>
            <w:r>
              <w:rPr>
                <w:sz w:val="21"/>
                <w:szCs w:val="21"/>
              </w:rPr>
              <w:t>4.35</w:t>
            </w:r>
          </w:p>
        </w:tc>
        <w:tc>
          <w:tcPr>
            <w:tcW w:w="424" w:type="pct"/>
            <w:vAlign w:val="center"/>
          </w:tcPr>
          <w:p>
            <w:pPr>
              <w:spacing w:line="240" w:lineRule="auto"/>
              <w:ind w:firstLine="0" w:firstLineChars="0"/>
              <w:jc w:val="center"/>
              <w:rPr>
                <w:sz w:val="21"/>
                <w:szCs w:val="21"/>
              </w:rPr>
            </w:pPr>
            <w:r>
              <w:rPr>
                <w:sz w:val="21"/>
                <w:szCs w:val="21"/>
              </w:rPr>
              <w:t>4.35</w:t>
            </w:r>
          </w:p>
        </w:tc>
        <w:tc>
          <w:tcPr>
            <w:tcW w:w="1165" w:type="pct"/>
            <w:vAlign w:val="center"/>
          </w:tcPr>
          <w:p>
            <w:pPr>
              <w:spacing w:line="240" w:lineRule="auto"/>
              <w:ind w:firstLine="0" w:firstLineChars="0"/>
              <w:jc w:val="center"/>
              <w:rPr>
                <w:sz w:val="21"/>
                <w:szCs w:val="21"/>
              </w:rPr>
            </w:pPr>
            <w:r>
              <w:rPr>
                <w:sz w:val="21"/>
                <w:szCs w:val="21"/>
              </w:rPr>
              <w:t>未建，目前场地作为15GW单晶拉棒切方项目的临时施工生活区，待上述项目完工后，施工区进行拆除，再行开工建设</w:t>
            </w:r>
          </w:p>
        </w:tc>
        <w:tc>
          <w:tcPr>
            <w:tcW w:w="615" w:type="pct"/>
            <w:vAlign w:val="center"/>
          </w:tcPr>
          <w:p>
            <w:pPr>
              <w:spacing w:line="240" w:lineRule="auto"/>
              <w:ind w:firstLine="0" w:firstLineChars="0"/>
              <w:jc w:val="center"/>
              <w:rPr>
                <w:sz w:val="21"/>
                <w:szCs w:val="21"/>
              </w:rPr>
            </w:pPr>
            <w:r>
              <w:rPr>
                <w:sz w:val="21"/>
                <w:szCs w:val="21"/>
              </w:rPr>
              <w:t>是-五水函〔2022〕66号</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26" w:hRule="atLeast"/>
        </w:trPr>
        <w:tc>
          <w:tcPr>
            <w:tcW w:w="248" w:type="pct"/>
            <w:vMerge w:val="restart"/>
            <w:vAlign w:val="center"/>
          </w:tcPr>
          <w:p>
            <w:pPr>
              <w:spacing w:line="240" w:lineRule="auto"/>
              <w:ind w:firstLine="0" w:firstLineChars="0"/>
              <w:jc w:val="center"/>
              <w:rPr>
                <w:sz w:val="21"/>
                <w:szCs w:val="21"/>
              </w:rPr>
            </w:pPr>
            <w:r>
              <w:rPr>
                <w:sz w:val="21"/>
                <w:szCs w:val="21"/>
              </w:rPr>
              <w:t>15</w:t>
            </w:r>
          </w:p>
        </w:tc>
        <w:tc>
          <w:tcPr>
            <w:tcW w:w="756" w:type="pct"/>
            <w:vAlign w:val="center"/>
          </w:tcPr>
          <w:p>
            <w:pPr>
              <w:spacing w:line="240" w:lineRule="auto"/>
              <w:ind w:firstLine="0" w:firstLineChars="0"/>
              <w:jc w:val="center"/>
              <w:rPr>
                <w:sz w:val="21"/>
                <w:szCs w:val="21"/>
              </w:rPr>
            </w:pPr>
            <w:r>
              <w:rPr>
                <w:sz w:val="21"/>
                <w:szCs w:val="21"/>
              </w:rPr>
              <w:t>园区危险化学品停车场</w:t>
            </w:r>
          </w:p>
        </w:tc>
        <w:tc>
          <w:tcPr>
            <w:tcW w:w="564" w:type="pct"/>
            <w:vAlign w:val="center"/>
          </w:tcPr>
          <w:p>
            <w:pPr>
              <w:spacing w:line="240" w:lineRule="auto"/>
              <w:ind w:firstLine="0" w:firstLineChars="0"/>
              <w:jc w:val="center"/>
              <w:rPr>
                <w:sz w:val="21"/>
                <w:szCs w:val="21"/>
              </w:rPr>
            </w:pPr>
            <w:r>
              <w:rPr>
                <w:sz w:val="21"/>
                <w:szCs w:val="21"/>
              </w:rPr>
              <w:t>12.41</w:t>
            </w:r>
          </w:p>
        </w:tc>
        <w:tc>
          <w:tcPr>
            <w:tcW w:w="424" w:type="pct"/>
            <w:vAlign w:val="center"/>
          </w:tcPr>
          <w:p>
            <w:pPr>
              <w:spacing w:line="240" w:lineRule="auto"/>
              <w:ind w:firstLine="0" w:firstLineChars="0"/>
              <w:jc w:val="center"/>
              <w:rPr>
                <w:sz w:val="21"/>
                <w:szCs w:val="21"/>
              </w:rPr>
            </w:pPr>
            <w:r>
              <w:rPr>
                <w:sz w:val="21"/>
                <w:szCs w:val="21"/>
              </w:rPr>
              <w:t>1.50</w:t>
            </w:r>
          </w:p>
        </w:tc>
        <w:tc>
          <w:tcPr>
            <w:tcW w:w="1165" w:type="pct"/>
            <w:vAlign w:val="center"/>
          </w:tcPr>
          <w:p>
            <w:pPr>
              <w:spacing w:line="240" w:lineRule="auto"/>
              <w:ind w:firstLine="0" w:firstLineChars="0"/>
              <w:jc w:val="center"/>
              <w:rPr>
                <w:sz w:val="21"/>
                <w:szCs w:val="21"/>
              </w:rPr>
            </w:pPr>
            <w:r>
              <w:rPr>
                <w:sz w:val="21"/>
                <w:szCs w:val="21"/>
              </w:rPr>
              <w:t>在建</w:t>
            </w:r>
          </w:p>
        </w:tc>
        <w:tc>
          <w:tcPr>
            <w:tcW w:w="615" w:type="pct"/>
            <w:vAlign w:val="center"/>
          </w:tcPr>
          <w:p>
            <w:pPr>
              <w:spacing w:line="240" w:lineRule="auto"/>
              <w:ind w:firstLine="0" w:firstLineChars="0"/>
              <w:jc w:val="center"/>
              <w:rPr>
                <w:b/>
                <w:bCs/>
                <w:sz w:val="21"/>
                <w:szCs w:val="21"/>
              </w:rPr>
            </w:pPr>
            <w:r>
              <w:rPr>
                <w:sz w:val="21"/>
                <w:szCs w:val="21"/>
              </w:rPr>
              <w:t>是-五水函〔2022〕67号</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248" w:type="pct"/>
            <w:vMerge w:val="continue"/>
            <w:vAlign w:val="center"/>
          </w:tcPr>
          <w:p>
            <w:pPr>
              <w:spacing w:line="240" w:lineRule="auto"/>
              <w:ind w:firstLine="0" w:firstLineChars="0"/>
              <w:jc w:val="center"/>
              <w:rPr>
                <w:sz w:val="21"/>
                <w:szCs w:val="21"/>
              </w:rPr>
            </w:pPr>
          </w:p>
        </w:tc>
        <w:tc>
          <w:tcPr>
            <w:tcW w:w="756" w:type="pct"/>
            <w:vAlign w:val="center"/>
          </w:tcPr>
          <w:p>
            <w:pPr>
              <w:spacing w:line="240" w:lineRule="auto"/>
              <w:ind w:firstLine="0" w:firstLineChars="0"/>
              <w:jc w:val="center"/>
              <w:rPr>
                <w:sz w:val="21"/>
                <w:szCs w:val="21"/>
              </w:rPr>
            </w:pPr>
            <w:r>
              <w:rPr>
                <w:sz w:val="21"/>
                <w:szCs w:val="21"/>
              </w:rPr>
              <w:t>园区停车场（含车辆维修站）</w:t>
            </w:r>
          </w:p>
        </w:tc>
        <w:tc>
          <w:tcPr>
            <w:tcW w:w="564" w:type="pct"/>
            <w:vAlign w:val="center"/>
          </w:tcPr>
          <w:p>
            <w:pPr>
              <w:spacing w:line="240" w:lineRule="auto"/>
              <w:ind w:firstLine="0" w:firstLineChars="0"/>
              <w:jc w:val="center"/>
              <w:rPr>
                <w:sz w:val="21"/>
                <w:szCs w:val="21"/>
              </w:rPr>
            </w:pPr>
            <w:r>
              <w:rPr>
                <w:sz w:val="21"/>
                <w:szCs w:val="21"/>
              </w:rPr>
              <w:t>11.87</w:t>
            </w:r>
          </w:p>
        </w:tc>
        <w:tc>
          <w:tcPr>
            <w:tcW w:w="424" w:type="pct"/>
            <w:vAlign w:val="center"/>
          </w:tcPr>
          <w:p>
            <w:pPr>
              <w:spacing w:line="240" w:lineRule="auto"/>
              <w:ind w:firstLine="0" w:firstLineChars="0"/>
              <w:jc w:val="center"/>
              <w:rPr>
                <w:sz w:val="21"/>
                <w:szCs w:val="21"/>
              </w:rPr>
            </w:pPr>
            <w:r>
              <w:rPr>
                <w:sz w:val="21"/>
                <w:szCs w:val="21"/>
              </w:rPr>
              <w:t>11.87</w:t>
            </w:r>
          </w:p>
        </w:tc>
        <w:tc>
          <w:tcPr>
            <w:tcW w:w="1165" w:type="pct"/>
            <w:vAlign w:val="center"/>
          </w:tcPr>
          <w:p>
            <w:pPr>
              <w:spacing w:line="240" w:lineRule="auto"/>
              <w:ind w:firstLine="0" w:firstLineChars="0"/>
              <w:jc w:val="center"/>
              <w:rPr>
                <w:sz w:val="21"/>
                <w:szCs w:val="21"/>
              </w:rPr>
            </w:pPr>
            <w:r>
              <w:rPr>
                <w:sz w:val="21"/>
                <w:szCs w:val="21"/>
              </w:rPr>
              <w:t>在建</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48" w:type="pct"/>
            <w:vAlign w:val="center"/>
          </w:tcPr>
          <w:p>
            <w:pPr>
              <w:spacing w:line="240" w:lineRule="auto"/>
              <w:ind w:firstLine="0" w:firstLineChars="0"/>
              <w:jc w:val="center"/>
              <w:rPr>
                <w:sz w:val="21"/>
                <w:szCs w:val="21"/>
              </w:rPr>
            </w:pPr>
            <w:r>
              <w:rPr>
                <w:sz w:val="21"/>
                <w:szCs w:val="21"/>
              </w:rPr>
              <w:t>16</w:t>
            </w:r>
          </w:p>
        </w:tc>
        <w:tc>
          <w:tcPr>
            <w:tcW w:w="756" w:type="pct"/>
            <w:vAlign w:val="center"/>
          </w:tcPr>
          <w:p>
            <w:pPr>
              <w:spacing w:line="240" w:lineRule="auto"/>
              <w:ind w:firstLine="0" w:firstLineChars="0"/>
              <w:jc w:val="center"/>
              <w:rPr>
                <w:sz w:val="21"/>
                <w:szCs w:val="21"/>
              </w:rPr>
            </w:pPr>
            <w:r>
              <w:rPr>
                <w:sz w:val="21"/>
                <w:szCs w:val="21"/>
              </w:rPr>
              <w:t>配气站</w:t>
            </w:r>
          </w:p>
        </w:tc>
        <w:tc>
          <w:tcPr>
            <w:tcW w:w="564" w:type="pct"/>
            <w:vAlign w:val="center"/>
          </w:tcPr>
          <w:p>
            <w:pPr>
              <w:spacing w:line="240" w:lineRule="auto"/>
              <w:ind w:firstLine="0" w:firstLineChars="0"/>
              <w:jc w:val="center"/>
              <w:rPr>
                <w:sz w:val="21"/>
                <w:szCs w:val="21"/>
              </w:rPr>
            </w:pPr>
            <w:r>
              <w:rPr>
                <w:sz w:val="21"/>
                <w:szCs w:val="21"/>
              </w:rPr>
              <w:t>0.83</w:t>
            </w:r>
          </w:p>
        </w:tc>
        <w:tc>
          <w:tcPr>
            <w:tcW w:w="424" w:type="pct"/>
            <w:vAlign w:val="center"/>
          </w:tcPr>
          <w:p>
            <w:pPr>
              <w:spacing w:line="240" w:lineRule="auto"/>
              <w:ind w:firstLine="0" w:firstLineChars="0"/>
              <w:jc w:val="center"/>
              <w:rPr>
                <w:sz w:val="21"/>
                <w:szCs w:val="21"/>
              </w:rPr>
            </w:pPr>
            <w:r>
              <w:rPr>
                <w:sz w:val="21"/>
                <w:szCs w:val="21"/>
              </w:rPr>
              <w:t>0.83</w:t>
            </w:r>
          </w:p>
        </w:tc>
        <w:tc>
          <w:tcPr>
            <w:tcW w:w="1165" w:type="pct"/>
            <w:vAlign w:val="center"/>
          </w:tcPr>
          <w:p>
            <w:pPr>
              <w:spacing w:line="240" w:lineRule="auto"/>
              <w:ind w:firstLine="0" w:firstLineChars="0"/>
              <w:jc w:val="center"/>
              <w:rPr>
                <w:sz w:val="21"/>
                <w:szCs w:val="21"/>
              </w:rPr>
            </w:pPr>
            <w:r>
              <w:rPr>
                <w:sz w:val="21"/>
                <w:szCs w:val="21"/>
              </w:rPr>
              <w:t>在建，场平工程已完成</w:t>
            </w:r>
          </w:p>
        </w:tc>
        <w:tc>
          <w:tcPr>
            <w:tcW w:w="615" w:type="pct"/>
            <w:vAlign w:val="center"/>
          </w:tcPr>
          <w:p>
            <w:pPr>
              <w:spacing w:line="240" w:lineRule="auto"/>
              <w:ind w:firstLine="0" w:firstLineChars="0"/>
              <w:jc w:val="center"/>
              <w:rPr>
                <w:sz w:val="21"/>
                <w:szCs w:val="21"/>
              </w:rPr>
            </w:pPr>
            <w:r>
              <w:rPr>
                <w:sz w:val="21"/>
                <w:szCs w:val="21"/>
              </w:rPr>
              <w:t>否</w:t>
            </w:r>
          </w:p>
        </w:tc>
        <w:tc>
          <w:tcPr>
            <w:tcW w:w="368" w:type="pct"/>
            <w:vAlign w:val="center"/>
          </w:tcPr>
          <w:p>
            <w:pPr>
              <w:spacing w:line="240" w:lineRule="auto"/>
              <w:ind w:firstLine="0" w:firstLineChars="0"/>
              <w:jc w:val="center"/>
              <w:rPr>
                <w:sz w:val="21"/>
                <w:szCs w:val="21"/>
              </w:rPr>
            </w:pPr>
            <w:r>
              <w:rPr>
                <w:sz w:val="21"/>
                <w:szCs w:val="21"/>
              </w:rPr>
              <w:t>否</w:t>
            </w:r>
          </w:p>
        </w:tc>
        <w:tc>
          <w:tcPr>
            <w:tcW w:w="430" w:type="pct"/>
            <w:vAlign w:val="center"/>
          </w:tcPr>
          <w:p>
            <w:pPr>
              <w:spacing w:line="240" w:lineRule="auto"/>
              <w:ind w:firstLine="0" w:firstLineChars="0"/>
              <w:jc w:val="center"/>
              <w:rPr>
                <w:sz w:val="21"/>
                <w:szCs w:val="21"/>
              </w:rPr>
            </w:pPr>
            <w:r>
              <w:rPr>
                <w:sz w:val="21"/>
                <w:szCs w:val="21"/>
              </w:rPr>
              <w:t>否</w:t>
            </w:r>
          </w:p>
        </w:tc>
        <w:tc>
          <w:tcPr>
            <w:tcW w:w="426" w:type="pct"/>
            <w:vAlign w:val="center"/>
          </w:tcPr>
          <w:p>
            <w:pPr>
              <w:spacing w:line="240" w:lineRule="auto"/>
              <w:ind w:firstLine="0" w:firstLineChars="0"/>
              <w:jc w:val="center"/>
              <w:rPr>
                <w:sz w:val="21"/>
                <w:szCs w:val="21"/>
              </w:rPr>
            </w:pPr>
            <w:r>
              <w:rPr>
                <w:sz w:val="21"/>
                <w:szCs w:val="21"/>
              </w:rPr>
              <w:t>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004" w:type="pct"/>
            <w:gridSpan w:val="2"/>
            <w:vAlign w:val="center"/>
          </w:tcPr>
          <w:p>
            <w:pPr>
              <w:spacing w:line="240" w:lineRule="auto"/>
              <w:ind w:firstLine="0" w:firstLineChars="0"/>
              <w:jc w:val="center"/>
              <w:rPr>
                <w:b/>
                <w:bCs/>
                <w:sz w:val="21"/>
                <w:szCs w:val="21"/>
              </w:rPr>
            </w:pPr>
            <w:r>
              <w:rPr>
                <w:b/>
                <w:bCs/>
                <w:sz w:val="21"/>
                <w:szCs w:val="21"/>
              </w:rPr>
              <w:t>小计</w:t>
            </w:r>
          </w:p>
        </w:tc>
        <w:tc>
          <w:tcPr>
            <w:tcW w:w="564" w:type="pct"/>
            <w:vAlign w:val="center"/>
          </w:tcPr>
          <w:p>
            <w:pPr>
              <w:spacing w:line="240" w:lineRule="auto"/>
              <w:ind w:firstLine="0" w:firstLineChars="0"/>
              <w:jc w:val="center"/>
              <w:rPr>
                <w:b/>
                <w:bCs/>
                <w:sz w:val="21"/>
                <w:szCs w:val="21"/>
              </w:rPr>
            </w:pPr>
            <w:r>
              <w:rPr>
                <w:b/>
                <w:bCs/>
                <w:sz w:val="21"/>
                <w:szCs w:val="21"/>
              </w:rPr>
              <w:t>113.94</w:t>
            </w:r>
          </w:p>
        </w:tc>
        <w:tc>
          <w:tcPr>
            <w:tcW w:w="424" w:type="pct"/>
            <w:vAlign w:val="center"/>
          </w:tcPr>
          <w:p>
            <w:pPr>
              <w:spacing w:line="240" w:lineRule="auto"/>
              <w:ind w:firstLine="0" w:firstLineChars="0"/>
              <w:jc w:val="center"/>
              <w:rPr>
                <w:b/>
                <w:bCs/>
                <w:sz w:val="21"/>
                <w:szCs w:val="21"/>
              </w:rPr>
            </w:pPr>
            <w:r>
              <w:rPr>
                <w:b/>
                <w:bCs/>
                <w:sz w:val="21"/>
                <w:szCs w:val="21"/>
              </w:rPr>
              <w:t>61.13</w:t>
            </w:r>
          </w:p>
        </w:tc>
        <w:tc>
          <w:tcPr>
            <w:tcW w:w="3005" w:type="pct"/>
            <w:gridSpan w:val="5"/>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4" w:type="pct"/>
            <w:gridSpan w:val="2"/>
            <w:vAlign w:val="center"/>
          </w:tcPr>
          <w:p>
            <w:pPr>
              <w:spacing w:line="240" w:lineRule="auto"/>
              <w:ind w:firstLine="0" w:firstLineChars="0"/>
              <w:jc w:val="center"/>
              <w:rPr>
                <w:b/>
                <w:bCs/>
                <w:sz w:val="21"/>
                <w:szCs w:val="21"/>
              </w:rPr>
            </w:pPr>
            <w:r>
              <w:rPr>
                <w:b/>
                <w:bCs/>
                <w:sz w:val="21"/>
                <w:szCs w:val="21"/>
              </w:rPr>
              <w:t>合计</w:t>
            </w:r>
          </w:p>
        </w:tc>
        <w:tc>
          <w:tcPr>
            <w:tcW w:w="564" w:type="pct"/>
            <w:vAlign w:val="center"/>
          </w:tcPr>
          <w:p>
            <w:pPr>
              <w:spacing w:line="240" w:lineRule="auto"/>
              <w:ind w:firstLine="0" w:firstLineChars="0"/>
              <w:jc w:val="center"/>
              <w:rPr>
                <w:b/>
                <w:bCs/>
                <w:sz w:val="21"/>
                <w:szCs w:val="21"/>
              </w:rPr>
            </w:pPr>
            <w:r>
              <w:rPr>
                <w:b/>
                <w:bCs/>
                <w:sz w:val="21"/>
                <w:szCs w:val="21"/>
              </w:rPr>
              <w:t>511.26</w:t>
            </w:r>
          </w:p>
        </w:tc>
        <w:tc>
          <w:tcPr>
            <w:tcW w:w="424" w:type="pct"/>
            <w:vAlign w:val="center"/>
          </w:tcPr>
          <w:p>
            <w:pPr>
              <w:spacing w:line="240" w:lineRule="auto"/>
              <w:ind w:firstLine="0" w:firstLineChars="0"/>
              <w:jc w:val="center"/>
              <w:rPr>
                <w:b/>
                <w:bCs/>
                <w:sz w:val="21"/>
                <w:szCs w:val="21"/>
              </w:rPr>
            </w:pPr>
            <w:r>
              <w:rPr>
                <w:b/>
                <w:bCs/>
                <w:sz w:val="21"/>
                <w:szCs w:val="21"/>
              </w:rPr>
              <w:t>414.18</w:t>
            </w:r>
          </w:p>
        </w:tc>
        <w:tc>
          <w:tcPr>
            <w:tcW w:w="3005" w:type="pct"/>
            <w:gridSpan w:val="5"/>
            <w:vAlign w:val="center"/>
          </w:tcPr>
          <w:p>
            <w:pPr>
              <w:spacing w:line="240" w:lineRule="auto"/>
              <w:ind w:firstLine="0" w:firstLineChars="0"/>
              <w:jc w:val="center"/>
              <w:rPr>
                <w:b/>
                <w:bCs/>
                <w:sz w:val="21"/>
                <w:szCs w:val="21"/>
              </w:rPr>
            </w:pPr>
          </w:p>
        </w:tc>
      </w:tr>
    </w:tbl>
    <w:p>
      <w:pPr>
        <w:pStyle w:val="102"/>
      </w:pPr>
    </w:p>
    <w:p>
      <w:pPr>
        <w:pStyle w:val="6"/>
        <w:spacing w:beforeLines="50"/>
        <w:sectPr>
          <w:pgSz w:w="16838" w:h="11905" w:orient="landscape"/>
          <w:pgMar w:top="1417" w:right="1417" w:bottom="1417" w:left="1417" w:header="850" w:footer="992" w:gutter="0"/>
          <w:cols w:space="720" w:num="1"/>
          <w:docGrid w:linePitch="312" w:charSpace="0"/>
        </w:sectPr>
      </w:pPr>
    </w:p>
    <w:p>
      <w:pPr>
        <w:pStyle w:val="6"/>
        <w:spacing w:beforeLines="50"/>
      </w:pPr>
      <w:r>
        <w:t>2.1.4项目布置</w:t>
      </w:r>
    </w:p>
    <w:p>
      <w:pPr>
        <w:pStyle w:val="7"/>
      </w:pPr>
      <w:r>
        <w:t>2.1.4.1项目平面布局</w:t>
      </w:r>
    </w:p>
    <w:p>
      <w:pPr>
        <w:ind w:firstLine="480"/>
      </w:pPr>
      <w:r>
        <w:t>园区</w:t>
      </w:r>
      <w:r>
        <w:rPr>
          <w:szCs w:val="21"/>
          <w:lang w:val="zh-CN"/>
        </w:rPr>
        <w:t>位于岷江岸线1km以外乐山市五通桥区最南端，园区东至五通桥区金粟镇五一村、西至五通桥区竹根镇红军村、南至五通桥区金粟镇会云村、北至五通桥区金山镇民安村。</w:t>
      </w:r>
      <w:r>
        <w:rPr>
          <w:szCs w:val="21"/>
        </w:rPr>
        <w:t>规划面积为1129.18hm</w:t>
      </w:r>
      <w:r>
        <w:rPr>
          <w:szCs w:val="21"/>
          <w:vertAlign w:val="superscript"/>
        </w:rPr>
        <w:t>2</w:t>
      </w:r>
      <w:r>
        <w:rPr>
          <w:szCs w:val="21"/>
        </w:rPr>
        <w:t>。</w:t>
      </w:r>
      <w:r>
        <w:t>建设区规划结合产业安排、路网骨架、生态防护等要素，在空间布局上形成“一廊、四轴、二园”的用地布局结构形式。</w:t>
      </w:r>
    </w:p>
    <w:p>
      <w:pPr>
        <w:ind w:firstLine="480"/>
      </w:pPr>
      <w:r>
        <w:t>“一廊”指在园区中部，利用山体、沟谷溪流地形建设一条南北向生态廊道，兼防护隔离功能；</w:t>
      </w:r>
    </w:p>
    <w:p>
      <w:pPr>
        <w:ind w:firstLine="480"/>
      </w:pPr>
      <w:r>
        <w:t>“一带”指沿涌澌江一线建设生态林景观带；</w:t>
      </w:r>
    </w:p>
    <w:p>
      <w:pPr>
        <w:ind w:firstLine="480"/>
      </w:pPr>
      <w:r>
        <w:t>“四轴”指以规划的四条主干道形成整个园区“井”字形发展主轴；</w:t>
      </w:r>
    </w:p>
    <w:p>
      <w:pPr>
        <w:ind w:firstLine="480"/>
      </w:pPr>
      <w:r>
        <w:t>“二区”指结合现状产业基础及退岸入园总体安排，在园区布局形成的2个发展建设期，即化工园区近期建设区、化工园区远期建设区。</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sz w:val="21"/>
                <w:szCs w:val="21"/>
              </w:rPr>
            </w:pPr>
            <w:r>
              <w:drawing>
                <wp:inline distT="0" distB="0" distL="114300" distR="114300">
                  <wp:extent cx="5715000" cy="4077335"/>
                  <wp:effectExtent l="0" t="0" r="0" b="18415"/>
                  <wp:docPr id="226"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图片 70"/>
                          <pic:cNvPicPr>
                            <a:picLocks noChangeAspect="1"/>
                          </pic:cNvPicPr>
                        </pic:nvPicPr>
                        <pic:blipFill>
                          <a:blip r:embed="rId90"/>
                          <a:stretch>
                            <a:fillRect/>
                          </a:stretch>
                        </pic:blipFill>
                        <pic:spPr>
                          <a:xfrm>
                            <a:off x="0" y="0"/>
                            <a:ext cx="5715000" cy="407733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图2.1-20园区产业组团规划布局图</w:t>
            </w:r>
          </w:p>
        </w:tc>
      </w:tr>
    </w:tbl>
    <w:p>
      <w:pPr>
        <w:pStyle w:val="7"/>
      </w:pPr>
      <w:r>
        <w:t>2.1.4.2项目竖向布置</w:t>
      </w:r>
    </w:p>
    <w:p>
      <w:pPr>
        <w:ind w:firstLine="480"/>
      </w:pPr>
      <w:r>
        <w:t>园区现状地形较为复杂，多深丘、低山，整体呈北高南低、中间高两侧低的态势，由岷江河向山地逐步增加，最低海拔为286米，最高海拔为506米。海拔在340m~420m之间的用地，占总面积的86%。</w:t>
      </w:r>
    </w:p>
    <w:p>
      <w:pPr>
        <w:ind w:firstLine="480"/>
      </w:pPr>
      <w:r>
        <w:t>（1）场地平整竖向设计</w:t>
      </w:r>
    </w:p>
    <w:p>
      <w:pPr>
        <w:adjustRightInd w:val="0"/>
        <w:snapToGrid w:val="0"/>
        <w:ind w:firstLine="480"/>
      </w:pPr>
      <w:r>
        <w:rPr>
          <w:szCs w:val="24"/>
        </w:rPr>
        <w:t>根据</w:t>
      </w:r>
      <w:r>
        <w:rPr>
          <w:szCs w:val="21"/>
        </w:rPr>
        <w:t>《乐山五通桥化工园区总体规划（2022-2035）》</w:t>
      </w:r>
      <w:r>
        <w:t>资料及咨询建设单位，基地各地块设计标高需待入住企业确定后，根据入住企业要求进行设计标高的确定。根据现场调查截止2022年11月入住的项目有2.5万吨高纯晶硅项目、光伏硅材料制造技改项目（二期4.5万吨高纯晶硅）、乐山协鑫新能源新建10万吨颗粒硅项目、四川永祥能源科技有限公司一期高纯晶硅项目等4个项目。</w:t>
      </w:r>
    </w:p>
    <w:p>
      <w:pPr>
        <w:adjustRightInd w:val="0"/>
        <w:snapToGrid w:val="0"/>
        <w:ind w:firstLine="480"/>
      </w:pPr>
      <w:r>
        <w:t>园区竖向设计依据原有的竖向布局，按照“尽量利用原有地形、局部适当改造”的原则进行规划。主要通过对园区的现状地形及排水情况进行分析，力求达到区内排水顺畅，合理确定各组团的竖向布局及道路控制点标高，尽量做到挖填方就近平衡，同时满足用地开发建设。规划地面形式可分为平坡式、台阶式和混合式。原始地面自然坡度小于5％时，宜规划为平坡式，单坡向排水方式为主；坡度大于8％时，宜规划为台地式，多坡向排水方式为辅。所以本次园区随其地形规划成平坡式，河岸用地为了满美化环境和城市景观的需要规划为与植被绿化相结合的混合式。园区地块竖向设计以园区规划道路中心标高推算地块高程，从场地利用角度考虑，竖向设计时地块标高宜高于规划道路标高不低于20~30cm为准，以保证建筑物的出入口平缓，以及内部向路面排水的通畅。</w:t>
      </w:r>
    </w:p>
    <w:p>
      <w:pPr>
        <w:widowControl/>
        <w:ind w:firstLine="480"/>
        <w:jc w:val="left"/>
      </w:pPr>
      <w:r>
        <w:t>（2）</w:t>
      </w:r>
      <w:r>
        <w:rPr>
          <w:kern w:val="0"/>
          <w:szCs w:val="24"/>
        </w:rPr>
        <w:t>道路交通竖向规划</w:t>
      </w:r>
    </w:p>
    <w:p>
      <w:pPr>
        <w:ind w:firstLine="480"/>
      </w:pPr>
      <w:r>
        <w:t>依据道路网规划，竖向设计控制点主要指园区内道路交叉点的标高。道路纵坡和控制点标高在满足建筑布局、少填少挖、排水纵坡、道路交通纵坡、工程管线敷设要求及利用原有地形要求等的基础上，由低至高，由外及里，逐点推算而得。规划道路的设计最小坡度不低于0.1％，道路最大坡度控制在6％。</w:t>
      </w:r>
    </w:p>
    <w:p>
      <w:pPr>
        <w:ind w:firstLine="480"/>
      </w:pPr>
      <w:r>
        <w:t>（3）管网布局规划</w:t>
      </w:r>
    </w:p>
    <w:p>
      <w:pPr>
        <w:ind w:firstLine="480"/>
      </w:pPr>
      <w:r>
        <w:t>工程管线在道路下面的规划位置宜相对固定。从道路红线向道路中心线方向平行布置的次序，应根据工程管线的性质、埋设深度等确定。分支线少、埋设深、检修周期短和可燃、易燃和损坏时对建筑物基础安全有影响的工程管线应远离建筑物。布置次序宜为：电力电缆、电信电缆、燃气配气、给水配水、热力干线、燃气输气、给水输水、雨水排水、污水排水。工程管线在道路下面的位置：雨水、污水管线可安排在车行道下边给水管、燃气管、通信电缆安排在人行道下或绿化下。沿城市道路规划的工程管线应与道路中心线平行，其主干线应靠近分支管线多的一侧，工程管线不宜从道路一侧转到另一侧。当道路的人行道、绿化带宽度不能满足管线综合要求时，电信电缆、给水输水、燃气输气、污雨水排水可设置在车行道下。在一般情况下道路的西、南侧布置电力、供水、雨水管道；道路的东、北侧设电信、污水管道和燃气管道。各种工程管线不应在垂直方向上重叠直埋敷设。当工程管线交叉敷设时，自地表面向下的排列顺序宜为：电信管线、给水管线、雨水管线、污水管线。工程管线交叉式的最小垂直净距，应符合表2.1-3规定。当工程管线竖向位置发生矛盾时，宜按下列规定确定：①技术条件较低的避让技术条件较高的；②小管径管线让大管管径线；③分支管线让主干管线；④压力管线避让重力自流管线；⑤可弯曲管线让不易弯曲管线。工程管线最小覆土根据园区的土壤性质和地面的承受荷载的大小来确定，详见表2.1-5。</w:t>
      </w:r>
    </w:p>
    <w:p>
      <w:pPr>
        <w:ind w:firstLine="0" w:firstLineChars="0"/>
        <w:jc w:val="center"/>
        <w:rPr>
          <w:b/>
          <w:bCs/>
        </w:rPr>
      </w:pPr>
      <w:r>
        <w:rPr>
          <w:b/>
          <w:bCs/>
        </w:rPr>
        <w:t>表2.1-4各管线之间最小垂直净距（单位：m）</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94"/>
        <w:gridCol w:w="762"/>
        <w:gridCol w:w="1118"/>
        <w:gridCol w:w="1118"/>
        <w:gridCol w:w="1118"/>
        <w:gridCol w:w="1118"/>
        <w:gridCol w:w="1118"/>
        <w:gridCol w:w="1118"/>
        <w:gridCol w:w="112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7" w:hRule="atLeast"/>
        </w:trPr>
        <w:tc>
          <w:tcPr>
            <w:tcW w:w="1456" w:type="dxa"/>
            <w:gridSpan w:val="2"/>
            <w:vMerge w:val="restart"/>
            <w:vAlign w:val="center"/>
          </w:tcPr>
          <w:p>
            <w:pPr>
              <w:spacing w:line="240" w:lineRule="auto"/>
              <w:ind w:firstLine="0" w:firstLineChars="0"/>
              <w:jc w:val="center"/>
              <w:rPr>
                <w:b/>
                <w:bCs/>
                <w:sz w:val="21"/>
                <w:szCs w:val="21"/>
              </w:rPr>
            </w:pPr>
            <w:r>
              <w:rPr>
                <w:b/>
                <w:bCs/>
                <w:sz w:val="21"/>
                <w:szCs w:val="21"/>
              </w:rPr>
              <w:t>管线名称</w:t>
            </w:r>
          </w:p>
        </w:tc>
        <w:tc>
          <w:tcPr>
            <w:tcW w:w="1118" w:type="dxa"/>
            <w:vMerge w:val="restart"/>
            <w:vAlign w:val="center"/>
          </w:tcPr>
          <w:p>
            <w:pPr>
              <w:spacing w:line="240" w:lineRule="auto"/>
              <w:ind w:firstLine="0" w:firstLineChars="0"/>
              <w:jc w:val="center"/>
              <w:rPr>
                <w:b/>
                <w:bCs/>
                <w:sz w:val="21"/>
                <w:szCs w:val="21"/>
              </w:rPr>
            </w:pPr>
            <w:r>
              <w:rPr>
                <w:b/>
                <w:bCs/>
                <w:sz w:val="21"/>
                <w:szCs w:val="21"/>
              </w:rPr>
              <w:t>给水管</w:t>
            </w:r>
          </w:p>
        </w:tc>
        <w:tc>
          <w:tcPr>
            <w:tcW w:w="1118" w:type="dxa"/>
            <w:vMerge w:val="restart"/>
            <w:vAlign w:val="center"/>
          </w:tcPr>
          <w:p>
            <w:pPr>
              <w:spacing w:line="240" w:lineRule="auto"/>
              <w:ind w:firstLine="0" w:firstLineChars="0"/>
              <w:jc w:val="center"/>
              <w:rPr>
                <w:b/>
                <w:bCs/>
                <w:sz w:val="21"/>
                <w:szCs w:val="21"/>
              </w:rPr>
            </w:pPr>
            <w:r>
              <w:rPr>
                <w:b/>
                <w:bCs/>
                <w:sz w:val="21"/>
                <w:szCs w:val="21"/>
              </w:rPr>
              <w:t>排水管</w:t>
            </w:r>
          </w:p>
        </w:tc>
        <w:tc>
          <w:tcPr>
            <w:tcW w:w="1118" w:type="dxa"/>
            <w:vMerge w:val="restart"/>
            <w:vAlign w:val="center"/>
          </w:tcPr>
          <w:p>
            <w:pPr>
              <w:spacing w:line="240" w:lineRule="auto"/>
              <w:ind w:firstLine="0" w:firstLineChars="0"/>
              <w:jc w:val="center"/>
              <w:rPr>
                <w:b/>
                <w:bCs/>
                <w:sz w:val="21"/>
                <w:szCs w:val="21"/>
              </w:rPr>
            </w:pPr>
            <w:r>
              <w:rPr>
                <w:b/>
                <w:bCs/>
                <w:sz w:val="21"/>
                <w:szCs w:val="21"/>
              </w:rPr>
              <w:t>燃气管</w:t>
            </w:r>
          </w:p>
        </w:tc>
        <w:tc>
          <w:tcPr>
            <w:tcW w:w="2236" w:type="dxa"/>
            <w:gridSpan w:val="2"/>
            <w:vAlign w:val="center"/>
          </w:tcPr>
          <w:p>
            <w:pPr>
              <w:spacing w:line="240" w:lineRule="auto"/>
              <w:ind w:firstLine="0" w:firstLineChars="0"/>
              <w:jc w:val="center"/>
              <w:rPr>
                <w:b/>
                <w:bCs/>
                <w:sz w:val="21"/>
                <w:szCs w:val="21"/>
              </w:rPr>
            </w:pPr>
            <w:r>
              <w:rPr>
                <w:b/>
                <w:bCs/>
                <w:sz w:val="21"/>
                <w:szCs w:val="21"/>
              </w:rPr>
              <w:t>电信电缆</w:t>
            </w:r>
          </w:p>
        </w:tc>
        <w:tc>
          <w:tcPr>
            <w:tcW w:w="2241" w:type="dxa"/>
            <w:gridSpan w:val="2"/>
            <w:vAlign w:val="center"/>
          </w:tcPr>
          <w:p>
            <w:pPr>
              <w:spacing w:line="240" w:lineRule="auto"/>
              <w:ind w:firstLine="0" w:firstLineChars="0"/>
              <w:jc w:val="center"/>
              <w:rPr>
                <w:b/>
                <w:bCs/>
                <w:sz w:val="21"/>
                <w:szCs w:val="21"/>
              </w:rPr>
            </w:pPr>
            <w:r>
              <w:rPr>
                <w:b/>
                <w:bCs/>
                <w:sz w:val="21"/>
                <w:szCs w:val="21"/>
              </w:rPr>
              <w:t>电力电缆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6" w:hRule="atLeast"/>
        </w:trPr>
        <w:tc>
          <w:tcPr>
            <w:tcW w:w="1456" w:type="dxa"/>
            <w:gridSpan w:val="2"/>
            <w:vMerge w:val="continue"/>
            <w:vAlign w:val="center"/>
          </w:tcPr>
          <w:p>
            <w:pPr>
              <w:spacing w:line="240" w:lineRule="auto"/>
              <w:ind w:firstLine="0" w:firstLineChars="0"/>
              <w:jc w:val="center"/>
              <w:rPr>
                <w:b/>
                <w:bCs/>
                <w:sz w:val="21"/>
                <w:szCs w:val="21"/>
              </w:rPr>
            </w:pPr>
          </w:p>
        </w:tc>
        <w:tc>
          <w:tcPr>
            <w:tcW w:w="1118" w:type="dxa"/>
            <w:vMerge w:val="continue"/>
            <w:vAlign w:val="center"/>
          </w:tcPr>
          <w:p>
            <w:pPr>
              <w:spacing w:line="240" w:lineRule="auto"/>
              <w:ind w:firstLine="0" w:firstLineChars="0"/>
              <w:jc w:val="center"/>
              <w:rPr>
                <w:b/>
                <w:bCs/>
                <w:sz w:val="21"/>
                <w:szCs w:val="21"/>
              </w:rPr>
            </w:pPr>
          </w:p>
        </w:tc>
        <w:tc>
          <w:tcPr>
            <w:tcW w:w="1118" w:type="dxa"/>
            <w:vMerge w:val="continue"/>
            <w:vAlign w:val="center"/>
          </w:tcPr>
          <w:p>
            <w:pPr>
              <w:spacing w:line="240" w:lineRule="auto"/>
              <w:ind w:firstLine="0" w:firstLineChars="0"/>
              <w:jc w:val="center"/>
              <w:rPr>
                <w:b/>
                <w:bCs/>
                <w:sz w:val="21"/>
                <w:szCs w:val="21"/>
              </w:rPr>
            </w:pPr>
          </w:p>
        </w:tc>
        <w:tc>
          <w:tcPr>
            <w:tcW w:w="1118" w:type="dxa"/>
            <w:vMerge w:val="continue"/>
            <w:vAlign w:val="center"/>
          </w:tcPr>
          <w:p>
            <w:pPr>
              <w:spacing w:line="240" w:lineRule="auto"/>
              <w:ind w:firstLine="0" w:firstLineChars="0"/>
              <w:jc w:val="center"/>
              <w:rPr>
                <w:b/>
                <w:bCs/>
                <w:sz w:val="21"/>
                <w:szCs w:val="21"/>
              </w:rPr>
            </w:pPr>
          </w:p>
        </w:tc>
        <w:tc>
          <w:tcPr>
            <w:tcW w:w="1118" w:type="dxa"/>
            <w:vAlign w:val="center"/>
          </w:tcPr>
          <w:p>
            <w:pPr>
              <w:spacing w:line="240" w:lineRule="auto"/>
              <w:ind w:firstLine="0" w:firstLineChars="0"/>
              <w:jc w:val="center"/>
              <w:rPr>
                <w:b/>
                <w:bCs/>
                <w:sz w:val="21"/>
                <w:szCs w:val="21"/>
              </w:rPr>
            </w:pPr>
            <w:r>
              <w:rPr>
                <w:b/>
                <w:bCs/>
                <w:sz w:val="21"/>
                <w:szCs w:val="21"/>
              </w:rPr>
              <w:t>直埋</w:t>
            </w:r>
          </w:p>
        </w:tc>
        <w:tc>
          <w:tcPr>
            <w:tcW w:w="1118" w:type="dxa"/>
            <w:vAlign w:val="center"/>
          </w:tcPr>
          <w:p>
            <w:pPr>
              <w:spacing w:line="240" w:lineRule="auto"/>
              <w:ind w:firstLine="0" w:firstLineChars="0"/>
              <w:jc w:val="center"/>
              <w:rPr>
                <w:b/>
                <w:bCs/>
                <w:sz w:val="21"/>
                <w:szCs w:val="21"/>
              </w:rPr>
            </w:pPr>
            <w:r>
              <w:rPr>
                <w:b/>
                <w:bCs/>
                <w:sz w:val="21"/>
                <w:szCs w:val="21"/>
              </w:rPr>
              <w:t>管道</w:t>
            </w:r>
          </w:p>
        </w:tc>
        <w:tc>
          <w:tcPr>
            <w:tcW w:w="1118" w:type="dxa"/>
            <w:vAlign w:val="center"/>
          </w:tcPr>
          <w:p>
            <w:pPr>
              <w:spacing w:line="240" w:lineRule="auto"/>
              <w:ind w:firstLine="0" w:firstLineChars="0"/>
              <w:jc w:val="center"/>
              <w:rPr>
                <w:b/>
                <w:bCs/>
                <w:sz w:val="21"/>
                <w:szCs w:val="21"/>
              </w:rPr>
            </w:pPr>
            <w:r>
              <w:rPr>
                <w:b/>
                <w:bCs/>
                <w:sz w:val="21"/>
                <w:szCs w:val="21"/>
              </w:rPr>
              <w:t>直埋</w:t>
            </w:r>
          </w:p>
        </w:tc>
        <w:tc>
          <w:tcPr>
            <w:tcW w:w="1123" w:type="dxa"/>
            <w:vAlign w:val="center"/>
          </w:tcPr>
          <w:p>
            <w:pPr>
              <w:spacing w:line="240" w:lineRule="auto"/>
              <w:ind w:firstLine="0" w:firstLineChars="0"/>
              <w:jc w:val="center"/>
              <w:rPr>
                <w:b/>
                <w:bCs/>
                <w:sz w:val="21"/>
                <w:szCs w:val="21"/>
              </w:rPr>
            </w:pPr>
            <w:r>
              <w:rPr>
                <w:b/>
                <w:bCs/>
                <w:sz w:val="21"/>
                <w:szCs w:val="21"/>
              </w:rPr>
              <w:t>缆沟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56" w:type="dxa"/>
            <w:gridSpan w:val="2"/>
            <w:vAlign w:val="center"/>
          </w:tcPr>
          <w:p>
            <w:pPr>
              <w:spacing w:line="240" w:lineRule="auto"/>
              <w:ind w:firstLine="0" w:firstLineChars="0"/>
              <w:jc w:val="center"/>
              <w:rPr>
                <w:sz w:val="21"/>
                <w:szCs w:val="21"/>
              </w:rPr>
            </w:pPr>
            <w:r>
              <w:rPr>
                <w:sz w:val="21"/>
                <w:szCs w:val="21"/>
              </w:rPr>
              <w:t>给水管</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23"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56" w:type="dxa"/>
            <w:gridSpan w:val="2"/>
            <w:vAlign w:val="center"/>
          </w:tcPr>
          <w:p>
            <w:pPr>
              <w:spacing w:line="240" w:lineRule="auto"/>
              <w:ind w:firstLine="0" w:firstLineChars="0"/>
              <w:jc w:val="center"/>
              <w:rPr>
                <w:sz w:val="21"/>
                <w:szCs w:val="21"/>
              </w:rPr>
            </w:pPr>
            <w:r>
              <w:rPr>
                <w:sz w:val="21"/>
                <w:szCs w:val="21"/>
              </w:rPr>
              <w:t>排水管</w:t>
            </w:r>
          </w:p>
        </w:tc>
        <w:tc>
          <w:tcPr>
            <w:tcW w:w="1118" w:type="dxa"/>
            <w:vAlign w:val="center"/>
          </w:tcPr>
          <w:p>
            <w:pPr>
              <w:spacing w:line="240" w:lineRule="auto"/>
              <w:ind w:firstLine="0" w:firstLineChars="0"/>
              <w:jc w:val="center"/>
              <w:rPr>
                <w:sz w:val="21"/>
                <w:szCs w:val="21"/>
              </w:rPr>
            </w:pPr>
            <w:r>
              <w:rPr>
                <w:sz w:val="21"/>
                <w:szCs w:val="21"/>
              </w:rPr>
              <w:t>0.4</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23"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56" w:type="dxa"/>
            <w:gridSpan w:val="2"/>
            <w:vAlign w:val="center"/>
          </w:tcPr>
          <w:p>
            <w:pPr>
              <w:spacing w:line="240" w:lineRule="auto"/>
              <w:ind w:firstLine="0" w:firstLineChars="0"/>
              <w:jc w:val="center"/>
              <w:rPr>
                <w:sz w:val="21"/>
                <w:szCs w:val="21"/>
              </w:rPr>
            </w:pPr>
            <w:r>
              <w:rPr>
                <w:sz w:val="21"/>
                <w:szCs w:val="21"/>
              </w:rPr>
              <w:t>燃气管</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18" w:type="dxa"/>
            <w:vAlign w:val="center"/>
          </w:tcPr>
          <w:p>
            <w:pPr>
              <w:spacing w:line="240" w:lineRule="auto"/>
              <w:ind w:firstLine="0" w:firstLineChars="0"/>
              <w:jc w:val="center"/>
              <w:rPr>
                <w:sz w:val="21"/>
                <w:szCs w:val="21"/>
              </w:rPr>
            </w:pPr>
            <w:r>
              <w:rPr>
                <w:sz w:val="21"/>
                <w:szCs w:val="21"/>
              </w:rPr>
              <w:t>-</w:t>
            </w:r>
          </w:p>
        </w:tc>
        <w:tc>
          <w:tcPr>
            <w:tcW w:w="1123"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restart"/>
            <w:vAlign w:val="center"/>
          </w:tcPr>
          <w:p>
            <w:pPr>
              <w:spacing w:line="240" w:lineRule="auto"/>
              <w:ind w:firstLine="0" w:firstLineChars="0"/>
              <w:jc w:val="center"/>
              <w:rPr>
                <w:sz w:val="21"/>
                <w:szCs w:val="21"/>
              </w:rPr>
            </w:pPr>
            <w:r>
              <w:rPr>
                <w:sz w:val="21"/>
                <w:szCs w:val="21"/>
              </w:rPr>
              <w:t>电信电缆</w:t>
            </w:r>
          </w:p>
        </w:tc>
        <w:tc>
          <w:tcPr>
            <w:tcW w:w="762" w:type="dxa"/>
            <w:vAlign w:val="center"/>
          </w:tcPr>
          <w:p>
            <w:pPr>
              <w:spacing w:line="240" w:lineRule="auto"/>
              <w:ind w:firstLine="0" w:firstLineChars="0"/>
              <w:jc w:val="center"/>
              <w:rPr>
                <w:sz w:val="21"/>
                <w:szCs w:val="21"/>
              </w:rPr>
            </w:pPr>
            <w:r>
              <w:rPr>
                <w:sz w:val="21"/>
                <w:szCs w:val="21"/>
              </w:rPr>
              <w:t>直埋</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0.25</w:t>
            </w:r>
          </w:p>
        </w:tc>
        <w:tc>
          <w:tcPr>
            <w:tcW w:w="1118" w:type="dxa"/>
            <w:vAlign w:val="center"/>
          </w:tcPr>
          <w:p>
            <w:pPr>
              <w:spacing w:line="240" w:lineRule="auto"/>
              <w:ind w:firstLine="0" w:firstLineChars="0"/>
              <w:jc w:val="center"/>
              <w:rPr>
                <w:sz w:val="21"/>
                <w:szCs w:val="21"/>
              </w:rPr>
            </w:pPr>
            <w:r>
              <w:rPr>
                <w:sz w:val="21"/>
                <w:szCs w:val="21"/>
              </w:rPr>
              <w:t>0.25</w:t>
            </w:r>
          </w:p>
        </w:tc>
        <w:tc>
          <w:tcPr>
            <w:tcW w:w="1118" w:type="dxa"/>
            <w:vAlign w:val="center"/>
          </w:tcPr>
          <w:p>
            <w:pPr>
              <w:spacing w:line="240" w:lineRule="auto"/>
              <w:ind w:firstLine="0" w:firstLineChars="0"/>
              <w:jc w:val="center"/>
              <w:rPr>
                <w:sz w:val="21"/>
                <w:szCs w:val="21"/>
              </w:rPr>
            </w:pPr>
            <w:r>
              <w:rPr>
                <w:sz w:val="21"/>
                <w:szCs w:val="21"/>
              </w:rPr>
              <w:t>-</w:t>
            </w:r>
          </w:p>
        </w:tc>
        <w:tc>
          <w:tcPr>
            <w:tcW w:w="1123"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vAlign w:val="center"/>
          </w:tcPr>
          <w:p>
            <w:pPr>
              <w:spacing w:line="240" w:lineRule="auto"/>
              <w:ind w:firstLine="0" w:firstLineChars="0"/>
              <w:jc w:val="center"/>
              <w:rPr>
                <w:sz w:val="21"/>
                <w:szCs w:val="21"/>
              </w:rPr>
            </w:pPr>
          </w:p>
        </w:tc>
        <w:tc>
          <w:tcPr>
            <w:tcW w:w="762" w:type="dxa"/>
            <w:vAlign w:val="center"/>
          </w:tcPr>
          <w:p>
            <w:pPr>
              <w:spacing w:line="240" w:lineRule="auto"/>
              <w:ind w:firstLine="0" w:firstLineChars="0"/>
              <w:jc w:val="center"/>
              <w:rPr>
                <w:sz w:val="21"/>
                <w:szCs w:val="21"/>
              </w:rPr>
            </w:pPr>
            <w:r>
              <w:rPr>
                <w:sz w:val="21"/>
                <w:szCs w:val="21"/>
              </w:rPr>
              <w:t>管道</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0.25</w:t>
            </w:r>
          </w:p>
        </w:tc>
        <w:tc>
          <w:tcPr>
            <w:tcW w:w="1118" w:type="dxa"/>
            <w:vAlign w:val="center"/>
          </w:tcPr>
          <w:p>
            <w:pPr>
              <w:spacing w:line="240" w:lineRule="auto"/>
              <w:ind w:firstLine="0" w:firstLineChars="0"/>
              <w:jc w:val="center"/>
              <w:rPr>
                <w:sz w:val="21"/>
                <w:szCs w:val="21"/>
              </w:rPr>
            </w:pPr>
            <w:r>
              <w:rPr>
                <w:sz w:val="21"/>
                <w:szCs w:val="21"/>
              </w:rPr>
              <w:t>0.25</w:t>
            </w:r>
          </w:p>
        </w:tc>
        <w:tc>
          <w:tcPr>
            <w:tcW w:w="1118" w:type="dxa"/>
            <w:vAlign w:val="center"/>
          </w:tcPr>
          <w:p>
            <w:pPr>
              <w:spacing w:line="240" w:lineRule="auto"/>
              <w:ind w:firstLine="0" w:firstLineChars="0"/>
              <w:jc w:val="center"/>
              <w:rPr>
                <w:sz w:val="21"/>
                <w:szCs w:val="21"/>
              </w:rPr>
            </w:pPr>
            <w:r>
              <w:rPr>
                <w:sz w:val="21"/>
                <w:szCs w:val="21"/>
              </w:rPr>
              <w:t>-</w:t>
            </w:r>
          </w:p>
        </w:tc>
        <w:tc>
          <w:tcPr>
            <w:tcW w:w="1123" w:type="dxa"/>
            <w:vAlign w:val="center"/>
          </w:tcPr>
          <w:p>
            <w:pPr>
              <w:spacing w:line="240" w:lineRule="auto"/>
              <w:ind w:firstLine="0" w:firstLineChars="0"/>
              <w:jc w:val="center"/>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4" w:hRule="atLeast"/>
        </w:trPr>
        <w:tc>
          <w:tcPr>
            <w:tcW w:w="694" w:type="dxa"/>
            <w:vMerge w:val="restart"/>
            <w:vAlign w:val="center"/>
          </w:tcPr>
          <w:p>
            <w:pPr>
              <w:spacing w:line="240" w:lineRule="auto"/>
              <w:ind w:firstLine="0" w:firstLineChars="0"/>
              <w:jc w:val="center"/>
              <w:rPr>
                <w:sz w:val="21"/>
                <w:szCs w:val="21"/>
              </w:rPr>
            </w:pPr>
            <w:r>
              <w:rPr>
                <w:sz w:val="21"/>
                <w:szCs w:val="21"/>
              </w:rPr>
              <w:t>电力电缆</w:t>
            </w:r>
          </w:p>
        </w:tc>
        <w:tc>
          <w:tcPr>
            <w:tcW w:w="762" w:type="dxa"/>
            <w:vAlign w:val="center"/>
          </w:tcPr>
          <w:p>
            <w:pPr>
              <w:spacing w:line="240" w:lineRule="auto"/>
              <w:ind w:firstLine="0" w:firstLineChars="0"/>
              <w:jc w:val="center"/>
              <w:rPr>
                <w:sz w:val="21"/>
                <w:szCs w:val="21"/>
              </w:rPr>
            </w:pPr>
            <w:r>
              <w:rPr>
                <w:sz w:val="21"/>
                <w:szCs w:val="21"/>
              </w:rPr>
              <w:t>直埋</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23" w:type="dxa"/>
            <w:vAlign w:val="center"/>
          </w:tcPr>
          <w:p>
            <w:pPr>
              <w:spacing w:line="240" w:lineRule="auto"/>
              <w:ind w:firstLine="0" w:firstLineChars="0"/>
              <w:jc w:val="center"/>
              <w:rPr>
                <w:sz w:val="21"/>
                <w:szCs w:val="21"/>
              </w:rPr>
            </w:pPr>
            <w:r>
              <w:rPr>
                <w:sz w:val="21"/>
                <w:szCs w:val="21"/>
              </w:rPr>
              <w:t>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94" w:type="dxa"/>
            <w:vMerge w:val="continue"/>
            <w:vAlign w:val="center"/>
          </w:tcPr>
          <w:p>
            <w:pPr>
              <w:spacing w:line="240" w:lineRule="auto"/>
              <w:ind w:firstLine="0" w:firstLineChars="0"/>
              <w:jc w:val="center"/>
              <w:rPr>
                <w:sz w:val="21"/>
                <w:szCs w:val="21"/>
              </w:rPr>
            </w:pPr>
          </w:p>
        </w:tc>
        <w:tc>
          <w:tcPr>
            <w:tcW w:w="762" w:type="dxa"/>
            <w:vAlign w:val="center"/>
          </w:tcPr>
          <w:p>
            <w:pPr>
              <w:spacing w:line="240" w:lineRule="auto"/>
              <w:ind w:firstLine="0" w:firstLineChars="0"/>
              <w:jc w:val="center"/>
              <w:rPr>
                <w:sz w:val="21"/>
                <w:szCs w:val="21"/>
              </w:rPr>
            </w:pPr>
            <w:r>
              <w:rPr>
                <w:sz w:val="21"/>
                <w:szCs w:val="21"/>
              </w:rPr>
              <w:t>缆沟</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0.15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18" w:type="dxa"/>
            <w:vAlign w:val="center"/>
          </w:tcPr>
          <w:p>
            <w:pPr>
              <w:spacing w:line="240" w:lineRule="auto"/>
              <w:ind w:firstLine="0" w:firstLineChars="0"/>
              <w:jc w:val="center"/>
              <w:rPr>
                <w:sz w:val="21"/>
                <w:szCs w:val="21"/>
              </w:rPr>
            </w:pPr>
            <w:r>
              <w:rPr>
                <w:sz w:val="21"/>
                <w:szCs w:val="21"/>
              </w:rPr>
              <w:t>0.5</w:t>
            </w:r>
          </w:p>
        </w:tc>
        <w:tc>
          <w:tcPr>
            <w:tcW w:w="1123" w:type="dxa"/>
            <w:vAlign w:val="center"/>
          </w:tcPr>
          <w:p>
            <w:pPr>
              <w:spacing w:line="240" w:lineRule="auto"/>
              <w:ind w:firstLine="0" w:firstLineChars="0"/>
              <w:jc w:val="center"/>
              <w:rPr>
                <w:sz w:val="21"/>
                <w:szCs w:val="21"/>
              </w:rPr>
            </w:pPr>
            <w:r>
              <w:rPr>
                <w:sz w:val="21"/>
                <w:szCs w:val="21"/>
              </w:rPr>
              <w:t>0.5</w:t>
            </w:r>
          </w:p>
        </w:tc>
      </w:tr>
    </w:tbl>
    <w:p>
      <w:pPr>
        <w:spacing w:beforeLines="50"/>
        <w:ind w:firstLine="0" w:firstLineChars="0"/>
        <w:jc w:val="center"/>
        <w:rPr>
          <w:b/>
          <w:bCs/>
        </w:rPr>
      </w:pPr>
      <w:r>
        <w:rPr>
          <w:b/>
          <w:bCs/>
        </w:rPr>
        <w:t>表2.1-5各管线的最小覆土深度（单位：m）</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806"/>
        <w:gridCol w:w="638"/>
        <w:gridCol w:w="980"/>
        <w:gridCol w:w="980"/>
        <w:gridCol w:w="980"/>
        <w:gridCol w:w="980"/>
        <w:gridCol w:w="980"/>
        <w:gridCol w:w="980"/>
        <w:gridCol w:w="980"/>
        <w:gridCol w:w="98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7" w:hRule="atLeast"/>
        </w:trPr>
        <w:tc>
          <w:tcPr>
            <w:tcW w:w="1444" w:type="dxa"/>
            <w:gridSpan w:val="2"/>
            <w:vMerge w:val="restart"/>
            <w:vAlign w:val="center"/>
          </w:tcPr>
          <w:p>
            <w:pPr>
              <w:spacing w:line="240" w:lineRule="auto"/>
              <w:ind w:firstLine="0" w:firstLineChars="0"/>
              <w:jc w:val="center"/>
              <w:rPr>
                <w:b/>
                <w:bCs/>
                <w:sz w:val="21"/>
                <w:szCs w:val="21"/>
              </w:rPr>
            </w:pPr>
            <w:r>
              <w:rPr>
                <w:b/>
                <w:bCs/>
                <w:sz w:val="21"/>
                <w:szCs w:val="21"/>
              </w:rPr>
              <w:t>管线名称</w:t>
            </w:r>
          </w:p>
        </w:tc>
        <w:tc>
          <w:tcPr>
            <w:tcW w:w="980" w:type="dxa"/>
            <w:vMerge w:val="restart"/>
            <w:vAlign w:val="center"/>
          </w:tcPr>
          <w:p>
            <w:pPr>
              <w:spacing w:line="240" w:lineRule="auto"/>
              <w:ind w:firstLine="0" w:firstLineChars="0"/>
              <w:jc w:val="center"/>
              <w:rPr>
                <w:b/>
                <w:bCs/>
                <w:sz w:val="21"/>
                <w:szCs w:val="21"/>
              </w:rPr>
            </w:pPr>
            <w:r>
              <w:rPr>
                <w:b/>
                <w:bCs/>
                <w:sz w:val="21"/>
                <w:szCs w:val="21"/>
              </w:rPr>
              <w:t>给水管</w:t>
            </w:r>
          </w:p>
        </w:tc>
        <w:tc>
          <w:tcPr>
            <w:tcW w:w="980" w:type="dxa"/>
            <w:vMerge w:val="restart"/>
            <w:vAlign w:val="center"/>
          </w:tcPr>
          <w:p>
            <w:pPr>
              <w:spacing w:line="240" w:lineRule="auto"/>
              <w:ind w:firstLine="0" w:firstLineChars="0"/>
              <w:jc w:val="center"/>
              <w:rPr>
                <w:b/>
                <w:bCs/>
                <w:sz w:val="21"/>
                <w:szCs w:val="21"/>
              </w:rPr>
            </w:pPr>
            <w:r>
              <w:rPr>
                <w:b/>
                <w:bCs/>
                <w:sz w:val="21"/>
                <w:szCs w:val="21"/>
              </w:rPr>
              <w:t>排水管</w:t>
            </w:r>
          </w:p>
        </w:tc>
        <w:tc>
          <w:tcPr>
            <w:tcW w:w="980" w:type="dxa"/>
            <w:vMerge w:val="restart"/>
            <w:vAlign w:val="center"/>
          </w:tcPr>
          <w:p>
            <w:pPr>
              <w:spacing w:line="240" w:lineRule="auto"/>
              <w:ind w:firstLine="0" w:firstLineChars="0"/>
              <w:jc w:val="center"/>
              <w:rPr>
                <w:b/>
                <w:bCs/>
                <w:sz w:val="21"/>
                <w:szCs w:val="21"/>
              </w:rPr>
            </w:pPr>
            <w:r>
              <w:rPr>
                <w:b/>
                <w:bCs/>
                <w:sz w:val="21"/>
                <w:szCs w:val="21"/>
              </w:rPr>
              <w:t>燃气管</w:t>
            </w:r>
          </w:p>
        </w:tc>
        <w:tc>
          <w:tcPr>
            <w:tcW w:w="980" w:type="dxa"/>
            <w:vMerge w:val="restart"/>
            <w:vAlign w:val="center"/>
          </w:tcPr>
          <w:p>
            <w:pPr>
              <w:spacing w:line="240" w:lineRule="auto"/>
              <w:ind w:firstLine="0" w:firstLineChars="0"/>
              <w:jc w:val="center"/>
              <w:rPr>
                <w:b/>
                <w:bCs/>
                <w:sz w:val="21"/>
                <w:szCs w:val="21"/>
              </w:rPr>
            </w:pPr>
            <w:r>
              <w:rPr>
                <w:b/>
                <w:bCs/>
                <w:sz w:val="21"/>
                <w:szCs w:val="21"/>
              </w:rPr>
              <w:t>热力管</w:t>
            </w:r>
          </w:p>
        </w:tc>
        <w:tc>
          <w:tcPr>
            <w:tcW w:w="1960" w:type="dxa"/>
            <w:gridSpan w:val="2"/>
            <w:vAlign w:val="center"/>
          </w:tcPr>
          <w:p>
            <w:pPr>
              <w:spacing w:line="240" w:lineRule="auto"/>
              <w:ind w:firstLine="0" w:firstLineChars="0"/>
              <w:jc w:val="center"/>
              <w:rPr>
                <w:b/>
                <w:bCs/>
                <w:sz w:val="21"/>
                <w:szCs w:val="21"/>
              </w:rPr>
            </w:pPr>
            <w:r>
              <w:rPr>
                <w:b/>
                <w:bCs/>
                <w:sz w:val="21"/>
                <w:szCs w:val="21"/>
              </w:rPr>
              <w:t>电信电缆</w:t>
            </w:r>
          </w:p>
        </w:tc>
        <w:tc>
          <w:tcPr>
            <w:tcW w:w="1962" w:type="dxa"/>
            <w:gridSpan w:val="2"/>
            <w:vAlign w:val="center"/>
          </w:tcPr>
          <w:p>
            <w:pPr>
              <w:spacing w:line="240" w:lineRule="auto"/>
              <w:ind w:firstLine="0" w:firstLineChars="0"/>
              <w:jc w:val="center"/>
              <w:rPr>
                <w:b/>
                <w:bCs/>
                <w:sz w:val="21"/>
                <w:szCs w:val="21"/>
              </w:rPr>
            </w:pPr>
            <w:r>
              <w:rPr>
                <w:b/>
                <w:bCs/>
                <w:sz w:val="21"/>
                <w:szCs w:val="21"/>
              </w:rPr>
              <w:t>电力电缆</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6" w:hRule="atLeast"/>
        </w:trPr>
        <w:tc>
          <w:tcPr>
            <w:tcW w:w="1444" w:type="dxa"/>
            <w:gridSpan w:val="2"/>
            <w:vMerge w:val="continue"/>
            <w:vAlign w:val="center"/>
          </w:tcPr>
          <w:p>
            <w:pPr>
              <w:spacing w:line="240" w:lineRule="auto"/>
              <w:ind w:firstLine="0" w:firstLineChars="0"/>
              <w:jc w:val="center"/>
              <w:rPr>
                <w:b/>
                <w:bCs/>
                <w:sz w:val="21"/>
                <w:szCs w:val="21"/>
              </w:rPr>
            </w:pPr>
          </w:p>
        </w:tc>
        <w:tc>
          <w:tcPr>
            <w:tcW w:w="980" w:type="dxa"/>
            <w:vMerge w:val="continue"/>
            <w:vAlign w:val="center"/>
          </w:tcPr>
          <w:p>
            <w:pPr>
              <w:spacing w:line="240" w:lineRule="auto"/>
              <w:ind w:firstLine="0" w:firstLineChars="0"/>
              <w:jc w:val="center"/>
              <w:rPr>
                <w:b/>
                <w:bCs/>
                <w:sz w:val="21"/>
                <w:szCs w:val="21"/>
              </w:rPr>
            </w:pPr>
          </w:p>
        </w:tc>
        <w:tc>
          <w:tcPr>
            <w:tcW w:w="980" w:type="dxa"/>
            <w:vMerge w:val="continue"/>
            <w:vAlign w:val="center"/>
          </w:tcPr>
          <w:p>
            <w:pPr>
              <w:spacing w:line="240" w:lineRule="auto"/>
              <w:ind w:firstLine="0" w:firstLineChars="0"/>
              <w:jc w:val="center"/>
              <w:rPr>
                <w:b/>
                <w:bCs/>
                <w:sz w:val="21"/>
                <w:szCs w:val="21"/>
              </w:rPr>
            </w:pPr>
          </w:p>
        </w:tc>
        <w:tc>
          <w:tcPr>
            <w:tcW w:w="980" w:type="dxa"/>
            <w:vMerge w:val="continue"/>
            <w:vAlign w:val="center"/>
          </w:tcPr>
          <w:p>
            <w:pPr>
              <w:spacing w:line="240" w:lineRule="auto"/>
              <w:ind w:firstLine="0" w:firstLineChars="0"/>
              <w:jc w:val="center"/>
              <w:rPr>
                <w:b/>
                <w:bCs/>
                <w:sz w:val="21"/>
                <w:szCs w:val="21"/>
              </w:rPr>
            </w:pPr>
          </w:p>
        </w:tc>
        <w:tc>
          <w:tcPr>
            <w:tcW w:w="980" w:type="dxa"/>
            <w:vMerge w:val="continue"/>
            <w:vAlign w:val="center"/>
          </w:tcPr>
          <w:p>
            <w:pPr>
              <w:spacing w:line="240" w:lineRule="auto"/>
              <w:ind w:firstLine="0" w:firstLineChars="0"/>
              <w:jc w:val="center"/>
              <w:rPr>
                <w:b/>
                <w:bCs/>
                <w:sz w:val="21"/>
                <w:szCs w:val="21"/>
              </w:rPr>
            </w:pPr>
          </w:p>
        </w:tc>
        <w:tc>
          <w:tcPr>
            <w:tcW w:w="980" w:type="dxa"/>
            <w:vAlign w:val="center"/>
          </w:tcPr>
          <w:p>
            <w:pPr>
              <w:spacing w:line="240" w:lineRule="auto"/>
              <w:ind w:firstLine="0" w:firstLineChars="0"/>
              <w:jc w:val="center"/>
              <w:rPr>
                <w:b/>
                <w:bCs/>
                <w:sz w:val="21"/>
                <w:szCs w:val="21"/>
              </w:rPr>
            </w:pPr>
            <w:r>
              <w:rPr>
                <w:b/>
                <w:bCs/>
                <w:sz w:val="21"/>
                <w:szCs w:val="21"/>
              </w:rPr>
              <w:t>直埋</w:t>
            </w:r>
          </w:p>
        </w:tc>
        <w:tc>
          <w:tcPr>
            <w:tcW w:w="980" w:type="dxa"/>
            <w:vAlign w:val="center"/>
          </w:tcPr>
          <w:p>
            <w:pPr>
              <w:spacing w:line="240" w:lineRule="auto"/>
              <w:ind w:firstLine="0" w:firstLineChars="0"/>
              <w:jc w:val="center"/>
              <w:rPr>
                <w:b/>
                <w:bCs/>
                <w:sz w:val="21"/>
                <w:szCs w:val="21"/>
              </w:rPr>
            </w:pPr>
            <w:r>
              <w:rPr>
                <w:b/>
                <w:bCs/>
                <w:sz w:val="21"/>
                <w:szCs w:val="21"/>
              </w:rPr>
              <w:t>管道</w:t>
            </w:r>
          </w:p>
        </w:tc>
        <w:tc>
          <w:tcPr>
            <w:tcW w:w="980" w:type="dxa"/>
            <w:vAlign w:val="center"/>
          </w:tcPr>
          <w:p>
            <w:pPr>
              <w:spacing w:line="240" w:lineRule="auto"/>
              <w:ind w:firstLine="0" w:firstLineChars="0"/>
              <w:jc w:val="center"/>
              <w:rPr>
                <w:b/>
                <w:bCs/>
                <w:sz w:val="21"/>
                <w:szCs w:val="21"/>
              </w:rPr>
            </w:pPr>
            <w:r>
              <w:rPr>
                <w:b/>
                <w:bCs/>
                <w:sz w:val="21"/>
                <w:szCs w:val="21"/>
              </w:rPr>
              <w:t>直埋</w:t>
            </w:r>
          </w:p>
        </w:tc>
        <w:tc>
          <w:tcPr>
            <w:tcW w:w="982" w:type="dxa"/>
            <w:vAlign w:val="center"/>
          </w:tcPr>
          <w:p>
            <w:pPr>
              <w:spacing w:line="240" w:lineRule="auto"/>
              <w:ind w:firstLine="0" w:firstLineChars="0"/>
              <w:jc w:val="center"/>
              <w:rPr>
                <w:b/>
                <w:bCs/>
                <w:sz w:val="21"/>
                <w:szCs w:val="21"/>
              </w:rPr>
            </w:pPr>
            <w:r>
              <w:rPr>
                <w:b/>
                <w:bCs/>
                <w:sz w:val="21"/>
                <w:szCs w:val="21"/>
              </w:rPr>
              <w:t>缆沟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6" w:hRule="atLeast"/>
        </w:trPr>
        <w:tc>
          <w:tcPr>
            <w:tcW w:w="806" w:type="dxa"/>
            <w:vMerge w:val="restart"/>
            <w:vAlign w:val="center"/>
          </w:tcPr>
          <w:p>
            <w:pPr>
              <w:spacing w:line="240" w:lineRule="auto"/>
              <w:ind w:firstLine="0" w:firstLineChars="0"/>
              <w:jc w:val="center"/>
              <w:rPr>
                <w:sz w:val="21"/>
                <w:szCs w:val="21"/>
              </w:rPr>
            </w:pPr>
            <w:r>
              <w:rPr>
                <w:sz w:val="21"/>
                <w:szCs w:val="21"/>
              </w:rPr>
              <w:t>最小覆土深度</w:t>
            </w:r>
          </w:p>
        </w:tc>
        <w:tc>
          <w:tcPr>
            <w:tcW w:w="638" w:type="dxa"/>
            <w:vAlign w:val="center"/>
          </w:tcPr>
          <w:p>
            <w:pPr>
              <w:spacing w:line="240" w:lineRule="auto"/>
              <w:ind w:firstLine="0" w:firstLineChars="0"/>
              <w:jc w:val="center"/>
              <w:rPr>
                <w:sz w:val="21"/>
                <w:szCs w:val="21"/>
              </w:rPr>
            </w:pPr>
            <w:r>
              <w:rPr>
                <w:sz w:val="21"/>
                <w:szCs w:val="21"/>
              </w:rPr>
              <w:t>人行道下</w:t>
            </w:r>
          </w:p>
        </w:tc>
        <w:tc>
          <w:tcPr>
            <w:tcW w:w="980" w:type="dxa"/>
            <w:vAlign w:val="center"/>
          </w:tcPr>
          <w:p>
            <w:pPr>
              <w:spacing w:line="240" w:lineRule="auto"/>
              <w:ind w:firstLine="0" w:firstLineChars="0"/>
              <w:jc w:val="center"/>
              <w:rPr>
                <w:sz w:val="21"/>
                <w:szCs w:val="21"/>
              </w:rPr>
            </w:pPr>
            <w:r>
              <w:rPr>
                <w:sz w:val="21"/>
                <w:szCs w:val="21"/>
              </w:rPr>
              <w:t>0.6</w:t>
            </w:r>
          </w:p>
        </w:tc>
        <w:tc>
          <w:tcPr>
            <w:tcW w:w="980" w:type="dxa"/>
            <w:vAlign w:val="center"/>
          </w:tcPr>
          <w:p>
            <w:pPr>
              <w:spacing w:line="240" w:lineRule="auto"/>
              <w:ind w:firstLine="0" w:firstLineChars="0"/>
              <w:jc w:val="center"/>
              <w:rPr>
                <w:sz w:val="21"/>
                <w:szCs w:val="21"/>
              </w:rPr>
            </w:pPr>
            <w:r>
              <w:rPr>
                <w:sz w:val="21"/>
                <w:szCs w:val="21"/>
              </w:rPr>
              <w:t>0.6</w:t>
            </w:r>
          </w:p>
        </w:tc>
        <w:tc>
          <w:tcPr>
            <w:tcW w:w="980" w:type="dxa"/>
            <w:vAlign w:val="center"/>
          </w:tcPr>
          <w:p>
            <w:pPr>
              <w:spacing w:line="240" w:lineRule="auto"/>
              <w:ind w:firstLine="0" w:firstLineChars="0"/>
              <w:jc w:val="center"/>
              <w:rPr>
                <w:sz w:val="21"/>
                <w:szCs w:val="21"/>
              </w:rPr>
            </w:pPr>
            <w:r>
              <w:rPr>
                <w:sz w:val="21"/>
                <w:szCs w:val="21"/>
              </w:rPr>
              <w:t>0.6</w:t>
            </w:r>
          </w:p>
        </w:tc>
        <w:tc>
          <w:tcPr>
            <w:tcW w:w="980" w:type="dxa"/>
            <w:vAlign w:val="center"/>
          </w:tcPr>
          <w:p>
            <w:pPr>
              <w:spacing w:line="240" w:lineRule="auto"/>
              <w:ind w:firstLine="0" w:firstLineChars="0"/>
              <w:jc w:val="center"/>
              <w:rPr>
                <w:sz w:val="21"/>
                <w:szCs w:val="21"/>
              </w:rPr>
            </w:pPr>
            <w:r>
              <w:rPr>
                <w:sz w:val="21"/>
                <w:szCs w:val="21"/>
              </w:rPr>
              <w:t>0.5</w:t>
            </w:r>
          </w:p>
        </w:tc>
        <w:tc>
          <w:tcPr>
            <w:tcW w:w="980" w:type="dxa"/>
            <w:vAlign w:val="center"/>
          </w:tcPr>
          <w:p>
            <w:pPr>
              <w:spacing w:line="240" w:lineRule="auto"/>
              <w:ind w:firstLine="0" w:firstLineChars="0"/>
              <w:jc w:val="center"/>
              <w:rPr>
                <w:sz w:val="21"/>
                <w:szCs w:val="21"/>
              </w:rPr>
            </w:pPr>
            <w:r>
              <w:rPr>
                <w:sz w:val="21"/>
                <w:szCs w:val="21"/>
              </w:rPr>
              <w:t>0.7</w:t>
            </w:r>
          </w:p>
        </w:tc>
        <w:tc>
          <w:tcPr>
            <w:tcW w:w="980" w:type="dxa"/>
            <w:vAlign w:val="center"/>
          </w:tcPr>
          <w:p>
            <w:pPr>
              <w:spacing w:line="240" w:lineRule="auto"/>
              <w:ind w:firstLine="0" w:firstLineChars="0"/>
              <w:jc w:val="center"/>
              <w:rPr>
                <w:sz w:val="21"/>
                <w:szCs w:val="21"/>
              </w:rPr>
            </w:pPr>
            <w:r>
              <w:rPr>
                <w:sz w:val="21"/>
                <w:szCs w:val="21"/>
              </w:rPr>
              <w:t>0.4</w:t>
            </w:r>
          </w:p>
        </w:tc>
        <w:tc>
          <w:tcPr>
            <w:tcW w:w="980" w:type="dxa"/>
            <w:vAlign w:val="center"/>
          </w:tcPr>
          <w:p>
            <w:pPr>
              <w:spacing w:line="240" w:lineRule="auto"/>
              <w:ind w:firstLine="0" w:firstLineChars="0"/>
              <w:jc w:val="center"/>
              <w:rPr>
                <w:sz w:val="21"/>
                <w:szCs w:val="21"/>
              </w:rPr>
            </w:pPr>
            <w:r>
              <w:rPr>
                <w:sz w:val="21"/>
                <w:szCs w:val="21"/>
              </w:rPr>
              <w:t>0.5</w:t>
            </w:r>
          </w:p>
        </w:tc>
        <w:tc>
          <w:tcPr>
            <w:tcW w:w="982" w:type="dxa"/>
            <w:vAlign w:val="center"/>
          </w:tcPr>
          <w:p>
            <w:pPr>
              <w:spacing w:line="240" w:lineRule="auto"/>
              <w:ind w:firstLine="0" w:firstLineChars="0"/>
              <w:jc w:val="center"/>
              <w:rPr>
                <w:sz w:val="21"/>
                <w:szCs w:val="21"/>
              </w:rPr>
            </w:pPr>
            <w:r>
              <w:rPr>
                <w:sz w:val="21"/>
                <w:szCs w:val="21"/>
              </w:rPr>
              <w:t>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6" w:hRule="atLeast"/>
        </w:trPr>
        <w:tc>
          <w:tcPr>
            <w:tcW w:w="806" w:type="dxa"/>
            <w:vMerge w:val="continue"/>
            <w:vAlign w:val="center"/>
          </w:tcPr>
          <w:p>
            <w:pPr>
              <w:spacing w:line="240" w:lineRule="auto"/>
              <w:ind w:firstLine="0" w:firstLineChars="0"/>
              <w:jc w:val="center"/>
              <w:rPr>
                <w:sz w:val="21"/>
                <w:szCs w:val="21"/>
              </w:rPr>
            </w:pPr>
          </w:p>
        </w:tc>
        <w:tc>
          <w:tcPr>
            <w:tcW w:w="638" w:type="dxa"/>
            <w:vAlign w:val="center"/>
          </w:tcPr>
          <w:p>
            <w:pPr>
              <w:spacing w:line="240" w:lineRule="auto"/>
              <w:ind w:firstLine="0" w:firstLineChars="0"/>
              <w:jc w:val="center"/>
              <w:rPr>
                <w:sz w:val="21"/>
                <w:szCs w:val="21"/>
              </w:rPr>
            </w:pPr>
            <w:r>
              <w:rPr>
                <w:sz w:val="21"/>
                <w:szCs w:val="21"/>
              </w:rPr>
              <w:t>车行道下</w:t>
            </w:r>
          </w:p>
        </w:tc>
        <w:tc>
          <w:tcPr>
            <w:tcW w:w="980" w:type="dxa"/>
            <w:vAlign w:val="center"/>
          </w:tcPr>
          <w:p>
            <w:pPr>
              <w:spacing w:line="240" w:lineRule="auto"/>
              <w:ind w:firstLine="0" w:firstLineChars="0"/>
              <w:jc w:val="center"/>
              <w:rPr>
                <w:sz w:val="21"/>
                <w:szCs w:val="21"/>
              </w:rPr>
            </w:pPr>
            <w:r>
              <w:rPr>
                <w:sz w:val="21"/>
                <w:szCs w:val="21"/>
              </w:rPr>
              <w:t>0.7</w:t>
            </w:r>
          </w:p>
        </w:tc>
        <w:tc>
          <w:tcPr>
            <w:tcW w:w="980" w:type="dxa"/>
            <w:vAlign w:val="center"/>
          </w:tcPr>
          <w:p>
            <w:pPr>
              <w:spacing w:line="240" w:lineRule="auto"/>
              <w:ind w:firstLine="0" w:firstLineChars="0"/>
              <w:jc w:val="center"/>
              <w:rPr>
                <w:sz w:val="21"/>
                <w:szCs w:val="21"/>
              </w:rPr>
            </w:pPr>
            <w:r>
              <w:rPr>
                <w:sz w:val="21"/>
                <w:szCs w:val="21"/>
              </w:rPr>
              <w:t>0.7</w:t>
            </w:r>
          </w:p>
        </w:tc>
        <w:tc>
          <w:tcPr>
            <w:tcW w:w="980" w:type="dxa"/>
            <w:vAlign w:val="center"/>
          </w:tcPr>
          <w:p>
            <w:pPr>
              <w:spacing w:line="240" w:lineRule="auto"/>
              <w:ind w:firstLine="0" w:firstLineChars="0"/>
              <w:jc w:val="center"/>
              <w:rPr>
                <w:sz w:val="21"/>
                <w:szCs w:val="21"/>
              </w:rPr>
            </w:pPr>
            <w:r>
              <w:rPr>
                <w:sz w:val="21"/>
                <w:szCs w:val="21"/>
              </w:rPr>
              <w:t>0.8</w:t>
            </w:r>
          </w:p>
        </w:tc>
        <w:tc>
          <w:tcPr>
            <w:tcW w:w="980" w:type="dxa"/>
            <w:vAlign w:val="center"/>
          </w:tcPr>
          <w:p>
            <w:pPr>
              <w:spacing w:line="240" w:lineRule="auto"/>
              <w:ind w:firstLine="0" w:firstLineChars="0"/>
              <w:jc w:val="center"/>
              <w:rPr>
                <w:sz w:val="21"/>
                <w:szCs w:val="21"/>
              </w:rPr>
            </w:pPr>
            <w:r>
              <w:rPr>
                <w:sz w:val="21"/>
                <w:szCs w:val="21"/>
              </w:rPr>
              <w:t>0.7</w:t>
            </w:r>
          </w:p>
        </w:tc>
        <w:tc>
          <w:tcPr>
            <w:tcW w:w="980" w:type="dxa"/>
            <w:vAlign w:val="center"/>
          </w:tcPr>
          <w:p>
            <w:pPr>
              <w:spacing w:line="240" w:lineRule="auto"/>
              <w:ind w:firstLine="0" w:firstLineChars="0"/>
              <w:jc w:val="center"/>
              <w:rPr>
                <w:sz w:val="21"/>
                <w:szCs w:val="21"/>
              </w:rPr>
            </w:pPr>
            <w:r>
              <w:rPr>
                <w:sz w:val="21"/>
                <w:szCs w:val="21"/>
              </w:rPr>
              <w:t>0.8</w:t>
            </w:r>
          </w:p>
        </w:tc>
        <w:tc>
          <w:tcPr>
            <w:tcW w:w="980" w:type="dxa"/>
            <w:vAlign w:val="center"/>
          </w:tcPr>
          <w:p>
            <w:pPr>
              <w:spacing w:line="240" w:lineRule="auto"/>
              <w:ind w:firstLine="0" w:firstLineChars="0"/>
              <w:jc w:val="center"/>
              <w:rPr>
                <w:sz w:val="21"/>
                <w:szCs w:val="21"/>
              </w:rPr>
            </w:pPr>
            <w:r>
              <w:rPr>
                <w:sz w:val="21"/>
                <w:szCs w:val="21"/>
              </w:rPr>
              <w:t>0.7</w:t>
            </w:r>
          </w:p>
        </w:tc>
        <w:tc>
          <w:tcPr>
            <w:tcW w:w="980" w:type="dxa"/>
            <w:vAlign w:val="center"/>
          </w:tcPr>
          <w:p>
            <w:pPr>
              <w:spacing w:line="240" w:lineRule="auto"/>
              <w:ind w:firstLine="0" w:firstLineChars="0"/>
              <w:jc w:val="center"/>
              <w:rPr>
                <w:sz w:val="21"/>
                <w:szCs w:val="21"/>
              </w:rPr>
            </w:pPr>
            <w:r>
              <w:rPr>
                <w:sz w:val="21"/>
                <w:szCs w:val="21"/>
              </w:rPr>
              <w:t>0.7</w:t>
            </w:r>
          </w:p>
        </w:tc>
        <w:tc>
          <w:tcPr>
            <w:tcW w:w="982" w:type="dxa"/>
            <w:vAlign w:val="center"/>
          </w:tcPr>
          <w:p>
            <w:pPr>
              <w:spacing w:line="240" w:lineRule="auto"/>
              <w:ind w:firstLine="0" w:firstLineChars="0"/>
              <w:jc w:val="center"/>
              <w:rPr>
                <w:sz w:val="21"/>
                <w:szCs w:val="21"/>
              </w:rPr>
            </w:pPr>
            <w:r>
              <w:rPr>
                <w:sz w:val="21"/>
                <w:szCs w:val="21"/>
              </w:rPr>
              <w:t>0.5</w:t>
            </w:r>
          </w:p>
        </w:tc>
      </w:tr>
    </w:tbl>
    <w:p>
      <w:pPr>
        <w:spacing w:beforeLines="50"/>
        <w:ind w:firstLine="480"/>
      </w:pPr>
      <w:r>
        <w:t>（4）园区边坡分布及处置情况</w:t>
      </w:r>
    </w:p>
    <w:p>
      <w:pPr>
        <w:ind w:firstLine="480"/>
      </w:pPr>
      <w:r>
        <w:t>根据现场调查及园区竖向工程规划图，园区边坡主要分布在道路两侧，园区道路填方区路堤及挖方段边坡高度≤4米时采用喷播植草进行防护，边坡高度＞4米时采用挂三维网植草进行防护，边坡分级高度为8m的无外倾结构面的岩质边坡采用锚杆框架梁进行防护。路基填方边坡统一采用分级放坡，按一级边坡1：1.5坡率、二级边坡1：1.75坡率、三级及三级以上边坡按1：2坡率进行放坡。每级边坡≤8m，分级平台宽度2m，为减少边坡防护工程量。路基挖方边坡统一采用分级放坡，边坡采用临时性防护，分级边坡坡率依次为1：1、1：1.25、1：1.5，边坡分级高度为8m，级间平台宽度2m。</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76"/>
        <w:gridCol w:w="451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spacing w:line="240" w:lineRule="auto"/>
              <w:ind w:firstLine="0" w:firstLineChars="0"/>
              <w:jc w:val="center"/>
              <w:rPr>
                <w:sz w:val="21"/>
                <w:szCs w:val="21"/>
              </w:rPr>
            </w:pPr>
            <w:r>
              <w:drawing>
                <wp:inline distT="0" distB="0" distL="114300" distR="114300">
                  <wp:extent cx="2884170" cy="1691640"/>
                  <wp:effectExtent l="0" t="0" r="11430" b="3810"/>
                  <wp:docPr id="2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0"/>
                          <pic:cNvPicPr>
                            <a:picLocks noChangeAspect="1"/>
                          </pic:cNvPicPr>
                        </pic:nvPicPr>
                        <pic:blipFill>
                          <a:blip r:embed="rId91"/>
                          <a:stretch>
                            <a:fillRect/>
                          </a:stretch>
                        </pic:blipFill>
                        <pic:spPr>
                          <a:xfrm>
                            <a:off x="0" y="0"/>
                            <a:ext cx="2884170" cy="1691640"/>
                          </a:xfrm>
                          <a:prstGeom prst="rect">
                            <a:avLst/>
                          </a:prstGeom>
                          <a:noFill/>
                          <a:ln>
                            <a:noFill/>
                          </a:ln>
                        </pic:spPr>
                      </pic:pic>
                    </a:graphicData>
                  </a:graphic>
                </wp:inline>
              </w:drawing>
            </w:r>
          </w:p>
        </w:tc>
        <w:tc>
          <w:tcPr>
            <w:tcW w:w="4644" w:type="dxa"/>
          </w:tcPr>
          <w:p>
            <w:pPr>
              <w:spacing w:line="240" w:lineRule="auto"/>
              <w:ind w:firstLine="0" w:firstLineChars="0"/>
              <w:jc w:val="center"/>
              <w:rPr>
                <w:sz w:val="21"/>
                <w:szCs w:val="21"/>
              </w:rPr>
            </w:pPr>
            <w:r>
              <w:drawing>
                <wp:inline distT="0" distB="0" distL="114300" distR="114300">
                  <wp:extent cx="2723515" cy="1712595"/>
                  <wp:effectExtent l="0" t="0" r="635" b="1905"/>
                  <wp:docPr id="2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1"/>
                          <pic:cNvPicPr>
                            <a:picLocks noChangeAspect="1"/>
                          </pic:cNvPicPr>
                        </pic:nvPicPr>
                        <pic:blipFill>
                          <a:blip r:embed="rId92"/>
                          <a:stretch>
                            <a:fillRect/>
                          </a:stretch>
                        </pic:blipFill>
                        <pic:spPr>
                          <a:xfrm>
                            <a:off x="0" y="0"/>
                            <a:ext cx="2723515" cy="171259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Pr>
          <w:p>
            <w:pPr>
              <w:spacing w:line="240" w:lineRule="auto"/>
              <w:ind w:firstLine="0" w:firstLineChars="0"/>
              <w:jc w:val="center"/>
              <w:rPr>
                <w:b/>
                <w:bCs/>
                <w:sz w:val="21"/>
                <w:szCs w:val="21"/>
              </w:rPr>
            </w:pPr>
            <w:r>
              <w:rPr>
                <w:rFonts w:hint="eastAsia"/>
                <w:b/>
                <w:bCs/>
                <w:sz w:val="21"/>
                <w:szCs w:val="21"/>
              </w:rPr>
              <w:t>图2.1-21</w:t>
            </w:r>
            <w:r>
              <w:rPr>
                <w:b/>
                <w:bCs/>
                <w:sz w:val="21"/>
                <w:szCs w:val="21"/>
              </w:rPr>
              <w:t>北二路道路边坡处理情况-施工过程中</w:t>
            </w:r>
          </w:p>
        </w:tc>
        <w:tc>
          <w:tcPr>
            <w:tcW w:w="4644" w:type="dxa"/>
          </w:tcPr>
          <w:p>
            <w:pPr>
              <w:spacing w:line="240" w:lineRule="auto"/>
              <w:ind w:firstLine="0" w:firstLineChars="0"/>
              <w:jc w:val="center"/>
              <w:rPr>
                <w:b/>
                <w:bCs/>
                <w:sz w:val="21"/>
                <w:szCs w:val="21"/>
              </w:rPr>
            </w:pPr>
            <w:r>
              <w:rPr>
                <w:rFonts w:hint="eastAsia"/>
                <w:b/>
                <w:bCs/>
                <w:sz w:val="21"/>
                <w:szCs w:val="21"/>
              </w:rPr>
              <w:t>图2.1-22</w:t>
            </w:r>
            <w:r>
              <w:rPr>
                <w:b/>
                <w:bCs/>
                <w:sz w:val="21"/>
                <w:szCs w:val="21"/>
              </w:rPr>
              <w:t>龙翔路道路挖方边坡-喷播植草</w:t>
            </w:r>
          </w:p>
        </w:tc>
      </w:tr>
    </w:tbl>
    <w:p>
      <w:pPr>
        <w:pStyle w:val="6"/>
        <w:spacing w:beforeLines="50"/>
      </w:pPr>
      <w:r>
        <w:t>2.1.5园区规划用地布局及组成</w:t>
      </w:r>
    </w:p>
    <w:p>
      <w:pPr>
        <w:ind w:firstLine="480"/>
      </w:pPr>
      <w:r>
        <w:t>根据</w:t>
      </w:r>
      <w:r>
        <w:rPr>
          <w:szCs w:val="21"/>
        </w:rPr>
        <w:t>《乐山五通桥化工园区总体规划（2022-2035）》</w:t>
      </w:r>
      <w:r>
        <w:t>，园区规划面积为1129.18hm</w:t>
      </w:r>
      <w:r>
        <w:rPr>
          <w:vertAlign w:val="superscript"/>
        </w:rPr>
        <w:t>2</w:t>
      </w:r>
      <w:r>
        <w:t>，按城乡用地划分，将园区划分为建设用地及非建设用地；按建设用地划分为4个大类，7个中类。园区具体土地利用规划情况详见表2.1-6、表2.1-7。</w:t>
      </w:r>
    </w:p>
    <w:p>
      <w:pPr>
        <w:ind w:firstLine="0" w:firstLineChars="0"/>
        <w:jc w:val="center"/>
      </w:pPr>
      <w:r>
        <w:rPr>
          <w:b/>
          <w:bCs/>
        </w:rPr>
        <w:t>表2.1-6城乡用地分类汇总表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836"/>
        <w:gridCol w:w="3002"/>
        <w:gridCol w:w="2127"/>
        <w:gridCol w:w="232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36" w:type="dxa"/>
            <w:vAlign w:val="center"/>
          </w:tcPr>
          <w:p>
            <w:pPr>
              <w:spacing w:line="240" w:lineRule="auto"/>
              <w:ind w:firstLine="0" w:firstLineChars="0"/>
              <w:jc w:val="center"/>
              <w:rPr>
                <w:b/>
                <w:bCs/>
                <w:sz w:val="21"/>
                <w:szCs w:val="21"/>
              </w:rPr>
            </w:pPr>
            <w:r>
              <w:rPr>
                <w:b/>
                <w:bCs/>
                <w:sz w:val="21"/>
                <w:szCs w:val="21"/>
              </w:rPr>
              <w:t>用地代码</w:t>
            </w:r>
          </w:p>
        </w:tc>
        <w:tc>
          <w:tcPr>
            <w:tcW w:w="3002" w:type="dxa"/>
            <w:vAlign w:val="center"/>
          </w:tcPr>
          <w:p>
            <w:pPr>
              <w:spacing w:line="240" w:lineRule="auto"/>
              <w:ind w:firstLine="0" w:firstLineChars="0"/>
              <w:jc w:val="center"/>
              <w:rPr>
                <w:b/>
                <w:bCs/>
                <w:sz w:val="21"/>
                <w:szCs w:val="21"/>
              </w:rPr>
            </w:pPr>
            <w:r>
              <w:rPr>
                <w:b/>
                <w:bCs/>
                <w:sz w:val="21"/>
                <w:szCs w:val="21"/>
              </w:rPr>
              <w:t>用地名称</w:t>
            </w:r>
          </w:p>
        </w:tc>
        <w:tc>
          <w:tcPr>
            <w:tcW w:w="2127" w:type="dxa"/>
            <w:vAlign w:val="center"/>
          </w:tcPr>
          <w:p>
            <w:pPr>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2322" w:type="dxa"/>
            <w:vAlign w:val="center"/>
          </w:tcPr>
          <w:p>
            <w:pPr>
              <w:spacing w:line="240" w:lineRule="auto"/>
              <w:ind w:firstLine="0" w:firstLineChars="0"/>
              <w:jc w:val="center"/>
              <w:rPr>
                <w:b/>
                <w:bCs/>
                <w:sz w:val="21"/>
                <w:szCs w:val="21"/>
              </w:rPr>
            </w:pPr>
            <w:r>
              <w:rPr>
                <w:b/>
                <w:bCs/>
                <w:sz w:val="21"/>
                <w:szCs w:val="21"/>
              </w:rPr>
              <w:t>比例</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36" w:type="dxa"/>
            <w:vMerge w:val="restart"/>
            <w:vAlign w:val="center"/>
          </w:tcPr>
          <w:p>
            <w:pPr>
              <w:spacing w:line="240" w:lineRule="auto"/>
              <w:ind w:firstLine="0" w:firstLineChars="0"/>
              <w:jc w:val="center"/>
              <w:rPr>
                <w:sz w:val="21"/>
                <w:szCs w:val="21"/>
              </w:rPr>
            </w:pPr>
            <w:r>
              <w:rPr>
                <w:sz w:val="21"/>
                <w:szCs w:val="21"/>
              </w:rPr>
              <w:t>H</w:t>
            </w:r>
          </w:p>
        </w:tc>
        <w:tc>
          <w:tcPr>
            <w:tcW w:w="3002" w:type="dxa"/>
            <w:vAlign w:val="center"/>
          </w:tcPr>
          <w:p>
            <w:pPr>
              <w:spacing w:line="240" w:lineRule="auto"/>
              <w:ind w:firstLine="0" w:firstLineChars="0"/>
              <w:jc w:val="center"/>
              <w:rPr>
                <w:sz w:val="21"/>
                <w:szCs w:val="21"/>
              </w:rPr>
            </w:pPr>
            <w:r>
              <w:rPr>
                <w:sz w:val="21"/>
                <w:szCs w:val="21"/>
              </w:rPr>
              <w:t>建设用地</w:t>
            </w:r>
          </w:p>
        </w:tc>
        <w:tc>
          <w:tcPr>
            <w:tcW w:w="2127" w:type="dxa"/>
            <w:vAlign w:val="center"/>
          </w:tcPr>
          <w:p>
            <w:pPr>
              <w:spacing w:line="240" w:lineRule="auto"/>
              <w:ind w:firstLine="0" w:firstLineChars="0"/>
              <w:jc w:val="center"/>
              <w:rPr>
                <w:sz w:val="21"/>
                <w:szCs w:val="21"/>
              </w:rPr>
            </w:pPr>
            <w:r>
              <w:rPr>
                <w:sz w:val="21"/>
                <w:szCs w:val="21"/>
              </w:rPr>
              <w:t>1129.18</w:t>
            </w:r>
          </w:p>
        </w:tc>
        <w:tc>
          <w:tcPr>
            <w:tcW w:w="2322" w:type="dxa"/>
            <w:vAlign w:val="center"/>
          </w:tcPr>
          <w:p>
            <w:pPr>
              <w:spacing w:line="240" w:lineRule="auto"/>
              <w:ind w:firstLine="0" w:firstLineChars="0"/>
              <w:jc w:val="center"/>
              <w:rPr>
                <w:sz w:val="21"/>
                <w:szCs w:val="21"/>
              </w:rPr>
            </w:pPr>
            <w:r>
              <w:rPr>
                <w:sz w:val="21"/>
                <w:szCs w:val="21"/>
              </w:rPr>
              <w:t>100%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36" w:type="dxa"/>
            <w:vMerge w:val="continue"/>
            <w:vAlign w:val="center"/>
          </w:tcPr>
          <w:p>
            <w:pPr>
              <w:spacing w:line="240" w:lineRule="auto"/>
              <w:ind w:firstLine="0" w:firstLineChars="0"/>
              <w:jc w:val="center"/>
              <w:rPr>
                <w:sz w:val="21"/>
                <w:szCs w:val="21"/>
              </w:rPr>
            </w:pPr>
          </w:p>
        </w:tc>
        <w:tc>
          <w:tcPr>
            <w:tcW w:w="3002" w:type="dxa"/>
            <w:vAlign w:val="center"/>
          </w:tcPr>
          <w:p>
            <w:pPr>
              <w:spacing w:line="240" w:lineRule="auto"/>
              <w:ind w:firstLine="0" w:firstLineChars="0"/>
              <w:jc w:val="center"/>
              <w:rPr>
                <w:sz w:val="21"/>
                <w:szCs w:val="21"/>
              </w:rPr>
            </w:pPr>
            <w:r>
              <w:rPr>
                <w:sz w:val="21"/>
                <w:szCs w:val="21"/>
              </w:rPr>
              <w:t>城市建设用地（H1）</w:t>
            </w:r>
          </w:p>
        </w:tc>
        <w:tc>
          <w:tcPr>
            <w:tcW w:w="2127" w:type="dxa"/>
            <w:vAlign w:val="center"/>
          </w:tcPr>
          <w:p>
            <w:pPr>
              <w:spacing w:line="240" w:lineRule="auto"/>
              <w:ind w:firstLine="0" w:firstLineChars="0"/>
              <w:jc w:val="center"/>
              <w:rPr>
                <w:sz w:val="21"/>
                <w:szCs w:val="21"/>
              </w:rPr>
            </w:pPr>
            <w:r>
              <w:rPr>
                <w:sz w:val="21"/>
                <w:szCs w:val="21"/>
              </w:rPr>
              <w:t>1129.18</w:t>
            </w:r>
          </w:p>
        </w:tc>
        <w:tc>
          <w:tcPr>
            <w:tcW w:w="2322"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838" w:type="dxa"/>
            <w:gridSpan w:val="2"/>
            <w:vAlign w:val="center"/>
          </w:tcPr>
          <w:p>
            <w:pPr>
              <w:spacing w:line="240" w:lineRule="auto"/>
              <w:ind w:firstLine="0" w:firstLineChars="0"/>
              <w:jc w:val="center"/>
              <w:rPr>
                <w:b/>
                <w:bCs/>
                <w:sz w:val="21"/>
                <w:szCs w:val="21"/>
              </w:rPr>
            </w:pPr>
            <w:r>
              <w:rPr>
                <w:b/>
                <w:bCs/>
                <w:sz w:val="21"/>
                <w:szCs w:val="21"/>
              </w:rPr>
              <w:t>规划范围用地</w:t>
            </w:r>
          </w:p>
        </w:tc>
        <w:tc>
          <w:tcPr>
            <w:tcW w:w="2127" w:type="dxa"/>
            <w:vAlign w:val="center"/>
          </w:tcPr>
          <w:p>
            <w:pPr>
              <w:spacing w:line="240" w:lineRule="auto"/>
              <w:ind w:firstLine="0" w:firstLineChars="0"/>
              <w:jc w:val="center"/>
              <w:rPr>
                <w:b/>
                <w:bCs/>
                <w:sz w:val="21"/>
                <w:szCs w:val="21"/>
              </w:rPr>
            </w:pPr>
            <w:r>
              <w:rPr>
                <w:b/>
                <w:bCs/>
                <w:sz w:val="21"/>
                <w:szCs w:val="21"/>
              </w:rPr>
              <w:t>1129.18</w:t>
            </w:r>
          </w:p>
        </w:tc>
        <w:tc>
          <w:tcPr>
            <w:tcW w:w="2322" w:type="dxa"/>
            <w:vAlign w:val="center"/>
          </w:tcPr>
          <w:p>
            <w:pPr>
              <w:spacing w:line="240" w:lineRule="auto"/>
              <w:ind w:firstLine="0" w:firstLineChars="0"/>
              <w:jc w:val="center"/>
              <w:rPr>
                <w:b/>
                <w:bCs/>
                <w:sz w:val="21"/>
                <w:szCs w:val="21"/>
              </w:rPr>
            </w:pPr>
            <w:r>
              <w:rPr>
                <w:b/>
                <w:bCs/>
                <w:sz w:val="21"/>
                <w:szCs w:val="21"/>
              </w:rPr>
              <w:t>100%</w:t>
            </w:r>
          </w:p>
        </w:tc>
      </w:tr>
    </w:tbl>
    <w:p>
      <w:pPr>
        <w:spacing w:beforeLines="50"/>
        <w:ind w:firstLine="0" w:firstLineChars="0"/>
        <w:jc w:val="center"/>
      </w:pPr>
      <w:r>
        <w:rPr>
          <w:b/>
          <w:bCs/>
        </w:rPr>
        <w:t>表2.1-7城市建设用地分类汇总表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006"/>
        <w:gridCol w:w="1264"/>
        <w:gridCol w:w="1597"/>
        <w:gridCol w:w="1232"/>
        <w:gridCol w:w="1232"/>
        <w:gridCol w:w="1232"/>
        <w:gridCol w:w="172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270" w:type="dxa"/>
            <w:gridSpan w:val="2"/>
            <w:vAlign w:val="center"/>
          </w:tcPr>
          <w:p>
            <w:pPr>
              <w:spacing w:line="240" w:lineRule="auto"/>
              <w:ind w:firstLine="0" w:firstLineChars="0"/>
              <w:jc w:val="center"/>
              <w:rPr>
                <w:b/>
                <w:bCs/>
                <w:sz w:val="21"/>
                <w:szCs w:val="21"/>
              </w:rPr>
            </w:pPr>
            <w:r>
              <w:rPr>
                <w:b/>
                <w:bCs/>
                <w:sz w:val="21"/>
                <w:szCs w:val="21"/>
              </w:rPr>
              <w:t>用地代码</w:t>
            </w:r>
          </w:p>
        </w:tc>
        <w:tc>
          <w:tcPr>
            <w:tcW w:w="1597" w:type="dxa"/>
            <w:vMerge w:val="restart"/>
            <w:vAlign w:val="center"/>
          </w:tcPr>
          <w:p>
            <w:pPr>
              <w:spacing w:line="240" w:lineRule="auto"/>
              <w:ind w:firstLine="0" w:firstLineChars="0"/>
              <w:jc w:val="center"/>
              <w:rPr>
                <w:b/>
                <w:bCs/>
                <w:sz w:val="21"/>
                <w:szCs w:val="21"/>
              </w:rPr>
            </w:pPr>
            <w:r>
              <w:rPr>
                <w:b/>
                <w:bCs/>
                <w:sz w:val="21"/>
                <w:szCs w:val="21"/>
              </w:rPr>
              <w:t>用地名称</w:t>
            </w:r>
          </w:p>
        </w:tc>
        <w:tc>
          <w:tcPr>
            <w:tcW w:w="3696" w:type="dxa"/>
            <w:gridSpan w:val="3"/>
            <w:vAlign w:val="center"/>
          </w:tcPr>
          <w:p>
            <w:pPr>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1724" w:type="dxa"/>
            <w:vMerge w:val="restart"/>
            <w:vAlign w:val="center"/>
          </w:tcPr>
          <w:p>
            <w:pPr>
              <w:spacing w:line="240" w:lineRule="auto"/>
              <w:ind w:firstLine="0" w:firstLineChars="0"/>
              <w:jc w:val="center"/>
              <w:rPr>
                <w:b/>
                <w:bCs/>
                <w:sz w:val="21"/>
                <w:szCs w:val="21"/>
              </w:rPr>
            </w:pPr>
            <w:r>
              <w:rPr>
                <w:b/>
                <w:bCs/>
                <w:sz w:val="21"/>
                <w:szCs w:val="21"/>
              </w:rPr>
              <w:t>与规划范围占比</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6" w:type="dxa"/>
            <w:vAlign w:val="center"/>
          </w:tcPr>
          <w:p>
            <w:pPr>
              <w:spacing w:line="240" w:lineRule="auto"/>
              <w:ind w:firstLine="0" w:firstLineChars="0"/>
              <w:jc w:val="center"/>
              <w:rPr>
                <w:b/>
                <w:bCs/>
                <w:sz w:val="21"/>
                <w:szCs w:val="21"/>
              </w:rPr>
            </w:pPr>
            <w:r>
              <w:rPr>
                <w:b/>
                <w:bCs/>
                <w:sz w:val="21"/>
                <w:szCs w:val="21"/>
              </w:rPr>
              <w:t>大类</w:t>
            </w:r>
          </w:p>
        </w:tc>
        <w:tc>
          <w:tcPr>
            <w:tcW w:w="1264" w:type="dxa"/>
            <w:vAlign w:val="center"/>
          </w:tcPr>
          <w:p>
            <w:pPr>
              <w:spacing w:line="240" w:lineRule="auto"/>
              <w:ind w:firstLine="0" w:firstLineChars="0"/>
              <w:jc w:val="center"/>
              <w:rPr>
                <w:b/>
                <w:bCs/>
                <w:sz w:val="21"/>
                <w:szCs w:val="21"/>
              </w:rPr>
            </w:pPr>
            <w:r>
              <w:rPr>
                <w:b/>
                <w:bCs/>
                <w:sz w:val="21"/>
                <w:szCs w:val="21"/>
              </w:rPr>
              <w:t>中类</w:t>
            </w:r>
          </w:p>
        </w:tc>
        <w:tc>
          <w:tcPr>
            <w:tcW w:w="1597" w:type="dxa"/>
            <w:vMerge w:val="continue"/>
            <w:vAlign w:val="center"/>
          </w:tcPr>
          <w:p>
            <w:pPr>
              <w:spacing w:line="240" w:lineRule="auto"/>
              <w:ind w:firstLine="0" w:firstLineChars="0"/>
              <w:jc w:val="center"/>
              <w:rPr>
                <w:b/>
                <w:bCs/>
                <w:sz w:val="21"/>
                <w:szCs w:val="21"/>
              </w:rPr>
            </w:pPr>
          </w:p>
        </w:tc>
        <w:tc>
          <w:tcPr>
            <w:tcW w:w="1232" w:type="dxa"/>
            <w:vAlign w:val="center"/>
          </w:tcPr>
          <w:p>
            <w:pPr>
              <w:spacing w:line="240" w:lineRule="auto"/>
              <w:ind w:firstLine="0" w:firstLineChars="0"/>
              <w:jc w:val="center"/>
              <w:rPr>
                <w:b/>
                <w:bCs/>
                <w:sz w:val="21"/>
                <w:szCs w:val="21"/>
              </w:rPr>
            </w:pPr>
            <w:r>
              <w:rPr>
                <w:b/>
                <w:bCs/>
                <w:sz w:val="21"/>
                <w:szCs w:val="21"/>
              </w:rPr>
              <w:t>近期</w:t>
            </w:r>
          </w:p>
        </w:tc>
        <w:tc>
          <w:tcPr>
            <w:tcW w:w="1232" w:type="dxa"/>
            <w:vAlign w:val="center"/>
          </w:tcPr>
          <w:p>
            <w:pPr>
              <w:spacing w:line="240" w:lineRule="auto"/>
              <w:ind w:firstLine="0" w:firstLineChars="0"/>
              <w:jc w:val="center"/>
              <w:rPr>
                <w:b/>
                <w:bCs/>
                <w:sz w:val="21"/>
                <w:szCs w:val="21"/>
              </w:rPr>
            </w:pPr>
            <w:r>
              <w:rPr>
                <w:b/>
                <w:bCs/>
                <w:sz w:val="21"/>
                <w:szCs w:val="21"/>
              </w:rPr>
              <w:t>远期</w:t>
            </w:r>
          </w:p>
        </w:tc>
        <w:tc>
          <w:tcPr>
            <w:tcW w:w="1232" w:type="dxa"/>
            <w:vAlign w:val="center"/>
          </w:tcPr>
          <w:p>
            <w:pPr>
              <w:spacing w:line="240" w:lineRule="auto"/>
              <w:ind w:firstLine="0" w:firstLineChars="0"/>
              <w:jc w:val="center"/>
              <w:rPr>
                <w:b/>
                <w:bCs/>
                <w:sz w:val="21"/>
                <w:szCs w:val="21"/>
              </w:rPr>
            </w:pPr>
            <w:r>
              <w:rPr>
                <w:b/>
                <w:bCs/>
                <w:sz w:val="21"/>
                <w:szCs w:val="21"/>
              </w:rPr>
              <w:t>合计</w:t>
            </w:r>
          </w:p>
        </w:tc>
        <w:tc>
          <w:tcPr>
            <w:tcW w:w="1724" w:type="dxa"/>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8" w:hRule="atLeast"/>
        </w:trPr>
        <w:tc>
          <w:tcPr>
            <w:tcW w:w="1006" w:type="dxa"/>
            <w:vMerge w:val="restart"/>
            <w:vAlign w:val="center"/>
          </w:tcPr>
          <w:p>
            <w:pPr>
              <w:spacing w:line="240" w:lineRule="auto"/>
              <w:ind w:firstLine="0" w:firstLineChars="0"/>
              <w:jc w:val="center"/>
              <w:rPr>
                <w:sz w:val="21"/>
                <w:szCs w:val="21"/>
              </w:rPr>
            </w:pPr>
            <w:r>
              <w:rPr>
                <w:sz w:val="21"/>
                <w:szCs w:val="21"/>
              </w:rPr>
              <w:t>M</w:t>
            </w:r>
          </w:p>
        </w:tc>
        <w:tc>
          <w:tcPr>
            <w:tcW w:w="2861" w:type="dxa"/>
            <w:gridSpan w:val="2"/>
            <w:vAlign w:val="center"/>
          </w:tcPr>
          <w:p>
            <w:pPr>
              <w:spacing w:line="240" w:lineRule="auto"/>
              <w:ind w:firstLine="0" w:firstLineChars="0"/>
              <w:jc w:val="center"/>
              <w:rPr>
                <w:sz w:val="21"/>
                <w:szCs w:val="21"/>
              </w:rPr>
            </w:pPr>
            <w:r>
              <w:rPr>
                <w:sz w:val="21"/>
                <w:szCs w:val="21"/>
              </w:rPr>
              <w:t>工业用地</w:t>
            </w:r>
          </w:p>
        </w:tc>
        <w:tc>
          <w:tcPr>
            <w:tcW w:w="1232" w:type="dxa"/>
            <w:vAlign w:val="center"/>
          </w:tcPr>
          <w:p>
            <w:pPr>
              <w:spacing w:line="240" w:lineRule="auto"/>
              <w:ind w:firstLine="0" w:firstLineChars="0"/>
              <w:jc w:val="center"/>
              <w:rPr>
                <w:sz w:val="21"/>
                <w:szCs w:val="21"/>
              </w:rPr>
            </w:pPr>
            <w:r>
              <w:rPr>
                <w:sz w:val="21"/>
                <w:szCs w:val="21"/>
              </w:rPr>
              <w:t>598.64</w:t>
            </w:r>
          </w:p>
        </w:tc>
        <w:tc>
          <w:tcPr>
            <w:tcW w:w="1232" w:type="dxa"/>
            <w:vAlign w:val="center"/>
          </w:tcPr>
          <w:p>
            <w:pPr>
              <w:spacing w:line="240" w:lineRule="auto"/>
              <w:ind w:firstLine="0" w:firstLineChars="0"/>
              <w:jc w:val="center"/>
              <w:rPr>
                <w:sz w:val="21"/>
                <w:szCs w:val="21"/>
              </w:rPr>
            </w:pPr>
            <w:r>
              <w:rPr>
                <w:sz w:val="21"/>
                <w:szCs w:val="21"/>
              </w:rPr>
              <w:t>359.16</w:t>
            </w:r>
          </w:p>
        </w:tc>
        <w:tc>
          <w:tcPr>
            <w:tcW w:w="1232" w:type="dxa"/>
            <w:vAlign w:val="center"/>
          </w:tcPr>
          <w:p>
            <w:pPr>
              <w:spacing w:line="240" w:lineRule="auto"/>
              <w:ind w:firstLine="0" w:firstLineChars="0"/>
              <w:jc w:val="center"/>
              <w:rPr>
                <w:sz w:val="21"/>
                <w:szCs w:val="21"/>
              </w:rPr>
            </w:pPr>
            <w:r>
              <w:rPr>
                <w:sz w:val="21"/>
                <w:szCs w:val="21"/>
              </w:rPr>
              <w:t>957.80</w:t>
            </w:r>
          </w:p>
        </w:tc>
        <w:tc>
          <w:tcPr>
            <w:tcW w:w="1724" w:type="dxa"/>
            <w:vAlign w:val="center"/>
          </w:tcPr>
          <w:p>
            <w:pPr>
              <w:spacing w:line="240" w:lineRule="auto"/>
              <w:ind w:firstLine="0" w:firstLineChars="0"/>
              <w:jc w:val="center"/>
              <w:rPr>
                <w:sz w:val="21"/>
                <w:szCs w:val="21"/>
              </w:rPr>
            </w:pPr>
            <w:r>
              <w:rPr>
                <w:sz w:val="21"/>
                <w:szCs w:val="21"/>
              </w:rPr>
              <w:t>84.82%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M3</w:t>
            </w:r>
          </w:p>
        </w:tc>
        <w:tc>
          <w:tcPr>
            <w:tcW w:w="1597" w:type="dxa"/>
            <w:vAlign w:val="center"/>
          </w:tcPr>
          <w:p>
            <w:pPr>
              <w:spacing w:line="240" w:lineRule="auto"/>
              <w:ind w:firstLine="0" w:firstLineChars="0"/>
              <w:jc w:val="center"/>
              <w:rPr>
                <w:sz w:val="21"/>
                <w:szCs w:val="21"/>
              </w:rPr>
            </w:pPr>
            <w:r>
              <w:rPr>
                <w:sz w:val="21"/>
                <w:szCs w:val="21"/>
              </w:rPr>
              <w:t>三类工业用地</w:t>
            </w:r>
          </w:p>
        </w:tc>
        <w:tc>
          <w:tcPr>
            <w:tcW w:w="1232" w:type="dxa"/>
            <w:vAlign w:val="center"/>
          </w:tcPr>
          <w:p>
            <w:pPr>
              <w:spacing w:line="240" w:lineRule="auto"/>
              <w:ind w:firstLine="0" w:firstLineChars="0"/>
              <w:jc w:val="center"/>
              <w:rPr>
                <w:sz w:val="21"/>
                <w:szCs w:val="21"/>
              </w:rPr>
            </w:pPr>
            <w:r>
              <w:rPr>
                <w:sz w:val="21"/>
                <w:szCs w:val="21"/>
              </w:rPr>
              <w:t>598.64</w:t>
            </w:r>
          </w:p>
        </w:tc>
        <w:tc>
          <w:tcPr>
            <w:tcW w:w="1232" w:type="dxa"/>
            <w:vAlign w:val="center"/>
          </w:tcPr>
          <w:p>
            <w:pPr>
              <w:spacing w:line="240" w:lineRule="auto"/>
              <w:ind w:firstLine="0" w:firstLineChars="0"/>
              <w:jc w:val="center"/>
              <w:rPr>
                <w:sz w:val="21"/>
                <w:szCs w:val="21"/>
              </w:rPr>
            </w:pPr>
            <w:r>
              <w:rPr>
                <w:sz w:val="21"/>
                <w:szCs w:val="21"/>
              </w:rPr>
              <w:t>359.16</w:t>
            </w:r>
          </w:p>
        </w:tc>
        <w:tc>
          <w:tcPr>
            <w:tcW w:w="1232" w:type="dxa"/>
            <w:vAlign w:val="center"/>
          </w:tcPr>
          <w:p>
            <w:pPr>
              <w:spacing w:line="240" w:lineRule="auto"/>
              <w:ind w:firstLine="0" w:firstLineChars="0"/>
              <w:jc w:val="center"/>
              <w:rPr>
                <w:sz w:val="21"/>
                <w:szCs w:val="21"/>
              </w:rPr>
            </w:pPr>
            <w:r>
              <w:rPr>
                <w:sz w:val="21"/>
                <w:szCs w:val="21"/>
              </w:rPr>
              <w:t>957.80</w:t>
            </w:r>
          </w:p>
        </w:tc>
        <w:tc>
          <w:tcPr>
            <w:tcW w:w="1724" w:type="dxa"/>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9" w:hRule="atLeast"/>
        </w:trPr>
        <w:tc>
          <w:tcPr>
            <w:tcW w:w="1006" w:type="dxa"/>
            <w:vMerge w:val="restart"/>
            <w:vAlign w:val="center"/>
          </w:tcPr>
          <w:p>
            <w:pPr>
              <w:spacing w:line="240" w:lineRule="auto"/>
              <w:ind w:firstLine="0" w:firstLineChars="0"/>
              <w:jc w:val="center"/>
              <w:rPr>
                <w:sz w:val="21"/>
                <w:szCs w:val="21"/>
              </w:rPr>
            </w:pPr>
            <w:r>
              <w:rPr>
                <w:sz w:val="21"/>
                <w:szCs w:val="21"/>
              </w:rPr>
              <w:t>S</w:t>
            </w:r>
          </w:p>
        </w:tc>
        <w:tc>
          <w:tcPr>
            <w:tcW w:w="2861" w:type="dxa"/>
            <w:gridSpan w:val="2"/>
            <w:vAlign w:val="center"/>
          </w:tcPr>
          <w:p>
            <w:pPr>
              <w:spacing w:line="240" w:lineRule="auto"/>
              <w:ind w:firstLine="0" w:firstLineChars="0"/>
              <w:jc w:val="center"/>
              <w:rPr>
                <w:sz w:val="21"/>
                <w:szCs w:val="21"/>
              </w:rPr>
            </w:pPr>
            <w:r>
              <w:rPr>
                <w:sz w:val="21"/>
                <w:szCs w:val="21"/>
              </w:rPr>
              <w:t>道路与交通设施用地</w:t>
            </w:r>
          </w:p>
        </w:tc>
        <w:tc>
          <w:tcPr>
            <w:tcW w:w="1232" w:type="dxa"/>
            <w:vAlign w:val="center"/>
          </w:tcPr>
          <w:p>
            <w:pPr>
              <w:spacing w:line="240" w:lineRule="auto"/>
              <w:ind w:firstLine="0" w:firstLineChars="0"/>
              <w:jc w:val="center"/>
              <w:rPr>
                <w:sz w:val="21"/>
                <w:szCs w:val="21"/>
              </w:rPr>
            </w:pPr>
            <w:r>
              <w:rPr>
                <w:sz w:val="21"/>
                <w:szCs w:val="21"/>
              </w:rPr>
              <w:t>73.89</w:t>
            </w:r>
          </w:p>
        </w:tc>
        <w:tc>
          <w:tcPr>
            <w:tcW w:w="1232" w:type="dxa"/>
            <w:vAlign w:val="center"/>
          </w:tcPr>
          <w:p>
            <w:pPr>
              <w:spacing w:line="240" w:lineRule="auto"/>
              <w:ind w:firstLine="0" w:firstLineChars="0"/>
              <w:jc w:val="center"/>
              <w:rPr>
                <w:sz w:val="21"/>
                <w:szCs w:val="21"/>
              </w:rPr>
            </w:pPr>
            <w:r>
              <w:rPr>
                <w:sz w:val="21"/>
                <w:szCs w:val="21"/>
              </w:rPr>
              <w:t>7.70</w:t>
            </w:r>
          </w:p>
        </w:tc>
        <w:tc>
          <w:tcPr>
            <w:tcW w:w="1232" w:type="dxa"/>
            <w:vAlign w:val="center"/>
          </w:tcPr>
          <w:p>
            <w:pPr>
              <w:spacing w:line="240" w:lineRule="auto"/>
              <w:ind w:firstLine="0" w:firstLineChars="0"/>
              <w:jc w:val="center"/>
              <w:rPr>
                <w:sz w:val="21"/>
                <w:szCs w:val="21"/>
              </w:rPr>
            </w:pPr>
            <w:r>
              <w:rPr>
                <w:sz w:val="21"/>
                <w:szCs w:val="21"/>
              </w:rPr>
              <w:t>81.59</w:t>
            </w:r>
          </w:p>
        </w:tc>
        <w:tc>
          <w:tcPr>
            <w:tcW w:w="1724" w:type="dxa"/>
            <w:vAlign w:val="center"/>
          </w:tcPr>
          <w:p>
            <w:pPr>
              <w:spacing w:line="240" w:lineRule="auto"/>
              <w:ind w:firstLine="0" w:firstLineChars="0"/>
              <w:jc w:val="center"/>
              <w:rPr>
                <w:sz w:val="21"/>
                <w:szCs w:val="21"/>
              </w:rPr>
            </w:pPr>
            <w:r>
              <w:rPr>
                <w:sz w:val="21"/>
                <w:szCs w:val="21"/>
              </w:rPr>
              <w:t>7.23%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2" w:hRule="atLeast"/>
        </w:trPr>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S1</w:t>
            </w:r>
          </w:p>
        </w:tc>
        <w:tc>
          <w:tcPr>
            <w:tcW w:w="1597" w:type="dxa"/>
            <w:vAlign w:val="center"/>
          </w:tcPr>
          <w:p>
            <w:pPr>
              <w:spacing w:line="240" w:lineRule="auto"/>
              <w:ind w:firstLine="0" w:firstLineChars="0"/>
              <w:jc w:val="center"/>
              <w:rPr>
                <w:sz w:val="21"/>
                <w:szCs w:val="21"/>
              </w:rPr>
            </w:pPr>
            <w:r>
              <w:rPr>
                <w:sz w:val="21"/>
                <w:szCs w:val="21"/>
              </w:rPr>
              <w:t>城市道路用地</w:t>
            </w:r>
          </w:p>
        </w:tc>
        <w:tc>
          <w:tcPr>
            <w:tcW w:w="1232" w:type="dxa"/>
            <w:vAlign w:val="center"/>
          </w:tcPr>
          <w:p>
            <w:pPr>
              <w:spacing w:line="240" w:lineRule="auto"/>
              <w:ind w:firstLine="0" w:firstLineChars="0"/>
              <w:jc w:val="center"/>
              <w:rPr>
                <w:sz w:val="21"/>
                <w:szCs w:val="21"/>
              </w:rPr>
            </w:pPr>
            <w:r>
              <w:rPr>
                <w:sz w:val="21"/>
                <w:szCs w:val="21"/>
              </w:rPr>
              <w:t>52.86</w:t>
            </w:r>
          </w:p>
        </w:tc>
        <w:tc>
          <w:tcPr>
            <w:tcW w:w="1232" w:type="dxa"/>
            <w:vAlign w:val="center"/>
          </w:tcPr>
          <w:p>
            <w:pPr>
              <w:spacing w:line="240" w:lineRule="auto"/>
              <w:ind w:firstLine="0" w:firstLineChars="0"/>
              <w:jc w:val="center"/>
              <w:rPr>
                <w:sz w:val="21"/>
                <w:szCs w:val="21"/>
              </w:rPr>
            </w:pPr>
            <w:r>
              <w:rPr>
                <w:sz w:val="21"/>
                <w:szCs w:val="21"/>
              </w:rPr>
              <w:t>7.70</w:t>
            </w:r>
          </w:p>
        </w:tc>
        <w:tc>
          <w:tcPr>
            <w:tcW w:w="1232" w:type="dxa"/>
            <w:vAlign w:val="center"/>
          </w:tcPr>
          <w:p>
            <w:pPr>
              <w:spacing w:line="240" w:lineRule="auto"/>
              <w:ind w:firstLine="0" w:firstLineChars="0"/>
              <w:jc w:val="center"/>
              <w:rPr>
                <w:sz w:val="21"/>
                <w:szCs w:val="21"/>
              </w:rPr>
            </w:pPr>
            <w:r>
              <w:rPr>
                <w:sz w:val="21"/>
                <w:szCs w:val="21"/>
              </w:rPr>
              <w:t>60.56</w:t>
            </w:r>
          </w:p>
        </w:tc>
        <w:tc>
          <w:tcPr>
            <w:tcW w:w="1724" w:type="dxa"/>
            <w:vMerge w:val="restart"/>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9" w:hRule="atLeast"/>
        </w:trPr>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S4</w:t>
            </w:r>
          </w:p>
        </w:tc>
        <w:tc>
          <w:tcPr>
            <w:tcW w:w="1597" w:type="dxa"/>
            <w:vAlign w:val="center"/>
          </w:tcPr>
          <w:p>
            <w:pPr>
              <w:spacing w:line="240" w:lineRule="auto"/>
              <w:ind w:firstLine="0" w:firstLineChars="0"/>
              <w:jc w:val="center"/>
              <w:rPr>
                <w:sz w:val="21"/>
                <w:szCs w:val="21"/>
              </w:rPr>
            </w:pPr>
            <w:r>
              <w:rPr>
                <w:sz w:val="21"/>
                <w:szCs w:val="21"/>
              </w:rPr>
              <w:t>交通场站用地</w:t>
            </w:r>
          </w:p>
        </w:tc>
        <w:tc>
          <w:tcPr>
            <w:tcW w:w="1232" w:type="dxa"/>
            <w:vAlign w:val="center"/>
          </w:tcPr>
          <w:p>
            <w:pPr>
              <w:spacing w:line="240" w:lineRule="auto"/>
              <w:ind w:firstLine="0" w:firstLineChars="0"/>
              <w:jc w:val="center"/>
              <w:rPr>
                <w:sz w:val="21"/>
                <w:szCs w:val="21"/>
              </w:rPr>
            </w:pPr>
            <w:r>
              <w:rPr>
                <w:sz w:val="21"/>
                <w:szCs w:val="21"/>
              </w:rPr>
              <w:t>21.03</w:t>
            </w:r>
          </w:p>
        </w:tc>
        <w:tc>
          <w:tcPr>
            <w:tcW w:w="1232" w:type="dxa"/>
            <w:vAlign w:val="center"/>
          </w:tcPr>
          <w:p>
            <w:pPr>
              <w:spacing w:line="240" w:lineRule="auto"/>
              <w:ind w:firstLine="0" w:firstLineChars="0"/>
              <w:jc w:val="center"/>
              <w:rPr>
                <w:sz w:val="21"/>
                <w:szCs w:val="21"/>
              </w:rPr>
            </w:pPr>
            <w:r>
              <w:rPr>
                <w:sz w:val="21"/>
                <w:szCs w:val="21"/>
              </w:rPr>
              <w:t>0</w:t>
            </w:r>
          </w:p>
        </w:tc>
        <w:tc>
          <w:tcPr>
            <w:tcW w:w="1232" w:type="dxa"/>
            <w:vAlign w:val="center"/>
          </w:tcPr>
          <w:p>
            <w:pPr>
              <w:spacing w:line="240" w:lineRule="auto"/>
              <w:ind w:firstLine="0" w:firstLineChars="0"/>
              <w:jc w:val="center"/>
              <w:rPr>
                <w:sz w:val="21"/>
                <w:szCs w:val="21"/>
              </w:rPr>
            </w:pPr>
            <w:r>
              <w:rPr>
                <w:sz w:val="21"/>
                <w:szCs w:val="21"/>
              </w:rPr>
              <w:t>21.03</w:t>
            </w:r>
          </w:p>
        </w:tc>
        <w:tc>
          <w:tcPr>
            <w:tcW w:w="172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5" w:hRule="atLeast"/>
        </w:trPr>
        <w:tc>
          <w:tcPr>
            <w:tcW w:w="1006" w:type="dxa"/>
            <w:vMerge w:val="restart"/>
            <w:vAlign w:val="center"/>
          </w:tcPr>
          <w:p>
            <w:pPr>
              <w:spacing w:line="240" w:lineRule="auto"/>
              <w:ind w:firstLine="0" w:firstLineChars="0"/>
              <w:jc w:val="center"/>
              <w:rPr>
                <w:sz w:val="21"/>
                <w:szCs w:val="21"/>
              </w:rPr>
            </w:pPr>
            <w:r>
              <w:rPr>
                <w:sz w:val="21"/>
                <w:szCs w:val="21"/>
              </w:rPr>
              <w:t>U</w:t>
            </w:r>
          </w:p>
        </w:tc>
        <w:tc>
          <w:tcPr>
            <w:tcW w:w="2861" w:type="dxa"/>
            <w:gridSpan w:val="2"/>
            <w:vAlign w:val="center"/>
          </w:tcPr>
          <w:p>
            <w:pPr>
              <w:spacing w:line="240" w:lineRule="auto"/>
              <w:ind w:firstLine="0" w:firstLineChars="0"/>
              <w:jc w:val="center"/>
              <w:rPr>
                <w:sz w:val="21"/>
                <w:szCs w:val="21"/>
              </w:rPr>
            </w:pPr>
            <w:r>
              <w:rPr>
                <w:sz w:val="21"/>
                <w:szCs w:val="21"/>
              </w:rPr>
              <w:t>公用设施用地</w:t>
            </w:r>
          </w:p>
        </w:tc>
        <w:tc>
          <w:tcPr>
            <w:tcW w:w="1232" w:type="dxa"/>
            <w:vAlign w:val="center"/>
          </w:tcPr>
          <w:p>
            <w:pPr>
              <w:spacing w:line="240" w:lineRule="auto"/>
              <w:ind w:firstLine="0" w:firstLineChars="0"/>
              <w:jc w:val="center"/>
              <w:rPr>
                <w:sz w:val="21"/>
                <w:szCs w:val="21"/>
              </w:rPr>
            </w:pPr>
            <w:r>
              <w:rPr>
                <w:sz w:val="21"/>
                <w:szCs w:val="21"/>
              </w:rPr>
              <w:t>31.46</w:t>
            </w:r>
          </w:p>
        </w:tc>
        <w:tc>
          <w:tcPr>
            <w:tcW w:w="1232" w:type="dxa"/>
            <w:vAlign w:val="center"/>
          </w:tcPr>
          <w:p>
            <w:pPr>
              <w:spacing w:line="240" w:lineRule="auto"/>
              <w:ind w:firstLine="0" w:firstLineChars="0"/>
              <w:jc w:val="center"/>
              <w:rPr>
                <w:sz w:val="21"/>
                <w:szCs w:val="21"/>
              </w:rPr>
            </w:pPr>
            <w:r>
              <w:rPr>
                <w:sz w:val="21"/>
                <w:szCs w:val="21"/>
              </w:rPr>
              <w:t>2.88</w:t>
            </w:r>
          </w:p>
        </w:tc>
        <w:tc>
          <w:tcPr>
            <w:tcW w:w="1232" w:type="dxa"/>
            <w:vAlign w:val="center"/>
          </w:tcPr>
          <w:p>
            <w:pPr>
              <w:spacing w:line="240" w:lineRule="auto"/>
              <w:ind w:firstLine="0" w:firstLineChars="0"/>
              <w:jc w:val="center"/>
              <w:rPr>
                <w:sz w:val="21"/>
                <w:szCs w:val="21"/>
              </w:rPr>
            </w:pPr>
            <w:r>
              <w:rPr>
                <w:sz w:val="21"/>
                <w:szCs w:val="21"/>
              </w:rPr>
              <w:t>34.34</w:t>
            </w:r>
          </w:p>
        </w:tc>
        <w:tc>
          <w:tcPr>
            <w:tcW w:w="1724" w:type="dxa"/>
            <w:vAlign w:val="center"/>
          </w:tcPr>
          <w:p>
            <w:pPr>
              <w:spacing w:line="240" w:lineRule="auto"/>
              <w:ind w:firstLine="0" w:firstLineChars="0"/>
              <w:jc w:val="center"/>
              <w:rPr>
                <w:sz w:val="21"/>
                <w:szCs w:val="21"/>
              </w:rPr>
            </w:pPr>
            <w:r>
              <w:rPr>
                <w:sz w:val="21"/>
                <w:szCs w:val="21"/>
              </w:rPr>
              <w:t>3.04%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7" w:hRule="atLeast"/>
        </w:trPr>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U1</w:t>
            </w:r>
          </w:p>
        </w:tc>
        <w:tc>
          <w:tcPr>
            <w:tcW w:w="1597" w:type="dxa"/>
            <w:vAlign w:val="center"/>
          </w:tcPr>
          <w:p>
            <w:pPr>
              <w:spacing w:line="240" w:lineRule="auto"/>
              <w:ind w:firstLine="0" w:firstLineChars="0"/>
              <w:jc w:val="center"/>
              <w:rPr>
                <w:sz w:val="21"/>
                <w:szCs w:val="21"/>
              </w:rPr>
            </w:pPr>
            <w:r>
              <w:rPr>
                <w:sz w:val="21"/>
                <w:szCs w:val="21"/>
              </w:rPr>
              <w:t>供应设施用地</w:t>
            </w:r>
          </w:p>
        </w:tc>
        <w:tc>
          <w:tcPr>
            <w:tcW w:w="1232" w:type="dxa"/>
            <w:vAlign w:val="center"/>
          </w:tcPr>
          <w:p>
            <w:pPr>
              <w:spacing w:line="240" w:lineRule="auto"/>
              <w:ind w:firstLine="0" w:firstLineChars="0"/>
              <w:jc w:val="center"/>
              <w:rPr>
                <w:sz w:val="21"/>
                <w:szCs w:val="21"/>
              </w:rPr>
            </w:pPr>
            <w:r>
              <w:rPr>
                <w:sz w:val="21"/>
                <w:szCs w:val="21"/>
              </w:rPr>
              <w:t>13.56</w:t>
            </w:r>
          </w:p>
        </w:tc>
        <w:tc>
          <w:tcPr>
            <w:tcW w:w="1232" w:type="dxa"/>
            <w:vAlign w:val="center"/>
          </w:tcPr>
          <w:p>
            <w:pPr>
              <w:spacing w:line="240" w:lineRule="auto"/>
              <w:ind w:firstLine="0" w:firstLineChars="0"/>
              <w:jc w:val="center"/>
              <w:rPr>
                <w:sz w:val="21"/>
                <w:szCs w:val="21"/>
              </w:rPr>
            </w:pPr>
            <w:r>
              <w:rPr>
                <w:sz w:val="21"/>
                <w:szCs w:val="21"/>
              </w:rPr>
              <w:t>1.87</w:t>
            </w:r>
          </w:p>
        </w:tc>
        <w:tc>
          <w:tcPr>
            <w:tcW w:w="1232" w:type="dxa"/>
            <w:vAlign w:val="center"/>
          </w:tcPr>
          <w:p>
            <w:pPr>
              <w:spacing w:line="240" w:lineRule="auto"/>
              <w:ind w:firstLine="0" w:firstLineChars="0"/>
              <w:jc w:val="center"/>
              <w:rPr>
                <w:sz w:val="21"/>
                <w:szCs w:val="21"/>
              </w:rPr>
            </w:pPr>
            <w:r>
              <w:rPr>
                <w:sz w:val="21"/>
                <w:szCs w:val="21"/>
              </w:rPr>
              <w:t>15.43</w:t>
            </w:r>
          </w:p>
        </w:tc>
        <w:tc>
          <w:tcPr>
            <w:tcW w:w="1724" w:type="dxa"/>
            <w:vMerge w:val="restart"/>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U2</w:t>
            </w:r>
          </w:p>
        </w:tc>
        <w:tc>
          <w:tcPr>
            <w:tcW w:w="1597" w:type="dxa"/>
            <w:vAlign w:val="center"/>
          </w:tcPr>
          <w:p>
            <w:pPr>
              <w:spacing w:line="240" w:lineRule="auto"/>
              <w:ind w:firstLine="0" w:firstLineChars="0"/>
              <w:jc w:val="center"/>
              <w:rPr>
                <w:sz w:val="21"/>
                <w:szCs w:val="21"/>
              </w:rPr>
            </w:pPr>
            <w:r>
              <w:rPr>
                <w:sz w:val="21"/>
                <w:szCs w:val="21"/>
              </w:rPr>
              <w:t>环境设施用地</w:t>
            </w:r>
          </w:p>
        </w:tc>
        <w:tc>
          <w:tcPr>
            <w:tcW w:w="1232" w:type="dxa"/>
            <w:vAlign w:val="center"/>
          </w:tcPr>
          <w:p>
            <w:pPr>
              <w:spacing w:line="240" w:lineRule="auto"/>
              <w:ind w:firstLine="0" w:firstLineChars="0"/>
              <w:jc w:val="center"/>
              <w:rPr>
                <w:sz w:val="21"/>
                <w:szCs w:val="21"/>
              </w:rPr>
            </w:pPr>
            <w:r>
              <w:rPr>
                <w:sz w:val="21"/>
                <w:szCs w:val="21"/>
              </w:rPr>
              <w:t>17.90</w:t>
            </w:r>
          </w:p>
        </w:tc>
        <w:tc>
          <w:tcPr>
            <w:tcW w:w="1232" w:type="dxa"/>
            <w:vAlign w:val="center"/>
          </w:tcPr>
          <w:p>
            <w:pPr>
              <w:spacing w:line="240" w:lineRule="auto"/>
              <w:ind w:firstLine="0" w:firstLineChars="0"/>
              <w:jc w:val="center"/>
              <w:rPr>
                <w:sz w:val="21"/>
                <w:szCs w:val="21"/>
              </w:rPr>
            </w:pPr>
            <w:r>
              <w:rPr>
                <w:sz w:val="21"/>
                <w:szCs w:val="21"/>
              </w:rPr>
              <w:t>1.01</w:t>
            </w:r>
          </w:p>
        </w:tc>
        <w:tc>
          <w:tcPr>
            <w:tcW w:w="1232" w:type="dxa"/>
            <w:vAlign w:val="center"/>
          </w:tcPr>
          <w:p>
            <w:pPr>
              <w:spacing w:line="240" w:lineRule="auto"/>
              <w:ind w:firstLine="0" w:firstLineChars="0"/>
              <w:jc w:val="center"/>
              <w:rPr>
                <w:sz w:val="21"/>
                <w:szCs w:val="21"/>
              </w:rPr>
            </w:pPr>
            <w:r>
              <w:rPr>
                <w:sz w:val="21"/>
                <w:szCs w:val="21"/>
              </w:rPr>
              <w:t>18.91</w:t>
            </w:r>
          </w:p>
        </w:tc>
        <w:tc>
          <w:tcPr>
            <w:tcW w:w="172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0" w:hRule="atLeast"/>
        </w:trPr>
        <w:tc>
          <w:tcPr>
            <w:tcW w:w="1006" w:type="dxa"/>
            <w:vMerge w:val="restart"/>
            <w:vAlign w:val="center"/>
          </w:tcPr>
          <w:p>
            <w:pPr>
              <w:spacing w:line="240" w:lineRule="auto"/>
              <w:ind w:firstLine="0" w:firstLineChars="0"/>
              <w:jc w:val="center"/>
              <w:rPr>
                <w:sz w:val="21"/>
                <w:szCs w:val="21"/>
              </w:rPr>
            </w:pPr>
            <w:r>
              <w:rPr>
                <w:sz w:val="21"/>
                <w:szCs w:val="21"/>
              </w:rPr>
              <w:t>G</w:t>
            </w:r>
          </w:p>
        </w:tc>
        <w:tc>
          <w:tcPr>
            <w:tcW w:w="2861" w:type="dxa"/>
            <w:gridSpan w:val="2"/>
            <w:vAlign w:val="center"/>
          </w:tcPr>
          <w:p>
            <w:pPr>
              <w:spacing w:line="240" w:lineRule="auto"/>
              <w:ind w:firstLine="0" w:firstLineChars="0"/>
              <w:jc w:val="center"/>
              <w:rPr>
                <w:sz w:val="21"/>
                <w:szCs w:val="21"/>
              </w:rPr>
            </w:pPr>
            <w:r>
              <w:rPr>
                <w:sz w:val="21"/>
                <w:szCs w:val="21"/>
              </w:rPr>
              <w:t>绿地与广场用地</w:t>
            </w:r>
          </w:p>
        </w:tc>
        <w:tc>
          <w:tcPr>
            <w:tcW w:w="1232" w:type="dxa"/>
            <w:vAlign w:val="center"/>
          </w:tcPr>
          <w:p>
            <w:pPr>
              <w:spacing w:line="240" w:lineRule="auto"/>
              <w:ind w:firstLine="0" w:firstLineChars="0"/>
              <w:jc w:val="center"/>
              <w:rPr>
                <w:sz w:val="21"/>
                <w:szCs w:val="21"/>
              </w:rPr>
            </w:pPr>
            <w:r>
              <w:rPr>
                <w:sz w:val="21"/>
                <w:szCs w:val="21"/>
              </w:rPr>
              <w:t>41.57</w:t>
            </w:r>
          </w:p>
        </w:tc>
        <w:tc>
          <w:tcPr>
            <w:tcW w:w="1232" w:type="dxa"/>
            <w:vAlign w:val="center"/>
          </w:tcPr>
          <w:p>
            <w:pPr>
              <w:spacing w:line="240" w:lineRule="auto"/>
              <w:ind w:firstLine="0" w:firstLineChars="0"/>
              <w:jc w:val="center"/>
              <w:rPr>
                <w:sz w:val="21"/>
                <w:szCs w:val="21"/>
              </w:rPr>
            </w:pPr>
            <w:r>
              <w:rPr>
                <w:sz w:val="21"/>
                <w:szCs w:val="21"/>
              </w:rPr>
              <w:t>13.88</w:t>
            </w:r>
          </w:p>
        </w:tc>
        <w:tc>
          <w:tcPr>
            <w:tcW w:w="1232" w:type="dxa"/>
            <w:vAlign w:val="center"/>
          </w:tcPr>
          <w:p>
            <w:pPr>
              <w:spacing w:line="240" w:lineRule="auto"/>
              <w:ind w:firstLine="0" w:firstLineChars="0"/>
              <w:jc w:val="center"/>
              <w:rPr>
                <w:sz w:val="21"/>
                <w:szCs w:val="21"/>
              </w:rPr>
            </w:pPr>
            <w:r>
              <w:rPr>
                <w:sz w:val="21"/>
                <w:szCs w:val="21"/>
              </w:rPr>
              <w:t>55.45</w:t>
            </w:r>
          </w:p>
        </w:tc>
        <w:tc>
          <w:tcPr>
            <w:tcW w:w="1724" w:type="dxa"/>
            <w:vAlign w:val="center"/>
          </w:tcPr>
          <w:p>
            <w:pPr>
              <w:spacing w:line="240" w:lineRule="auto"/>
              <w:ind w:firstLine="0" w:firstLineChars="0"/>
              <w:jc w:val="center"/>
              <w:rPr>
                <w:sz w:val="21"/>
                <w:szCs w:val="21"/>
              </w:rPr>
            </w:pPr>
            <w:r>
              <w:rPr>
                <w:sz w:val="21"/>
                <w:szCs w:val="21"/>
              </w:rPr>
              <w:t>4.91%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2" w:hRule="atLeast"/>
        </w:trPr>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G1</w:t>
            </w:r>
          </w:p>
        </w:tc>
        <w:tc>
          <w:tcPr>
            <w:tcW w:w="1597" w:type="dxa"/>
            <w:vAlign w:val="center"/>
          </w:tcPr>
          <w:p>
            <w:pPr>
              <w:spacing w:line="240" w:lineRule="auto"/>
              <w:ind w:firstLine="0" w:firstLineChars="0"/>
              <w:jc w:val="center"/>
              <w:rPr>
                <w:sz w:val="21"/>
                <w:szCs w:val="21"/>
              </w:rPr>
            </w:pPr>
            <w:r>
              <w:rPr>
                <w:sz w:val="21"/>
                <w:szCs w:val="21"/>
              </w:rPr>
              <w:t>公园绿地</w:t>
            </w:r>
          </w:p>
        </w:tc>
        <w:tc>
          <w:tcPr>
            <w:tcW w:w="1232" w:type="dxa"/>
            <w:vAlign w:val="center"/>
          </w:tcPr>
          <w:p>
            <w:pPr>
              <w:spacing w:line="240" w:lineRule="auto"/>
              <w:ind w:firstLine="0" w:firstLineChars="0"/>
              <w:jc w:val="center"/>
              <w:rPr>
                <w:sz w:val="21"/>
                <w:szCs w:val="21"/>
              </w:rPr>
            </w:pPr>
            <w:r>
              <w:rPr>
                <w:sz w:val="21"/>
                <w:szCs w:val="21"/>
              </w:rPr>
              <w:t>25.05</w:t>
            </w:r>
          </w:p>
        </w:tc>
        <w:tc>
          <w:tcPr>
            <w:tcW w:w="1232" w:type="dxa"/>
            <w:vAlign w:val="center"/>
          </w:tcPr>
          <w:p>
            <w:pPr>
              <w:spacing w:line="240" w:lineRule="auto"/>
              <w:ind w:firstLine="0" w:firstLineChars="0"/>
              <w:jc w:val="center"/>
              <w:rPr>
                <w:sz w:val="21"/>
                <w:szCs w:val="21"/>
              </w:rPr>
            </w:pPr>
            <w:r>
              <w:rPr>
                <w:sz w:val="21"/>
                <w:szCs w:val="21"/>
              </w:rPr>
              <w:t>0</w:t>
            </w:r>
          </w:p>
        </w:tc>
        <w:tc>
          <w:tcPr>
            <w:tcW w:w="1232" w:type="dxa"/>
            <w:vAlign w:val="center"/>
          </w:tcPr>
          <w:p>
            <w:pPr>
              <w:spacing w:line="240" w:lineRule="auto"/>
              <w:ind w:firstLine="0" w:firstLineChars="0"/>
              <w:jc w:val="center"/>
              <w:rPr>
                <w:sz w:val="21"/>
                <w:szCs w:val="21"/>
              </w:rPr>
            </w:pPr>
            <w:r>
              <w:rPr>
                <w:sz w:val="21"/>
                <w:szCs w:val="21"/>
              </w:rPr>
              <w:t>25.05</w:t>
            </w:r>
          </w:p>
        </w:tc>
        <w:tc>
          <w:tcPr>
            <w:tcW w:w="1724" w:type="dxa"/>
            <w:vMerge w:val="restart"/>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06" w:type="dxa"/>
            <w:vMerge w:val="continue"/>
            <w:vAlign w:val="center"/>
          </w:tcPr>
          <w:p>
            <w:pPr>
              <w:spacing w:line="240" w:lineRule="auto"/>
              <w:ind w:firstLine="0" w:firstLineChars="0"/>
              <w:jc w:val="center"/>
              <w:rPr>
                <w:sz w:val="21"/>
                <w:szCs w:val="21"/>
              </w:rPr>
            </w:pPr>
          </w:p>
        </w:tc>
        <w:tc>
          <w:tcPr>
            <w:tcW w:w="1264" w:type="dxa"/>
            <w:vAlign w:val="center"/>
          </w:tcPr>
          <w:p>
            <w:pPr>
              <w:spacing w:line="240" w:lineRule="auto"/>
              <w:ind w:firstLine="0" w:firstLineChars="0"/>
              <w:jc w:val="center"/>
              <w:rPr>
                <w:sz w:val="21"/>
                <w:szCs w:val="21"/>
              </w:rPr>
            </w:pPr>
            <w:r>
              <w:rPr>
                <w:sz w:val="21"/>
                <w:szCs w:val="21"/>
              </w:rPr>
              <w:t>G2</w:t>
            </w:r>
          </w:p>
        </w:tc>
        <w:tc>
          <w:tcPr>
            <w:tcW w:w="1597" w:type="dxa"/>
            <w:vAlign w:val="center"/>
          </w:tcPr>
          <w:p>
            <w:pPr>
              <w:spacing w:line="240" w:lineRule="auto"/>
              <w:ind w:firstLine="0" w:firstLineChars="0"/>
              <w:jc w:val="center"/>
              <w:rPr>
                <w:sz w:val="21"/>
                <w:szCs w:val="21"/>
              </w:rPr>
            </w:pPr>
            <w:r>
              <w:rPr>
                <w:sz w:val="21"/>
                <w:szCs w:val="21"/>
              </w:rPr>
              <w:t>防护绿地</w:t>
            </w:r>
          </w:p>
        </w:tc>
        <w:tc>
          <w:tcPr>
            <w:tcW w:w="1232" w:type="dxa"/>
            <w:vAlign w:val="center"/>
          </w:tcPr>
          <w:p>
            <w:pPr>
              <w:spacing w:line="240" w:lineRule="auto"/>
              <w:ind w:firstLine="0" w:firstLineChars="0"/>
              <w:jc w:val="center"/>
              <w:rPr>
                <w:sz w:val="21"/>
                <w:szCs w:val="21"/>
              </w:rPr>
            </w:pPr>
            <w:r>
              <w:rPr>
                <w:sz w:val="21"/>
                <w:szCs w:val="21"/>
              </w:rPr>
              <w:t>16.52</w:t>
            </w:r>
          </w:p>
        </w:tc>
        <w:tc>
          <w:tcPr>
            <w:tcW w:w="1232" w:type="dxa"/>
            <w:vAlign w:val="center"/>
          </w:tcPr>
          <w:p>
            <w:pPr>
              <w:spacing w:line="240" w:lineRule="auto"/>
              <w:ind w:firstLine="0" w:firstLineChars="0"/>
              <w:jc w:val="center"/>
              <w:rPr>
                <w:sz w:val="21"/>
                <w:szCs w:val="21"/>
              </w:rPr>
            </w:pPr>
            <w:r>
              <w:rPr>
                <w:sz w:val="21"/>
                <w:szCs w:val="21"/>
              </w:rPr>
              <w:t>13.88</w:t>
            </w:r>
          </w:p>
        </w:tc>
        <w:tc>
          <w:tcPr>
            <w:tcW w:w="1232" w:type="dxa"/>
            <w:vAlign w:val="center"/>
          </w:tcPr>
          <w:p>
            <w:pPr>
              <w:spacing w:line="240" w:lineRule="auto"/>
              <w:ind w:firstLine="0" w:firstLineChars="0"/>
              <w:jc w:val="center"/>
              <w:rPr>
                <w:sz w:val="21"/>
                <w:szCs w:val="21"/>
              </w:rPr>
            </w:pPr>
            <w:r>
              <w:rPr>
                <w:sz w:val="21"/>
                <w:szCs w:val="21"/>
              </w:rPr>
              <w:t>30.40</w:t>
            </w:r>
          </w:p>
        </w:tc>
        <w:tc>
          <w:tcPr>
            <w:tcW w:w="1724"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867" w:type="dxa"/>
            <w:gridSpan w:val="3"/>
            <w:vAlign w:val="center"/>
          </w:tcPr>
          <w:p>
            <w:pPr>
              <w:spacing w:line="240" w:lineRule="auto"/>
              <w:ind w:firstLine="0" w:firstLineChars="0"/>
              <w:jc w:val="center"/>
              <w:rPr>
                <w:b/>
                <w:bCs/>
                <w:sz w:val="21"/>
                <w:szCs w:val="21"/>
              </w:rPr>
            </w:pPr>
            <w:r>
              <w:rPr>
                <w:b/>
                <w:bCs/>
                <w:sz w:val="21"/>
                <w:szCs w:val="21"/>
              </w:rPr>
              <w:t>城市建设用地</w:t>
            </w:r>
          </w:p>
        </w:tc>
        <w:tc>
          <w:tcPr>
            <w:tcW w:w="1232" w:type="dxa"/>
            <w:vAlign w:val="center"/>
          </w:tcPr>
          <w:p>
            <w:pPr>
              <w:spacing w:line="240" w:lineRule="auto"/>
              <w:ind w:firstLine="0" w:firstLineChars="0"/>
              <w:jc w:val="center"/>
              <w:rPr>
                <w:b/>
                <w:bCs/>
                <w:sz w:val="21"/>
                <w:szCs w:val="21"/>
              </w:rPr>
            </w:pPr>
            <w:r>
              <w:rPr>
                <w:b/>
                <w:bCs/>
                <w:sz w:val="21"/>
                <w:szCs w:val="21"/>
              </w:rPr>
              <w:t>745.56</w:t>
            </w:r>
          </w:p>
        </w:tc>
        <w:tc>
          <w:tcPr>
            <w:tcW w:w="1232" w:type="dxa"/>
            <w:vAlign w:val="center"/>
          </w:tcPr>
          <w:p>
            <w:pPr>
              <w:spacing w:line="240" w:lineRule="auto"/>
              <w:ind w:firstLine="0" w:firstLineChars="0"/>
              <w:jc w:val="center"/>
              <w:rPr>
                <w:b/>
                <w:bCs/>
                <w:sz w:val="21"/>
                <w:szCs w:val="21"/>
              </w:rPr>
            </w:pPr>
            <w:r>
              <w:rPr>
                <w:b/>
                <w:bCs/>
                <w:sz w:val="21"/>
                <w:szCs w:val="21"/>
              </w:rPr>
              <w:t>383.62</w:t>
            </w:r>
          </w:p>
        </w:tc>
        <w:tc>
          <w:tcPr>
            <w:tcW w:w="1232" w:type="dxa"/>
            <w:vAlign w:val="center"/>
          </w:tcPr>
          <w:p>
            <w:pPr>
              <w:spacing w:line="240" w:lineRule="auto"/>
              <w:ind w:firstLine="0" w:firstLineChars="0"/>
              <w:jc w:val="center"/>
              <w:rPr>
                <w:b/>
                <w:bCs/>
                <w:sz w:val="21"/>
                <w:szCs w:val="21"/>
              </w:rPr>
            </w:pPr>
            <w:r>
              <w:rPr>
                <w:b/>
                <w:bCs/>
                <w:sz w:val="21"/>
                <w:szCs w:val="21"/>
              </w:rPr>
              <w:t>1129.18</w:t>
            </w:r>
          </w:p>
        </w:tc>
        <w:tc>
          <w:tcPr>
            <w:tcW w:w="1724" w:type="dxa"/>
            <w:vAlign w:val="center"/>
          </w:tcPr>
          <w:p>
            <w:pPr>
              <w:spacing w:line="240" w:lineRule="auto"/>
              <w:ind w:firstLine="0" w:firstLineChars="0"/>
              <w:jc w:val="center"/>
              <w:rPr>
                <w:b/>
                <w:bCs/>
                <w:sz w:val="21"/>
                <w:szCs w:val="21"/>
              </w:rPr>
            </w:pPr>
            <w:r>
              <w:rPr>
                <w:b/>
                <w:bCs/>
                <w:sz w:val="21"/>
                <w:szCs w:val="21"/>
              </w:rPr>
              <w:t>100%</w:t>
            </w:r>
          </w:p>
        </w:tc>
      </w:tr>
    </w:tbl>
    <w:p>
      <w:pPr>
        <w:pStyle w:val="7"/>
        <w:spacing w:beforeLines="50"/>
      </w:pPr>
      <w:r>
        <w:t>2.1.5.1工业用地</w:t>
      </w:r>
    </w:p>
    <w:p>
      <w:pPr>
        <w:autoSpaceDE w:val="0"/>
        <w:autoSpaceDN w:val="0"/>
        <w:ind w:firstLine="480"/>
      </w:pPr>
      <w:r>
        <w:t>园区内规划主要以工业用地为主，工业用地总面积为957.80hm</w:t>
      </w:r>
      <w:r>
        <w:rPr>
          <w:vertAlign w:val="superscript"/>
        </w:rPr>
        <w:t>2</w:t>
      </w:r>
      <w:r>
        <w:t>，占总规划面积的84.82%。工业用地占地面积中近期规划面积为598.64hm</w:t>
      </w:r>
      <w:r>
        <w:rPr>
          <w:vertAlign w:val="superscript"/>
        </w:rPr>
        <w:t>2</w:t>
      </w:r>
      <w:r>
        <w:t>（已建成及在建面积为353.05hm</w:t>
      </w:r>
      <w:r>
        <w:rPr>
          <w:vertAlign w:val="superscript"/>
        </w:rPr>
        <w:t>2</w:t>
      </w:r>
      <w:r>
        <w:t>，未建面积为245.59hm</w:t>
      </w:r>
      <w:r>
        <w:rPr>
          <w:vertAlign w:val="superscript"/>
        </w:rPr>
        <w:t>2</w:t>
      </w:r>
      <w:r>
        <w:t>），远期规划面积为359.16hm</w:t>
      </w:r>
      <w:r>
        <w:rPr>
          <w:vertAlign w:val="superscript"/>
        </w:rPr>
        <w:t>2</w:t>
      </w:r>
      <w:r>
        <w:t>均为原始地貌状态。已扰动地表面积占工业用地总面积的36.86%。根据现场调查，园区内现有厂房等建构筑物主体结构多为钢排架结构或门式钢架轻钢结构或钢筋砼框架结构，基础型式均为钢筋混凝土独立基础和钢筋砼基础梁。各建构筑物钢筋混凝土独立基础均采用杯形基础，基础深1.6～2.5m，基础底部半径1.6～2m；基础梁翼板厚度250～300mm。</w:t>
      </w:r>
    </w:p>
    <w:p>
      <w:pPr>
        <w:ind w:firstLine="480"/>
      </w:pPr>
      <w:r>
        <w:t>海绵城市要求：由于现阶段规划未明确海绵城市指标，本报告对后续建设项目提出海绵城市建设要求，根据《生产建设项目水土保持技术规范》（GB50433-2018）相关规定，后续建设项目规划时，应结合各自厂区的布置，采用下凹式绿地和透水材料铺装地面等措施，增加雨水入渗，设置雨水蓄水池，综合利用地表径流。</w:t>
      </w:r>
    </w:p>
    <w:p>
      <w:pPr>
        <w:widowControl/>
        <w:ind w:firstLine="480"/>
        <w:jc w:val="left"/>
      </w:pPr>
      <w:r>
        <w:t>化工园区防渗要求：园区正申报化工园区，目前园区入驻的化工企业有乐山协鑫新能源科技有限公司、四川永祥新能源有限公司，针对化工企业，对生产车间地面需要做防腐、防渗处理，尤其是化工生产的车间，主要作用是为了防止物料外泄，避免泄漏的化学品渗入地面，进入地表水体。根据调查已入驻化工企业，化工生产厂区地面防渗系统主要包括生产车间、卸车区域、车辆运输区域和循环水池。生产车间的防渗基础由下至上依次为素土夯实层、混凝土垫层、水泥砂浆找平层、聚氨酯防水层、水泥砂浆找平层、混凝土垫层、水泥砂浆层、聚氨酯底料层、聚氨酯面涂层。卸车区域防渗基础由下至上依次为素土夯实层、级配碎石层、混凝土层、水泥砂浆抹平层、聚氨酯防水层、细石混凝土找坡层、环氧树脂打底层、环氧砂浆层、环氧树脂涂料面层。车辆运输区域防渗基础由下至上依次为素土夯实层、配碎石层、混凝土层、水泥砂浆层、细石混凝土层，金属骨料耐磨面层。循环水池的池底基础从下至上依次为素土夯实层、混凝土垫层、水泥砂浆找平层、聚氨酯防水层、沥青防水卷材层、隔离层、细石混凝土层、防水混凝土底板层、防腐蚀面层。</w:t>
      </w:r>
      <w:r>
        <w:rPr>
          <w:kern w:val="0"/>
          <w:szCs w:val="24"/>
        </w:rPr>
        <w:t>后续入驻的化工企业必须根据自身施工工艺做好厂区内防渗处理，避免污染环境。</w:t>
      </w:r>
    </w:p>
    <w:p>
      <w:pPr>
        <w:pStyle w:val="7"/>
      </w:pPr>
      <w:r>
        <w:t>2.1.5.2道路与交通设施用地</w:t>
      </w:r>
    </w:p>
    <w:p>
      <w:pPr>
        <w:pStyle w:val="8"/>
        <w:rPr>
          <w:rFonts w:eastAsia="仿宋_GB2312"/>
        </w:rPr>
      </w:pPr>
      <w:r>
        <w:rPr>
          <w:rFonts w:eastAsia="仿宋_GB2312"/>
        </w:rPr>
        <w:t>2.1.5.2.1道路系统规划</w:t>
      </w:r>
    </w:p>
    <w:p>
      <w:pPr>
        <w:widowControl/>
        <w:ind w:firstLine="480"/>
      </w:pPr>
      <w:r>
        <w:t>1、道路系统平面布置</w:t>
      </w:r>
    </w:p>
    <w:p>
      <w:pPr>
        <w:widowControl/>
        <w:ind w:firstLine="480"/>
        <w:rPr>
          <w:kern w:val="0"/>
          <w:szCs w:val="24"/>
        </w:rPr>
      </w:pPr>
      <w:r>
        <w:t>园区内的道路主要分为主干道、次干道、支路三个等级。路网结构体系基本以方格路网为主，局部辅以自由路网。</w:t>
      </w:r>
      <w:r>
        <w:rPr>
          <w:kern w:val="0"/>
          <w:szCs w:val="24"/>
        </w:rPr>
        <w:t>规划范围内形成“二横二纵”的道路主骨架路网系统，“二横”为北一路、北二路，“二纵”为龙翔路、凤翔路。规划范围内部以“二横二纵”的主干路网系统为骨架辅以次干路、支路，形成网状道路结构，园区内部规划道路总长度19.29km（19285m），园区道路工程总占地面积为60.56hm</w:t>
      </w:r>
      <w:r>
        <w:rPr>
          <w:kern w:val="0"/>
          <w:szCs w:val="24"/>
          <w:vertAlign w:val="superscript"/>
        </w:rPr>
        <w:t>2</w:t>
      </w:r>
      <w:r>
        <w:rPr>
          <w:kern w:val="0"/>
          <w:szCs w:val="24"/>
        </w:rPr>
        <w:t>，其中已建道路占地6.29hm</w:t>
      </w:r>
      <w:r>
        <w:rPr>
          <w:kern w:val="0"/>
          <w:szCs w:val="24"/>
          <w:vertAlign w:val="superscript"/>
        </w:rPr>
        <w:t>2</w:t>
      </w:r>
      <w:r>
        <w:rPr>
          <w:kern w:val="0"/>
          <w:szCs w:val="24"/>
        </w:rPr>
        <w:t>，在建道路占地28.06hm</w:t>
      </w:r>
      <w:r>
        <w:rPr>
          <w:kern w:val="0"/>
          <w:szCs w:val="24"/>
          <w:vertAlign w:val="superscript"/>
        </w:rPr>
        <w:t>2</w:t>
      </w:r>
      <w:r>
        <w:rPr>
          <w:kern w:val="0"/>
          <w:szCs w:val="24"/>
        </w:rPr>
        <w:t>，未建道路占地26.21hm</w:t>
      </w:r>
      <w:r>
        <w:rPr>
          <w:kern w:val="0"/>
          <w:szCs w:val="24"/>
          <w:vertAlign w:val="superscript"/>
        </w:rPr>
        <w:t>2</w:t>
      </w:r>
      <w:r>
        <w:rPr>
          <w:kern w:val="0"/>
          <w:szCs w:val="24"/>
        </w:rPr>
        <w:t>。</w:t>
      </w:r>
    </w:p>
    <w:p>
      <w:pPr>
        <w:widowControl/>
        <w:ind w:firstLine="480"/>
        <w:rPr>
          <w:kern w:val="0"/>
          <w:szCs w:val="24"/>
        </w:rPr>
      </w:pPr>
      <w:r>
        <w:rPr>
          <w:kern w:val="0"/>
          <w:szCs w:val="24"/>
        </w:rPr>
        <w:t>根据现场调查，园区已扰动道路长度11486m，其中已建成道路长度2202m，占园区道路总长的11.42%，占已扰动道路长度的19.17%，在建道路9284m，园区道路总长的48.14%。龙翔路2060m为拓宽工程，可供园区通行使用，可作为园区内部交通使用的道路长度为4262m（占园区道路总长的22.10%）。道路工程扰动地表面积为34.35hm</w:t>
      </w:r>
      <w:r>
        <w:rPr>
          <w:kern w:val="0"/>
          <w:szCs w:val="24"/>
          <w:vertAlign w:val="superscript"/>
        </w:rPr>
        <w:t>2</w:t>
      </w:r>
      <w:r>
        <w:rPr>
          <w:kern w:val="0"/>
          <w:szCs w:val="24"/>
        </w:rPr>
        <w:t>。园区内部各道路基本情况如下：</w:t>
      </w:r>
    </w:p>
    <w:p>
      <w:pPr>
        <w:ind w:firstLine="480"/>
      </w:pPr>
      <w:r>
        <w:t>（1）龙翔路（园区段）长度为2060m，为满足园区通行需求，园区管委会在原有道路基础上正在进行拓宽工程，已全部扰动。原有道路路基宽度由原有24.50m扩建至70m，原路基宽度为24.50m（路幅组成：24.50m=0.5m土路肩硬化+4.25m硬路肩+15m车行道+4.25m硬路肩+0.5m土路肩硬化），路面为沥青</w:t>
      </w:r>
      <w:r>
        <w:rPr>
          <w:szCs w:val="22"/>
        </w:rPr>
        <w:t>砼</w:t>
      </w:r>
      <w:r>
        <w:t>路面；拓宽后道路宽度为70m（路幅组成：70m=20.25m绿化带+3m人行道+23.5m车行道+3m人行道+20.25m绿化带），双向4车道，</w:t>
      </w:r>
      <w:r>
        <w:rPr>
          <w:szCs w:val="22"/>
        </w:rPr>
        <w:t>路面为沥青砼路面</w:t>
      </w:r>
      <w:r>
        <w:t>。</w:t>
      </w:r>
    </w:p>
    <w:p>
      <w:pPr>
        <w:ind w:firstLine="480"/>
      </w:pPr>
      <w:r>
        <w:t>（2）北二路（园区段）道路全长5300m，其中已建成590m，在建1905m，未建2805m。道路宽度为60m（路幅组成：60m=15m绿化带+3m人行道+24m车行道+3m人行道+15m绿化带），双向6车道，</w:t>
      </w:r>
      <w:r>
        <w:rPr>
          <w:szCs w:val="22"/>
        </w:rPr>
        <w:t>路面均为沥青砼路面</w:t>
      </w:r>
      <w:r>
        <w:t>。</w:t>
      </w:r>
    </w:p>
    <w:p>
      <w:pPr>
        <w:ind w:firstLine="480"/>
      </w:pPr>
      <w:r>
        <w:t>（3）北一路道路全长2113m，其中在建1339m，未建774m。西一路（园区段）道路全长2440m，道路全段为未建状态。东三路道路全长2110m，其中在建1077m，未建1033m。凤翔路（园区段）全长2330m，其中在建1583m，未建747m。道路宽度均为40m（路幅组成：40m=5m绿化带+3m人行道+4.5m非机动车道+7.25m车行道+0.5m双黄线+7.25m车行道+4.5m非机动车道+3m人行道+5m绿化带），双向4车道，</w:t>
      </w:r>
      <w:r>
        <w:rPr>
          <w:szCs w:val="22"/>
        </w:rPr>
        <w:t>路面均为沥青砼路面</w:t>
      </w:r>
      <w:r>
        <w:t>。</w:t>
      </w:r>
    </w:p>
    <w:p>
      <w:pPr>
        <w:ind w:firstLine="480"/>
      </w:pPr>
      <w:r>
        <w:t>（4）西二路（园区段）道路全长852m，道路已建成。道路宽度为40m（路幅组成：40m=5m绿化带+3m人行道+11.50m车行道+1.0m双黄线+11.50m车行道+3m人行道+5m绿化带），双向6车道，</w:t>
      </w:r>
      <w:r>
        <w:rPr>
          <w:szCs w:val="22"/>
        </w:rPr>
        <w:t>路面均为沥青砼路面</w:t>
      </w:r>
      <w:r>
        <w:t>。</w:t>
      </w:r>
    </w:p>
    <w:p>
      <w:pPr>
        <w:ind w:firstLine="480"/>
        <w:rPr>
          <w:szCs w:val="22"/>
        </w:rPr>
      </w:pPr>
      <w:r>
        <w:t>（5）北永路道路全长360m，道路已建成。永祥物流通道道路全长400m，道路已建成。会云路道路全长450m，道路全段为在建状态，目前已场地平整完成。龙东路道路全长870m，道路全段为在建状态，目前已场地平整完成。道路宽度均为18m（路幅组成：18m=3m人行道+12m车行道+3m人行道），双向2车道，</w:t>
      </w:r>
      <w:r>
        <w:rPr>
          <w:szCs w:val="22"/>
        </w:rPr>
        <w:t>路面均为沥青砼路面。</w:t>
      </w:r>
    </w:p>
    <w:p>
      <w:pPr>
        <w:widowControl/>
        <w:ind w:firstLine="480"/>
        <w:rPr>
          <w:kern w:val="0"/>
          <w:szCs w:val="24"/>
        </w:rPr>
      </w:pPr>
      <w:r>
        <w:rPr>
          <w:kern w:val="0"/>
          <w:szCs w:val="24"/>
        </w:rPr>
        <w:t>园区内道路建设状态及基本情况详见表2.1-8。</w:t>
      </w:r>
    </w:p>
    <w:p>
      <w:pPr>
        <w:ind w:firstLine="0" w:firstLineChars="0"/>
        <w:jc w:val="center"/>
        <w:rPr>
          <w:b/>
          <w:bCs/>
        </w:rPr>
        <w:sectPr>
          <w:pgSz w:w="11905" w:h="16838"/>
          <w:pgMar w:top="1417" w:right="1417" w:bottom="1417" w:left="1417" w:header="850" w:footer="992" w:gutter="0"/>
          <w:cols w:space="720" w:num="1"/>
          <w:docGrid w:linePitch="312" w:charSpace="0"/>
        </w:sectPr>
      </w:pPr>
    </w:p>
    <w:p>
      <w:pPr>
        <w:ind w:firstLine="0" w:firstLineChars="0"/>
        <w:jc w:val="center"/>
        <w:rPr>
          <w:b/>
          <w:bCs/>
        </w:rPr>
      </w:pPr>
      <w:r>
        <w:rPr>
          <w:b/>
          <w:bCs/>
        </w:rPr>
        <w:t>表2.1-8园区内</w:t>
      </w:r>
      <w:r>
        <w:rPr>
          <w:b/>
          <w:bCs/>
          <w:kern w:val="0"/>
          <w:szCs w:val="24"/>
        </w:rPr>
        <w:t>道路建设状态及基本情况一览表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585"/>
        <w:gridCol w:w="1536"/>
        <w:gridCol w:w="1234"/>
        <w:gridCol w:w="1155"/>
        <w:gridCol w:w="1496"/>
        <w:gridCol w:w="944"/>
        <w:gridCol w:w="1485"/>
        <w:gridCol w:w="1462"/>
        <w:gridCol w:w="1613"/>
        <w:gridCol w:w="269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2" w:hRule="atLeast"/>
        </w:trPr>
        <w:tc>
          <w:tcPr>
            <w:tcW w:w="206" w:type="pct"/>
            <w:vMerge w:val="restart"/>
            <w:vAlign w:val="center"/>
          </w:tcPr>
          <w:p>
            <w:pPr>
              <w:spacing w:line="240" w:lineRule="auto"/>
              <w:ind w:firstLine="0" w:firstLineChars="0"/>
              <w:jc w:val="center"/>
              <w:rPr>
                <w:b/>
                <w:bCs/>
                <w:sz w:val="21"/>
                <w:szCs w:val="21"/>
              </w:rPr>
            </w:pPr>
            <w:r>
              <w:rPr>
                <w:b/>
                <w:bCs/>
                <w:sz w:val="21"/>
                <w:szCs w:val="21"/>
              </w:rPr>
              <w:t>序号</w:t>
            </w:r>
          </w:p>
        </w:tc>
        <w:tc>
          <w:tcPr>
            <w:tcW w:w="539" w:type="pct"/>
            <w:vMerge w:val="restart"/>
            <w:vAlign w:val="center"/>
          </w:tcPr>
          <w:p>
            <w:pPr>
              <w:spacing w:line="240" w:lineRule="auto"/>
              <w:ind w:firstLine="0" w:firstLineChars="0"/>
              <w:jc w:val="center"/>
              <w:rPr>
                <w:b/>
                <w:bCs/>
                <w:sz w:val="21"/>
                <w:szCs w:val="21"/>
              </w:rPr>
            </w:pPr>
            <w:r>
              <w:rPr>
                <w:b/>
                <w:bCs/>
                <w:sz w:val="21"/>
                <w:szCs w:val="21"/>
              </w:rPr>
              <w:t>道路名称</w:t>
            </w:r>
          </w:p>
        </w:tc>
        <w:tc>
          <w:tcPr>
            <w:tcW w:w="434" w:type="pct"/>
            <w:vMerge w:val="restart"/>
            <w:vAlign w:val="center"/>
          </w:tcPr>
          <w:p>
            <w:pPr>
              <w:spacing w:line="240" w:lineRule="auto"/>
              <w:ind w:firstLine="0" w:firstLineChars="0"/>
              <w:jc w:val="center"/>
              <w:rPr>
                <w:b/>
                <w:bCs/>
                <w:sz w:val="21"/>
                <w:szCs w:val="21"/>
              </w:rPr>
            </w:pPr>
            <w:r>
              <w:rPr>
                <w:b/>
                <w:bCs/>
                <w:sz w:val="21"/>
                <w:szCs w:val="21"/>
              </w:rPr>
              <w:t>道路长度（m）</w:t>
            </w:r>
          </w:p>
        </w:tc>
        <w:tc>
          <w:tcPr>
            <w:tcW w:w="932" w:type="pct"/>
            <w:gridSpan w:val="2"/>
            <w:vAlign w:val="center"/>
          </w:tcPr>
          <w:p>
            <w:pPr>
              <w:spacing w:line="240" w:lineRule="auto"/>
              <w:ind w:firstLine="0" w:firstLineChars="0"/>
              <w:jc w:val="center"/>
              <w:rPr>
                <w:b/>
                <w:bCs/>
                <w:sz w:val="21"/>
                <w:szCs w:val="21"/>
              </w:rPr>
            </w:pPr>
            <w:r>
              <w:rPr>
                <w:b/>
                <w:bCs/>
                <w:sz w:val="21"/>
                <w:szCs w:val="21"/>
              </w:rPr>
              <w:t>道路宽度（m）</w:t>
            </w:r>
          </w:p>
        </w:tc>
        <w:tc>
          <w:tcPr>
            <w:tcW w:w="854" w:type="pct"/>
            <w:gridSpan w:val="2"/>
            <w:vAlign w:val="center"/>
          </w:tcPr>
          <w:p>
            <w:pPr>
              <w:spacing w:line="240" w:lineRule="auto"/>
              <w:ind w:firstLine="0" w:firstLineChars="0"/>
              <w:jc w:val="center"/>
              <w:rPr>
                <w:b/>
                <w:bCs/>
                <w:sz w:val="21"/>
                <w:szCs w:val="21"/>
              </w:rPr>
            </w:pPr>
            <w:r>
              <w:rPr>
                <w:b/>
                <w:bCs/>
                <w:sz w:val="21"/>
                <w:szCs w:val="21"/>
              </w:rPr>
              <w:t>占地面积（hm</w:t>
            </w:r>
            <w:r>
              <w:rPr>
                <w:b/>
                <w:bCs/>
                <w:sz w:val="21"/>
                <w:szCs w:val="21"/>
                <w:vertAlign w:val="superscript"/>
              </w:rPr>
              <w:t>2</w:t>
            </w:r>
            <w:r>
              <w:rPr>
                <w:b/>
                <w:bCs/>
                <w:sz w:val="21"/>
                <w:szCs w:val="21"/>
              </w:rPr>
              <w:t>）</w:t>
            </w:r>
          </w:p>
        </w:tc>
        <w:tc>
          <w:tcPr>
            <w:tcW w:w="514" w:type="pct"/>
            <w:vMerge w:val="restart"/>
            <w:vAlign w:val="center"/>
          </w:tcPr>
          <w:p>
            <w:pPr>
              <w:spacing w:line="240" w:lineRule="auto"/>
              <w:ind w:firstLine="0" w:firstLineChars="0"/>
              <w:jc w:val="center"/>
              <w:rPr>
                <w:b/>
                <w:bCs/>
                <w:sz w:val="21"/>
                <w:szCs w:val="21"/>
              </w:rPr>
            </w:pPr>
            <w:r>
              <w:rPr>
                <w:b/>
                <w:bCs/>
                <w:sz w:val="21"/>
                <w:szCs w:val="21"/>
              </w:rPr>
              <w:t>已扰动段道路长度（m）</w:t>
            </w:r>
          </w:p>
        </w:tc>
        <w:tc>
          <w:tcPr>
            <w:tcW w:w="567" w:type="pct"/>
            <w:vMerge w:val="restart"/>
            <w:vAlign w:val="center"/>
          </w:tcPr>
          <w:p>
            <w:pPr>
              <w:spacing w:line="240" w:lineRule="auto"/>
              <w:ind w:firstLine="0" w:firstLineChars="0"/>
              <w:jc w:val="center"/>
              <w:rPr>
                <w:b/>
                <w:bCs/>
                <w:sz w:val="21"/>
                <w:szCs w:val="21"/>
              </w:rPr>
            </w:pPr>
            <w:r>
              <w:rPr>
                <w:b/>
                <w:bCs/>
                <w:sz w:val="21"/>
                <w:szCs w:val="21"/>
              </w:rPr>
              <w:t>已扰动面积（hm</w:t>
            </w:r>
            <w:r>
              <w:rPr>
                <w:b/>
                <w:bCs/>
                <w:sz w:val="21"/>
                <w:szCs w:val="21"/>
                <w:vertAlign w:val="superscript"/>
              </w:rPr>
              <w:t>2</w:t>
            </w:r>
            <w:r>
              <w:rPr>
                <w:b/>
                <w:bCs/>
                <w:sz w:val="21"/>
                <w:szCs w:val="21"/>
              </w:rPr>
              <w:t>）</w:t>
            </w:r>
          </w:p>
        </w:tc>
        <w:tc>
          <w:tcPr>
            <w:tcW w:w="949" w:type="pct"/>
            <w:vMerge w:val="restart"/>
            <w:vAlign w:val="center"/>
          </w:tcPr>
          <w:p>
            <w:pPr>
              <w:spacing w:line="240" w:lineRule="auto"/>
              <w:ind w:firstLine="0" w:firstLineChars="0"/>
              <w:jc w:val="center"/>
              <w:rPr>
                <w:b/>
                <w:bCs/>
                <w:sz w:val="21"/>
                <w:szCs w:val="21"/>
              </w:rPr>
            </w:pPr>
            <w:r>
              <w:rPr>
                <w:b/>
                <w:bCs/>
                <w:sz w:val="21"/>
                <w:szCs w:val="21"/>
              </w:rPr>
              <w:t>建设进度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92" w:hRule="atLeast"/>
        </w:trPr>
        <w:tc>
          <w:tcPr>
            <w:tcW w:w="206" w:type="pct"/>
            <w:vMerge w:val="continue"/>
            <w:vAlign w:val="center"/>
          </w:tcPr>
          <w:p>
            <w:pPr>
              <w:spacing w:line="240" w:lineRule="auto"/>
              <w:ind w:firstLine="0" w:firstLineChars="0"/>
              <w:jc w:val="center"/>
              <w:rPr>
                <w:b/>
                <w:bCs/>
                <w:sz w:val="21"/>
                <w:szCs w:val="21"/>
              </w:rPr>
            </w:pPr>
          </w:p>
        </w:tc>
        <w:tc>
          <w:tcPr>
            <w:tcW w:w="539" w:type="pct"/>
            <w:vMerge w:val="continue"/>
            <w:vAlign w:val="center"/>
          </w:tcPr>
          <w:p>
            <w:pPr>
              <w:spacing w:line="240" w:lineRule="auto"/>
              <w:ind w:firstLine="0" w:firstLineChars="0"/>
              <w:jc w:val="center"/>
              <w:rPr>
                <w:b/>
                <w:bCs/>
                <w:sz w:val="21"/>
                <w:szCs w:val="21"/>
              </w:rPr>
            </w:pPr>
          </w:p>
        </w:tc>
        <w:tc>
          <w:tcPr>
            <w:tcW w:w="434" w:type="pct"/>
            <w:vMerge w:val="continue"/>
            <w:vAlign w:val="center"/>
          </w:tcPr>
          <w:p>
            <w:pPr>
              <w:spacing w:line="240" w:lineRule="auto"/>
              <w:ind w:firstLine="0" w:firstLineChars="0"/>
              <w:jc w:val="center"/>
              <w:rPr>
                <w:b/>
                <w:bCs/>
                <w:sz w:val="21"/>
                <w:szCs w:val="21"/>
              </w:rPr>
            </w:pPr>
          </w:p>
        </w:tc>
        <w:tc>
          <w:tcPr>
            <w:tcW w:w="406" w:type="pct"/>
            <w:vAlign w:val="center"/>
          </w:tcPr>
          <w:p>
            <w:pPr>
              <w:spacing w:line="240" w:lineRule="auto"/>
              <w:ind w:firstLine="0" w:firstLineChars="0"/>
              <w:jc w:val="center"/>
              <w:rPr>
                <w:b/>
                <w:bCs/>
                <w:sz w:val="21"/>
                <w:szCs w:val="21"/>
              </w:rPr>
            </w:pPr>
            <w:r>
              <w:rPr>
                <w:b/>
                <w:bCs/>
                <w:sz w:val="21"/>
                <w:szCs w:val="21"/>
              </w:rPr>
              <w:t>道路总宽</w:t>
            </w:r>
          </w:p>
        </w:tc>
        <w:tc>
          <w:tcPr>
            <w:tcW w:w="526" w:type="pct"/>
            <w:vAlign w:val="center"/>
          </w:tcPr>
          <w:p>
            <w:pPr>
              <w:spacing w:line="240" w:lineRule="auto"/>
              <w:ind w:firstLine="0" w:firstLineChars="0"/>
              <w:jc w:val="center"/>
              <w:rPr>
                <w:b/>
                <w:bCs/>
                <w:sz w:val="21"/>
                <w:szCs w:val="21"/>
              </w:rPr>
            </w:pPr>
            <w:r>
              <w:rPr>
                <w:b/>
                <w:bCs/>
                <w:sz w:val="21"/>
                <w:szCs w:val="21"/>
              </w:rPr>
              <w:t>扣除道路两侧绿化带后道路宽度</w:t>
            </w:r>
          </w:p>
        </w:tc>
        <w:tc>
          <w:tcPr>
            <w:tcW w:w="332" w:type="pct"/>
            <w:vAlign w:val="center"/>
          </w:tcPr>
          <w:p>
            <w:pPr>
              <w:spacing w:line="240" w:lineRule="auto"/>
              <w:ind w:firstLine="0" w:firstLineChars="0"/>
              <w:jc w:val="center"/>
              <w:rPr>
                <w:b/>
                <w:bCs/>
                <w:sz w:val="21"/>
                <w:szCs w:val="21"/>
              </w:rPr>
            </w:pPr>
            <w:r>
              <w:rPr>
                <w:b/>
                <w:bCs/>
                <w:sz w:val="21"/>
                <w:szCs w:val="21"/>
              </w:rPr>
              <w:t>总面积</w:t>
            </w:r>
          </w:p>
        </w:tc>
        <w:tc>
          <w:tcPr>
            <w:tcW w:w="522" w:type="pct"/>
            <w:vAlign w:val="center"/>
          </w:tcPr>
          <w:p>
            <w:pPr>
              <w:spacing w:line="240" w:lineRule="auto"/>
              <w:ind w:firstLine="0" w:firstLineChars="0"/>
              <w:jc w:val="center"/>
              <w:rPr>
                <w:b/>
                <w:bCs/>
                <w:sz w:val="21"/>
                <w:szCs w:val="21"/>
              </w:rPr>
            </w:pPr>
            <w:r>
              <w:rPr>
                <w:b/>
                <w:bCs/>
                <w:sz w:val="21"/>
                <w:szCs w:val="21"/>
              </w:rPr>
              <w:t>扣除道路两侧绿化带面积</w:t>
            </w:r>
          </w:p>
        </w:tc>
        <w:tc>
          <w:tcPr>
            <w:tcW w:w="514" w:type="pct"/>
            <w:vMerge w:val="continue"/>
            <w:vAlign w:val="center"/>
          </w:tcPr>
          <w:p>
            <w:pPr>
              <w:spacing w:line="240" w:lineRule="auto"/>
              <w:ind w:firstLine="0" w:firstLineChars="0"/>
              <w:jc w:val="center"/>
              <w:rPr>
                <w:b/>
                <w:bCs/>
                <w:sz w:val="21"/>
                <w:szCs w:val="21"/>
              </w:rPr>
            </w:pPr>
          </w:p>
        </w:tc>
        <w:tc>
          <w:tcPr>
            <w:tcW w:w="567" w:type="pct"/>
            <w:vMerge w:val="continue"/>
            <w:vAlign w:val="center"/>
          </w:tcPr>
          <w:p>
            <w:pPr>
              <w:spacing w:line="240" w:lineRule="auto"/>
              <w:ind w:firstLine="0" w:firstLineChars="0"/>
              <w:jc w:val="center"/>
              <w:rPr>
                <w:b/>
                <w:bCs/>
                <w:sz w:val="21"/>
                <w:szCs w:val="21"/>
              </w:rPr>
            </w:pPr>
          </w:p>
        </w:tc>
        <w:tc>
          <w:tcPr>
            <w:tcW w:w="949" w:type="pct"/>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1</w:t>
            </w:r>
          </w:p>
        </w:tc>
        <w:tc>
          <w:tcPr>
            <w:tcW w:w="539" w:type="pct"/>
            <w:vAlign w:val="center"/>
          </w:tcPr>
          <w:p>
            <w:pPr>
              <w:spacing w:line="240" w:lineRule="auto"/>
              <w:ind w:firstLine="0" w:firstLineChars="0"/>
              <w:jc w:val="center"/>
              <w:rPr>
                <w:sz w:val="21"/>
                <w:szCs w:val="21"/>
              </w:rPr>
            </w:pPr>
            <w:r>
              <w:rPr>
                <w:sz w:val="21"/>
                <w:szCs w:val="21"/>
              </w:rPr>
              <w:t>龙翔路</w:t>
            </w:r>
          </w:p>
        </w:tc>
        <w:tc>
          <w:tcPr>
            <w:tcW w:w="434" w:type="pct"/>
            <w:vAlign w:val="center"/>
          </w:tcPr>
          <w:p>
            <w:pPr>
              <w:spacing w:line="240" w:lineRule="auto"/>
              <w:ind w:firstLine="0" w:firstLineChars="0"/>
              <w:jc w:val="center"/>
              <w:rPr>
                <w:sz w:val="21"/>
                <w:szCs w:val="21"/>
              </w:rPr>
            </w:pPr>
            <w:r>
              <w:rPr>
                <w:sz w:val="21"/>
                <w:szCs w:val="21"/>
              </w:rPr>
              <w:t>2060</w:t>
            </w:r>
          </w:p>
        </w:tc>
        <w:tc>
          <w:tcPr>
            <w:tcW w:w="406" w:type="pct"/>
            <w:vAlign w:val="center"/>
          </w:tcPr>
          <w:p>
            <w:pPr>
              <w:spacing w:line="240" w:lineRule="auto"/>
              <w:ind w:firstLine="0" w:firstLineChars="0"/>
              <w:jc w:val="center"/>
              <w:rPr>
                <w:sz w:val="21"/>
                <w:szCs w:val="21"/>
              </w:rPr>
            </w:pPr>
            <w:r>
              <w:rPr>
                <w:sz w:val="21"/>
                <w:szCs w:val="21"/>
              </w:rPr>
              <w:t>70</w:t>
            </w:r>
          </w:p>
        </w:tc>
        <w:tc>
          <w:tcPr>
            <w:tcW w:w="526" w:type="pct"/>
            <w:vAlign w:val="center"/>
          </w:tcPr>
          <w:p>
            <w:pPr>
              <w:spacing w:line="240" w:lineRule="auto"/>
              <w:ind w:firstLine="0" w:firstLineChars="0"/>
              <w:jc w:val="center"/>
              <w:rPr>
                <w:sz w:val="21"/>
                <w:szCs w:val="21"/>
              </w:rPr>
            </w:pPr>
            <w:r>
              <w:rPr>
                <w:sz w:val="21"/>
                <w:szCs w:val="21"/>
              </w:rPr>
              <w:t>29.50</w:t>
            </w:r>
          </w:p>
        </w:tc>
        <w:tc>
          <w:tcPr>
            <w:tcW w:w="332" w:type="pct"/>
            <w:vAlign w:val="center"/>
          </w:tcPr>
          <w:p>
            <w:pPr>
              <w:spacing w:line="240" w:lineRule="auto"/>
              <w:ind w:firstLine="0" w:firstLineChars="0"/>
              <w:jc w:val="center"/>
              <w:rPr>
                <w:sz w:val="21"/>
                <w:szCs w:val="21"/>
              </w:rPr>
            </w:pPr>
            <w:r>
              <w:rPr>
                <w:sz w:val="21"/>
                <w:szCs w:val="21"/>
              </w:rPr>
              <w:t>14.42</w:t>
            </w:r>
          </w:p>
        </w:tc>
        <w:tc>
          <w:tcPr>
            <w:tcW w:w="522" w:type="pct"/>
            <w:vAlign w:val="center"/>
          </w:tcPr>
          <w:p>
            <w:pPr>
              <w:spacing w:line="240" w:lineRule="auto"/>
              <w:ind w:firstLine="0" w:firstLineChars="0"/>
              <w:jc w:val="center"/>
              <w:rPr>
                <w:sz w:val="21"/>
                <w:szCs w:val="21"/>
              </w:rPr>
            </w:pPr>
            <w:r>
              <w:rPr>
                <w:sz w:val="21"/>
                <w:szCs w:val="21"/>
              </w:rPr>
              <w:t>6.08</w:t>
            </w:r>
          </w:p>
        </w:tc>
        <w:tc>
          <w:tcPr>
            <w:tcW w:w="514" w:type="pct"/>
            <w:vAlign w:val="center"/>
          </w:tcPr>
          <w:p>
            <w:pPr>
              <w:spacing w:line="240" w:lineRule="auto"/>
              <w:ind w:firstLine="0" w:firstLineChars="0"/>
              <w:jc w:val="center"/>
              <w:rPr>
                <w:sz w:val="21"/>
                <w:szCs w:val="21"/>
              </w:rPr>
            </w:pPr>
            <w:r>
              <w:rPr>
                <w:sz w:val="21"/>
                <w:szCs w:val="21"/>
              </w:rPr>
              <w:t>2060</w:t>
            </w:r>
          </w:p>
        </w:tc>
        <w:tc>
          <w:tcPr>
            <w:tcW w:w="567" w:type="pct"/>
            <w:vAlign w:val="center"/>
          </w:tcPr>
          <w:p>
            <w:pPr>
              <w:spacing w:line="240" w:lineRule="auto"/>
              <w:ind w:firstLine="0" w:firstLineChars="0"/>
              <w:jc w:val="center"/>
              <w:rPr>
                <w:sz w:val="21"/>
                <w:szCs w:val="21"/>
              </w:rPr>
            </w:pPr>
            <w:r>
              <w:rPr>
                <w:sz w:val="21"/>
                <w:szCs w:val="21"/>
              </w:rPr>
              <w:t>6.08</w:t>
            </w:r>
          </w:p>
        </w:tc>
        <w:tc>
          <w:tcPr>
            <w:tcW w:w="949" w:type="pct"/>
            <w:vAlign w:val="center"/>
          </w:tcPr>
          <w:p>
            <w:pPr>
              <w:spacing w:line="240" w:lineRule="auto"/>
              <w:ind w:firstLine="0" w:firstLineChars="0"/>
              <w:jc w:val="center"/>
              <w:rPr>
                <w:sz w:val="21"/>
                <w:szCs w:val="21"/>
              </w:rPr>
            </w:pPr>
            <w:r>
              <w:rPr>
                <w:sz w:val="21"/>
                <w:szCs w:val="21"/>
              </w:rPr>
              <w:t>在建，路面拓宽工程已完成，绿化带埋管覆土中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2</w:t>
            </w:r>
          </w:p>
        </w:tc>
        <w:tc>
          <w:tcPr>
            <w:tcW w:w="539" w:type="pct"/>
            <w:vAlign w:val="center"/>
          </w:tcPr>
          <w:p>
            <w:pPr>
              <w:spacing w:line="240" w:lineRule="auto"/>
              <w:ind w:firstLine="0" w:firstLineChars="0"/>
              <w:jc w:val="center"/>
              <w:rPr>
                <w:sz w:val="21"/>
                <w:szCs w:val="21"/>
              </w:rPr>
            </w:pPr>
            <w:r>
              <w:rPr>
                <w:sz w:val="21"/>
                <w:szCs w:val="21"/>
              </w:rPr>
              <w:t>北二路</w:t>
            </w:r>
          </w:p>
        </w:tc>
        <w:tc>
          <w:tcPr>
            <w:tcW w:w="434" w:type="pct"/>
            <w:vAlign w:val="center"/>
          </w:tcPr>
          <w:p>
            <w:pPr>
              <w:spacing w:line="240" w:lineRule="auto"/>
              <w:ind w:firstLine="0" w:firstLineChars="0"/>
              <w:jc w:val="center"/>
              <w:rPr>
                <w:sz w:val="21"/>
                <w:szCs w:val="21"/>
              </w:rPr>
            </w:pPr>
            <w:r>
              <w:rPr>
                <w:sz w:val="21"/>
                <w:szCs w:val="21"/>
              </w:rPr>
              <w:t>5300</w:t>
            </w:r>
          </w:p>
        </w:tc>
        <w:tc>
          <w:tcPr>
            <w:tcW w:w="406" w:type="pct"/>
            <w:vAlign w:val="center"/>
          </w:tcPr>
          <w:p>
            <w:pPr>
              <w:spacing w:line="240" w:lineRule="auto"/>
              <w:ind w:firstLine="0" w:firstLineChars="0"/>
              <w:jc w:val="center"/>
              <w:rPr>
                <w:sz w:val="21"/>
                <w:szCs w:val="21"/>
              </w:rPr>
            </w:pPr>
            <w:r>
              <w:rPr>
                <w:sz w:val="21"/>
                <w:szCs w:val="21"/>
              </w:rPr>
              <w:t>60</w:t>
            </w:r>
          </w:p>
        </w:tc>
        <w:tc>
          <w:tcPr>
            <w:tcW w:w="526" w:type="pct"/>
            <w:vAlign w:val="center"/>
          </w:tcPr>
          <w:p>
            <w:pPr>
              <w:spacing w:line="240" w:lineRule="auto"/>
              <w:ind w:firstLine="0" w:firstLineChars="0"/>
              <w:jc w:val="center"/>
              <w:rPr>
                <w:sz w:val="21"/>
                <w:szCs w:val="21"/>
              </w:rPr>
            </w:pPr>
            <w:r>
              <w:rPr>
                <w:sz w:val="21"/>
                <w:szCs w:val="21"/>
              </w:rPr>
              <w:t>40</w:t>
            </w:r>
          </w:p>
        </w:tc>
        <w:tc>
          <w:tcPr>
            <w:tcW w:w="332" w:type="pct"/>
            <w:vAlign w:val="center"/>
          </w:tcPr>
          <w:p>
            <w:pPr>
              <w:spacing w:line="240" w:lineRule="auto"/>
              <w:ind w:firstLine="0" w:firstLineChars="0"/>
              <w:jc w:val="center"/>
              <w:rPr>
                <w:sz w:val="21"/>
                <w:szCs w:val="21"/>
              </w:rPr>
            </w:pPr>
            <w:r>
              <w:rPr>
                <w:sz w:val="21"/>
                <w:szCs w:val="21"/>
              </w:rPr>
              <w:t>31.80</w:t>
            </w:r>
          </w:p>
        </w:tc>
        <w:tc>
          <w:tcPr>
            <w:tcW w:w="522" w:type="pct"/>
            <w:vAlign w:val="center"/>
          </w:tcPr>
          <w:p>
            <w:pPr>
              <w:spacing w:line="240" w:lineRule="auto"/>
              <w:ind w:firstLine="0" w:firstLineChars="0"/>
              <w:jc w:val="center"/>
              <w:rPr>
                <w:sz w:val="21"/>
                <w:szCs w:val="21"/>
              </w:rPr>
            </w:pPr>
            <w:r>
              <w:rPr>
                <w:sz w:val="21"/>
                <w:szCs w:val="21"/>
              </w:rPr>
              <w:t>21.20</w:t>
            </w:r>
          </w:p>
        </w:tc>
        <w:tc>
          <w:tcPr>
            <w:tcW w:w="514" w:type="pct"/>
            <w:vAlign w:val="center"/>
          </w:tcPr>
          <w:p>
            <w:pPr>
              <w:spacing w:line="240" w:lineRule="auto"/>
              <w:ind w:firstLine="0" w:firstLineChars="0"/>
              <w:jc w:val="center"/>
              <w:rPr>
                <w:sz w:val="21"/>
                <w:szCs w:val="21"/>
              </w:rPr>
            </w:pPr>
            <w:r>
              <w:rPr>
                <w:sz w:val="21"/>
                <w:szCs w:val="21"/>
              </w:rPr>
              <w:t>2495</w:t>
            </w:r>
          </w:p>
        </w:tc>
        <w:tc>
          <w:tcPr>
            <w:tcW w:w="567" w:type="pct"/>
            <w:vAlign w:val="center"/>
          </w:tcPr>
          <w:p>
            <w:pPr>
              <w:spacing w:line="240" w:lineRule="auto"/>
              <w:ind w:firstLine="0" w:firstLineChars="0"/>
              <w:jc w:val="center"/>
              <w:rPr>
                <w:sz w:val="21"/>
                <w:szCs w:val="21"/>
              </w:rPr>
            </w:pPr>
            <w:r>
              <w:rPr>
                <w:sz w:val="21"/>
                <w:szCs w:val="21"/>
              </w:rPr>
              <w:t>9.98</w:t>
            </w:r>
          </w:p>
        </w:tc>
        <w:tc>
          <w:tcPr>
            <w:tcW w:w="949" w:type="pct"/>
            <w:vAlign w:val="center"/>
          </w:tcPr>
          <w:p>
            <w:pPr>
              <w:spacing w:line="240" w:lineRule="auto"/>
              <w:ind w:firstLine="0" w:firstLineChars="0"/>
              <w:jc w:val="center"/>
              <w:rPr>
                <w:sz w:val="21"/>
                <w:szCs w:val="21"/>
              </w:rPr>
            </w:pPr>
            <w:r>
              <w:rPr>
                <w:sz w:val="21"/>
                <w:szCs w:val="21"/>
              </w:rPr>
              <w:t>已建成590m，在建1905m，未建2805m。在建段场平中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3</w:t>
            </w:r>
          </w:p>
        </w:tc>
        <w:tc>
          <w:tcPr>
            <w:tcW w:w="539" w:type="pct"/>
            <w:vAlign w:val="center"/>
          </w:tcPr>
          <w:p>
            <w:pPr>
              <w:spacing w:line="240" w:lineRule="auto"/>
              <w:ind w:firstLine="0" w:firstLineChars="0"/>
              <w:jc w:val="center"/>
              <w:rPr>
                <w:sz w:val="21"/>
                <w:szCs w:val="21"/>
              </w:rPr>
            </w:pPr>
            <w:r>
              <w:rPr>
                <w:sz w:val="21"/>
                <w:szCs w:val="21"/>
              </w:rPr>
              <w:t>北一路</w:t>
            </w:r>
          </w:p>
        </w:tc>
        <w:tc>
          <w:tcPr>
            <w:tcW w:w="434" w:type="pct"/>
            <w:vAlign w:val="center"/>
          </w:tcPr>
          <w:p>
            <w:pPr>
              <w:spacing w:line="240" w:lineRule="auto"/>
              <w:ind w:firstLine="0" w:firstLineChars="0"/>
              <w:jc w:val="center"/>
              <w:rPr>
                <w:sz w:val="21"/>
                <w:szCs w:val="21"/>
              </w:rPr>
            </w:pPr>
            <w:r>
              <w:rPr>
                <w:sz w:val="21"/>
                <w:szCs w:val="21"/>
              </w:rPr>
              <w:t>2113</w:t>
            </w:r>
          </w:p>
        </w:tc>
        <w:tc>
          <w:tcPr>
            <w:tcW w:w="406" w:type="pct"/>
            <w:vAlign w:val="center"/>
          </w:tcPr>
          <w:p>
            <w:pPr>
              <w:spacing w:line="240" w:lineRule="auto"/>
              <w:ind w:firstLine="0" w:firstLineChars="0"/>
              <w:jc w:val="center"/>
              <w:rPr>
                <w:sz w:val="21"/>
                <w:szCs w:val="21"/>
              </w:rPr>
            </w:pPr>
            <w:r>
              <w:rPr>
                <w:sz w:val="21"/>
                <w:szCs w:val="21"/>
              </w:rPr>
              <w:t>40</w:t>
            </w:r>
          </w:p>
        </w:tc>
        <w:tc>
          <w:tcPr>
            <w:tcW w:w="526" w:type="pct"/>
            <w:vAlign w:val="center"/>
          </w:tcPr>
          <w:p>
            <w:pPr>
              <w:spacing w:line="240" w:lineRule="auto"/>
              <w:ind w:firstLine="0" w:firstLineChars="0"/>
              <w:jc w:val="center"/>
              <w:rPr>
                <w:sz w:val="21"/>
                <w:szCs w:val="21"/>
              </w:rPr>
            </w:pPr>
            <w:r>
              <w:rPr>
                <w:sz w:val="21"/>
                <w:szCs w:val="21"/>
              </w:rPr>
              <w:t>30</w:t>
            </w:r>
          </w:p>
        </w:tc>
        <w:tc>
          <w:tcPr>
            <w:tcW w:w="332" w:type="pct"/>
            <w:vAlign w:val="center"/>
          </w:tcPr>
          <w:p>
            <w:pPr>
              <w:spacing w:line="240" w:lineRule="auto"/>
              <w:ind w:firstLine="0" w:firstLineChars="0"/>
              <w:jc w:val="center"/>
              <w:rPr>
                <w:sz w:val="21"/>
                <w:szCs w:val="21"/>
              </w:rPr>
            </w:pPr>
            <w:r>
              <w:rPr>
                <w:sz w:val="21"/>
                <w:szCs w:val="21"/>
              </w:rPr>
              <w:t>8.45</w:t>
            </w:r>
          </w:p>
        </w:tc>
        <w:tc>
          <w:tcPr>
            <w:tcW w:w="522" w:type="pct"/>
            <w:vAlign w:val="center"/>
          </w:tcPr>
          <w:p>
            <w:pPr>
              <w:spacing w:line="240" w:lineRule="auto"/>
              <w:ind w:firstLine="0" w:firstLineChars="0"/>
              <w:jc w:val="center"/>
              <w:rPr>
                <w:sz w:val="21"/>
                <w:szCs w:val="21"/>
              </w:rPr>
            </w:pPr>
            <w:r>
              <w:rPr>
                <w:sz w:val="21"/>
                <w:szCs w:val="21"/>
              </w:rPr>
              <w:t>6.34</w:t>
            </w:r>
          </w:p>
        </w:tc>
        <w:tc>
          <w:tcPr>
            <w:tcW w:w="514" w:type="pct"/>
            <w:vAlign w:val="center"/>
          </w:tcPr>
          <w:p>
            <w:pPr>
              <w:spacing w:line="240" w:lineRule="auto"/>
              <w:ind w:firstLine="0" w:firstLineChars="0"/>
              <w:jc w:val="center"/>
              <w:rPr>
                <w:sz w:val="21"/>
                <w:szCs w:val="21"/>
              </w:rPr>
            </w:pPr>
            <w:r>
              <w:rPr>
                <w:sz w:val="21"/>
                <w:szCs w:val="21"/>
              </w:rPr>
              <w:t>1339</w:t>
            </w:r>
          </w:p>
        </w:tc>
        <w:tc>
          <w:tcPr>
            <w:tcW w:w="567" w:type="pct"/>
            <w:vAlign w:val="center"/>
          </w:tcPr>
          <w:p>
            <w:pPr>
              <w:spacing w:line="240" w:lineRule="auto"/>
              <w:ind w:firstLine="0" w:firstLineChars="0"/>
              <w:jc w:val="center"/>
              <w:rPr>
                <w:sz w:val="21"/>
                <w:szCs w:val="21"/>
              </w:rPr>
            </w:pPr>
            <w:r>
              <w:rPr>
                <w:sz w:val="21"/>
                <w:szCs w:val="21"/>
              </w:rPr>
              <w:t>4.02</w:t>
            </w:r>
          </w:p>
        </w:tc>
        <w:tc>
          <w:tcPr>
            <w:tcW w:w="949" w:type="pct"/>
            <w:vAlign w:val="center"/>
          </w:tcPr>
          <w:p>
            <w:pPr>
              <w:spacing w:line="240" w:lineRule="auto"/>
              <w:ind w:firstLine="0" w:firstLineChars="0"/>
              <w:jc w:val="center"/>
              <w:rPr>
                <w:sz w:val="21"/>
                <w:szCs w:val="21"/>
              </w:rPr>
            </w:pPr>
            <w:r>
              <w:rPr>
                <w:sz w:val="21"/>
                <w:szCs w:val="21"/>
              </w:rPr>
              <w:t>在建1339m，未建774m。在建段场平中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4</w:t>
            </w:r>
          </w:p>
        </w:tc>
        <w:tc>
          <w:tcPr>
            <w:tcW w:w="539" w:type="pct"/>
            <w:vAlign w:val="center"/>
          </w:tcPr>
          <w:p>
            <w:pPr>
              <w:spacing w:line="240" w:lineRule="auto"/>
              <w:ind w:firstLine="0" w:firstLineChars="0"/>
              <w:jc w:val="center"/>
              <w:rPr>
                <w:sz w:val="21"/>
                <w:szCs w:val="21"/>
              </w:rPr>
            </w:pPr>
            <w:r>
              <w:rPr>
                <w:sz w:val="21"/>
                <w:szCs w:val="21"/>
              </w:rPr>
              <w:t>西一路</w:t>
            </w:r>
          </w:p>
        </w:tc>
        <w:tc>
          <w:tcPr>
            <w:tcW w:w="434" w:type="pct"/>
            <w:vAlign w:val="center"/>
          </w:tcPr>
          <w:p>
            <w:pPr>
              <w:spacing w:line="240" w:lineRule="auto"/>
              <w:ind w:firstLine="0" w:firstLineChars="0"/>
              <w:jc w:val="center"/>
              <w:rPr>
                <w:sz w:val="21"/>
                <w:szCs w:val="21"/>
              </w:rPr>
            </w:pPr>
            <w:r>
              <w:rPr>
                <w:sz w:val="21"/>
                <w:szCs w:val="21"/>
              </w:rPr>
              <w:t>2440</w:t>
            </w:r>
          </w:p>
        </w:tc>
        <w:tc>
          <w:tcPr>
            <w:tcW w:w="406" w:type="pct"/>
            <w:vAlign w:val="center"/>
          </w:tcPr>
          <w:p>
            <w:pPr>
              <w:spacing w:line="240" w:lineRule="auto"/>
              <w:ind w:firstLine="0" w:firstLineChars="0"/>
              <w:jc w:val="center"/>
              <w:rPr>
                <w:sz w:val="21"/>
                <w:szCs w:val="21"/>
              </w:rPr>
            </w:pPr>
            <w:r>
              <w:rPr>
                <w:sz w:val="21"/>
                <w:szCs w:val="21"/>
              </w:rPr>
              <w:t>40</w:t>
            </w:r>
          </w:p>
        </w:tc>
        <w:tc>
          <w:tcPr>
            <w:tcW w:w="526" w:type="pct"/>
            <w:vAlign w:val="center"/>
          </w:tcPr>
          <w:p>
            <w:pPr>
              <w:spacing w:line="240" w:lineRule="auto"/>
              <w:ind w:firstLine="0" w:firstLineChars="0"/>
              <w:jc w:val="center"/>
              <w:rPr>
                <w:sz w:val="21"/>
                <w:szCs w:val="21"/>
              </w:rPr>
            </w:pPr>
            <w:r>
              <w:rPr>
                <w:sz w:val="21"/>
                <w:szCs w:val="21"/>
              </w:rPr>
              <w:t>30</w:t>
            </w:r>
          </w:p>
        </w:tc>
        <w:tc>
          <w:tcPr>
            <w:tcW w:w="332" w:type="pct"/>
            <w:vAlign w:val="center"/>
          </w:tcPr>
          <w:p>
            <w:pPr>
              <w:spacing w:line="240" w:lineRule="auto"/>
              <w:ind w:firstLine="0" w:firstLineChars="0"/>
              <w:jc w:val="center"/>
              <w:rPr>
                <w:sz w:val="21"/>
                <w:szCs w:val="21"/>
              </w:rPr>
            </w:pPr>
            <w:r>
              <w:rPr>
                <w:sz w:val="21"/>
                <w:szCs w:val="21"/>
              </w:rPr>
              <w:t>9.76</w:t>
            </w:r>
          </w:p>
        </w:tc>
        <w:tc>
          <w:tcPr>
            <w:tcW w:w="522" w:type="pct"/>
            <w:vAlign w:val="center"/>
          </w:tcPr>
          <w:p>
            <w:pPr>
              <w:spacing w:line="240" w:lineRule="auto"/>
              <w:ind w:firstLine="0" w:firstLineChars="0"/>
              <w:jc w:val="center"/>
              <w:rPr>
                <w:sz w:val="21"/>
                <w:szCs w:val="21"/>
              </w:rPr>
            </w:pPr>
            <w:r>
              <w:rPr>
                <w:sz w:val="21"/>
                <w:szCs w:val="21"/>
              </w:rPr>
              <w:t>7.32</w:t>
            </w:r>
          </w:p>
        </w:tc>
        <w:tc>
          <w:tcPr>
            <w:tcW w:w="514" w:type="pct"/>
            <w:vAlign w:val="center"/>
          </w:tcPr>
          <w:p>
            <w:pPr>
              <w:spacing w:line="240" w:lineRule="auto"/>
              <w:ind w:firstLine="0" w:firstLineChars="0"/>
              <w:jc w:val="center"/>
              <w:rPr>
                <w:sz w:val="21"/>
                <w:szCs w:val="21"/>
              </w:rPr>
            </w:pPr>
            <w:r>
              <w:rPr>
                <w:sz w:val="21"/>
                <w:szCs w:val="21"/>
              </w:rPr>
              <w:t>0</w:t>
            </w:r>
          </w:p>
        </w:tc>
        <w:tc>
          <w:tcPr>
            <w:tcW w:w="567" w:type="pct"/>
            <w:vAlign w:val="center"/>
          </w:tcPr>
          <w:p>
            <w:pPr>
              <w:spacing w:line="240" w:lineRule="auto"/>
              <w:ind w:firstLine="0" w:firstLineChars="0"/>
              <w:jc w:val="center"/>
              <w:rPr>
                <w:sz w:val="21"/>
                <w:szCs w:val="21"/>
              </w:rPr>
            </w:pPr>
            <w:r>
              <w:rPr>
                <w:sz w:val="21"/>
                <w:szCs w:val="21"/>
              </w:rPr>
              <w:t>0.00</w:t>
            </w:r>
          </w:p>
        </w:tc>
        <w:tc>
          <w:tcPr>
            <w:tcW w:w="949" w:type="pct"/>
            <w:vAlign w:val="center"/>
          </w:tcPr>
          <w:p>
            <w:pPr>
              <w:spacing w:line="240" w:lineRule="auto"/>
              <w:ind w:firstLine="0" w:firstLineChars="0"/>
              <w:jc w:val="center"/>
              <w:rPr>
                <w:sz w:val="21"/>
                <w:szCs w:val="21"/>
              </w:rPr>
            </w:pPr>
            <w:r>
              <w:rPr>
                <w:sz w:val="21"/>
                <w:szCs w:val="21"/>
              </w:rPr>
              <w:t>未建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0" w:hRule="atLeast"/>
        </w:trPr>
        <w:tc>
          <w:tcPr>
            <w:tcW w:w="206" w:type="pct"/>
            <w:vAlign w:val="center"/>
          </w:tcPr>
          <w:p>
            <w:pPr>
              <w:spacing w:line="240" w:lineRule="auto"/>
              <w:ind w:firstLine="0" w:firstLineChars="0"/>
              <w:jc w:val="center"/>
              <w:rPr>
                <w:sz w:val="21"/>
                <w:szCs w:val="21"/>
              </w:rPr>
            </w:pPr>
            <w:r>
              <w:rPr>
                <w:sz w:val="21"/>
                <w:szCs w:val="21"/>
              </w:rPr>
              <w:t>5</w:t>
            </w:r>
          </w:p>
        </w:tc>
        <w:tc>
          <w:tcPr>
            <w:tcW w:w="539" w:type="pct"/>
            <w:vAlign w:val="center"/>
          </w:tcPr>
          <w:p>
            <w:pPr>
              <w:spacing w:line="240" w:lineRule="auto"/>
              <w:ind w:firstLine="0" w:firstLineChars="0"/>
              <w:jc w:val="center"/>
              <w:rPr>
                <w:sz w:val="21"/>
                <w:szCs w:val="21"/>
              </w:rPr>
            </w:pPr>
            <w:r>
              <w:rPr>
                <w:sz w:val="21"/>
                <w:szCs w:val="21"/>
              </w:rPr>
              <w:t>东三路</w:t>
            </w:r>
          </w:p>
        </w:tc>
        <w:tc>
          <w:tcPr>
            <w:tcW w:w="434" w:type="pct"/>
            <w:vAlign w:val="center"/>
          </w:tcPr>
          <w:p>
            <w:pPr>
              <w:spacing w:line="240" w:lineRule="auto"/>
              <w:ind w:firstLine="0" w:firstLineChars="0"/>
              <w:jc w:val="center"/>
              <w:rPr>
                <w:sz w:val="21"/>
                <w:szCs w:val="21"/>
              </w:rPr>
            </w:pPr>
            <w:r>
              <w:rPr>
                <w:sz w:val="21"/>
                <w:szCs w:val="21"/>
              </w:rPr>
              <w:t>2110</w:t>
            </w:r>
          </w:p>
        </w:tc>
        <w:tc>
          <w:tcPr>
            <w:tcW w:w="406" w:type="pct"/>
            <w:vAlign w:val="center"/>
          </w:tcPr>
          <w:p>
            <w:pPr>
              <w:spacing w:line="240" w:lineRule="auto"/>
              <w:ind w:firstLine="0" w:firstLineChars="0"/>
              <w:jc w:val="center"/>
              <w:rPr>
                <w:sz w:val="21"/>
                <w:szCs w:val="21"/>
              </w:rPr>
            </w:pPr>
            <w:r>
              <w:rPr>
                <w:sz w:val="21"/>
                <w:szCs w:val="21"/>
              </w:rPr>
              <w:t>40</w:t>
            </w:r>
          </w:p>
        </w:tc>
        <w:tc>
          <w:tcPr>
            <w:tcW w:w="526" w:type="pct"/>
            <w:vAlign w:val="center"/>
          </w:tcPr>
          <w:p>
            <w:pPr>
              <w:spacing w:line="240" w:lineRule="auto"/>
              <w:ind w:firstLine="0" w:firstLineChars="0"/>
              <w:jc w:val="center"/>
              <w:rPr>
                <w:sz w:val="21"/>
                <w:szCs w:val="21"/>
              </w:rPr>
            </w:pPr>
            <w:r>
              <w:rPr>
                <w:sz w:val="21"/>
                <w:szCs w:val="21"/>
              </w:rPr>
              <w:t>30</w:t>
            </w:r>
          </w:p>
        </w:tc>
        <w:tc>
          <w:tcPr>
            <w:tcW w:w="332" w:type="pct"/>
            <w:vAlign w:val="center"/>
          </w:tcPr>
          <w:p>
            <w:pPr>
              <w:spacing w:line="240" w:lineRule="auto"/>
              <w:ind w:firstLine="0" w:firstLineChars="0"/>
              <w:jc w:val="center"/>
              <w:rPr>
                <w:sz w:val="21"/>
                <w:szCs w:val="21"/>
              </w:rPr>
            </w:pPr>
            <w:r>
              <w:rPr>
                <w:sz w:val="21"/>
                <w:szCs w:val="21"/>
              </w:rPr>
              <w:t>8.44</w:t>
            </w:r>
          </w:p>
        </w:tc>
        <w:tc>
          <w:tcPr>
            <w:tcW w:w="522" w:type="pct"/>
            <w:vAlign w:val="center"/>
          </w:tcPr>
          <w:p>
            <w:pPr>
              <w:spacing w:line="240" w:lineRule="auto"/>
              <w:ind w:firstLine="0" w:firstLineChars="0"/>
              <w:jc w:val="center"/>
              <w:rPr>
                <w:sz w:val="21"/>
                <w:szCs w:val="21"/>
              </w:rPr>
            </w:pPr>
            <w:r>
              <w:rPr>
                <w:sz w:val="21"/>
                <w:szCs w:val="21"/>
              </w:rPr>
              <w:t>6.33</w:t>
            </w:r>
          </w:p>
        </w:tc>
        <w:tc>
          <w:tcPr>
            <w:tcW w:w="514" w:type="pct"/>
            <w:vAlign w:val="center"/>
          </w:tcPr>
          <w:p>
            <w:pPr>
              <w:spacing w:line="240" w:lineRule="auto"/>
              <w:ind w:firstLine="0" w:firstLineChars="0"/>
              <w:jc w:val="center"/>
              <w:rPr>
                <w:sz w:val="21"/>
                <w:szCs w:val="21"/>
              </w:rPr>
            </w:pPr>
            <w:r>
              <w:rPr>
                <w:sz w:val="21"/>
                <w:szCs w:val="21"/>
              </w:rPr>
              <w:t>1077</w:t>
            </w:r>
          </w:p>
        </w:tc>
        <w:tc>
          <w:tcPr>
            <w:tcW w:w="567" w:type="pct"/>
            <w:vAlign w:val="center"/>
          </w:tcPr>
          <w:p>
            <w:pPr>
              <w:spacing w:line="240" w:lineRule="auto"/>
              <w:ind w:firstLine="0" w:firstLineChars="0"/>
              <w:jc w:val="center"/>
              <w:rPr>
                <w:sz w:val="21"/>
                <w:szCs w:val="21"/>
              </w:rPr>
            </w:pPr>
            <w:r>
              <w:rPr>
                <w:sz w:val="21"/>
                <w:szCs w:val="21"/>
              </w:rPr>
              <w:t>3.23</w:t>
            </w:r>
          </w:p>
        </w:tc>
        <w:tc>
          <w:tcPr>
            <w:tcW w:w="949" w:type="pct"/>
            <w:vAlign w:val="center"/>
          </w:tcPr>
          <w:p>
            <w:pPr>
              <w:spacing w:line="240" w:lineRule="auto"/>
              <w:ind w:firstLine="0" w:firstLineChars="0"/>
              <w:jc w:val="center"/>
              <w:rPr>
                <w:sz w:val="21"/>
                <w:szCs w:val="21"/>
              </w:rPr>
            </w:pPr>
            <w:r>
              <w:rPr>
                <w:sz w:val="21"/>
                <w:szCs w:val="21"/>
              </w:rPr>
              <w:t>在建1077m，未建1033m。在建段场平中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2" w:hRule="atLeast"/>
        </w:trPr>
        <w:tc>
          <w:tcPr>
            <w:tcW w:w="206" w:type="pct"/>
            <w:vAlign w:val="center"/>
          </w:tcPr>
          <w:p>
            <w:pPr>
              <w:spacing w:line="240" w:lineRule="auto"/>
              <w:ind w:firstLine="0" w:firstLineChars="0"/>
              <w:jc w:val="center"/>
              <w:rPr>
                <w:sz w:val="21"/>
                <w:szCs w:val="21"/>
              </w:rPr>
            </w:pPr>
            <w:r>
              <w:rPr>
                <w:sz w:val="21"/>
                <w:szCs w:val="21"/>
              </w:rPr>
              <w:t>6</w:t>
            </w:r>
          </w:p>
        </w:tc>
        <w:tc>
          <w:tcPr>
            <w:tcW w:w="539" w:type="pct"/>
            <w:vAlign w:val="center"/>
          </w:tcPr>
          <w:p>
            <w:pPr>
              <w:spacing w:line="240" w:lineRule="auto"/>
              <w:ind w:firstLine="0" w:firstLineChars="0"/>
              <w:jc w:val="center"/>
              <w:rPr>
                <w:sz w:val="21"/>
                <w:szCs w:val="21"/>
              </w:rPr>
            </w:pPr>
            <w:r>
              <w:rPr>
                <w:sz w:val="21"/>
                <w:szCs w:val="21"/>
              </w:rPr>
              <w:t>凤翔路</w:t>
            </w:r>
          </w:p>
        </w:tc>
        <w:tc>
          <w:tcPr>
            <w:tcW w:w="434" w:type="pct"/>
            <w:vAlign w:val="center"/>
          </w:tcPr>
          <w:p>
            <w:pPr>
              <w:spacing w:line="240" w:lineRule="auto"/>
              <w:ind w:firstLine="0" w:firstLineChars="0"/>
              <w:jc w:val="center"/>
              <w:rPr>
                <w:sz w:val="21"/>
                <w:szCs w:val="21"/>
              </w:rPr>
            </w:pPr>
            <w:r>
              <w:rPr>
                <w:sz w:val="21"/>
                <w:szCs w:val="21"/>
              </w:rPr>
              <w:t>2330</w:t>
            </w:r>
          </w:p>
        </w:tc>
        <w:tc>
          <w:tcPr>
            <w:tcW w:w="406" w:type="pct"/>
            <w:vAlign w:val="center"/>
          </w:tcPr>
          <w:p>
            <w:pPr>
              <w:spacing w:line="240" w:lineRule="auto"/>
              <w:ind w:firstLine="0" w:firstLineChars="0"/>
              <w:jc w:val="center"/>
              <w:rPr>
                <w:sz w:val="21"/>
                <w:szCs w:val="21"/>
              </w:rPr>
            </w:pPr>
            <w:r>
              <w:rPr>
                <w:sz w:val="21"/>
                <w:szCs w:val="21"/>
              </w:rPr>
              <w:t>40</w:t>
            </w:r>
          </w:p>
        </w:tc>
        <w:tc>
          <w:tcPr>
            <w:tcW w:w="526" w:type="pct"/>
            <w:vAlign w:val="center"/>
          </w:tcPr>
          <w:p>
            <w:pPr>
              <w:spacing w:line="240" w:lineRule="auto"/>
              <w:ind w:firstLine="0" w:firstLineChars="0"/>
              <w:jc w:val="center"/>
              <w:rPr>
                <w:sz w:val="21"/>
                <w:szCs w:val="21"/>
              </w:rPr>
            </w:pPr>
            <w:r>
              <w:rPr>
                <w:sz w:val="21"/>
                <w:szCs w:val="21"/>
              </w:rPr>
              <w:t>30</w:t>
            </w:r>
          </w:p>
        </w:tc>
        <w:tc>
          <w:tcPr>
            <w:tcW w:w="332" w:type="pct"/>
            <w:vAlign w:val="center"/>
          </w:tcPr>
          <w:p>
            <w:pPr>
              <w:spacing w:line="240" w:lineRule="auto"/>
              <w:ind w:firstLine="0" w:firstLineChars="0"/>
              <w:jc w:val="center"/>
              <w:rPr>
                <w:sz w:val="21"/>
                <w:szCs w:val="21"/>
              </w:rPr>
            </w:pPr>
            <w:r>
              <w:rPr>
                <w:sz w:val="21"/>
                <w:szCs w:val="21"/>
              </w:rPr>
              <w:t>9.32</w:t>
            </w:r>
          </w:p>
        </w:tc>
        <w:tc>
          <w:tcPr>
            <w:tcW w:w="522" w:type="pct"/>
            <w:vAlign w:val="center"/>
          </w:tcPr>
          <w:p>
            <w:pPr>
              <w:spacing w:line="240" w:lineRule="auto"/>
              <w:ind w:firstLine="0" w:firstLineChars="0"/>
              <w:jc w:val="center"/>
              <w:rPr>
                <w:sz w:val="21"/>
                <w:szCs w:val="21"/>
              </w:rPr>
            </w:pPr>
            <w:r>
              <w:rPr>
                <w:sz w:val="21"/>
                <w:szCs w:val="21"/>
              </w:rPr>
              <w:t>6.99</w:t>
            </w:r>
          </w:p>
        </w:tc>
        <w:tc>
          <w:tcPr>
            <w:tcW w:w="514" w:type="pct"/>
            <w:vAlign w:val="center"/>
          </w:tcPr>
          <w:p>
            <w:pPr>
              <w:spacing w:line="240" w:lineRule="auto"/>
              <w:ind w:firstLine="0" w:firstLineChars="0"/>
              <w:jc w:val="center"/>
              <w:rPr>
                <w:sz w:val="21"/>
                <w:szCs w:val="21"/>
              </w:rPr>
            </w:pPr>
            <w:r>
              <w:rPr>
                <w:sz w:val="21"/>
                <w:szCs w:val="21"/>
              </w:rPr>
              <w:t>1583</w:t>
            </w:r>
          </w:p>
        </w:tc>
        <w:tc>
          <w:tcPr>
            <w:tcW w:w="567" w:type="pct"/>
            <w:vAlign w:val="center"/>
          </w:tcPr>
          <w:p>
            <w:pPr>
              <w:spacing w:line="240" w:lineRule="auto"/>
              <w:ind w:firstLine="0" w:firstLineChars="0"/>
              <w:jc w:val="center"/>
              <w:rPr>
                <w:sz w:val="21"/>
                <w:szCs w:val="21"/>
              </w:rPr>
            </w:pPr>
            <w:r>
              <w:rPr>
                <w:sz w:val="21"/>
                <w:szCs w:val="21"/>
              </w:rPr>
              <w:t>4.75</w:t>
            </w:r>
          </w:p>
        </w:tc>
        <w:tc>
          <w:tcPr>
            <w:tcW w:w="949" w:type="pct"/>
            <w:vAlign w:val="center"/>
          </w:tcPr>
          <w:p>
            <w:pPr>
              <w:spacing w:line="240" w:lineRule="auto"/>
              <w:ind w:firstLine="0" w:firstLineChars="0"/>
              <w:jc w:val="center"/>
              <w:rPr>
                <w:sz w:val="21"/>
                <w:szCs w:val="21"/>
              </w:rPr>
            </w:pPr>
            <w:r>
              <w:rPr>
                <w:sz w:val="21"/>
                <w:szCs w:val="21"/>
              </w:rPr>
              <w:t>在建1583m，未建747m。在建段场平中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7</w:t>
            </w:r>
          </w:p>
        </w:tc>
        <w:tc>
          <w:tcPr>
            <w:tcW w:w="539" w:type="pct"/>
            <w:vAlign w:val="center"/>
          </w:tcPr>
          <w:p>
            <w:pPr>
              <w:spacing w:line="240" w:lineRule="auto"/>
              <w:ind w:firstLine="0" w:firstLineChars="0"/>
              <w:jc w:val="center"/>
              <w:rPr>
                <w:sz w:val="21"/>
                <w:szCs w:val="21"/>
              </w:rPr>
            </w:pPr>
            <w:r>
              <w:rPr>
                <w:sz w:val="21"/>
                <w:szCs w:val="21"/>
              </w:rPr>
              <w:t>西二路</w:t>
            </w:r>
          </w:p>
        </w:tc>
        <w:tc>
          <w:tcPr>
            <w:tcW w:w="434" w:type="pct"/>
            <w:vAlign w:val="center"/>
          </w:tcPr>
          <w:p>
            <w:pPr>
              <w:spacing w:line="240" w:lineRule="auto"/>
              <w:ind w:firstLine="0" w:firstLineChars="0"/>
              <w:jc w:val="center"/>
              <w:rPr>
                <w:sz w:val="21"/>
                <w:szCs w:val="21"/>
              </w:rPr>
            </w:pPr>
            <w:r>
              <w:rPr>
                <w:sz w:val="21"/>
                <w:szCs w:val="21"/>
              </w:rPr>
              <w:t>852</w:t>
            </w:r>
          </w:p>
        </w:tc>
        <w:tc>
          <w:tcPr>
            <w:tcW w:w="406" w:type="pct"/>
            <w:vAlign w:val="center"/>
          </w:tcPr>
          <w:p>
            <w:pPr>
              <w:spacing w:line="240" w:lineRule="auto"/>
              <w:ind w:firstLine="0" w:firstLineChars="0"/>
              <w:jc w:val="center"/>
              <w:rPr>
                <w:sz w:val="21"/>
                <w:szCs w:val="21"/>
              </w:rPr>
            </w:pPr>
            <w:r>
              <w:rPr>
                <w:sz w:val="21"/>
                <w:szCs w:val="21"/>
              </w:rPr>
              <w:t>40</w:t>
            </w:r>
          </w:p>
        </w:tc>
        <w:tc>
          <w:tcPr>
            <w:tcW w:w="526" w:type="pct"/>
            <w:vAlign w:val="center"/>
          </w:tcPr>
          <w:p>
            <w:pPr>
              <w:spacing w:line="240" w:lineRule="auto"/>
              <w:ind w:firstLine="0" w:firstLineChars="0"/>
              <w:jc w:val="center"/>
              <w:rPr>
                <w:sz w:val="21"/>
                <w:szCs w:val="21"/>
              </w:rPr>
            </w:pPr>
            <w:r>
              <w:rPr>
                <w:sz w:val="21"/>
                <w:szCs w:val="21"/>
              </w:rPr>
              <w:t>30</w:t>
            </w:r>
          </w:p>
        </w:tc>
        <w:tc>
          <w:tcPr>
            <w:tcW w:w="332" w:type="pct"/>
            <w:vAlign w:val="center"/>
          </w:tcPr>
          <w:p>
            <w:pPr>
              <w:spacing w:line="240" w:lineRule="auto"/>
              <w:ind w:firstLine="0" w:firstLineChars="0"/>
              <w:jc w:val="center"/>
              <w:rPr>
                <w:sz w:val="21"/>
                <w:szCs w:val="21"/>
              </w:rPr>
            </w:pPr>
            <w:r>
              <w:rPr>
                <w:sz w:val="21"/>
                <w:szCs w:val="21"/>
              </w:rPr>
              <w:t>3.41</w:t>
            </w:r>
          </w:p>
        </w:tc>
        <w:tc>
          <w:tcPr>
            <w:tcW w:w="522" w:type="pct"/>
            <w:vAlign w:val="center"/>
          </w:tcPr>
          <w:p>
            <w:pPr>
              <w:spacing w:line="240" w:lineRule="auto"/>
              <w:ind w:firstLine="0" w:firstLineChars="0"/>
              <w:jc w:val="center"/>
              <w:rPr>
                <w:sz w:val="21"/>
                <w:szCs w:val="21"/>
              </w:rPr>
            </w:pPr>
            <w:r>
              <w:rPr>
                <w:sz w:val="21"/>
                <w:szCs w:val="21"/>
              </w:rPr>
              <w:t>2.56</w:t>
            </w:r>
          </w:p>
        </w:tc>
        <w:tc>
          <w:tcPr>
            <w:tcW w:w="514" w:type="pct"/>
            <w:vAlign w:val="center"/>
          </w:tcPr>
          <w:p>
            <w:pPr>
              <w:spacing w:line="240" w:lineRule="auto"/>
              <w:ind w:firstLine="0" w:firstLineChars="0"/>
              <w:jc w:val="center"/>
              <w:rPr>
                <w:sz w:val="21"/>
                <w:szCs w:val="21"/>
              </w:rPr>
            </w:pPr>
            <w:r>
              <w:rPr>
                <w:sz w:val="21"/>
                <w:szCs w:val="21"/>
              </w:rPr>
              <w:t>852</w:t>
            </w:r>
          </w:p>
        </w:tc>
        <w:tc>
          <w:tcPr>
            <w:tcW w:w="567" w:type="pct"/>
            <w:vAlign w:val="center"/>
          </w:tcPr>
          <w:p>
            <w:pPr>
              <w:spacing w:line="240" w:lineRule="auto"/>
              <w:ind w:firstLine="0" w:firstLineChars="0"/>
              <w:jc w:val="center"/>
              <w:rPr>
                <w:sz w:val="21"/>
                <w:szCs w:val="21"/>
              </w:rPr>
            </w:pPr>
            <w:r>
              <w:rPr>
                <w:sz w:val="21"/>
                <w:szCs w:val="21"/>
              </w:rPr>
              <w:t>2.56</w:t>
            </w:r>
          </w:p>
        </w:tc>
        <w:tc>
          <w:tcPr>
            <w:tcW w:w="949" w:type="pct"/>
            <w:vAlign w:val="center"/>
          </w:tcPr>
          <w:p>
            <w:pPr>
              <w:spacing w:line="240" w:lineRule="auto"/>
              <w:ind w:firstLine="0" w:firstLineChars="0"/>
              <w:jc w:val="center"/>
              <w:rPr>
                <w:sz w:val="21"/>
                <w:szCs w:val="21"/>
              </w:rPr>
            </w:pPr>
            <w:r>
              <w:rPr>
                <w:sz w:val="21"/>
                <w:szCs w:val="21"/>
              </w:rPr>
              <w:t>已建成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06" w:type="pct"/>
            <w:vAlign w:val="center"/>
          </w:tcPr>
          <w:p>
            <w:pPr>
              <w:spacing w:line="240" w:lineRule="auto"/>
              <w:ind w:firstLine="0" w:firstLineChars="0"/>
              <w:jc w:val="center"/>
              <w:rPr>
                <w:sz w:val="21"/>
                <w:szCs w:val="21"/>
              </w:rPr>
            </w:pPr>
            <w:r>
              <w:rPr>
                <w:sz w:val="21"/>
                <w:szCs w:val="21"/>
              </w:rPr>
              <w:t>8</w:t>
            </w:r>
          </w:p>
        </w:tc>
        <w:tc>
          <w:tcPr>
            <w:tcW w:w="539" w:type="pct"/>
            <w:vAlign w:val="center"/>
          </w:tcPr>
          <w:p>
            <w:pPr>
              <w:spacing w:line="240" w:lineRule="auto"/>
              <w:ind w:firstLine="0" w:firstLineChars="0"/>
              <w:jc w:val="center"/>
              <w:rPr>
                <w:sz w:val="21"/>
                <w:szCs w:val="21"/>
              </w:rPr>
            </w:pPr>
            <w:r>
              <w:rPr>
                <w:sz w:val="21"/>
                <w:szCs w:val="21"/>
              </w:rPr>
              <w:t>北永路</w:t>
            </w:r>
          </w:p>
        </w:tc>
        <w:tc>
          <w:tcPr>
            <w:tcW w:w="434" w:type="pct"/>
            <w:vAlign w:val="center"/>
          </w:tcPr>
          <w:p>
            <w:pPr>
              <w:spacing w:line="240" w:lineRule="auto"/>
              <w:ind w:firstLine="0" w:firstLineChars="0"/>
              <w:jc w:val="center"/>
              <w:rPr>
                <w:sz w:val="21"/>
                <w:szCs w:val="21"/>
              </w:rPr>
            </w:pPr>
            <w:r>
              <w:rPr>
                <w:sz w:val="21"/>
                <w:szCs w:val="21"/>
              </w:rPr>
              <w:t>360</w:t>
            </w:r>
          </w:p>
        </w:tc>
        <w:tc>
          <w:tcPr>
            <w:tcW w:w="406" w:type="pct"/>
            <w:vAlign w:val="center"/>
          </w:tcPr>
          <w:p>
            <w:pPr>
              <w:spacing w:line="240" w:lineRule="auto"/>
              <w:ind w:firstLine="0" w:firstLineChars="0"/>
              <w:jc w:val="center"/>
              <w:rPr>
                <w:sz w:val="21"/>
                <w:szCs w:val="21"/>
              </w:rPr>
            </w:pPr>
            <w:r>
              <w:rPr>
                <w:sz w:val="21"/>
                <w:szCs w:val="21"/>
              </w:rPr>
              <w:t>18</w:t>
            </w:r>
          </w:p>
        </w:tc>
        <w:tc>
          <w:tcPr>
            <w:tcW w:w="526" w:type="pct"/>
            <w:vAlign w:val="center"/>
          </w:tcPr>
          <w:p>
            <w:pPr>
              <w:spacing w:line="240" w:lineRule="auto"/>
              <w:ind w:firstLine="0" w:firstLineChars="0"/>
              <w:jc w:val="center"/>
              <w:rPr>
                <w:sz w:val="21"/>
                <w:szCs w:val="21"/>
              </w:rPr>
            </w:pPr>
            <w:r>
              <w:rPr>
                <w:sz w:val="21"/>
                <w:szCs w:val="21"/>
              </w:rPr>
              <w:t>18</w:t>
            </w:r>
          </w:p>
        </w:tc>
        <w:tc>
          <w:tcPr>
            <w:tcW w:w="332" w:type="pct"/>
            <w:vAlign w:val="center"/>
          </w:tcPr>
          <w:p>
            <w:pPr>
              <w:spacing w:line="240" w:lineRule="auto"/>
              <w:ind w:firstLine="0" w:firstLineChars="0"/>
              <w:jc w:val="center"/>
              <w:rPr>
                <w:sz w:val="21"/>
                <w:szCs w:val="21"/>
              </w:rPr>
            </w:pPr>
            <w:r>
              <w:rPr>
                <w:sz w:val="21"/>
                <w:szCs w:val="21"/>
              </w:rPr>
              <w:t>0.65</w:t>
            </w:r>
          </w:p>
        </w:tc>
        <w:tc>
          <w:tcPr>
            <w:tcW w:w="522" w:type="pct"/>
            <w:vAlign w:val="center"/>
          </w:tcPr>
          <w:p>
            <w:pPr>
              <w:spacing w:line="240" w:lineRule="auto"/>
              <w:ind w:firstLine="0" w:firstLineChars="0"/>
              <w:jc w:val="center"/>
              <w:rPr>
                <w:sz w:val="21"/>
                <w:szCs w:val="21"/>
              </w:rPr>
            </w:pPr>
            <w:r>
              <w:rPr>
                <w:sz w:val="21"/>
                <w:szCs w:val="21"/>
              </w:rPr>
              <w:t>0.65</w:t>
            </w:r>
          </w:p>
        </w:tc>
        <w:tc>
          <w:tcPr>
            <w:tcW w:w="514" w:type="pct"/>
            <w:vAlign w:val="center"/>
          </w:tcPr>
          <w:p>
            <w:pPr>
              <w:spacing w:line="240" w:lineRule="auto"/>
              <w:ind w:firstLine="0" w:firstLineChars="0"/>
              <w:jc w:val="center"/>
              <w:rPr>
                <w:sz w:val="21"/>
                <w:szCs w:val="21"/>
              </w:rPr>
            </w:pPr>
            <w:r>
              <w:rPr>
                <w:sz w:val="21"/>
                <w:szCs w:val="21"/>
              </w:rPr>
              <w:t>360</w:t>
            </w:r>
          </w:p>
        </w:tc>
        <w:tc>
          <w:tcPr>
            <w:tcW w:w="567" w:type="pct"/>
            <w:vAlign w:val="center"/>
          </w:tcPr>
          <w:p>
            <w:pPr>
              <w:spacing w:line="240" w:lineRule="auto"/>
              <w:ind w:firstLine="0" w:firstLineChars="0"/>
              <w:jc w:val="center"/>
              <w:rPr>
                <w:sz w:val="21"/>
                <w:szCs w:val="21"/>
              </w:rPr>
            </w:pPr>
            <w:r>
              <w:rPr>
                <w:sz w:val="21"/>
                <w:szCs w:val="21"/>
              </w:rPr>
              <w:t>0.65</w:t>
            </w:r>
          </w:p>
        </w:tc>
        <w:tc>
          <w:tcPr>
            <w:tcW w:w="949" w:type="pct"/>
            <w:vAlign w:val="center"/>
          </w:tcPr>
          <w:p>
            <w:pPr>
              <w:spacing w:line="240" w:lineRule="auto"/>
              <w:ind w:firstLine="0" w:firstLineChars="0"/>
              <w:jc w:val="center"/>
              <w:rPr>
                <w:sz w:val="21"/>
                <w:szCs w:val="21"/>
              </w:rPr>
            </w:pPr>
            <w:r>
              <w:rPr>
                <w:sz w:val="21"/>
                <w:szCs w:val="21"/>
              </w:rPr>
              <w:t>已建成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9</w:t>
            </w:r>
          </w:p>
        </w:tc>
        <w:tc>
          <w:tcPr>
            <w:tcW w:w="539" w:type="pct"/>
            <w:vAlign w:val="center"/>
          </w:tcPr>
          <w:p>
            <w:pPr>
              <w:spacing w:line="240" w:lineRule="auto"/>
              <w:ind w:firstLine="0" w:firstLineChars="0"/>
              <w:jc w:val="center"/>
              <w:rPr>
                <w:sz w:val="21"/>
                <w:szCs w:val="21"/>
              </w:rPr>
            </w:pPr>
            <w:r>
              <w:rPr>
                <w:sz w:val="21"/>
                <w:szCs w:val="21"/>
              </w:rPr>
              <w:t>永祥物流通道</w:t>
            </w:r>
          </w:p>
        </w:tc>
        <w:tc>
          <w:tcPr>
            <w:tcW w:w="434" w:type="pct"/>
            <w:vAlign w:val="center"/>
          </w:tcPr>
          <w:p>
            <w:pPr>
              <w:spacing w:line="240" w:lineRule="auto"/>
              <w:ind w:firstLine="0" w:firstLineChars="0"/>
              <w:jc w:val="center"/>
              <w:rPr>
                <w:sz w:val="21"/>
                <w:szCs w:val="21"/>
              </w:rPr>
            </w:pPr>
            <w:r>
              <w:rPr>
                <w:sz w:val="21"/>
                <w:szCs w:val="21"/>
              </w:rPr>
              <w:t>400</w:t>
            </w:r>
          </w:p>
        </w:tc>
        <w:tc>
          <w:tcPr>
            <w:tcW w:w="406" w:type="pct"/>
            <w:vAlign w:val="center"/>
          </w:tcPr>
          <w:p>
            <w:pPr>
              <w:spacing w:line="240" w:lineRule="auto"/>
              <w:ind w:firstLine="0" w:firstLineChars="0"/>
              <w:jc w:val="center"/>
              <w:rPr>
                <w:sz w:val="21"/>
                <w:szCs w:val="21"/>
              </w:rPr>
            </w:pPr>
            <w:r>
              <w:rPr>
                <w:sz w:val="21"/>
                <w:szCs w:val="21"/>
              </w:rPr>
              <w:t>18</w:t>
            </w:r>
          </w:p>
        </w:tc>
        <w:tc>
          <w:tcPr>
            <w:tcW w:w="526" w:type="pct"/>
            <w:vAlign w:val="center"/>
          </w:tcPr>
          <w:p>
            <w:pPr>
              <w:spacing w:line="240" w:lineRule="auto"/>
              <w:ind w:firstLine="0" w:firstLineChars="0"/>
              <w:jc w:val="center"/>
              <w:rPr>
                <w:sz w:val="21"/>
                <w:szCs w:val="21"/>
              </w:rPr>
            </w:pPr>
            <w:r>
              <w:rPr>
                <w:sz w:val="21"/>
                <w:szCs w:val="21"/>
              </w:rPr>
              <w:t>18</w:t>
            </w:r>
          </w:p>
        </w:tc>
        <w:tc>
          <w:tcPr>
            <w:tcW w:w="332" w:type="pct"/>
            <w:vAlign w:val="center"/>
          </w:tcPr>
          <w:p>
            <w:pPr>
              <w:spacing w:line="240" w:lineRule="auto"/>
              <w:ind w:firstLine="0" w:firstLineChars="0"/>
              <w:jc w:val="center"/>
              <w:rPr>
                <w:sz w:val="21"/>
                <w:szCs w:val="21"/>
              </w:rPr>
            </w:pPr>
            <w:r>
              <w:rPr>
                <w:sz w:val="21"/>
                <w:szCs w:val="21"/>
              </w:rPr>
              <w:t>0.72</w:t>
            </w:r>
          </w:p>
        </w:tc>
        <w:tc>
          <w:tcPr>
            <w:tcW w:w="522" w:type="pct"/>
            <w:vAlign w:val="center"/>
          </w:tcPr>
          <w:p>
            <w:pPr>
              <w:spacing w:line="240" w:lineRule="auto"/>
              <w:ind w:firstLine="0" w:firstLineChars="0"/>
              <w:jc w:val="center"/>
              <w:rPr>
                <w:sz w:val="21"/>
                <w:szCs w:val="21"/>
              </w:rPr>
            </w:pPr>
            <w:r>
              <w:rPr>
                <w:sz w:val="21"/>
                <w:szCs w:val="21"/>
              </w:rPr>
              <w:t>0.72</w:t>
            </w:r>
          </w:p>
        </w:tc>
        <w:tc>
          <w:tcPr>
            <w:tcW w:w="514" w:type="pct"/>
            <w:vAlign w:val="center"/>
          </w:tcPr>
          <w:p>
            <w:pPr>
              <w:spacing w:line="240" w:lineRule="auto"/>
              <w:ind w:firstLine="0" w:firstLineChars="0"/>
              <w:jc w:val="center"/>
              <w:rPr>
                <w:sz w:val="21"/>
                <w:szCs w:val="21"/>
              </w:rPr>
            </w:pPr>
            <w:r>
              <w:rPr>
                <w:sz w:val="21"/>
                <w:szCs w:val="21"/>
              </w:rPr>
              <w:t>400</w:t>
            </w:r>
          </w:p>
        </w:tc>
        <w:tc>
          <w:tcPr>
            <w:tcW w:w="567" w:type="pct"/>
            <w:vAlign w:val="center"/>
          </w:tcPr>
          <w:p>
            <w:pPr>
              <w:spacing w:line="240" w:lineRule="auto"/>
              <w:ind w:firstLine="0" w:firstLineChars="0"/>
              <w:jc w:val="center"/>
              <w:rPr>
                <w:sz w:val="21"/>
                <w:szCs w:val="21"/>
              </w:rPr>
            </w:pPr>
            <w:r>
              <w:rPr>
                <w:sz w:val="21"/>
                <w:szCs w:val="21"/>
              </w:rPr>
              <w:t>0.72</w:t>
            </w:r>
          </w:p>
        </w:tc>
        <w:tc>
          <w:tcPr>
            <w:tcW w:w="949" w:type="pct"/>
            <w:vAlign w:val="center"/>
          </w:tcPr>
          <w:p>
            <w:pPr>
              <w:spacing w:line="240" w:lineRule="auto"/>
              <w:ind w:firstLine="0" w:firstLineChars="0"/>
              <w:jc w:val="center"/>
              <w:rPr>
                <w:sz w:val="21"/>
                <w:szCs w:val="21"/>
              </w:rPr>
            </w:pPr>
            <w:r>
              <w:rPr>
                <w:sz w:val="21"/>
                <w:szCs w:val="21"/>
              </w:rPr>
              <w:t>已建成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10</w:t>
            </w:r>
          </w:p>
        </w:tc>
        <w:tc>
          <w:tcPr>
            <w:tcW w:w="539" w:type="pct"/>
            <w:vAlign w:val="center"/>
          </w:tcPr>
          <w:p>
            <w:pPr>
              <w:spacing w:line="240" w:lineRule="auto"/>
              <w:ind w:firstLine="0" w:firstLineChars="0"/>
              <w:jc w:val="center"/>
              <w:rPr>
                <w:sz w:val="21"/>
                <w:szCs w:val="21"/>
              </w:rPr>
            </w:pPr>
            <w:r>
              <w:rPr>
                <w:sz w:val="21"/>
                <w:szCs w:val="21"/>
              </w:rPr>
              <w:t>会云路</w:t>
            </w:r>
          </w:p>
        </w:tc>
        <w:tc>
          <w:tcPr>
            <w:tcW w:w="434" w:type="pct"/>
            <w:vAlign w:val="center"/>
          </w:tcPr>
          <w:p>
            <w:pPr>
              <w:spacing w:line="240" w:lineRule="auto"/>
              <w:ind w:firstLine="0" w:firstLineChars="0"/>
              <w:jc w:val="center"/>
              <w:rPr>
                <w:sz w:val="21"/>
                <w:szCs w:val="21"/>
              </w:rPr>
            </w:pPr>
            <w:r>
              <w:rPr>
                <w:sz w:val="21"/>
                <w:szCs w:val="21"/>
              </w:rPr>
              <w:t>450</w:t>
            </w:r>
          </w:p>
        </w:tc>
        <w:tc>
          <w:tcPr>
            <w:tcW w:w="406" w:type="pct"/>
            <w:vAlign w:val="center"/>
          </w:tcPr>
          <w:p>
            <w:pPr>
              <w:spacing w:line="240" w:lineRule="auto"/>
              <w:ind w:firstLine="0" w:firstLineChars="0"/>
              <w:jc w:val="center"/>
              <w:rPr>
                <w:sz w:val="21"/>
                <w:szCs w:val="21"/>
              </w:rPr>
            </w:pPr>
            <w:r>
              <w:rPr>
                <w:sz w:val="21"/>
                <w:szCs w:val="21"/>
              </w:rPr>
              <w:t>18</w:t>
            </w:r>
          </w:p>
        </w:tc>
        <w:tc>
          <w:tcPr>
            <w:tcW w:w="526" w:type="pct"/>
            <w:vAlign w:val="center"/>
          </w:tcPr>
          <w:p>
            <w:pPr>
              <w:spacing w:line="240" w:lineRule="auto"/>
              <w:ind w:firstLine="0" w:firstLineChars="0"/>
              <w:jc w:val="center"/>
              <w:rPr>
                <w:sz w:val="21"/>
                <w:szCs w:val="21"/>
              </w:rPr>
            </w:pPr>
            <w:r>
              <w:rPr>
                <w:sz w:val="21"/>
                <w:szCs w:val="21"/>
              </w:rPr>
              <w:t>18</w:t>
            </w:r>
          </w:p>
        </w:tc>
        <w:tc>
          <w:tcPr>
            <w:tcW w:w="332" w:type="pct"/>
            <w:vAlign w:val="center"/>
          </w:tcPr>
          <w:p>
            <w:pPr>
              <w:spacing w:line="240" w:lineRule="auto"/>
              <w:ind w:firstLine="0" w:firstLineChars="0"/>
              <w:jc w:val="center"/>
              <w:rPr>
                <w:sz w:val="21"/>
                <w:szCs w:val="21"/>
              </w:rPr>
            </w:pPr>
            <w:r>
              <w:rPr>
                <w:sz w:val="21"/>
                <w:szCs w:val="21"/>
              </w:rPr>
              <w:t>0.81</w:t>
            </w:r>
          </w:p>
        </w:tc>
        <w:tc>
          <w:tcPr>
            <w:tcW w:w="522" w:type="pct"/>
            <w:vAlign w:val="center"/>
          </w:tcPr>
          <w:p>
            <w:pPr>
              <w:spacing w:line="240" w:lineRule="auto"/>
              <w:ind w:firstLine="0" w:firstLineChars="0"/>
              <w:jc w:val="center"/>
              <w:rPr>
                <w:sz w:val="21"/>
                <w:szCs w:val="21"/>
              </w:rPr>
            </w:pPr>
            <w:r>
              <w:rPr>
                <w:sz w:val="21"/>
                <w:szCs w:val="21"/>
              </w:rPr>
              <w:t>0.81</w:t>
            </w:r>
          </w:p>
        </w:tc>
        <w:tc>
          <w:tcPr>
            <w:tcW w:w="514" w:type="pct"/>
            <w:vAlign w:val="center"/>
          </w:tcPr>
          <w:p>
            <w:pPr>
              <w:spacing w:line="240" w:lineRule="auto"/>
              <w:ind w:firstLine="0" w:firstLineChars="0"/>
              <w:jc w:val="center"/>
              <w:rPr>
                <w:sz w:val="21"/>
                <w:szCs w:val="21"/>
              </w:rPr>
            </w:pPr>
            <w:r>
              <w:rPr>
                <w:sz w:val="21"/>
                <w:szCs w:val="21"/>
              </w:rPr>
              <w:t>450</w:t>
            </w:r>
          </w:p>
        </w:tc>
        <w:tc>
          <w:tcPr>
            <w:tcW w:w="567" w:type="pct"/>
            <w:vAlign w:val="center"/>
          </w:tcPr>
          <w:p>
            <w:pPr>
              <w:spacing w:line="240" w:lineRule="auto"/>
              <w:ind w:firstLine="0" w:firstLineChars="0"/>
              <w:jc w:val="center"/>
              <w:rPr>
                <w:sz w:val="21"/>
                <w:szCs w:val="21"/>
              </w:rPr>
            </w:pPr>
            <w:r>
              <w:rPr>
                <w:sz w:val="21"/>
                <w:szCs w:val="21"/>
              </w:rPr>
              <w:t>0.81</w:t>
            </w:r>
          </w:p>
        </w:tc>
        <w:tc>
          <w:tcPr>
            <w:tcW w:w="949" w:type="pct"/>
            <w:vAlign w:val="center"/>
          </w:tcPr>
          <w:p>
            <w:pPr>
              <w:spacing w:line="240" w:lineRule="auto"/>
              <w:ind w:firstLine="0" w:firstLineChars="0"/>
              <w:jc w:val="center"/>
              <w:rPr>
                <w:sz w:val="21"/>
                <w:szCs w:val="21"/>
              </w:rPr>
            </w:pPr>
            <w:r>
              <w:rPr>
                <w:sz w:val="21"/>
                <w:szCs w:val="21"/>
              </w:rPr>
              <w:t>在建，场平中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6" w:type="pct"/>
            <w:vAlign w:val="center"/>
          </w:tcPr>
          <w:p>
            <w:pPr>
              <w:spacing w:line="240" w:lineRule="auto"/>
              <w:ind w:firstLine="0" w:firstLineChars="0"/>
              <w:jc w:val="center"/>
              <w:rPr>
                <w:sz w:val="21"/>
                <w:szCs w:val="21"/>
              </w:rPr>
            </w:pPr>
            <w:r>
              <w:rPr>
                <w:sz w:val="21"/>
                <w:szCs w:val="21"/>
              </w:rPr>
              <w:t>11</w:t>
            </w:r>
          </w:p>
        </w:tc>
        <w:tc>
          <w:tcPr>
            <w:tcW w:w="539" w:type="pct"/>
            <w:vAlign w:val="center"/>
          </w:tcPr>
          <w:p>
            <w:pPr>
              <w:spacing w:line="240" w:lineRule="auto"/>
              <w:ind w:firstLine="0" w:firstLineChars="0"/>
              <w:jc w:val="center"/>
              <w:rPr>
                <w:sz w:val="21"/>
                <w:szCs w:val="21"/>
              </w:rPr>
            </w:pPr>
            <w:r>
              <w:rPr>
                <w:sz w:val="21"/>
                <w:szCs w:val="21"/>
              </w:rPr>
              <w:t>龙东路</w:t>
            </w:r>
          </w:p>
        </w:tc>
        <w:tc>
          <w:tcPr>
            <w:tcW w:w="434" w:type="pct"/>
            <w:vAlign w:val="center"/>
          </w:tcPr>
          <w:p>
            <w:pPr>
              <w:spacing w:line="240" w:lineRule="auto"/>
              <w:ind w:firstLine="0" w:firstLineChars="0"/>
              <w:jc w:val="center"/>
              <w:rPr>
                <w:sz w:val="21"/>
                <w:szCs w:val="21"/>
              </w:rPr>
            </w:pPr>
            <w:r>
              <w:rPr>
                <w:sz w:val="21"/>
                <w:szCs w:val="21"/>
              </w:rPr>
              <w:t>870</w:t>
            </w:r>
          </w:p>
        </w:tc>
        <w:tc>
          <w:tcPr>
            <w:tcW w:w="406" w:type="pct"/>
            <w:vAlign w:val="center"/>
          </w:tcPr>
          <w:p>
            <w:pPr>
              <w:spacing w:line="240" w:lineRule="auto"/>
              <w:ind w:firstLine="0" w:firstLineChars="0"/>
              <w:jc w:val="center"/>
              <w:rPr>
                <w:sz w:val="21"/>
                <w:szCs w:val="21"/>
              </w:rPr>
            </w:pPr>
            <w:r>
              <w:rPr>
                <w:sz w:val="21"/>
                <w:szCs w:val="21"/>
              </w:rPr>
              <w:t>18</w:t>
            </w:r>
          </w:p>
        </w:tc>
        <w:tc>
          <w:tcPr>
            <w:tcW w:w="526" w:type="pct"/>
            <w:vAlign w:val="center"/>
          </w:tcPr>
          <w:p>
            <w:pPr>
              <w:spacing w:line="240" w:lineRule="auto"/>
              <w:ind w:firstLine="0" w:firstLineChars="0"/>
              <w:jc w:val="center"/>
              <w:rPr>
                <w:sz w:val="21"/>
                <w:szCs w:val="21"/>
              </w:rPr>
            </w:pPr>
            <w:r>
              <w:rPr>
                <w:sz w:val="21"/>
                <w:szCs w:val="21"/>
              </w:rPr>
              <w:t>18</w:t>
            </w:r>
          </w:p>
        </w:tc>
        <w:tc>
          <w:tcPr>
            <w:tcW w:w="332" w:type="pct"/>
            <w:vAlign w:val="center"/>
          </w:tcPr>
          <w:p>
            <w:pPr>
              <w:spacing w:line="240" w:lineRule="auto"/>
              <w:ind w:firstLine="0" w:firstLineChars="0"/>
              <w:jc w:val="center"/>
              <w:rPr>
                <w:sz w:val="21"/>
                <w:szCs w:val="21"/>
              </w:rPr>
            </w:pPr>
            <w:r>
              <w:rPr>
                <w:sz w:val="21"/>
                <w:szCs w:val="21"/>
              </w:rPr>
              <w:t>1.57</w:t>
            </w:r>
          </w:p>
        </w:tc>
        <w:tc>
          <w:tcPr>
            <w:tcW w:w="522" w:type="pct"/>
            <w:vAlign w:val="center"/>
          </w:tcPr>
          <w:p>
            <w:pPr>
              <w:spacing w:line="240" w:lineRule="auto"/>
              <w:ind w:firstLine="0" w:firstLineChars="0"/>
              <w:jc w:val="center"/>
              <w:rPr>
                <w:sz w:val="21"/>
                <w:szCs w:val="21"/>
              </w:rPr>
            </w:pPr>
            <w:r>
              <w:rPr>
                <w:sz w:val="21"/>
                <w:szCs w:val="21"/>
              </w:rPr>
              <w:t>1.57</w:t>
            </w:r>
          </w:p>
        </w:tc>
        <w:tc>
          <w:tcPr>
            <w:tcW w:w="514" w:type="pct"/>
            <w:vAlign w:val="center"/>
          </w:tcPr>
          <w:p>
            <w:pPr>
              <w:spacing w:line="240" w:lineRule="auto"/>
              <w:ind w:firstLine="0" w:firstLineChars="0"/>
              <w:jc w:val="center"/>
              <w:rPr>
                <w:sz w:val="21"/>
                <w:szCs w:val="21"/>
              </w:rPr>
            </w:pPr>
            <w:r>
              <w:rPr>
                <w:sz w:val="21"/>
                <w:szCs w:val="21"/>
              </w:rPr>
              <w:t>870</w:t>
            </w:r>
          </w:p>
        </w:tc>
        <w:tc>
          <w:tcPr>
            <w:tcW w:w="567" w:type="pct"/>
            <w:vAlign w:val="center"/>
          </w:tcPr>
          <w:p>
            <w:pPr>
              <w:spacing w:line="240" w:lineRule="auto"/>
              <w:ind w:firstLine="0" w:firstLineChars="0"/>
              <w:jc w:val="center"/>
              <w:rPr>
                <w:sz w:val="21"/>
                <w:szCs w:val="21"/>
              </w:rPr>
            </w:pPr>
            <w:r>
              <w:rPr>
                <w:sz w:val="21"/>
                <w:szCs w:val="21"/>
              </w:rPr>
              <w:t>1.57</w:t>
            </w:r>
          </w:p>
        </w:tc>
        <w:tc>
          <w:tcPr>
            <w:tcW w:w="949" w:type="pct"/>
            <w:vAlign w:val="center"/>
          </w:tcPr>
          <w:p>
            <w:pPr>
              <w:spacing w:line="240" w:lineRule="auto"/>
              <w:ind w:firstLine="0" w:firstLineChars="0"/>
              <w:jc w:val="center"/>
              <w:rPr>
                <w:sz w:val="21"/>
                <w:szCs w:val="21"/>
              </w:rPr>
            </w:pPr>
            <w:r>
              <w:rPr>
                <w:sz w:val="21"/>
                <w:szCs w:val="21"/>
              </w:rPr>
              <w:t>在建，场平中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46" w:type="pct"/>
            <w:gridSpan w:val="2"/>
            <w:vAlign w:val="center"/>
          </w:tcPr>
          <w:p>
            <w:pPr>
              <w:spacing w:line="240" w:lineRule="auto"/>
              <w:ind w:firstLine="0" w:firstLineChars="0"/>
              <w:jc w:val="center"/>
              <w:rPr>
                <w:b/>
                <w:bCs/>
                <w:sz w:val="21"/>
                <w:szCs w:val="21"/>
              </w:rPr>
            </w:pPr>
            <w:r>
              <w:rPr>
                <w:b/>
                <w:bCs/>
                <w:sz w:val="21"/>
                <w:szCs w:val="21"/>
              </w:rPr>
              <w:t>合计</w:t>
            </w:r>
          </w:p>
        </w:tc>
        <w:tc>
          <w:tcPr>
            <w:tcW w:w="434" w:type="pct"/>
            <w:vAlign w:val="center"/>
          </w:tcPr>
          <w:p>
            <w:pPr>
              <w:spacing w:line="240" w:lineRule="auto"/>
              <w:ind w:firstLine="0" w:firstLineChars="0"/>
              <w:jc w:val="center"/>
              <w:rPr>
                <w:b/>
                <w:bCs/>
                <w:sz w:val="21"/>
                <w:szCs w:val="21"/>
              </w:rPr>
            </w:pPr>
            <w:r>
              <w:rPr>
                <w:b/>
                <w:bCs/>
                <w:sz w:val="21"/>
                <w:szCs w:val="21"/>
              </w:rPr>
              <w:t>19285</w:t>
            </w:r>
          </w:p>
        </w:tc>
        <w:tc>
          <w:tcPr>
            <w:tcW w:w="406" w:type="pct"/>
            <w:vAlign w:val="center"/>
          </w:tcPr>
          <w:p>
            <w:pPr>
              <w:spacing w:line="240" w:lineRule="auto"/>
              <w:ind w:firstLine="0" w:firstLineChars="0"/>
              <w:jc w:val="center"/>
              <w:rPr>
                <w:b/>
                <w:bCs/>
                <w:sz w:val="21"/>
                <w:szCs w:val="21"/>
              </w:rPr>
            </w:pPr>
          </w:p>
        </w:tc>
        <w:tc>
          <w:tcPr>
            <w:tcW w:w="526" w:type="pct"/>
            <w:vAlign w:val="center"/>
          </w:tcPr>
          <w:p>
            <w:pPr>
              <w:spacing w:line="240" w:lineRule="auto"/>
              <w:ind w:firstLine="0" w:firstLineChars="0"/>
              <w:jc w:val="center"/>
              <w:rPr>
                <w:b/>
                <w:bCs/>
                <w:sz w:val="21"/>
                <w:szCs w:val="21"/>
              </w:rPr>
            </w:pPr>
          </w:p>
        </w:tc>
        <w:tc>
          <w:tcPr>
            <w:tcW w:w="332" w:type="pct"/>
            <w:vAlign w:val="center"/>
          </w:tcPr>
          <w:p>
            <w:pPr>
              <w:spacing w:line="240" w:lineRule="auto"/>
              <w:ind w:firstLine="0" w:firstLineChars="0"/>
              <w:jc w:val="center"/>
              <w:rPr>
                <w:b/>
                <w:bCs/>
                <w:sz w:val="21"/>
                <w:szCs w:val="21"/>
              </w:rPr>
            </w:pPr>
            <w:r>
              <w:rPr>
                <w:b/>
                <w:bCs/>
                <w:sz w:val="21"/>
                <w:szCs w:val="21"/>
              </w:rPr>
              <w:t>89.34</w:t>
            </w:r>
          </w:p>
        </w:tc>
        <w:tc>
          <w:tcPr>
            <w:tcW w:w="522" w:type="pct"/>
            <w:vAlign w:val="center"/>
          </w:tcPr>
          <w:p>
            <w:pPr>
              <w:spacing w:line="240" w:lineRule="auto"/>
              <w:ind w:firstLine="0" w:firstLineChars="0"/>
              <w:jc w:val="center"/>
              <w:rPr>
                <w:b/>
                <w:bCs/>
                <w:sz w:val="21"/>
                <w:szCs w:val="21"/>
              </w:rPr>
            </w:pPr>
            <w:r>
              <w:rPr>
                <w:b/>
                <w:bCs/>
                <w:sz w:val="21"/>
                <w:szCs w:val="21"/>
              </w:rPr>
              <w:t>60.56</w:t>
            </w:r>
          </w:p>
        </w:tc>
        <w:tc>
          <w:tcPr>
            <w:tcW w:w="514" w:type="pct"/>
            <w:vAlign w:val="center"/>
          </w:tcPr>
          <w:p>
            <w:pPr>
              <w:spacing w:line="240" w:lineRule="auto"/>
              <w:ind w:firstLine="0" w:firstLineChars="0"/>
              <w:jc w:val="center"/>
              <w:rPr>
                <w:b/>
                <w:bCs/>
                <w:sz w:val="21"/>
                <w:szCs w:val="21"/>
              </w:rPr>
            </w:pPr>
            <w:r>
              <w:rPr>
                <w:b/>
                <w:bCs/>
                <w:sz w:val="21"/>
                <w:szCs w:val="21"/>
              </w:rPr>
              <w:t>11486</w:t>
            </w:r>
          </w:p>
        </w:tc>
        <w:tc>
          <w:tcPr>
            <w:tcW w:w="567" w:type="pct"/>
            <w:vAlign w:val="center"/>
          </w:tcPr>
          <w:p>
            <w:pPr>
              <w:spacing w:line="240" w:lineRule="auto"/>
              <w:ind w:firstLine="0" w:firstLineChars="0"/>
              <w:jc w:val="center"/>
              <w:rPr>
                <w:sz w:val="21"/>
                <w:szCs w:val="21"/>
              </w:rPr>
            </w:pPr>
            <w:r>
              <w:rPr>
                <w:b/>
                <w:bCs/>
                <w:sz w:val="21"/>
                <w:szCs w:val="21"/>
              </w:rPr>
              <w:t>34.35</w:t>
            </w:r>
          </w:p>
        </w:tc>
        <w:tc>
          <w:tcPr>
            <w:tcW w:w="949" w:type="pct"/>
            <w:vAlign w:val="center"/>
          </w:tcPr>
          <w:p>
            <w:pPr>
              <w:spacing w:line="240" w:lineRule="auto"/>
              <w:ind w:firstLine="0" w:firstLineChars="0"/>
              <w:jc w:val="center"/>
              <w:rPr>
                <w:b/>
                <w:bCs/>
                <w:sz w:val="21"/>
                <w:szCs w:val="21"/>
              </w:rPr>
            </w:pPr>
          </w:p>
        </w:tc>
      </w:tr>
    </w:tbl>
    <w:p>
      <w:pPr>
        <w:spacing w:beforeLines="50"/>
        <w:ind w:firstLine="480"/>
        <w:sectPr>
          <w:pgSz w:w="16838" w:h="11905" w:orient="landscape"/>
          <w:pgMar w:top="1417" w:right="1417" w:bottom="1417" w:left="1417" w:header="850" w:footer="992" w:gutter="0"/>
          <w:cols w:space="720" w:num="1"/>
          <w:docGrid w:linePitch="312" w:charSpace="0"/>
        </w:sectPr>
      </w:pPr>
    </w:p>
    <w:p>
      <w:pPr>
        <w:spacing w:beforeLines="50"/>
        <w:ind w:firstLine="480"/>
      </w:pPr>
      <w:r>
        <w:t>依据道路网规划，竖向设计控制点主要指园区内道路交叉点的标高。道路纵坡和控制点标高在满足建筑布局、少填少挖、排水纵坡、道路交通纵坡、工程管线敷设要求及利用原有地形要求等的基础上，由低至高，由外及里，逐点推算而得。本次规划道路的设计坡度以0.2％为主。低洼地区为减少填方，最小坡度不低于0.1％。山体挖方区域，道路最大坡度控制在6％。</w:t>
      </w:r>
    </w:p>
    <w:p>
      <w:pPr>
        <w:ind w:firstLine="480"/>
      </w:pPr>
      <w:r>
        <w:t>2、道路指标规划</w:t>
      </w:r>
    </w:p>
    <w:p>
      <w:pPr>
        <w:ind w:firstLine="480"/>
      </w:pPr>
      <w:r>
        <w:t>道路纵坡：规划道路的设计最小坡度不低于0.1％，道路最大坡度控制在6％。</w:t>
      </w:r>
    </w:p>
    <w:p>
      <w:pPr>
        <w:widowControl/>
        <w:ind w:firstLine="480"/>
      </w:pPr>
      <w:r>
        <w:t>交叉口设置：</w:t>
      </w:r>
      <w:r>
        <w:rPr>
          <w:kern w:val="0"/>
          <w:szCs w:val="24"/>
        </w:rPr>
        <w:t>交叉口考虑全部采用平面交叉，平交口平面根据规划要求进行设置。竖向高程设计以控规为准，满足排水要求，道路交叉方式为T字型或十字形平面交叉，并适当在主要交叉路口设置红绿灯。</w:t>
      </w:r>
    </w:p>
    <w:p>
      <w:pPr>
        <w:ind w:firstLine="480"/>
      </w:pPr>
      <w:r>
        <w:t>交叉口转弯半径：交叉口路缘石的转弯半径常按圆曲线布置，转弯半径一般根据车型、道路性质、横断面形式、车速来综合考虑。道路转弯半径主干道：20～30m；次干道：15～20m；非主次道路：10～20m。同类（级）道路相交时按本级道路取值，与低一级道路相交时可按低一级道路取值，机动车专用道选取较大的转角半径，设有非机动车道的道路选取较小的转角半径。道路转弯半径控制详见下表。</w:t>
      </w:r>
    </w:p>
    <w:p>
      <w:pPr>
        <w:ind w:firstLine="0" w:firstLineChars="0"/>
        <w:jc w:val="center"/>
      </w:pPr>
      <w:r>
        <w:rPr>
          <w:b/>
          <w:bCs/>
        </w:rPr>
        <w:t>表2.1-9道路转弯半径控制表（单位：m）</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321"/>
        <w:gridCol w:w="2322"/>
        <w:gridCol w:w="2322"/>
        <w:gridCol w:w="232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2321" w:type="dxa"/>
            <w:vAlign w:val="center"/>
          </w:tcPr>
          <w:p>
            <w:pPr>
              <w:spacing w:line="240" w:lineRule="auto"/>
              <w:ind w:firstLine="0" w:firstLineChars="0"/>
              <w:jc w:val="center"/>
              <w:rPr>
                <w:b/>
                <w:bCs/>
                <w:sz w:val="21"/>
                <w:szCs w:val="21"/>
              </w:rPr>
            </w:pPr>
            <w:r>
              <w:rPr>
                <w:b/>
                <w:bCs/>
                <w:sz w:val="21"/>
                <w:szCs w:val="21"/>
              </w:rPr>
              <w:t>道路等级</w:t>
            </w:r>
          </w:p>
        </w:tc>
        <w:tc>
          <w:tcPr>
            <w:tcW w:w="2322" w:type="dxa"/>
            <w:vAlign w:val="center"/>
          </w:tcPr>
          <w:p>
            <w:pPr>
              <w:spacing w:line="240" w:lineRule="auto"/>
              <w:ind w:firstLine="0" w:firstLineChars="0"/>
              <w:jc w:val="center"/>
              <w:rPr>
                <w:b/>
                <w:bCs/>
                <w:sz w:val="21"/>
                <w:szCs w:val="21"/>
              </w:rPr>
            </w:pPr>
            <w:r>
              <w:rPr>
                <w:b/>
                <w:bCs/>
                <w:sz w:val="21"/>
                <w:szCs w:val="21"/>
              </w:rPr>
              <w:t>主干道</w:t>
            </w:r>
          </w:p>
        </w:tc>
        <w:tc>
          <w:tcPr>
            <w:tcW w:w="2322" w:type="dxa"/>
            <w:vAlign w:val="center"/>
          </w:tcPr>
          <w:p>
            <w:pPr>
              <w:spacing w:line="240" w:lineRule="auto"/>
              <w:ind w:firstLine="0" w:firstLineChars="0"/>
              <w:jc w:val="center"/>
              <w:rPr>
                <w:b/>
                <w:bCs/>
                <w:sz w:val="21"/>
                <w:szCs w:val="21"/>
              </w:rPr>
            </w:pPr>
            <w:r>
              <w:rPr>
                <w:b/>
                <w:bCs/>
                <w:sz w:val="21"/>
                <w:szCs w:val="21"/>
              </w:rPr>
              <w:t>次干道</w:t>
            </w:r>
          </w:p>
        </w:tc>
        <w:tc>
          <w:tcPr>
            <w:tcW w:w="2322" w:type="dxa"/>
            <w:vAlign w:val="center"/>
          </w:tcPr>
          <w:p>
            <w:pPr>
              <w:spacing w:line="240" w:lineRule="auto"/>
              <w:ind w:firstLine="0" w:firstLineChars="0"/>
              <w:jc w:val="center"/>
              <w:rPr>
                <w:b/>
                <w:bCs/>
                <w:sz w:val="21"/>
                <w:szCs w:val="21"/>
              </w:rPr>
            </w:pPr>
            <w:r>
              <w:rPr>
                <w:b/>
                <w:bCs/>
                <w:sz w:val="21"/>
                <w:szCs w:val="21"/>
              </w:rPr>
              <w:t>支路</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21" w:type="dxa"/>
            <w:vAlign w:val="center"/>
          </w:tcPr>
          <w:p>
            <w:pPr>
              <w:spacing w:line="240" w:lineRule="auto"/>
              <w:ind w:firstLine="0" w:firstLineChars="0"/>
              <w:jc w:val="center"/>
              <w:rPr>
                <w:sz w:val="21"/>
                <w:szCs w:val="21"/>
              </w:rPr>
            </w:pPr>
            <w:r>
              <w:rPr>
                <w:sz w:val="21"/>
                <w:szCs w:val="21"/>
              </w:rPr>
              <w:t>主干道</w:t>
            </w:r>
          </w:p>
        </w:tc>
        <w:tc>
          <w:tcPr>
            <w:tcW w:w="2322" w:type="dxa"/>
            <w:vAlign w:val="center"/>
          </w:tcPr>
          <w:p>
            <w:pPr>
              <w:spacing w:line="240" w:lineRule="auto"/>
              <w:ind w:firstLine="0" w:firstLineChars="0"/>
              <w:jc w:val="center"/>
              <w:rPr>
                <w:sz w:val="21"/>
                <w:szCs w:val="21"/>
              </w:rPr>
            </w:pPr>
            <w:r>
              <w:rPr>
                <w:sz w:val="21"/>
                <w:szCs w:val="21"/>
              </w:rPr>
              <w:t>25</w:t>
            </w:r>
          </w:p>
        </w:tc>
        <w:tc>
          <w:tcPr>
            <w:tcW w:w="2322" w:type="dxa"/>
            <w:vAlign w:val="center"/>
          </w:tcPr>
          <w:p>
            <w:pPr>
              <w:spacing w:line="240" w:lineRule="auto"/>
              <w:ind w:firstLine="0" w:firstLineChars="0"/>
              <w:jc w:val="center"/>
              <w:rPr>
                <w:sz w:val="21"/>
                <w:szCs w:val="21"/>
              </w:rPr>
            </w:pPr>
            <w:r>
              <w:rPr>
                <w:sz w:val="21"/>
                <w:szCs w:val="21"/>
              </w:rPr>
              <w:t>20</w:t>
            </w:r>
          </w:p>
        </w:tc>
        <w:tc>
          <w:tcPr>
            <w:tcW w:w="2322" w:type="dxa"/>
            <w:vAlign w:val="center"/>
          </w:tcPr>
          <w:p>
            <w:pPr>
              <w:spacing w:line="240" w:lineRule="auto"/>
              <w:ind w:firstLine="0" w:firstLineChars="0"/>
              <w:jc w:val="center"/>
              <w:rPr>
                <w:sz w:val="21"/>
                <w:szCs w:val="21"/>
              </w:rPr>
            </w:pPr>
            <w:r>
              <w:rPr>
                <w:sz w:val="21"/>
                <w:szCs w:val="21"/>
              </w:rPr>
              <w:t>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21" w:type="dxa"/>
            <w:vAlign w:val="center"/>
          </w:tcPr>
          <w:p>
            <w:pPr>
              <w:spacing w:line="240" w:lineRule="auto"/>
              <w:ind w:firstLine="0" w:firstLineChars="0"/>
              <w:jc w:val="center"/>
              <w:rPr>
                <w:sz w:val="21"/>
                <w:szCs w:val="21"/>
              </w:rPr>
            </w:pPr>
            <w:r>
              <w:rPr>
                <w:sz w:val="21"/>
                <w:szCs w:val="21"/>
              </w:rPr>
              <w:t>次干道</w:t>
            </w:r>
          </w:p>
        </w:tc>
        <w:tc>
          <w:tcPr>
            <w:tcW w:w="2322" w:type="dxa"/>
            <w:vAlign w:val="center"/>
          </w:tcPr>
          <w:p>
            <w:pPr>
              <w:spacing w:line="240" w:lineRule="auto"/>
              <w:ind w:firstLine="0" w:firstLineChars="0"/>
              <w:jc w:val="center"/>
              <w:rPr>
                <w:sz w:val="21"/>
                <w:szCs w:val="21"/>
              </w:rPr>
            </w:pPr>
            <w:r>
              <w:rPr>
                <w:sz w:val="21"/>
                <w:szCs w:val="21"/>
              </w:rPr>
              <w:t>20</w:t>
            </w:r>
          </w:p>
        </w:tc>
        <w:tc>
          <w:tcPr>
            <w:tcW w:w="2322" w:type="dxa"/>
            <w:vAlign w:val="center"/>
          </w:tcPr>
          <w:p>
            <w:pPr>
              <w:spacing w:line="240" w:lineRule="auto"/>
              <w:ind w:firstLine="0" w:firstLineChars="0"/>
              <w:jc w:val="center"/>
              <w:rPr>
                <w:sz w:val="21"/>
                <w:szCs w:val="21"/>
              </w:rPr>
            </w:pPr>
            <w:r>
              <w:rPr>
                <w:sz w:val="21"/>
                <w:szCs w:val="21"/>
              </w:rPr>
              <w:t>15</w:t>
            </w:r>
          </w:p>
        </w:tc>
        <w:tc>
          <w:tcPr>
            <w:tcW w:w="2322" w:type="dxa"/>
            <w:vAlign w:val="center"/>
          </w:tcPr>
          <w:p>
            <w:pPr>
              <w:spacing w:line="240" w:lineRule="auto"/>
              <w:ind w:firstLine="0" w:firstLineChars="0"/>
              <w:jc w:val="center"/>
              <w:rPr>
                <w:sz w:val="21"/>
                <w:szCs w:val="21"/>
              </w:rPr>
            </w:pPr>
            <w:r>
              <w:rPr>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21" w:type="dxa"/>
            <w:vAlign w:val="center"/>
          </w:tcPr>
          <w:p>
            <w:pPr>
              <w:spacing w:line="240" w:lineRule="auto"/>
              <w:ind w:firstLine="0" w:firstLineChars="0"/>
              <w:jc w:val="center"/>
              <w:rPr>
                <w:sz w:val="21"/>
                <w:szCs w:val="21"/>
              </w:rPr>
            </w:pPr>
            <w:r>
              <w:rPr>
                <w:sz w:val="21"/>
                <w:szCs w:val="21"/>
              </w:rPr>
              <w:t>支路</w:t>
            </w:r>
          </w:p>
        </w:tc>
        <w:tc>
          <w:tcPr>
            <w:tcW w:w="2322" w:type="dxa"/>
            <w:vAlign w:val="center"/>
          </w:tcPr>
          <w:p>
            <w:pPr>
              <w:spacing w:line="240" w:lineRule="auto"/>
              <w:ind w:firstLine="0" w:firstLineChars="0"/>
              <w:jc w:val="center"/>
              <w:rPr>
                <w:sz w:val="21"/>
                <w:szCs w:val="21"/>
              </w:rPr>
            </w:pPr>
            <w:r>
              <w:rPr>
                <w:sz w:val="21"/>
                <w:szCs w:val="21"/>
              </w:rPr>
              <w:t>15</w:t>
            </w:r>
          </w:p>
        </w:tc>
        <w:tc>
          <w:tcPr>
            <w:tcW w:w="2322" w:type="dxa"/>
            <w:vAlign w:val="center"/>
          </w:tcPr>
          <w:p>
            <w:pPr>
              <w:spacing w:line="240" w:lineRule="auto"/>
              <w:ind w:firstLine="0" w:firstLineChars="0"/>
              <w:jc w:val="center"/>
              <w:rPr>
                <w:sz w:val="21"/>
                <w:szCs w:val="21"/>
              </w:rPr>
            </w:pPr>
            <w:r>
              <w:rPr>
                <w:sz w:val="21"/>
                <w:szCs w:val="21"/>
              </w:rPr>
              <w:t>10</w:t>
            </w:r>
          </w:p>
        </w:tc>
        <w:tc>
          <w:tcPr>
            <w:tcW w:w="2322" w:type="dxa"/>
            <w:vAlign w:val="center"/>
          </w:tcPr>
          <w:p>
            <w:pPr>
              <w:spacing w:line="240" w:lineRule="auto"/>
              <w:ind w:firstLine="0" w:firstLineChars="0"/>
              <w:jc w:val="center"/>
              <w:rPr>
                <w:sz w:val="21"/>
                <w:szCs w:val="21"/>
              </w:rPr>
            </w:pPr>
            <w:r>
              <w:rPr>
                <w:sz w:val="21"/>
                <w:szCs w:val="21"/>
              </w:rPr>
              <w:t>10</w:t>
            </w:r>
          </w:p>
        </w:tc>
      </w:tr>
    </w:tbl>
    <w:p>
      <w:pPr>
        <w:spacing w:beforeLines="50"/>
        <w:ind w:firstLine="480"/>
      </w:pPr>
      <w:r>
        <w:t>3、道路等级及横断面规划</w:t>
      </w:r>
    </w:p>
    <w:p>
      <w:pPr>
        <w:ind w:firstLine="480"/>
      </w:pPr>
      <w:r>
        <w:t>主干道：园区内的主干道道路红线控制宽度为40～60m，40m断面形式为三块板，60m断面形式为四块板。</w:t>
      </w:r>
    </w:p>
    <w:p>
      <w:pPr>
        <w:ind w:firstLine="480"/>
      </w:pPr>
      <w:r>
        <w:t>次干道：主要功能是分流，与城市主干道网一起构成道路网骨架，兼有交通和生活双重功能。道路红线控制宽度24～30m，断面形式均为一块板。</w:t>
      </w:r>
    </w:p>
    <w:p>
      <w:pPr>
        <w:ind w:firstLine="480"/>
      </w:pPr>
      <w:r>
        <w:t>支路：主要连接园区内部各功能区及次干道，为内部交通服务，道路红线控制宽度12～20m，断面形式均为一块板。规划道路断面详见下表。</w:t>
      </w:r>
    </w:p>
    <w:p>
      <w:pPr>
        <w:ind w:firstLine="0" w:firstLineChars="0"/>
        <w:jc w:val="left"/>
        <w:rPr>
          <w:b/>
          <w:bCs/>
        </w:rPr>
      </w:pPr>
      <w:r>
        <w:rPr>
          <w:b/>
          <w:bCs/>
        </w:rPr>
        <w:br w:type="page"/>
      </w:r>
    </w:p>
    <w:p>
      <w:pPr>
        <w:ind w:firstLine="0" w:firstLineChars="0"/>
        <w:jc w:val="center"/>
        <w:rPr>
          <w:b/>
          <w:bCs/>
        </w:rPr>
      </w:pPr>
      <w:r>
        <w:rPr>
          <w:b/>
          <w:bCs/>
        </w:rPr>
        <w:t>表2.1-10规划道路断面一览表（单位：m）</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526"/>
        <w:gridCol w:w="1013"/>
        <w:gridCol w:w="836"/>
        <w:gridCol w:w="866"/>
        <w:gridCol w:w="960"/>
        <w:gridCol w:w="898"/>
        <w:gridCol w:w="1906"/>
        <w:gridCol w:w="1323"/>
        <w:gridCol w:w="95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83" w:type="pct"/>
            <w:vAlign w:val="center"/>
          </w:tcPr>
          <w:p>
            <w:pPr>
              <w:widowControl/>
              <w:spacing w:line="240" w:lineRule="auto"/>
              <w:ind w:firstLine="0" w:firstLineChars="0"/>
              <w:jc w:val="center"/>
              <w:rPr>
                <w:b/>
                <w:bCs/>
                <w:kern w:val="0"/>
                <w:sz w:val="21"/>
                <w:szCs w:val="21"/>
              </w:rPr>
            </w:pPr>
            <w:r>
              <w:rPr>
                <w:b/>
                <w:bCs/>
                <w:kern w:val="0"/>
                <w:sz w:val="21"/>
                <w:szCs w:val="21"/>
              </w:rPr>
              <w:t>序号</w:t>
            </w:r>
          </w:p>
        </w:tc>
        <w:tc>
          <w:tcPr>
            <w:tcW w:w="545" w:type="pct"/>
            <w:vAlign w:val="center"/>
          </w:tcPr>
          <w:p>
            <w:pPr>
              <w:widowControl/>
              <w:spacing w:line="240" w:lineRule="auto"/>
              <w:ind w:firstLine="0" w:firstLineChars="0"/>
              <w:jc w:val="center"/>
              <w:rPr>
                <w:b/>
                <w:bCs/>
                <w:kern w:val="0"/>
                <w:sz w:val="21"/>
                <w:szCs w:val="21"/>
              </w:rPr>
            </w:pPr>
            <w:r>
              <w:rPr>
                <w:b/>
                <w:bCs/>
                <w:kern w:val="0"/>
                <w:sz w:val="21"/>
                <w:szCs w:val="21"/>
              </w:rPr>
              <w:t>道路</w:t>
            </w:r>
          </w:p>
          <w:p>
            <w:pPr>
              <w:widowControl/>
              <w:spacing w:line="240" w:lineRule="auto"/>
              <w:ind w:firstLine="0" w:firstLineChars="0"/>
              <w:jc w:val="center"/>
              <w:rPr>
                <w:b/>
                <w:bCs/>
                <w:kern w:val="0"/>
                <w:sz w:val="21"/>
                <w:szCs w:val="21"/>
              </w:rPr>
            </w:pPr>
            <w:r>
              <w:rPr>
                <w:b/>
                <w:bCs/>
                <w:kern w:val="0"/>
                <w:sz w:val="21"/>
                <w:szCs w:val="21"/>
              </w:rPr>
              <w:t>名称</w:t>
            </w:r>
          </w:p>
        </w:tc>
        <w:tc>
          <w:tcPr>
            <w:tcW w:w="450" w:type="pct"/>
            <w:vAlign w:val="center"/>
          </w:tcPr>
          <w:p>
            <w:pPr>
              <w:widowControl/>
              <w:spacing w:line="240" w:lineRule="auto"/>
              <w:ind w:firstLine="0" w:firstLineChars="0"/>
              <w:jc w:val="center"/>
              <w:rPr>
                <w:b/>
                <w:bCs/>
                <w:kern w:val="0"/>
                <w:sz w:val="21"/>
                <w:szCs w:val="21"/>
              </w:rPr>
            </w:pPr>
            <w:r>
              <w:rPr>
                <w:b/>
                <w:bCs/>
                <w:kern w:val="0"/>
                <w:sz w:val="21"/>
                <w:szCs w:val="21"/>
              </w:rPr>
              <w:t>道路红线宽度</w:t>
            </w:r>
          </w:p>
        </w:tc>
        <w:tc>
          <w:tcPr>
            <w:tcW w:w="466" w:type="pct"/>
            <w:vAlign w:val="center"/>
          </w:tcPr>
          <w:p>
            <w:pPr>
              <w:widowControl/>
              <w:spacing w:line="240" w:lineRule="auto"/>
              <w:ind w:firstLine="0" w:firstLineChars="0"/>
              <w:jc w:val="center"/>
              <w:rPr>
                <w:b/>
                <w:bCs/>
                <w:kern w:val="0"/>
                <w:sz w:val="21"/>
                <w:szCs w:val="21"/>
              </w:rPr>
            </w:pPr>
            <w:r>
              <w:rPr>
                <w:b/>
                <w:bCs/>
                <w:kern w:val="0"/>
                <w:sz w:val="21"/>
                <w:szCs w:val="21"/>
              </w:rPr>
              <w:t>人行道</w:t>
            </w:r>
          </w:p>
        </w:tc>
        <w:tc>
          <w:tcPr>
            <w:tcW w:w="517" w:type="pct"/>
            <w:vAlign w:val="center"/>
          </w:tcPr>
          <w:p>
            <w:pPr>
              <w:widowControl/>
              <w:spacing w:line="240" w:lineRule="auto"/>
              <w:ind w:firstLine="0" w:firstLineChars="0"/>
              <w:jc w:val="center"/>
              <w:rPr>
                <w:b/>
                <w:bCs/>
                <w:kern w:val="0"/>
                <w:sz w:val="21"/>
                <w:szCs w:val="21"/>
              </w:rPr>
            </w:pPr>
            <w:r>
              <w:rPr>
                <w:b/>
                <w:bCs/>
                <w:kern w:val="0"/>
                <w:sz w:val="21"/>
                <w:szCs w:val="21"/>
              </w:rPr>
              <w:t>非机动车道</w:t>
            </w:r>
          </w:p>
        </w:tc>
        <w:tc>
          <w:tcPr>
            <w:tcW w:w="484" w:type="pct"/>
            <w:vAlign w:val="center"/>
          </w:tcPr>
          <w:p>
            <w:pPr>
              <w:widowControl/>
              <w:spacing w:line="240" w:lineRule="auto"/>
              <w:ind w:firstLine="0" w:firstLineChars="0"/>
              <w:jc w:val="center"/>
              <w:rPr>
                <w:b/>
                <w:bCs/>
                <w:kern w:val="0"/>
                <w:sz w:val="21"/>
                <w:szCs w:val="21"/>
              </w:rPr>
            </w:pPr>
            <w:r>
              <w:rPr>
                <w:b/>
                <w:bCs/>
                <w:kern w:val="0"/>
                <w:sz w:val="21"/>
                <w:szCs w:val="21"/>
              </w:rPr>
              <w:t>路侧绿化带</w:t>
            </w:r>
          </w:p>
        </w:tc>
        <w:tc>
          <w:tcPr>
            <w:tcW w:w="1026" w:type="pct"/>
            <w:vAlign w:val="center"/>
          </w:tcPr>
          <w:p>
            <w:pPr>
              <w:widowControl/>
              <w:spacing w:line="240" w:lineRule="auto"/>
              <w:ind w:firstLine="0" w:firstLineChars="0"/>
              <w:jc w:val="center"/>
              <w:rPr>
                <w:b/>
                <w:bCs/>
                <w:kern w:val="0"/>
                <w:sz w:val="21"/>
                <w:szCs w:val="21"/>
              </w:rPr>
            </w:pPr>
            <w:r>
              <w:rPr>
                <w:b/>
                <w:bCs/>
                <w:kern w:val="0"/>
                <w:sz w:val="21"/>
                <w:szCs w:val="21"/>
              </w:rPr>
              <w:t>机动车车道</w:t>
            </w:r>
          </w:p>
        </w:tc>
        <w:tc>
          <w:tcPr>
            <w:tcW w:w="712" w:type="pct"/>
            <w:vAlign w:val="center"/>
          </w:tcPr>
          <w:p>
            <w:pPr>
              <w:widowControl/>
              <w:spacing w:line="240" w:lineRule="auto"/>
              <w:ind w:firstLine="0" w:firstLineChars="0"/>
              <w:jc w:val="center"/>
              <w:rPr>
                <w:b/>
                <w:bCs/>
                <w:kern w:val="0"/>
                <w:sz w:val="21"/>
                <w:szCs w:val="21"/>
              </w:rPr>
            </w:pPr>
            <w:r>
              <w:rPr>
                <w:b/>
                <w:bCs/>
                <w:kern w:val="0"/>
                <w:sz w:val="21"/>
                <w:szCs w:val="21"/>
              </w:rPr>
              <w:t>道路中心线（双黄线）</w:t>
            </w:r>
          </w:p>
        </w:tc>
        <w:tc>
          <w:tcPr>
            <w:tcW w:w="513" w:type="pct"/>
            <w:vAlign w:val="center"/>
          </w:tcPr>
          <w:p>
            <w:pPr>
              <w:widowControl/>
              <w:spacing w:line="240" w:lineRule="auto"/>
              <w:ind w:firstLine="0" w:firstLineChars="0"/>
              <w:jc w:val="center"/>
              <w:rPr>
                <w:b/>
                <w:bCs/>
                <w:kern w:val="0"/>
                <w:sz w:val="21"/>
                <w:szCs w:val="21"/>
              </w:rPr>
            </w:pPr>
            <w:r>
              <w:rPr>
                <w:b/>
                <w:bCs/>
                <w:kern w:val="0"/>
                <w:sz w:val="21"/>
                <w:szCs w:val="21"/>
              </w:rPr>
              <w:t>绿化带</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83" w:type="pct"/>
            <w:vAlign w:val="center"/>
          </w:tcPr>
          <w:p>
            <w:pPr>
              <w:widowControl/>
              <w:spacing w:line="240" w:lineRule="auto"/>
              <w:ind w:firstLine="0" w:firstLineChars="0"/>
              <w:jc w:val="center"/>
              <w:rPr>
                <w:kern w:val="0"/>
                <w:sz w:val="21"/>
                <w:szCs w:val="21"/>
              </w:rPr>
            </w:pPr>
            <w:r>
              <w:rPr>
                <w:kern w:val="0"/>
                <w:sz w:val="21"/>
                <w:szCs w:val="21"/>
              </w:rPr>
              <w:t>1</w:t>
            </w:r>
          </w:p>
        </w:tc>
        <w:tc>
          <w:tcPr>
            <w:tcW w:w="545" w:type="pct"/>
            <w:vAlign w:val="center"/>
          </w:tcPr>
          <w:p>
            <w:pPr>
              <w:widowControl/>
              <w:spacing w:line="240" w:lineRule="auto"/>
              <w:ind w:firstLine="0" w:firstLineChars="0"/>
              <w:jc w:val="center"/>
              <w:rPr>
                <w:kern w:val="0"/>
                <w:sz w:val="21"/>
                <w:szCs w:val="21"/>
              </w:rPr>
            </w:pPr>
            <w:r>
              <w:rPr>
                <w:kern w:val="0"/>
                <w:sz w:val="21"/>
                <w:szCs w:val="21"/>
              </w:rPr>
              <w:t>龙翔路</w:t>
            </w:r>
          </w:p>
        </w:tc>
        <w:tc>
          <w:tcPr>
            <w:tcW w:w="450" w:type="pct"/>
            <w:vAlign w:val="center"/>
          </w:tcPr>
          <w:p>
            <w:pPr>
              <w:widowControl/>
              <w:spacing w:line="240" w:lineRule="auto"/>
              <w:ind w:firstLine="0" w:firstLineChars="0"/>
              <w:jc w:val="center"/>
              <w:rPr>
                <w:kern w:val="0"/>
                <w:sz w:val="21"/>
                <w:szCs w:val="21"/>
              </w:rPr>
            </w:pPr>
            <w:r>
              <w:rPr>
                <w:kern w:val="0"/>
                <w:sz w:val="21"/>
                <w:szCs w:val="21"/>
              </w:rPr>
              <w:t>70</w:t>
            </w:r>
          </w:p>
        </w:tc>
        <w:tc>
          <w:tcPr>
            <w:tcW w:w="466" w:type="pct"/>
            <w:vAlign w:val="center"/>
          </w:tcPr>
          <w:p>
            <w:pPr>
              <w:widowControl/>
              <w:spacing w:line="240" w:lineRule="auto"/>
              <w:ind w:firstLine="0" w:firstLineChars="0"/>
              <w:jc w:val="center"/>
              <w:rPr>
                <w:kern w:val="0"/>
                <w:sz w:val="21"/>
                <w:szCs w:val="21"/>
              </w:rPr>
            </w:pPr>
            <w:r>
              <w:rPr>
                <w:kern w:val="0"/>
                <w:sz w:val="21"/>
                <w:szCs w:val="21"/>
              </w:rPr>
              <w:t>2*3</w:t>
            </w:r>
          </w:p>
        </w:tc>
        <w:tc>
          <w:tcPr>
            <w:tcW w:w="517" w:type="pct"/>
            <w:vAlign w:val="center"/>
          </w:tcPr>
          <w:p>
            <w:pPr>
              <w:widowControl/>
              <w:spacing w:line="240" w:lineRule="auto"/>
              <w:ind w:firstLine="0" w:firstLineChars="0"/>
              <w:jc w:val="center"/>
              <w:rPr>
                <w:kern w:val="0"/>
                <w:sz w:val="21"/>
                <w:szCs w:val="21"/>
              </w:rPr>
            </w:pPr>
            <w:r>
              <w:rPr>
                <w:kern w:val="0"/>
                <w:sz w:val="21"/>
                <w:szCs w:val="21"/>
              </w:rPr>
              <w:t>2*3.5</w:t>
            </w:r>
          </w:p>
        </w:tc>
        <w:tc>
          <w:tcPr>
            <w:tcW w:w="484" w:type="pct"/>
            <w:vAlign w:val="center"/>
          </w:tcPr>
          <w:p>
            <w:pPr>
              <w:widowControl/>
              <w:spacing w:line="240" w:lineRule="auto"/>
              <w:ind w:firstLine="0" w:firstLineChars="0"/>
              <w:jc w:val="center"/>
              <w:rPr>
                <w:kern w:val="0"/>
                <w:sz w:val="21"/>
                <w:szCs w:val="21"/>
              </w:rPr>
            </w:pPr>
            <w:r>
              <w:rPr>
                <w:kern w:val="0"/>
                <w:sz w:val="21"/>
                <w:szCs w:val="21"/>
              </w:rPr>
              <w:t>-</w:t>
            </w:r>
          </w:p>
        </w:tc>
        <w:tc>
          <w:tcPr>
            <w:tcW w:w="1026" w:type="pct"/>
            <w:vAlign w:val="center"/>
          </w:tcPr>
          <w:p>
            <w:pPr>
              <w:widowControl/>
              <w:spacing w:line="240" w:lineRule="auto"/>
              <w:ind w:firstLine="0" w:firstLineChars="0"/>
              <w:jc w:val="center"/>
              <w:rPr>
                <w:kern w:val="0"/>
                <w:sz w:val="21"/>
                <w:szCs w:val="21"/>
              </w:rPr>
            </w:pPr>
            <w:r>
              <w:rPr>
                <w:kern w:val="0"/>
                <w:sz w:val="21"/>
                <w:szCs w:val="21"/>
              </w:rPr>
              <w:t>2*（3.75+3.5）</w:t>
            </w:r>
          </w:p>
        </w:tc>
        <w:tc>
          <w:tcPr>
            <w:tcW w:w="712" w:type="pct"/>
            <w:vAlign w:val="center"/>
          </w:tcPr>
          <w:p>
            <w:pPr>
              <w:widowControl/>
              <w:spacing w:line="240" w:lineRule="auto"/>
              <w:ind w:firstLine="0" w:firstLineChars="0"/>
              <w:jc w:val="center"/>
              <w:rPr>
                <w:kern w:val="0"/>
                <w:sz w:val="21"/>
                <w:szCs w:val="21"/>
              </w:rPr>
            </w:pPr>
            <w:r>
              <w:rPr>
                <w:kern w:val="0"/>
                <w:sz w:val="21"/>
                <w:szCs w:val="21"/>
              </w:rPr>
              <w:t>1.0</w:t>
            </w:r>
          </w:p>
        </w:tc>
        <w:tc>
          <w:tcPr>
            <w:tcW w:w="513" w:type="pct"/>
            <w:vAlign w:val="center"/>
          </w:tcPr>
          <w:p>
            <w:pPr>
              <w:widowControl/>
              <w:spacing w:line="240" w:lineRule="auto"/>
              <w:ind w:firstLine="0" w:firstLineChars="0"/>
              <w:jc w:val="center"/>
              <w:rPr>
                <w:kern w:val="0"/>
                <w:sz w:val="21"/>
                <w:szCs w:val="21"/>
              </w:rPr>
            </w:pPr>
            <w:r>
              <w:rPr>
                <w:kern w:val="0"/>
                <w:sz w:val="21"/>
                <w:szCs w:val="21"/>
              </w:rPr>
              <w:t>2*20.25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83" w:type="pct"/>
            <w:vAlign w:val="center"/>
          </w:tcPr>
          <w:p>
            <w:pPr>
              <w:widowControl/>
              <w:spacing w:line="240" w:lineRule="auto"/>
              <w:ind w:firstLine="0" w:firstLineChars="0"/>
              <w:jc w:val="center"/>
              <w:rPr>
                <w:kern w:val="0"/>
                <w:sz w:val="21"/>
                <w:szCs w:val="21"/>
              </w:rPr>
            </w:pPr>
            <w:r>
              <w:rPr>
                <w:kern w:val="0"/>
                <w:sz w:val="21"/>
                <w:szCs w:val="21"/>
              </w:rPr>
              <w:t>2</w:t>
            </w:r>
          </w:p>
        </w:tc>
        <w:tc>
          <w:tcPr>
            <w:tcW w:w="545" w:type="pct"/>
            <w:vAlign w:val="center"/>
          </w:tcPr>
          <w:p>
            <w:pPr>
              <w:widowControl/>
              <w:spacing w:line="240" w:lineRule="auto"/>
              <w:ind w:firstLine="0" w:firstLineChars="0"/>
              <w:jc w:val="center"/>
              <w:rPr>
                <w:kern w:val="0"/>
                <w:sz w:val="21"/>
                <w:szCs w:val="21"/>
              </w:rPr>
            </w:pPr>
            <w:r>
              <w:rPr>
                <w:kern w:val="0"/>
                <w:sz w:val="21"/>
                <w:szCs w:val="21"/>
              </w:rPr>
              <w:t>北二路</w:t>
            </w:r>
          </w:p>
        </w:tc>
        <w:tc>
          <w:tcPr>
            <w:tcW w:w="450" w:type="pct"/>
            <w:vAlign w:val="center"/>
          </w:tcPr>
          <w:p>
            <w:pPr>
              <w:widowControl/>
              <w:spacing w:line="240" w:lineRule="auto"/>
              <w:ind w:firstLine="0" w:firstLineChars="0"/>
              <w:jc w:val="center"/>
              <w:rPr>
                <w:kern w:val="0"/>
                <w:sz w:val="21"/>
                <w:szCs w:val="21"/>
              </w:rPr>
            </w:pPr>
            <w:r>
              <w:rPr>
                <w:kern w:val="0"/>
                <w:sz w:val="21"/>
                <w:szCs w:val="21"/>
              </w:rPr>
              <w:t>60</w:t>
            </w:r>
          </w:p>
        </w:tc>
        <w:tc>
          <w:tcPr>
            <w:tcW w:w="466" w:type="pct"/>
            <w:vAlign w:val="center"/>
          </w:tcPr>
          <w:p>
            <w:pPr>
              <w:widowControl/>
              <w:spacing w:line="240" w:lineRule="auto"/>
              <w:ind w:firstLine="0" w:firstLineChars="0"/>
              <w:jc w:val="center"/>
              <w:rPr>
                <w:kern w:val="0"/>
                <w:sz w:val="21"/>
                <w:szCs w:val="21"/>
              </w:rPr>
            </w:pPr>
            <w:r>
              <w:rPr>
                <w:kern w:val="0"/>
                <w:sz w:val="21"/>
                <w:szCs w:val="21"/>
              </w:rPr>
              <w:t>2*3</w:t>
            </w:r>
          </w:p>
        </w:tc>
        <w:tc>
          <w:tcPr>
            <w:tcW w:w="517" w:type="pct"/>
            <w:vAlign w:val="center"/>
          </w:tcPr>
          <w:p>
            <w:pPr>
              <w:widowControl/>
              <w:spacing w:line="240" w:lineRule="auto"/>
              <w:ind w:firstLine="0" w:firstLineChars="0"/>
              <w:jc w:val="center"/>
              <w:rPr>
                <w:kern w:val="0"/>
                <w:sz w:val="21"/>
                <w:szCs w:val="21"/>
              </w:rPr>
            </w:pPr>
            <w:r>
              <w:rPr>
                <w:kern w:val="0"/>
                <w:sz w:val="21"/>
                <w:szCs w:val="21"/>
              </w:rPr>
              <w:t>2*3.5</w:t>
            </w:r>
          </w:p>
        </w:tc>
        <w:tc>
          <w:tcPr>
            <w:tcW w:w="484" w:type="pct"/>
            <w:vAlign w:val="center"/>
          </w:tcPr>
          <w:p>
            <w:pPr>
              <w:widowControl/>
              <w:spacing w:line="240" w:lineRule="auto"/>
              <w:ind w:firstLine="0" w:firstLineChars="0"/>
              <w:jc w:val="center"/>
              <w:rPr>
                <w:kern w:val="0"/>
                <w:sz w:val="21"/>
                <w:szCs w:val="21"/>
              </w:rPr>
            </w:pPr>
            <w:r>
              <w:rPr>
                <w:kern w:val="0"/>
                <w:sz w:val="21"/>
                <w:szCs w:val="21"/>
              </w:rPr>
              <w:t>2*2.5</w:t>
            </w:r>
          </w:p>
        </w:tc>
        <w:tc>
          <w:tcPr>
            <w:tcW w:w="1026" w:type="pct"/>
            <w:vAlign w:val="center"/>
          </w:tcPr>
          <w:p>
            <w:pPr>
              <w:widowControl/>
              <w:spacing w:line="240" w:lineRule="auto"/>
              <w:ind w:firstLine="0" w:firstLineChars="0"/>
              <w:jc w:val="center"/>
              <w:rPr>
                <w:kern w:val="0"/>
                <w:sz w:val="21"/>
                <w:szCs w:val="21"/>
              </w:rPr>
            </w:pPr>
            <w:r>
              <w:rPr>
                <w:kern w:val="0"/>
                <w:sz w:val="21"/>
                <w:szCs w:val="21"/>
              </w:rPr>
              <w:t>2*（3.55+3.5+3.25）</w:t>
            </w:r>
          </w:p>
        </w:tc>
        <w:tc>
          <w:tcPr>
            <w:tcW w:w="712" w:type="pct"/>
            <w:vAlign w:val="center"/>
          </w:tcPr>
          <w:p>
            <w:pPr>
              <w:widowControl/>
              <w:spacing w:line="240" w:lineRule="auto"/>
              <w:ind w:firstLine="0" w:firstLineChars="0"/>
              <w:jc w:val="center"/>
              <w:rPr>
                <w:kern w:val="0"/>
                <w:sz w:val="21"/>
                <w:szCs w:val="21"/>
              </w:rPr>
            </w:pPr>
            <w:r>
              <w:rPr>
                <w:kern w:val="0"/>
                <w:sz w:val="21"/>
                <w:szCs w:val="21"/>
              </w:rPr>
              <w:t>0.50</w:t>
            </w:r>
          </w:p>
        </w:tc>
        <w:tc>
          <w:tcPr>
            <w:tcW w:w="513" w:type="pct"/>
            <w:vAlign w:val="center"/>
          </w:tcPr>
          <w:p>
            <w:pPr>
              <w:widowControl/>
              <w:spacing w:line="240" w:lineRule="auto"/>
              <w:ind w:firstLine="0" w:firstLineChars="0"/>
              <w:jc w:val="center"/>
              <w:rPr>
                <w:kern w:val="0"/>
                <w:sz w:val="21"/>
                <w:szCs w:val="21"/>
              </w:rPr>
            </w:pPr>
            <w:r>
              <w:rPr>
                <w:kern w:val="0"/>
                <w:sz w:val="21"/>
                <w:szCs w:val="21"/>
              </w:rPr>
              <w:t>2*10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83" w:type="pct"/>
            <w:vAlign w:val="center"/>
          </w:tcPr>
          <w:p>
            <w:pPr>
              <w:widowControl/>
              <w:spacing w:line="240" w:lineRule="auto"/>
              <w:ind w:firstLine="0" w:firstLineChars="0"/>
              <w:jc w:val="center"/>
              <w:rPr>
                <w:kern w:val="0"/>
                <w:sz w:val="21"/>
                <w:szCs w:val="21"/>
              </w:rPr>
            </w:pPr>
            <w:r>
              <w:rPr>
                <w:kern w:val="0"/>
                <w:sz w:val="21"/>
                <w:szCs w:val="21"/>
              </w:rPr>
              <w:t>3</w:t>
            </w:r>
          </w:p>
        </w:tc>
        <w:tc>
          <w:tcPr>
            <w:tcW w:w="545" w:type="pct"/>
            <w:vAlign w:val="center"/>
          </w:tcPr>
          <w:p>
            <w:pPr>
              <w:widowControl/>
              <w:spacing w:line="240" w:lineRule="auto"/>
              <w:ind w:firstLine="0" w:firstLineChars="0"/>
              <w:jc w:val="center"/>
              <w:rPr>
                <w:kern w:val="0"/>
                <w:sz w:val="21"/>
                <w:szCs w:val="21"/>
              </w:rPr>
            </w:pPr>
            <w:r>
              <w:rPr>
                <w:kern w:val="0"/>
                <w:sz w:val="21"/>
                <w:szCs w:val="21"/>
              </w:rPr>
              <w:t>北一路西一路东三路凤翔路</w:t>
            </w:r>
          </w:p>
        </w:tc>
        <w:tc>
          <w:tcPr>
            <w:tcW w:w="450" w:type="pct"/>
            <w:vAlign w:val="center"/>
          </w:tcPr>
          <w:p>
            <w:pPr>
              <w:widowControl/>
              <w:spacing w:line="240" w:lineRule="auto"/>
              <w:ind w:firstLine="0" w:firstLineChars="0"/>
              <w:jc w:val="center"/>
              <w:rPr>
                <w:kern w:val="0"/>
                <w:sz w:val="21"/>
                <w:szCs w:val="21"/>
              </w:rPr>
            </w:pPr>
            <w:r>
              <w:rPr>
                <w:kern w:val="0"/>
                <w:sz w:val="21"/>
                <w:szCs w:val="21"/>
              </w:rPr>
              <w:t>40</w:t>
            </w:r>
          </w:p>
        </w:tc>
        <w:tc>
          <w:tcPr>
            <w:tcW w:w="466" w:type="pct"/>
            <w:vAlign w:val="center"/>
          </w:tcPr>
          <w:p>
            <w:pPr>
              <w:widowControl/>
              <w:spacing w:line="240" w:lineRule="auto"/>
              <w:ind w:firstLine="0" w:firstLineChars="0"/>
              <w:jc w:val="center"/>
              <w:rPr>
                <w:kern w:val="0"/>
                <w:sz w:val="21"/>
                <w:szCs w:val="21"/>
              </w:rPr>
            </w:pPr>
            <w:r>
              <w:rPr>
                <w:kern w:val="0"/>
                <w:sz w:val="21"/>
                <w:szCs w:val="21"/>
              </w:rPr>
              <w:t>2*3</w:t>
            </w:r>
          </w:p>
        </w:tc>
        <w:tc>
          <w:tcPr>
            <w:tcW w:w="517" w:type="pct"/>
            <w:vAlign w:val="center"/>
          </w:tcPr>
          <w:p>
            <w:pPr>
              <w:widowControl/>
              <w:spacing w:line="240" w:lineRule="auto"/>
              <w:ind w:firstLine="0" w:firstLineChars="0"/>
              <w:jc w:val="center"/>
              <w:rPr>
                <w:kern w:val="0"/>
                <w:sz w:val="21"/>
                <w:szCs w:val="21"/>
              </w:rPr>
            </w:pPr>
            <w:r>
              <w:rPr>
                <w:kern w:val="0"/>
                <w:sz w:val="21"/>
                <w:szCs w:val="21"/>
              </w:rPr>
              <w:t>2*4.5</w:t>
            </w:r>
          </w:p>
        </w:tc>
        <w:tc>
          <w:tcPr>
            <w:tcW w:w="484" w:type="pct"/>
            <w:vAlign w:val="center"/>
          </w:tcPr>
          <w:p>
            <w:pPr>
              <w:widowControl/>
              <w:spacing w:line="240" w:lineRule="auto"/>
              <w:ind w:firstLine="0" w:firstLineChars="0"/>
              <w:jc w:val="center"/>
              <w:rPr>
                <w:kern w:val="0"/>
                <w:sz w:val="21"/>
                <w:szCs w:val="21"/>
              </w:rPr>
            </w:pPr>
            <w:r>
              <w:rPr>
                <w:kern w:val="0"/>
                <w:sz w:val="21"/>
                <w:szCs w:val="21"/>
              </w:rPr>
              <w:t>-</w:t>
            </w:r>
          </w:p>
        </w:tc>
        <w:tc>
          <w:tcPr>
            <w:tcW w:w="1026" w:type="pct"/>
            <w:vAlign w:val="center"/>
          </w:tcPr>
          <w:p>
            <w:pPr>
              <w:widowControl/>
              <w:spacing w:line="240" w:lineRule="auto"/>
              <w:ind w:firstLine="0" w:firstLineChars="0"/>
              <w:jc w:val="center"/>
              <w:rPr>
                <w:kern w:val="0"/>
                <w:sz w:val="21"/>
                <w:szCs w:val="21"/>
              </w:rPr>
            </w:pPr>
            <w:r>
              <w:rPr>
                <w:kern w:val="0"/>
                <w:sz w:val="21"/>
                <w:szCs w:val="21"/>
              </w:rPr>
              <w:t>2*（3.75+3.5）</w:t>
            </w:r>
          </w:p>
        </w:tc>
        <w:tc>
          <w:tcPr>
            <w:tcW w:w="712" w:type="pct"/>
            <w:vAlign w:val="center"/>
          </w:tcPr>
          <w:p>
            <w:pPr>
              <w:widowControl/>
              <w:spacing w:line="240" w:lineRule="auto"/>
              <w:ind w:firstLine="0" w:firstLineChars="0"/>
              <w:jc w:val="center"/>
              <w:rPr>
                <w:kern w:val="0"/>
                <w:sz w:val="21"/>
                <w:szCs w:val="21"/>
              </w:rPr>
            </w:pPr>
            <w:r>
              <w:rPr>
                <w:kern w:val="0"/>
                <w:sz w:val="21"/>
                <w:szCs w:val="21"/>
              </w:rPr>
              <w:t>0.50</w:t>
            </w:r>
          </w:p>
        </w:tc>
        <w:tc>
          <w:tcPr>
            <w:tcW w:w="513" w:type="pct"/>
            <w:vAlign w:val="center"/>
          </w:tcPr>
          <w:p>
            <w:pPr>
              <w:widowControl/>
              <w:spacing w:line="240" w:lineRule="auto"/>
              <w:ind w:firstLine="0" w:firstLineChars="0"/>
              <w:jc w:val="center"/>
              <w:rPr>
                <w:kern w:val="0"/>
                <w:sz w:val="21"/>
                <w:szCs w:val="21"/>
              </w:rPr>
            </w:pPr>
            <w:r>
              <w:rPr>
                <w:kern w:val="0"/>
                <w:sz w:val="21"/>
                <w:szCs w:val="21"/>
              </w:rPr>
              <w:t>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83" w:type="pct"/>
            <w:vAlign w:val="center"/>
          </w:tcPr>
          <w:p>
            <w:pPr>
              <w:widowControl/>
              <w:spacing w:line="240" w:lineRule="auto"/>
              <w:ind w:firstLine="0" w:firstLineChars="0"/>
              <w:jc w:val="center"/>
              <w:rPr>
                <w:kern w:val="0"/>
                <w:sz w:val="21"/>
                <w:szCs w:val="21"/>
              </w:rPr>
            </w:pPr>
            <w:r>
              <w:rPr>
                <w:kern w:val="0"/>
                <w:sz w:val="21"/>
                <w:szCs w:val="21"/>
              </w:rPr>
              <w:t>4</w:t>
            </w:r>
          </w:p>
        </w:tc>
        <w:tc>
          <w:tcPr>
            <w:tcW w:w="545" w:type="pct"/>
            <w:vAlign w:val="center"/>
          </w:tcPr>
          <w:p>
            <w:pPr>
              <w:widowControl/>
              <w:spacing w:line="240" w:lineRule="auto"/>
              <w:ind w:firstLine="0" w:firstLineChars="0"/>
              <w:jc w:val="center"/>
              <w:rPr>
                <w:kern w:val="0"/>
                <w:sz w:val="21"/>
                <w:szCs w:val="21"/>
              </w:rPr>
            </w:pPr>
            <w:r>
              <w:rPr>
                <w:kern w:val="0"/>
                <w:sz w:val="21"/>
                <w:szCs w:val="21"/>
              </w:rPr>
              <w:t>西二路</w:t>
            </w:r>
          </w:p>
        </w:tc>
        <w:tc>
          <w:tcPr>
            <w:tcW w:w="450" w:type="pct"/>
            <w:vAlign w:val="center"/>
          </w:tcPr>
          <w:p>
            <w:pPr>
              <w:widowControl/>
              <w:spacing w:line="240" w:lineRule="auto"/>
              <w:ind w:firstLine="0" w:firstLineChars="0"/>
              <w:jc w:val="center"/>
              <w:rPr>
                <w:kern w:val="0"/>
                <w:sz w:val="21"/>
                <w:szCs w:val="21"/>
              </w:rPr>
            </w:pPr>
            <w:r>
              <w:rPr>
                <w:kern w:val="0"/>
                <w:sz w:val="21"/>
                <w:szCs w:val="21"/>
              </w:rPr>
              <w:t>40</w:t>
            </w:r>
          </w:p>
        </w:tc>
        <w:tc>
          <w:tcPr>
            <w:tcW w:w="466" w:type="pct"/>
            <w:vAlign w:val="center"/>
          </w:tcPr>
          <w:p>
            <w:pPr>
              <w:widowControl/>
              <w:spacing w:line="240" w:lineRule="auto"/>
              <w:ind w:firstLine="0" w:firstLineChars="0"/>
              <w:jc w:val="center"/>
              <w:rPr>
                <w:kern w:val="0"/>
                <w:sz w:val="21"/>
                <w:szCs w:val="21"/>
              </w:rPr>
            </w:pPr>
            <w:r>
              <w:rPr>
                <w:kern w:val="0"/>
                <w:sz w:val="21"/>
                <w:szCs w:val="21"/>
              </w:rPr>
              <w:t>2*3</w:t>
            </w:r>
          </w:p>
        </w:tc>
        <w:tc>
          <w:tcPr>
            <w:tcW w:w="517" w:type="pct"/>
            <w:vAlign w:val="center"/>
          </w:tcPr>
          <w:p>
            <w:pPr>
              <w:widowControl/>
              <w:spacing w:line="240" w:lineRule="auto"/>
              <w:ind w:firstLine="0" w:firstLineChars="0"/>
              <w:jc w:val="center"/>
              <w:rPr>
                <w:kern w:val="0"/>
                <w:sz w:val="21"/>
                <w:szCs w:val="21"/>
              </w:rPr>
            </w:pPr>
            <w:r>
              <w:rPr>
                <w:kern w:val="0"/>
                <w:sz w:val="21"/>
                <w:szCs w:val="21"/>
              </w:rPr>
              <w:t>-</w:t>
            </w:r>
          </w:p>
        </w:tc>
        <w:tc>
          <w:tcPr>
            <w:tcW w:w="484" w:type="pct"/>
            <w:vAlign w:val="center"/>
          </w:tcPr>
          <w:p>
            <w:pPr>
              <w:widowControl/>
              <w:spacing w:line="240" w:lineRule="auto"/>
              <w:ind w:firstLine="0" w:firstLineChars="0"/>
              <w:jc w:val="center"/>
              <w:rPr>
                <w:kern w:val="0"/>
                <w:sz w:val="21"/>
                <w:szCs w:val="21"/>
              </w:rPr>
            </w:pPr>
            <w:r>
              <w:rPr>
                <w:kern w:val="0"/>
                <w:sz w:val="21"/>
                <w:szCs w:val="21"/>
              </w:rPr>
              <w:t>-</w:t>
            </w:r>
          </w:p>
        </w:tc>
        <w:tc>
          <w:tcPr>
            <w:tcW w:w="1026" w:type="pct"/>
            <w:vAlign w:val="center"/>
          </w:tcPr>
          <w:p>
            <w:pPr>
              <w:widowControl/>
              <w:spacing w:line="240" w:lineRule="auto"/>
              <w:ind w:firstLine="0" w:firstLineChars="0"/>
              <w:jc w:val="center"/>
              <w:rPr>
                <w:kern w:val="0"/>
                <w:sz w:val="21"/>
                <w:szCs w:val="21"/>
              </w:rPr>
            </w:pPr>
            <w:r>
              <w:rPr>
                <w:kern w:val="0"/>
                <w:sz w:val="21"/>
                <w:szCs w:val="21"/>
              </w:rPr>
              <w:t>2*（4.5+3.5+3.5）</w:t>
            </w:r>
          </w:p>
        </w:tc>
        <w:tc>
          <w:tcPr>
            <w:tcW w:w="712" w:type="pct"/>
            <w:vAlign w:val="center"/>
          </w:tcPr>
          <w:p>
            <w:pPr>
              <w:widowControl/>
              <w:spacing w:line="240" w:lineRule="auto"/>
              <w:ind w:firstLine="0" w:firstLineChars="0"/>
              <w:jc w:val="center"/>
              <w:rPr>
                <w:kern w:val="0"/>
                <w:sz w:val="21"/>
                <w:szCs w:val="21"/>
              </w:rPr>
            </w:pPr>
            <w:r>
              <w:rPr>
                <w:kern w:val="0"/>
                <w:sz w:val="21"/>
                <w:szCs w:val="21"/>
              </w:rPr>
              <w:t>1.0</w:t>
            </w:r>
          </w:p>
        </w:tc>
        <w:tc>
          <w:tcPr>
            <w:tcW w:w="513" w:type="pct"/>
            <w:vAlign w:val="center"/>
          </w:tcPr>
          <w:p>
            <w:pPr>
              <w:widowControl/>
              <w:spacing w:line="240" w:lineRule="auto"/>
              <w:ind w:firstLine="0" w:firstLineChars="0"/>
              <w:jc w:val="center"/>
              <w:rPr>
                <w:kern w:val="0"/>
                <w:sz w:val="21"/>
                <w:szCs w:val="21"/>
              </w:rPr>
            </w:pPr>
            <w:r>
              <w:rPr>
                <w:kern w:val="0"/>
                <w:sz w:val="21"/>
                <w:szCs w:val="21"/>
              </w:rPr>
              <w:t>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83" w:type="pct"/>
            <w:vAlign w:val="center"/>
          </w:tcPr>
          <w:p>
            <w:pPr>
              <w:widowControl/>
              <w:spacing w:line="240" w:lineRule="auto"/>
              <w:ind w:firstLine="0" w:firstLineChars="0"/>
              <w:jc w:val="center"/>
              <w:rPr>
                <w:kern w:val="0"/>
                <w:sz w:val="21"/>
                <w:szCs w:val="21"/>
              </w:rPr>
            </w:pPr>
            <w:r>
              <w:rPr>
                <w:kern w:val="0"/>
                <w:sz w:val="21"/>
                <w:szCs w:val="21"/>
              </w:rPr>
              <w:t>5</w:t>
            </w:r>
          </w:p>
        </w:tc>
        <w:tc>
          <w:tcPr>
            <w:tcW w:w="545" w:type="pct"/>
            <w:vAlign w:val="center"/>
          </w:tcPr>
          <w:p>
            <w:pPr>
              <w:widowControl/>
              <w:spacing w:line="240" w:lineRule="auto"/>
              <w:ind w:firstLine="0" w:firstLineChars="0"/>
              <w:jc w:val="center"/>
              <w:rPr>
                <w:kern w:val="0"/>
                <w:sz w:val="21"/>
                <w:szCs w:val="21"/>
              </w:rPr>
            </w:pPr>
            <w:r>
              <w:rPr>
                <w:kern w:val="0"/>
                <w:sz w:val="21"/>
                <w:szCs w:val="21"/>
              </w:rPr>
              <w:t>北永路龙东路会云路永祥物流通道</w:t>
            </w:r>
          </w:p>
        </w:tc>
        <w:tc>
          <w:tcPr>
            <w:tcW w:w="450" w:type="pct"/>
            <w:vAlign w:val="center"/>
          </w:tcPr>
          <w:p>
            <w:pPr>
              <w:widowControl/>
              <w:spacing w:line="240" w:lineRule="auto"/>
              <w:ind w:firstLine="0" w:firstLineChars="0"/>
              <w:jc w:val="center"/>
              <w:rPr>
                <w:kern w:val="0"/>
                <w:sz w:val="21"/>
                <w:szCs w:val="21"/>
              </w:rPr>
            </w:pPr>
            <w:r>
              <w:rPr>
                <w:kern w:val="0"/>
                <w:sz w:val="21"/>
                <w:szCs w:val="21"/>
              </w:rPr>
              <w:t>18</w:t>
            </w:r>
          </w:p>
        </w:tc>
        <w:tc>
          <w:tcPr>
            <w:tcW w:w="466" w:type="pct"/>
            <w:vAlign w:val="center"/>
          </w:tcPr>
          <w:p>
            <w:pPr>
              <w:widowControl/>
              <w:spacing w:line="240" w:lineRule="auto"/>
              <w:ind w:firstLine="0" w:firstLineChars="0"/>
              <w:jc w:val="center"/>
              <w:rPr>
                <w:kern w:val="0"/>
                <w:sz w:val="21"/>
                <w:szCs w:val="21"/>
              </w:rPr>
            </w:pPr>
            <w:r>
              <w:rPr>
                <w:kern w:val="0"/>
                <w:sz w:val="21"/>
                <w:szCs w:val="21"/>
              </w:rPr>
              <w:t>2*3</w:t>
            </w:r>
          </w:p>
        </w:tc>
        <w:tc>
          <w:tcPr>
            <w:tcW w:w="517" w:type="pct"/>
            <w:vAlign w:val="center"/>
          </w:tcPr>
          <w:p>
            <w:pPr>
              <w:widowControl/>
              <w:spacing w:line="240" w:lineRule="auto"/>
              <w:ind w:firstLine="0" w:firstLineChars="0"/>
              <w:jc w:val="center"/>
              <w:rPr>
                <w:kern w:val="0"/>
                <w:sz w:val="21"/>
                <w:szCs w:val="21"/>
              </w:rPr>
            </w:pPr>
            <w:r>
              <w:rPr>
                <w:kern w:val="0"/>
                <w:sz w:val="21"/>
                <w:szCs w:val="21"/>
              </w:rPr>
              <w:t>2*2.5</w:t>
            </w:r>
          </w:p>
        </w:tc>
        <w:tc>
          <w:tcPr>
            <w:tcW w:w="484" w:type="pct"/>
            <w:vAlign w:val="center"/>
          </w:tcPr>
          <w:p>
            <w:pPr>
              <w:widowControl/>
              <w:spacing w:line="240" w:lineRule="auto"/>
              <w:ind w:firstLine="0" w:firstLineChars="0"/>
              <w:jc w:val="center"/>
              <w:rPr>
                <w:kern w:val="0"/>
                <w:sz w:val="21"/>
                <w:szCs w:val="21"/>
              </w:rPr>
            </w:pPr>
            <w:r>
              <w:rPr>
                <w:kern w:val="0"/>
                <w:sz w:val="21"/>
                <w:szCs w:val="21"/>
              </w:rPr>
              <w:t>-</w:t>
            </w:r>
          </w:p>
        </w:tc>
        <w:tc>
          <w:tcPr>
            <w:tcW w:w="1026" w:type="pct"/>
            <w:vAlign w:val="center"/>
          </w:tcPr>
          <w:p>
            <w:pPr>
              <w:widowControl/>
              <w:spacing w:line="240" w:lineRule="auto"/>
              <w:ind w:firstLine="0" w:firstLineChars="0"/>
              <w:jc w:val="center"/>
              <w:rPr>
                <w:kern w:val="0"/>
                <w:sz w:val="21"/>
                <w:szCs w:val="21"/>
              </w:rPr>
            </w:pPr>
            <w:r>
              <w:rPr>
                <w:kern w:val="0"/>
                <w:sz w:val="21"/>
                <w:szCs w:val="21"/>
              </w:rPr>
              <w:t>2*3.25</w:t>
            </w:r>
          </w:p>
        </w:tc>
        <w:tc>
          <w:tcPr>
            <w:tcW w:w="712" w:type="pct"/>
            <w:vAlign w:val="center"/>
          </w:tcPr>
          <w:p>
            <w:pPr>
              <w:widowControl/>
              <w:spacing w:line="240" w:lineRule="auto"/>
              <w:ind w:firstLine="0" w:firstLineChars="0"/>
              <w:jc w:val="center"/>
              <w:rPr>
                <w:kern w:val="0"/>
                <w:sz w:val="21"/>
                <w:szCs w:val="21"/>
              </w:rPr>
            </w:pPr>
            <w:r>
              <w:rPr>
                <w:kern w:val="0"/>
                <w:sz w:val="21"/>
                <w:szCs w:val="21"/>
              </w:rPr>
              <w:t>0.5</w:t>
            </w:r>
          </w:p>
        </w:tc>
        <w:tc>
          <w:tcPr>
            <w:tcW w:w="513" w:type="pct"/>
            <w:vAlign w:val="center"/>
          </w:tcPr>
          <w:p>
            <w:pPr>
              <w:widowControl/>
              <w:spacing w:line="240" w:lineRule="auto"/>
              <w:ind w:firstLine="0" w:firstLineChars="0"/>
              <w:jc w:val="center"/>
              <w:rPr>
                <w:kern w:val="0"/>
                <w:sz w:val="21"/>
                <w:szCs w:val="21"/>
              </w:rPr>
            </w:pPr>
            <w:r>
              <w:rPr>
                <w:kern w:val="0"/>
                <w:sz w:val="21"/>
                <w:szCs w:val="21"/>
              </w:rPr>
              <w:t>-</w:t>
            </w:r>
          </w:p>
        </w:tc>
      </w:tr>
    </w:tbl>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drawing>
                <wp:inline distT="0" distB="0" distL="114300" distR="114300">
                  <wp:extent cx="5528310" cy="1619885"/>
                  <wp:effectExtent l="0" t="0" r="15240" b="18415"/>
                  <wp:docPr id="4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75"/>
                          <pic:cNvPicPr>
                            <a:picLocks noChangeAspect="1"/>
                          </pic:cNvPicPr>
                        </pic:nvPicPr>
                        <pic:blipFill>
                          <a:blip r:embed="rId93"/>
                          <a:stretch>
                            <a:fillRect/>
                          </a:stretch>
                        </pic:blipFill>
                        <pic:spPr>
                          <a:xfrm>
                            <a:off x="0" y="0"/>
                            <a:ext cx="5528310" cy="16198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图2.1-2</w:t>
            </w:r>
            <w:r>
              <w:rPr>
                <w:rFonts w:hint="eastAsia"/>
                <w:b/>
                <w:bCs/>
                <w:sz w:val="21"/>
                <w:szCs w:val="21"/>
              </w:rPr>
              <w:t>3</w:t>
            </w:r>
            <w:r>
              <w:rPr>
                <w:b/>
                <w:bCs/>
                <w:sz w:val="21"/>
                <w:szCs w:val="21"/>
              </w:rPr>
              <w:t>70m道路横断面设计图（龙翔路）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drawing>
                <wp:inline distT="0" distB="0" distL="114300" distR="114300">
                  <wp:extent cx="5536565" cy="1619885"/>
                  <wp:effectExtent l="0" t="0" r="6985" b="18415"/>
                  <wp:docPr id="40"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2"/>
                          <pic:cNvPicPr>
                            <a:picLocks noChangeAspect="1"/>
                          </pic:cNvPicPr>
                        </pic:nvPicPr>
                        <pic:blipFill>
                          <a:blip r:embed="rId94"/>
                          <a:stretch>
                            <a:fillRect/>
                          </a:stretch>
                        </pic:blipFill>
                        <pic:spPr>
                          <a:xfrm>
                            <a:off x="0" y="0"/>
                            <a:ext cx="5536565" cy="16198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图2.1-2</w:t>
            </w:r>
            <w:r>
              <w:rPr>
                <w:rFonts w:hint="eastAsia"/>
                <w:b/>
                <w:bCs/>
                <w:sz w:val="21"/>
                <w:szCs w:val="21"/>
              </w:rPr>
              <w:t>4</w:t>
            </w:r>
            <w:r>
              <w:rPr>
                <w:b/>
                <w:bCs/>
                <w:sz w:val="21"/>
                <w:szCs w:val="21"/>
              </w:rPr>
              <w:t>60m道路横断面设计图（北二路）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drawing>
                <wp:inline distT="0" distB="0" distL="114300" distR="114300">
                  <wp:extent cx="5536565" cy="1943735"/>
                  <wp:effectExtent l="0" t="0" r="6985" b="18415"/>
                  <wp:docPr id="39" name="图片 71"/>
                  <wp:cNvGraphicFramePr/>
                  <a:graphic xmlns:a="http://schemas.openxmlformats.org/drawingml/2006/main">
                    <a:graphicData uri="http://schemas.openxmlformats.org/drawingml/2006/picture">
                      <pic:pic xmlns:pic="http://schemas.openxmlformats.org/drawingml/2006/picture">
                        <pic:nvPicPr>
                          <pic:cNvPr id="39" name="图片 71"/>
                          <pic:cNvPicPr/>
                        </pic:nvPicPr>
                        <pic:blipFill>
                          <a:blip r:embed="rId95"/>
                          <a:stretch>
                            <a:fillRect/>
                          </a:stretch>
                        </pic:blipFill>
                        <pic:spPr>
                          <a:xfrm>
                            <a:off x="0" y="0"/>
                            <a:ext cx="5536565" cy="194373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图2.1-2</w:t>
            </w:r>
            <w:r>
              <w:rPr>
                <w:rFonts w:hint="eastAsia"/>
                <w:b/>
                <w:bCs/>
                <w:sz w:val="21"/>
                <w:szCs w:val="21"/>
              </w:rPr>
              <w:t>5</w:t>
            </w:r>
            <w:r>
              <w:rPr>
                <w:b/>
                <w:bCs/>
                <w:sz w:val="21"/>
                <w:szCs w:val="21"/>
              </w:rPr>
              <w:t>40m道路横断面设计图（北一路、西一路、东三路、凤翔路）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drawing>
                <wp:inline distT="0" distB="0" distL="114300" distR="114300">
                  <wp:extent cx="5755005" cy="3119755"/>
                  <wp:effectExtent l="0" t="0" r="17145" b="4445"/>
                  <wp:docPr id="4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73"/>
                          <pic:cNvPicPr>
                            <a:picLocks noChangeAspect="1"/>
                          </pic:cNvPicPr>
                        </pic:nvPicPr>
                        <pic:blipFill>
                          <a:blip r:embed="rId96"/>
                          <a:stretch>
                            <a:fillRect/>
                          </a:stretch>
                        </pic:blipFill>
                        <pic:spPr>
                          <a:xfrm>
                            <a:off x="0" y="0"/>
                            <a:ext cx="5755005" cy="311975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图2.1-2</w:t>
            </w:r>
            <w:r>
              <w:rPr>
                <w:rFonts w:hint="eastAsia"/>
                <w:b/>
                <w:bCs/>
                <w:sz w:val="21"/>
                <w:szCs w:val="21"/>
              </w:rPr>
              <w:t>6</w:t>
            </w:r>
            <w:r>
              <w:rPr>
                <w:b/>
                <w:bCs/>
                <w:sz w:val="21"/>
                <w:szCs w:val="21"/>
              </w:rPr>
              <w:t>40m道路横断面设计图（西二路）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drawing>
                <wp:inline distT="0" distB="0" distL="114300" distR="114300">
                  <wp:extent cx="5756275" cy="4330065"/>
                  <wp:effectExtent l="0" t="0" r="15875" b="13335"/>
                  <wp:docPr id="42"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74"/>
                          <pic:cNvPicPr>
                            <a:picLocks noChangeAspect="1"/>
                          </pic:cNvPicPr>
                        </pic:nvPicPr>
                        <pic:blipFill>
                          <a:blip r:embed="rId97"/>
                          <a:stretch>
                            <a:fillRect/>
                          </a:stretch>
                        </pic:blipFill>
                        <pic:spPr>
                          <a:xfrm>
                            <a:off x="0" y="0"/>
                            <a:ext cx="5756275" cy="433006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图2.1-2</w:t>
            </w:r>
            <w:r>
              <w:rPr>
                <w:rFonts w:hint="eastAsia"/>
                <w:b/>
                <w:bCs/>
                <w:sz w:val="21"/>
                <w:szCs w:val="21"/>
              </w:rPr>
              <w:t>7</w:t>
            </w:r>
            <w:r>
              <w:rPr>
                <w:b/>
                <w:bCs/>
                <w:sz w:val="21"/>
                <w:szCs w:val="21"/>
              </w:rPr>
              <w:t>18m道路横断面设计图（北永路、永祥物流通道、会云路、龙东路）</w:t>
            </w:r>
          </w:p>
        </w:tc>
      </w:tr>
    </w:tbl>
    <w:p>
      <w:pPr>
        <w:spacing w:beforeLines="50"/>
        <w:ind w:firstLine="480"/>
      </w:pPr>
      <w:r>
        <w:t>4、路面设计</w:t>
      </w:r>
    </w:p>
    <w:p>
      <w:pPr>
        <w:ind w:firstLine="480"/>
      </w:pPr>
      <w:r>
        <w:t>主干道：车行道路面总厚度90.7cm。车行道路面结构厚度如下：5cmSMA-13沥青玛蹄脂上面层（本次加铺层）+4cmSMA-13沥青玛蹄脂+6cmAC-5cm中粒式沥青混凝土（AC-16C）+6cm中粒式沥青混凝土（AC-20C）+0.7cmES-2乳化沥青稀浆封层+透层油+25cm5%水泥稳定级配碎石+25cm4%水泥稳定级配碎石+20cm级配碎石。人行道路面总厚度49cm。人行道路面结构厚度如下：6cm仿花岗岩面砖+3cmM7.5水泥砂浆找平+20cm5%水泥稳定碎石基层+20cm级配碎石。</w:t>
      </w:r>
    </w:p>
    <w:p>
      <w:pPr>
        <w:ind w:firstLine="480"/>
      </w:pPr>
      <w:r>
        <w:t>次干道：车行道路面总厚度86.6cm。人行道路面总厚度23cm。</w:t>
      </w:r>
    </w:p>
    <w:p>
      <w:pPr>
        <w:adjustRightInd w:val="0"/>
        <w:snapToGrid w:val="0"/>
        <w:ind w:firstLine="0" w:firstLineChars="0"/>
        <w:jc w:val="center"/>
        <w:rPr>
          <w:b/>
          <w:bCs/>
        </w:rPr>
      </w:pPr>
      <w:r>
        <w:rPr>
          <w:b/>
          <w:bCs/>
        </w:rPr>
        <w:t>表2.1-11车行道路面结构表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043"/>
        <w:gridCol w:w="1466"/>
        <w:gridCol w:w="3389"/>
        <w:gridCol w:w="1902"/>
        <w:gridCol w:w="148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b/>
                <w:bCs/>
                <w:szCs w:val="21"/>
              </w:rPr>
            </w:pPr>
            <w:r>
              <w:rPr>
                <w:rFonts w:eastAsia="仿宋_GB2312"/>
                <w:b/>
                <w:bCs/>
                <w:szCs w:val="21"/>
              </w:rPr>
              <w:t>道路等级</w:t>
            </w: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b/>
                <w:bCs/>
                <w:szCs w:val="21"/>
              </w:rPr>
            </w:pPr>
            <w:r>
              <w:rPr>
                <w:rFonts w:eastAsia="仿宋_GB2312"/>
                <w:b/>
                <w:bCs/>
                <w:szCs w:val="21"/>
              </w:rPr>
              <w:t>结构层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b/>
                <w:bCs/>
                <w:szCs w:val="21"/>
              </w:rPr>
            </w:pPr>
            <w:r>
              <w:rPr>
                <w:rFonts w:eastAsia="仿宋_GB2312"/>
                <w:b/>
                <w:bCs/>
                <w:szCs w:val="21"/>
              </w:rPr>
              <w:t>路面材料</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b/>
                <w:bCs/>
                <w:szCs w:val="21"/>
              </w:rPr>
            </w:pPr>
            <w:r>
              <w:rPr>
                <w:rFonts w:eastAsia="仿宋_GB2312"/>
                <w:b/>
                <w:bCs/>
                <w:szCs w:val="21"/>
              </w:rPr>
              <w:t>结构厚度（cm）</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b/>
                <w:bCs/>
                <w:szCs w:val="21"/>
              </w:rPr>
            </w:pPr>
            <w:r>
              <w:rPr>
                <w:rFonts w:eastAsia="仿宋_GB2312"/>
                <w:b/>
                <w:bCs/>
                <w:szCs w:val="21"/>
              </w:rPr>
              <w:t>规格</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2" w:hRule="atLeast"/>
        </w:trPr>
        <w:tc>
          <w:tcPr>
            <w:tcW w:w="562" w:type="pct"/>
            <w:vMerge w:val="restar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主干道</w:t>
            </w: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加铺层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沥青玛蹄脂</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5</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SMA-13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上面层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沥青玛蹄脂</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4</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SMA-13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中面层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中粒式沥青混凝土</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5</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AC-16C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Merge w:val="restar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下面层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中粒式沥青混凝土</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6</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AC-20C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乳化沥青稀浆封层</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0.7</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ES-2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透层油</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基层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5%水泥稳定级配碎石</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25</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底基层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4%水泥稳定级配碎石</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25</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垫层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级配碎石</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20</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restar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次干道</w:t>
            </w: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上面层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SBS细粒式改性沥青混凝土</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4</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AC-13C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0" w:hRule="atLeast"/>
        </w:trPr>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Merge w:val="restar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下面层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中粒式沥青混凝土</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6</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AC-20C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乳化沥青稀浆封层</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0.6</w:t>
            </w:r>
          </w:p>
        </w:tc>
        <w:tc>
          <w:tcPr>
            <w:tcW w:w="798"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ES-2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中粒式沥青混凝土</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6</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r>
              <w:rPr>
                <w:sz w:val="21"/>
                <w:szCs w:val="21"/>
              </w:rPr>
              <w:t>AC-20C</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上基层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水泥稳定碎石</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25</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下基层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水泥稳定碎石</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25</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2" w:type="pct"/>
            <w:vMerge w:val="continue"/>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p>
        </w:tc>
        <w:tc>
          <w:tcPr>
            <w:tcW w:w="789"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垫层</w:t>
            </w:r>
          </w:p>
        </w:tc>
        <w:tc>
          <w:tcPr>
            <w:tcW w:w="18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级配碎石</w:t>
            </w:r>
          </w:p>
        </w:tc>
        <w:tc>
          <w:tcPr>
            <w:tcW w:w="1024" w:type="pct"/>
            <w:vAlign w:val="center"/>
          </w:tcPr>
          <w:p>
            <w:pPr>
              <w:pStyle w:val="109"/>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rFonts w:eastAsia="仿宋_GB2312"/>
                <w:szCs w:val="21"/>
              </w:rPr>
            </w:pPr>
            <w:r>
              <w:rPr>
                <w:rFonts w:eastAsia="仿宋_GB2312"/>
                <w:szCs w:val="21"/>
              </w:rPr>
              <w:t>20</w:t>
            </w:r>
          </w:p>
        </w:tc>
        <w:tc>
          <w:tcPr>
            <w:tcW w:w="798" w:type="pct"/>
            <w:vAlign w:val="center"/>
          </w:tcPr>
          <w:p>
            <w:pPr>
              <w:keepNext w:val="0"/>
              <w:keepLines w:val="0"/>
              <w:pageBreakBefore w:val="0"/>
              <w:widowControl w:val="0"/>
              <w:kinsoku/>
              <w:wordWrap/>
              <w:overflowPunct/>
              <w:topLinePunct w:val="0"/>
              <w:autoSpaceDE/>
              <w:autoSpaceDN/>
              <w:bidi w:val="0"/>
              <w:adjustRightInd/>
              <w:snapToGrid/>
              <w:spacing w:line="240" w:lineRule="auto"/>
              <w:ind w:firstLine="0" w:firstLineChars="0"/>
              <w:jc w:val="center"/>
              <w:textAlignment w:val="auto"/>
              <w:rPr>
                <w:sz w:val="21"/>
                <w:szCs w:val="21"/>
              </w:rPr>
            </w:pPr>
          </w:p>
        </w:tc>
      </w:tr>
    </w:tbl>
    <w:p>
      <w:pPr>
        <w:pStyle w:val="11"/>
        <w:adjustRightInd w:val="0"/>
        <w:snapToGrid w:val="0"/>
        <w:spacing w:beforeLines="50" w:afterLines="0" w:line="360" w:lineRule="auto"/>
        <w:rPr>
          <w:rFonts w:eastAsia="仿宋_GB2312"/>
          <w:b/>
          <w:bCs/>
          <w:sz w:val="24"/>
        </w:rPr>
      </w:pPr>
      <w:r>
        <w:rPr>
          <w:rFonts w:eastAsia="仿宋_GB2312"/>
          <w:b/>
          <w:bCs/>
          <w:sz w:val="24"/>
        </w:rPr>
        <w:t>表2.1-12人行道路面结构表</w:t>
      </w:r>
    </w:p>
    <w:tbl>
      <w:tblPr>
        <w:tblStyle w:val="110"/>
        <w:tblW w:w="499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633"/>
        <w:gridCol w:w="3754"/>
        <w:gridCol w:w="289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Align w:val="center"/>
          </w:tcPr>
          <w:p>
            <w:pPr>
              <w:pStyle w:val="109"/>
              <w:spacing w:line="240" w:lineRule="auto"/>
              <w:rPr>
                <w:rFonts w:eastAsia="仿宋_GB2312"/>
                <w:b/>
                <w:bCs/>
                <w:szCs w:val="21"/>
              </w:rPr>
            </w:pPr>
            <w:r>
              <w:rPr>
                <w:rFonts w:eastAsia="仿宋_GB2312"/>
                <w:b/>
                <w:bCs/>
                <w:szCs w:val="21"/>
              </w:rPr>
              <w:t>道路等级</w:t>
            </w:r>
          </w:p>
        </w:tc>
        <w:tc>
          <w:tcPr>
            <w:tcW w:w="2021" w:type="pct"/>
            <w:vAlign w:val="center"/>
          </w:tcPr>
          <w:p>
            <w:pPr>
              <w:pStyle w:val="109"/>
              <w:spacing w:line="240" w:lineRule="auto"/>
              <w:rPr>
                <w:rFonts w:eastAsia="仿宋_GB2312"/>
                <w:b/>
                <w:bCs/>
                <w:szCs w:val="21"/>
              </w:rPr>
            </w:pPr>
            <w:r>
              <w:rPr>
                <w:rFonts w:eastAsia="仿宋_GB2312"/>
                <w:b/>
                <w:bCs/>
                <w:szCs w:val="21"/>
              </w:rPr>
              <w:t>路面材料</w:t>
            </w:r>
          </w:p>
        </w:tc>
        <w:tc>
          <w:tcPr>
            <w:tcW w:w="1560" w:type="pct"/>
            <w:vAlign w:val="center"/>
          </w:tcPr>
          <w:p>
            <w:pPr>
              <w:pStyle w:val="109"/>
              <w:spacing w:line="240" w:lineRule="auto"/>
              <w:rPr>
                <w:rFonts w:eastAsia="仿宋_GB2312"/>
                <w:b/>
                <w:bCs/>
                <w:szCs w:val="21"/>
              </w:rPr>
            </w:pPr>
            <w:r>
              <w:rPr>
                <w:rFonts w:eastAsia="仿宋_GB2312"/>
                <w:b/>
                <w:bCs/>
                <w:szCs w:val="21"/>
              </w:rPr>
              <w:t>结构厚度（cm）</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restart"/>
            <w:vAlign w:val="center"/>
          </w:tcPr>
          <w:p>
            <w:pPr>
              <w:pStyle w:val="109"/>
              <w:spacing w:line="240" w:lineRule="auto"/>
              <w:rPr>
                <w:rFonts w:eastAsia="仿宋_GB2312"/>
                <w:szCs w:val="21"/>
              </w:rPr>
            </w:pPr>
            <w:r>
              <w:rPr>
                <w:rFonts w:eastAsia="仿宋_GB2312"/>
              </w:rPr>
              <w:t>主干道</w:t>
            </w:r>
          </w:p>
        </w:tc>
        <w:tc>
          <w:tcPr>
            <w:tcW w:w="2021" w:type="pct"/>
            <w:vAlign w:val="center"/>
          </w:tcPr>
          <w:p>
            <w:pPr>
              <w:pStyle w:val="109"/>
              <w:spacing w:line="240" w:lineRule="auto"/>
              <w:rPr>
                <w:rFonts w:eastAsia="仿宋_GB2312"/>
                <w:szCs w:val="21"/>
              </w:rPr>
            </w:pPr>
            <w:r>
              <w:rPr>
                <w:rFonts w:eastAsia="仿宋_GB2312"/>
                <w:szCs w:val="21"/>
              </w:rPr>
              <w:t>仿花岗岩面砖</w:t>
            </w:r>
          </w:p>
        </w:tc>
        <w:tc>
          <w:tcPr>
            <w:tcW w:w="1560" w:type="pct"/>
            <w:vAlign w:val="center"/>
          </w:tcPr>
          <w:p>
            <w:pPr>
              <w:pStyle w:val="109"/>
              <w:spacing w:line="240" w:lineRule="auto"/>
              <w:rPr>
                <w:rFonts w:eastAsia="仿宋_GB2312"/>
                <w:szCs w:val="21"/>
              </w:rPr>
            </w:pPr>
            <w:r>
              <w:rPr>
                <w:rFonts w:eastAsia="仿宋_GB2312"/>
                <w:szCs w:val="21"/>
              </w:rPr>
              <w:t>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continue"/>
            <w:vAlign w:val="center"/>
          </w:tcPr>
          <w:p>
            <w:pPr>
              <w:pStyle w:val="109"/>
              <w:spacing w:line="240" w:lineRule="auto"/>
              <w:rPr>
                <w:rFonts w:eastAsia="仿宋_GB2312"/>
                <w:szCs w:val="21"/>
              </w:rPr>
            </w:pPr>
          </w:p>
        </w:tc>
        <w:tc>
          <w:tcPr>
            <w:tcW w:w="2021" w:type="pct"/>
            <w:vAlign w:val="center"/>
          </w:tcPr>
          <w:p>
            <w:pPr>
              <w:pStyle w:val="109"/>
              <w:spacing w:line="240" w:lineRule="auto"/>
              <w:rPr>
                <w:rFonts w:eastAsia="仿宋_GB2312"/>
                <w:szCs w:val="21"/>
              </w:rPr>
            </w:pPr>
            <w:r>
              <w:rPr>
                <w:rFonts w:eastAsia="仿宋_GB2312"/>
                <w:szCs w:val="21"/>
              </w:rPr>
              <w:t>M7.5水泥砂浆</w:t>
            </w:r>
          </w:p>
        </w:tc>
        <w:tc>
          <w:tcPr>
            <w:tcW w:w="1560" w:type="pct"/>
            <w:vAlign w:val="center"/>
          </w:tcPr>
          <w:p>
            <w:pPr>
              <w:pStyle w:val="109"/>
              <w:spacing w:line="240" w:lineRule="auto"/>
              <w:rPr>
                <w:rFonts w:eastAsia="仿宋_GB2312"/>
                <w:szCs w:val="21"/>
              </w:rPr>
            </w:pPr>
            <w:r>
              <w:rPr>
                <w:rFonts w:eastAsia="仿宋_GB2312"/>
                <w:szCs w:val="21"/>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continue"/>
            <w:vAlign w:val="center"/>
          </w:tcPr>
          <w:p>
            <w:pPr>
              <w:pStyle w:val="109"/>
              <w:spacing w:line="240" w:lineRule="auto"/>
              <w:rPr>
                <w:rFonts w:eastAsia="仿宋_GB2312"/>
                <w:szCs w:val="21"/>
              </w:rPr>
            </w:pPr>
          </w:p>
        </w:tc>
        <w:tc>
          <w:tcPr>
            <w:tcW w:w="2021" w:type="pct"/>
            <w:vAlign w:val="center"/>
          </w:tcPr>
          <w:p>
            <w:pPr>
              <w:pStyle w:val="109"/>
              <w:spacing w:line="240" w:lineRule="auto"/>
              <w:rPr>
                <w:rFonts w:eastAsia="仿宋_GB2312"/>
                <w:szCs w:val="21"/>
              </w:rPr>
            </w:pPr>
            <w:r>
              <w:rPr>
                <w:rFonts w:eastAsia="仿宋_GB2312"/>
                <w:szCs w:val="21"/>
              </w:rPr>
              <w:t>5%水泥稳定碎石基层</w:t>
            </w:r>
          </w:p>
        </w:tc>
        <w:tc>
          <w:tcPr>
            <w:tcW w:w="1560" w:type="pct"/>
            <w:vAlign w:val="center"/>
          </w:tcPr>
          <w:p>
            <w:pPr>
              <w:pStyle w:val="109"/>
              <w:spacing w:line="240" w:lineRule="auto"/>
              <w:rPr>
                <w:rFonts w:eastAsia="仿宋_GB2312"/>
                <w:szCs w:val="21"/>
              </w:rPr>
            </w:pPr>
            <w:r>
              <w:rPr>
                <w:rFonts w:eastAsia="仿宋_GB2312"/>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continue"/>
            <w:vAlign w:val="center"/>
          </w:tcPr>
          <w:p>
            <w:pPr>
              <w:pStyle w:val="109"/>
              <w:spacing w:line="240" w:lineRule="auto"/>
              <w:rPr>
                <w:rFonts w:eastAsia="仿宋_GB2312"/>
                <w:szCs w:val="21"/>
              </w:rPr>
            </w:pPr>
          </w:p>
        </w:tc>
        <w:tc>
          <w:tcPr>
            <w:tcW w:w="2021" w:type="pct"/>
            <w:vAlign w:val="center"/>
          </w:tcPr>
          <w:p>
            <w:pPr>
              <w:pStyle w:val="109"/>
              <w:spacing w:line="240" w:lineRule="auto"/>
              <w:rPr>
                <w:rFonts w:eastAsia="仿宋_GB2312"/>
                <w:szCs w:val="21"/>
              </w:rPr>
            </w:pPr>
            <w:r>
              <w:rPr>
                <w:rFonts w:eastAsia="仿宋_GB2312"/>
                <w:szCs w:val="21"/>
              </w:rPr>
              <w:t>级配碎石</w:t>
            </w:r>
          </w:p>
        </w:tc>
        <w:tc>
          <w:tcPr>
            <w:tcW w:w="1560" w:type="pct"/>
            <w:vAlign w:val="center"/>
          </w:tcPr>
          <w:p>
            <w:pPr>
              <w:pStyle w:val="109"/>
              <w:spacing w:line="240" w:lineRule="auto"/>
              <w:rPr>
                <w:rFonts w:eastAsia="仿宋_GB2312"/>
                <w:szCs w:val="21"/>
              </w:rPr>
            </w:pPr>
            <w:r>
              <w:rPr>
                <w:rFonts w:eastAsia="仿宋_GB2312"/>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restart"/>
            <w:vAlign w:val="center"/>
          </w:tcPr>
          <w:p>
            <w:pPr>
              <w:pStyle w:val="109"/>
              <w:spacing w:line="240" w:lineRule="auto"/>
              <w:rPr>
                <w:rFonts w:eastAsia="仿宋_GB2312"/>
                <w:szCs w:val="21"/>
              </w:rPr>
            </w:pPr>
            <w:r>
              <w:rPr>
                <w:rFonts w:eastAsia="仿宋_GB2312"/>
              </w:rPr>
              <w:t>次干道</w:t>
            </w:r>
          </w:p>
        </w:tc>
        <w:tc>
          <w:tcPr>
            <w:tcW w:w="2021" w:type="pct"/>
            <w:vAlign w:val="center"/>
          </w:tcPr>
          <w:p>
            <w:pPr>
              <w:pStyle w:val="109"/>
              <w:spacing w:line="240" w:lineRule="auto"/>
              <w:rPr>
                <w:rFonts w:eastAsia="仿宋_GB2312"/>
                <w:szCs w:val="21"/>
              </w:rPr>
            </w:pPr>
            <w:r>
              <w:rPr>
                <w:rFonts w:eastAsia="仿宋_GB2312"/>
              </w:rPr>
              <w:t>人行道花岗岩铺装</w:t>
            </w:r>
          </w:p>
        </w:tc>
        <w:tc>
          <w:tcPr>
            <w:tcW w:w="1560" w:type="pct"/>
            <w:vAlign w:val="center"/>
          </w:tcPr>
          <w:p>
            <w:pPr>
              <w:pStyle w:val="109"/>
              <w:spacing w:line="240" w:lineRule="auto"/>
              <w:rPr>
                <w:rFonts w:eastAsia="仿宋_GB2312"/>
                <w:szCs w:val="21"/>
              </w:rPr>
            </w:pPr>
            <w:r>
              <w:rPr>
                <w:rFonts w:eastAsia="仿宋_GB2312"/>
              </w:rPr>
              <w:t>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continue"/>
            <w:vAlign w:val="center"/>
          </w:tcPr>
          <w:p>
            <w:pPr>
              <w:pStyle w:val="109"/>
              <w:spacing w:line="240" w:lineRule="auto"/>
              <w:rPr>
                <w:rFonts w:eastAsia="仿宋_GB2312"/>
                <w:szCs w:val="21"/>
              </w:rPr>
            </w:pPr>
          </w:p>
        </w:tc>
        <w:tc>
          <w:tcPr>
            <w:tcW w:w="2021" w:type="pct"/>
            <w:vAlign w:val="center"/>
          </w:tcPr>
          <w:p>
            <w:pPr>
              <w:pStyle w:val="109"/>
              <w:spacing w:line="240" w:lineRule="auto"/>
              <w:rPr>
                <w:rFonts w:eastAsia="仿宋_GB2312"/>
                <w:szCs w:val="21"/>
              </w:rPr>
            </w:pPr>
            <w:r>
              <w:rPr>
                <w:rFonts w:eastAsia="仿宋_GB2312"/>
              </w:rPr>
              <w:t>M7.5水泥砂浆</w:t>
            </w:r>
          </w:p>
        </w:tc>
        <w:tc>
          <w:tcPr>
            <w:tcW w:w="1560" w:type="pct"/>
            <w:vAlign w:val="center"/>
          </w:tcPr>
          <w:p>
            <w:pPr>
              <w:pStyle w:val="109"/>
              <w:spacing w:line="240" w:lineRule="auto"/>
              <w:rPr>
                <w:rFonts w:eastAsia="仿宋_GB2312"/>
                <w:szCs w:val="21"/>
              </w:rPr>
            </w:pPr>
            <w:r>
              <w:rPr>
                <w:rFonts w:eastAsia="仿宋_GB2312"/>
              </w:rPr>
              <w:t>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18" w:type="pct"/>
            <w:vMerge w:val="continue"/>
            <w:vAlign w:val="center"/>
          </w:tcPr>
          <w:p>
            <w:pPr>
              <w:pStyle w:val="109"/>
              <w:spacing w:line="240" w:lineRule="auto"/>
              <w:rPr>
                <w:rFonts w:eastAsia="仿宋_GB2312"/>
                <w:szCs w:val="21"/>
              </w:rPr>
            </w:pPr>
          </w:p>
        </w:tc>
        <w:tc>
          <w:tcPr>
            <w:tcW w:w="2021" w:type="pct"/>
            <w:vAlign w:val="center"/>
          </w:tcPr>
          <w:p>
            <w:pPr>
              <w:pStyle w:val="109"/>
              <w:spacing w:line="240" w:lineRule="auto"/>
              <w:rPr>
                <w:rFonts w:eastAsia="仿宋_GB2312"/>
                <w:szCs w:val="21"/>
              </w:rPr>
            </w:pPr>
            <w:r>
              <w:rPr>
                <w:rFonts w:eastAsia="仿宋_GB2312"/>
              </w:rPr>
              <w:t>5%水泥稳定碎石基层</w:t>
            </w:r>
          </w:p>
        </w:tc>
        <w:tc>
          <w:tcPr>
            <w:tcW w:w="1560" w:type="pct"/>
            <w:vAlign w:val="center"/>
          </w:tcPr>
          <w:p>
            <w:pPr>
              <w:pStyle w:val="109"/>
              <w:spacing w:line="240" w:lineRule="auto"/>
              <w:rPr>
                <w:rFonts w:eastAsia="仿宋_GB2312"/>
                <w:szCs w:val="21"/>
              </w:rPr>
            </w:pPr>
            <w:r>
              <w:rPr>
                <w:rFonts w:eastAsia="仿宋_GB2312"/>
              </w:rPr>
              <w:t>15</w:t>
            </w:r>
          </w:p>
        </w:tc>
      </w:tr>
    </w:tbl>
    <w:p>
      <w:pPr>
        <w:spacing w:beforeLines="50"/>
        <w:ind w:firstLine="480"/>
      </w:pPr>
      <w:r>
        <w:t>5、路基处理</w:t>
      </w:r>
    </w:p>
    <w:p>
      <w:pPr>
        <w:ind w:firstLine="480"/>
      </w:pPr>
      <w:r>
        <w:t>路基填料：路基宜选用级配较好的粗粒土作为填料。填土前应先将原地表进行清理，整平压实，路基填料应密实、均匀并具有一定强度。路基填料的强度和粒径要求如下表所列。依据现场踏勘情况，本项目工程挖方量大，挖方清除不良土后，符合要求的土、石方应作为填方路段填料加以利用，即原则上道路挖方中的合格填料应尽量利用，并将道路工程中不能用的杂填土等作为绿化带填土，减少弃土数量，降低投资。</w:t>
      </w:r>
    </w:p>
    <w:p>
      <w:pPr>
        <w:ind w:firstLine="480"/>
      </w:pPr>
      <w:r>
        <w:t>挖填边坡放坡处理：填方区路堤及挖方段边坡高度≤4米时采用喷播植草进行防护，边坡高度＞4米时采用挂三维网植草进行防护，边坡分级高度为8m的无外倾结构面的岩质边坡采用锚杆框架梁进行防护。路基填方边坡统一采用分级放坡，按一级边坡1：1.5坡率、二级边坡1：1.75坡率、三级及三级以上边坡按1：2坡率进行放坡。每级边坡≤8m，分级平台宽度2m，为减少边坡防护工程量。路基挖方边坡统一采用分级放坡，边坡采用临时性防护，分级边坡坡率依次为1：1、1：1.25、1：1.5，边坡分级高度为8m，级间平台宽度2m。</w:t>
      </w:r>
    </w:p>
    <w:p>
      <w:pPr>
        <w:ind w:firstLine="480"/>
      </w:pPr>
      <w:r>
        <w:t>路基强度要求：对路床范围（即路面底面以下0～80cm）土层采取翻挖后压实处理，以满足路基最小强度（CBR）的要求。当土质成分含水量较大，直接碾压压实度达不到设计要求时，应采用换填合格填料，换填厚度为路床以下30～80cm。</w:t>
      </w:r>
    </w:p>
    <w:p>
      <w:pPr>
        <w:ind w:firstLine="480"/>
      </w:pPr>
      <w:r>
        <w:t>6、道路排水</w:t>
      </w:r>
    </w:p>
    <w:p>
      <w:pPr>
        <w:widowControl/>
        <w:ind w:firstLine="480"/>
      </w:pPr>
      <w:r>
        <w:rPr>
          <w:kern w:val="0"/>
          <w:szCs w:val="24"/>
        </w:rPr>
        <w:t>道路排水通过路面横坡及道路纵坡汇流后进入雨水口收集后排入道路下的雨水管道系统。并且在凹形竖曲线、交叉口等特殊位置增设雨水口以加强路面水的排出。</w:t>
      </w:r>
    </w:p>
    <w:p>
      <w:pPr>
        <w:widowControl/>
        <w:ind w:firstLine="480"/>
      </w:pPr>
      <w:r>
        <w:rPr>
          <w:kern w:val="0"/>
          <w:szCs w:val="24"/>
        </w:rPr>
        <w:t>雨水管道沿道路规划路线布置于道路两侧非机动车道下方，并在汇水点上或截水点上设置雨水口，以便迅速有效地收集雨水，雨水口的间距20~40m；雨水管管材主要采用Ⅱ、Ⅲ级钢筋混凝土管，管径</w:t>
      </w:r>
      <w:r>
        <w:t>DN</w:t>
      </w:r>
      <w:r>
        <w:rPr>
          <w:kern w:val="0"/>
          <w:szCs w:val="24"/>
        </w:rPr>
        <w:t>500-</w:t>
      </w:r>
      <w:r>
        <w:t>DN</w:t>
      </w:r>
      <w:r>
        <w:rPr>
          <w:kern w:val="0"/>
          <w:szCs w:val="24"/>
        </w:rPr>
        <w:t>1500；雨水口采用偏沟式单箅、双箅雨水口，采用预制混凝土装配式雨水口，雨水篦子采用球墨铸铁篦子。</w:t>
      </w:r>
    </w:p>
    <w:p>
      <w:pPr>
        <w:pStyle w:val="8"/>
        <w:rPr>
          <w:rFonts w:eastAsia="仿宋_GB2312"/>
        </w:rPr>
      </w:pPr>
      <w:r>
        <w:rPr>
          <w:rFonts w:eastAsia="仿宋_GB2312"/>
        </w:rPr>
        <w:t>2.1.5.2.2停车设施规划</w:t>
      </w:r>
    </w:p>
    <w:p>
      <w:pPr>
        <w:ind w:firstLine="480"/>
      </w:pPr>
      <w:r>
        <w:t>园区交通场站用地为21.03hm</w:t>
      </w:r>
      <w:r>
        <w:rPr>
          <w:vertAlign w:val="superscript"/>
        </w:rPr>
        <w:t>2</w:t>
      </w:r>
      <w:r>
        <w:t>，建设1处危险化学品停车场12.41hm</w:t>
      </w:r>
      <w:r>
        <w:rPr>
          <w:vertAlign w:val="superscript"/>
        </w:rPr>
        <w:t>2</w:t>
      </w:r>
      <w:r>
        <w:t>（其中3.25hm</w:t>
      </w:r>
      <w:r>
        <w:rPr>
          <w:vertAlign w:val="superscript"/>
        </w:rPr>
        <w:t>2</w:t>
      </w:r>
      <w:r>
        <w:t>的用地性质为工业用地）及1处停车场（含车辆维修站）11.87hm</w:t>
      </w:r>
      <w:r>
        <w:rPr>
          <w:vertAlign w:val="superscript"/>
        </w:rPr>
        <w:t>2</w:t>
      </w:r>
      <w:r>
        <w:t>。</w:t>
      </w:r>
    </w:p>
    <w:p>
      <w:pPr>
        <w:ind w:firstLine="480"/>
      </w:pPr>
      <w:r>
        <w:t>为规范园区化工企业危化品运输车辆停放，减少危化品运输车辆对企业生产的影响，园区在工业污水处理厂对面设置1处危险化学品停车场，占地面积为12.41hm</w:t>
      </w:r>
      <w:r>
        <w:rPr>
          <w:vertAlign w:val="superscript"/>
        </w:rPr>
        <w:t>2</w:t>
      </w:r>
      <w:r>
        <w:t>（其中3.25hm</w:t>
      </w:r>
      <w:r>
        <w:rPr>
          <w:vertAlign w:val="superscript"/>
        </w:rPr>
        <w:t>2</w:t>
      </w:r>
      <w:r>
        <w:t>的用地性质为工业用地），主要用于危化品车辆专用清洗、停放及维修厂。工程于</w:t>
      </w:r>
      <w:r>
        <w:rPr>
          <w:szCs w:val="24"/>
        </w:rPr>
        <w:t>2022年10月12日取得乐山市五通桥区水务局关于乐山市五通桥区东西协作新型工业园区工业基地货运专用停车场建设项目水土保持方案报告书的批复（</w:t>
      </w:r>
      <w:r>
        <w:rPr>
          <w:kern w:val="0"/>
          <w:szCs w:val="24"/>
        </w:rPr>
        <w:t>五水函〔2022〕67号</w:t>
      </w:r>
      <w:r>
        <w:rPr>
          <w:szCs w:val="24"/>
        </w:rPr>
        <w:t>），根据批复的水保方案，“</w:t>
      </w:r>
      <w:r>
        <w:t>总建筑面积9308.02m</w:t>
      </w:r>
      <w:r>
        <w:rPr>
          <w:vertAlign w:val="superscript"/>
        </w:rPr>
        <w:t>2</w:t>
      </w:r>
      <w:r>
        <w:t>（含暖心之家附属用房、危化品区洗车维修车间、普通货运区洗车维修车间、危化品区管理用房、普通货运区管理用房），规划危化品货运总停车位86个，规划普通货运总停车位165个，社会标准停车位85个；辅助功能区由配电室、应急事故池、固废库、消防水站、污水处理设施等组成</w:t>
      </w:r>
      <w:r>
        <w:rPr>
          <w:szCs w:val="24"/>
        </w:rPr>
        <w:t>”</w:t>
      </w:r>
      <w:r>
        <w:t>。</w:t>
      </w:r>
    </w:p>
    <w:p>
      <w:pPr>
        <w:ind w:firstLine="480"/>
      </w:pPr>
      <w:r>
        <w:t>为综合有效、节约利用土地，车辆维修站与停车场合并设置。园区在东三路北侧及北一路南侧设置了1处停车场（含车辆维修站），占地面积为11.87hm</w:t>
      </w:r>
      <w:r>
        <w:rPr>
          <w:vertAlign w:val="superscript"/>
        </w:rPr>
        <w:t>2</w:t>
      </w:r>
      <w:r>
        <w:t>。</w:t>
      </w:r>
    </w:p>
    <w:p>
      <w:pPr>
        <w:pStyle w:val="7"/>
      </w:pPr>
      <w:r>
        <w:t>2.1.5.3公用设施用地</w:t>
      </w:r>
    </w:p>
    <w:p>
      <w:pPr>
        <w:pStyle w:val="8"/>
        <w:rPr>
          <w:rFonts w:eastAsia="仿宋_GB2312"/>
        </w:rPr>
      </w:pPr>
      <w:r>
        <w:rPr>
          <w:rFonts w:eastAsia="仿宋_GB2312"/>
        </w:rPr>
        <w:t>2.1.5.3.1供水系统规划</w:t>
      </w:r>
    </w:p>
    <w:p>
      <w:pPr>
        <w:ind w:firstLine="480"/>
      </w:pPr>
      <w:r>
        <w:t>供水系统分为生活供水系统和生产供水系统两个完全独立的供水系统。</w:t>
      </w:r>
    </w:p>
    <w:p>
      <w:pPr>
        <w:ind w:firstLine="480"/>
      </w:pPr>
      <w:r>
        <w:t>为供应基地工业用水，乐山高新投五通桥基地开发建设有限公司于2020年4月在龙翔路南侧投资建设了1座8万m</w:t>
      </w:r>
      <w:r>
        <w:rPr>
          <w:vertAlign w:val="superscript"/>
        </w:rPr>
        <w:t>3</w:t>
      </w:r>
      <w:r>
        <w:t>/d的水厂及配套管网工程（供水厂位于化工园区范围外），主要为工业生产服务，水源取自岷江。配套工业用水给水管道管径为DN400~DN800球墨铸铁管。该项目于2020年4月3日取得乐山市五通桥区水务局关于五通桥区工业基地工业供水厂及配套管网工程水土保持方案报告书的批复（五水函〔2020〕20号）。</w:t>
      </w:r>
    </w:p>
    <w:p>
      <w:pPr>
        <w:ind w:firstLine="480"/>
      </w:pPr>
      <w:r>
        <w:t>园区生活供水由五通桥城区城市供水管网供给，给水管道直接接213线市政给水管网。供水规模为0.6万m</w:t>
      </w:r>
      <w:r>
        <w:rPr>
          <w:vertAlign w:val="superscript"/>
        </w:rPr>
        <w:t>3</w:t>
      </w:r>
      <w:r>
        <w:t>/d，配套生活用水给水管道管径为DN200球墨铸铁管。</w:t>
      </w:r>
    </w:p>
    <w:p>
      <w:pPr>
        <w:ind w:firstLine="480"/>
      </w:pPr>
      <w:r>
        <w:t>管网系统亦分为生活供水管网和工业生产供水管网，两者系统完全独立，严禁互相连接。给水主干管采用环状供水，给水管管径采用DN200~DN800。在室外给水管道上设置消火栓，消火栓之间距离不得大于120m。为保证消防时水量水压要求，规划主干管的最小管径采用DN400，支管最小管径采用DN200。给水管网的最不利点压力满足用户接管点处服务水头0.28兆帕的要求。给水管道布置在道路西、南侧人行道、绿化带或慢车道下，距人行道路缘石1.0～2.5m，埋深控制在0.7～1.5m。供水管管材选用耐腐蚀的球墨铸铁管或PE100管等材料，保证供水可靠性。中等口径管材（DN400~1000）优先采用球墨铸铁管；小口径管材（DN&lt;400）优先采用塑料管。</w:t>
      </w:r>
    </w:p>
    <w:p>
      <w:pPr>
        <w:pStyle w:val="8"/>
        <w:rPr>
          <w:rFonts w:eastAsia="仿宋_GB2312"/>
        </w:rPr>
      </w:pPr>
      <w:r>
        <w:rPr>
          <w:rFonts w:eastAsia="仿宋_GB2312"/>
        </w:rPr>
        <w:t>2.1.5.3.2排水规划</w:t>
      </w:r>
    </w:p>
    <w:p>
      <w:pPr>
        <w:ind w:firstLine="480"/>
      </w:pPr>
      <w:r>
        <w:t>1、排水体制</w:t>
      </w:r>
    </w:p>
    <w:p>
      <w:pPr>
        <w:ind w:firstLine="480"/>
      </w:pPr>
      <w:r>
        <w:t>排水体制为雨污完全分流制，雨水就近排入现状沟渠及岷江。生活污水与工业废水均排入同一园区污水系统，其中工业污水具有危害性，需企业预处理后才能排入园区市政污水管网。</w:t>
      </w:r>
    </w:p>
    <w:p>
      <w:pPr>
        <w:ind w:firstLine="480"/>
      </w:pPr>
      <w:r>
        <w:t>2、污水系统规划</w:t>
      </w:r>
    </w:p>
    <w:p>
      <w:pPr>
        <w:ind w:firstLine="480"/>
      </w:pPr>
      <w:r>
        <w:t>（1）污水处理厂布置</w:t>
      </w:r>
    </w:p>
    <w:p>
      <w:pPr>
        <w:ind w:firstLine="480"/>
      </w:pPr>
      <w:r>
        <w:t>因片区用地面积等因素限制，片区内设置1座工业污水处理厂，污水处理厂设计处理规模为2万m</w:t>
      </w:r>
      <w:r>
        <w:rPr>
          <w:vertAlign w:val="superscript"/>
        </w:rPr>
        <w:t>3</w:t>
      </w:r>
      <w:r>
        <w:t>/d。工业污水处理厂位于园区西部龙翔路旁，截止2022年11月，工程正在进行主体工程基础建设，其中一期设计处理规模8000m</w:t>
      </w:r>
      <w:r>
        <w:rPr>
          <w:vertAlign w:val="superscript"/>
        </w:rPr>
        <w:t>3</w:t>
      </w:r>
      <w:r>
        <w:t>/d，二、三期根据后期招商引资入驻企业情况确定。园区规划的污水处理厂占地17.90hm</w:t>
      </w:r>
      <w:r>
        <w:rPr>
          <w:vertAlign w:val="superscript"/>
        </w:rPr>
        <w:t>2</w:t>
      </w:r>
      <w:r>
        <w:t>。目前工程于2020年4月3日取得乐山市五通桥区水务局关于五通桥工业基地污水处理厂及配套管网工程水土保持方案报告书的批复（五水函〔2020〕19号），批复的工业污水处理厂永久占地为2.20hm</w:t>
      </w:r>
      <w:r>
        <w:rPr>
          <w:vertAlign w:val="superscript"/>
        </w:rPr>
        <w:t>2</w:t>
      </w:r>
      <w:r>
        <w:t>；生活污水处理厂在现金粟污水处理厂（位于园区范围外）基础上进行改扩建，设计规模为3万m</w:t>
      </w:r>
      <w:r>
        <w:rPr>
          <w:vertAlign w:val="superscript"/>
        </w:rPr>
        <w:t>3</w:t>
      </w:r>
      <w:r>
        <w:t>/d。区内企业废水经企业自行预处理达到《污水综合排放标准》（GB8978-1996）三级标准，或行业排放标准后方可送园区工业污水处理厂。污水处理厂排放标准不得低于《四川省岷江、沱江流域水污染物排放标准》（DB51/2311-2016）中城镇污水处理厂出水标准的相关要求。为减少对岷江水体污染，污水处理厂应对初期雨水处理、污泥深度脱水等做好面积预留，同时设计中应考虑远期提高处理标准可能。</w:t>
      </w:r>
    </w:p>
    <w:p>
      <w:pPr>
        <w:ind w:firstLine="480"/>
      </w:pPr>
      <w:r>
        <w:t>（2）污水管网布置</w:t>
      </w:r>
    </w:p>
    <w:p>
      <w:pPr>
        <w:ind w:firstLine="480"/>
      </w:pPr>
      <w:r>
        <w:t>园区的污水排放尽可能采用重力排放，部分管段采用一体化污水提升泵站减小管道埋深。</w:t>
      </w:r>
    </w:p>
    <w:p>
      <w:pPr>
        <w:ind w:firstLine="480"/>
      </w:pPr>
      <w:r>
        <w:t>根据地形条件及园区用地布局，区内污水排放划分为3个片区。基地西部现有污水处理厂负责收集园区西部的工业污水，在基地东部新建的工业污水处理厂负责收集园区东部的工业污水，金粟生活污水处理厂负责收集213国道沿线生活污水。污水管网沿规划道路敷设，收集污水至各片区污水处理厂处理达标后排放。</w:t>
      </w:r>
    </w:p>
    <w:p>
      <w:pPr>
        <w:ind w:firstLine="480"/>
      </w:pPr>
      <w:r>
        <w:t>污水主管管径DN600～DN1000，支管为DN500。管道管径DN600及以下的污水管建议采用HDPE双壁波纹管或或聚乙烯钢塑缠绕管。管道管径为DN600以上的排水管建议采用钢砼排水管和预应力钢筋砼排水管，管道采用柔性接口。污水管最小覆土0.7米，管道最大埋深控制在5米左右。</w:t>
      </w:r>
    </w:p>
    <w:p>
      <w:pPr>
        <w:ind w:firstLine="480"/>
      </w:pPr>
      <w:r>
        <w:t>（3）应急池</w:t>
      </w:r>
    </w:p>
    <w:p>
      <w:pPr>
        <w:ind w:firstLine="480"/>
      </w:pPr>
      <w:r>
        <w:t>化工园区范围内共规划2处公共事故废水应急池，容量应不小于1万m</w:t>
      </w:r>
      <w:r>
        <w:rPr>
          <w:vertAlign w:val="superscript"/>
        </w:rPr>
        <w:t>3</w:t>
      </w:r>
      <w:r>
        <w:t>/座，其中1座位于污水处理厂内，占地不再重复计列；另1座位于化工园区东部地块内（远期发展区域），占地1.01hm</w:t>
      </w:r>
      <w:r>
        <w:rPr>
          <w:vertAlign w:val="superscript"/>
        </w:rPr>
        <w:t>2</w:t>
      </w:r>
      <w:r>
        <w:t>。各大型化工企业需自建事故水应急池，容量应根据企业实际情况综合确定。公共事故水应急池平时应保证有不超过总容量1/3的蓄水，用于应池体养护，兼消防应急人工水源。</w:t>
      </w:r>
    </w:p>
    <w:p>
      <w:pPr>
        <w:ind w:firstLine="480"/>
      </w:pPr>
      <w:r>
        <w:t>3、雨水系统规划</w:t>
      </w:r>
    </w:p>
    <w:p>
      <w:pPr>
        <w:ind w:firstLine="480"/>
      </w:pPr>
      <w:r>
        <w:t>（1）暴雨强度公式</w:t>
      </w:r>
    </w:p>
    <w:p>
      <w:pPr>
        <w:ind w:firstLine="480"/>
      </w:pPr>
      <w:r>
        <w:t>暴雨强度公式采用2017乐山市暴雨强度公式：</w:t>
      </w:r>
    </w:p>
    <w:p>
      <w:pPr>
        <w:ind w:firstLine="0" w:firstLineChars="0"/>
        <w:jc w:val="center"/>
      </w:pPr>
      <w:r>
        <w:rPr>
          <w:position w:val="-28"/>
        </w:rPr>
        <w:object>
          <v:shape id="_x0000_i1025" o:spt="75" type="#_x0000_t75" style="height:33pt;width:105pt;" o:ole="t" filled="f" o:preferrelative="t" stroked="f" coordsize="21600,21600">
            <v:path/>
            <v:fill on="f" focussize="0,0"/>
            <v:stroke on="f" joinstyle="miter"/>
            <v:imagedata r:id="rId99" o:title=""/>
            <o:lock v:ext="edit" aspectratio="t"/>
            <w10:wrap type="none"/>
            <w10:anchorlock/>
          </v:shape>
          <o:OLEObject Type="Embed" ProgID="Equation.3" ShapeID="_x0000_i1025" DrawAspect="Content" ObjectID="_1468075725" r:id="rId98">
            <o:LockedField>false</o:LockedField>
          </o:OLEObject>
        </w:object>
      </w:r>
    </w:p>
    <w:p>
      <w:pPr>
        <w:ind w:firstLine="480"/>
        <w:rPr>
          <w:sz w:val="28"/>
          <w:szCs w:val="28"/>
        </w:rPr>
      </w:pPr>
      <w:r>
        <w:rPr>
          <w:szCs w:val="24"/>
        </w:rPr>
        <w:t>式中：</w:t>
      </w:r>
    </w:p>
    <w:p>
      <w:pPr>
        <w:ind w:firstLine="960" w:firstLineChars="400"/>
        <w:rPr>
          <w:szCs w:val="24"/>
        </w:rPr>
      </w:pPr>
      <w:r>
        <w:rPr>
          <w:szCs w:val="24"/>
        </w:rPr>
        <w:t>I——暴雨强度计算值（mm/min）；</w:t>
      </w:r>
    </w:p>
    <w:p>
      <w:pPr>
        <w:ind w:firstLine="960" w:firstLineChars="400"/>
        <w:rPr>
          <w:szCs w:val="24"/>
        </w:rPr>
      </w:pPr>
      <w:r>
        <w:rPr>
          <w:szCs w:val="24"/>
        </w:rPr>
        <w:t>t——降雨历时（min）；</w:t>
      </w:r>
    </w:p>
    <w:p>
      <w:pPr>
        <w:ind w:firstLine="960" w:firstLineChars="400"/>
        <w:rPr>
          <w:szCs w:val="24"/>
        </w:rPr>
      </w:pPr>
      <w:r>
        <w:rPr>
          <w:szCs w:val="24"/>
        </w:rPr>
        <w:t>P——重现期（a）。</w:t>
      </w:r>
    </w:p>
    <w:p>
      <w:pPr>
        <w:ind w:firstLine="480"/>
      </w:pPr>
      <w:r>
        <w:rPr>
          <w:szCs w:val="24"/>
        </w:rPr>
        <w:t>降雨历时取10min；</w:t>
      </w:r>
      <w:r>
        <w:t>设计重现期P=5年；沥青路面径流系数取0.85。</w:t>
      </w:r>
    </w:p>
    <w:p>
      <w:pPr>
        <w:ind w:firstLine="480"/>
      </w:pPr>
      <w:r>
        <w:t>（2）雨水管网布置</w:t>
      </w:r>
    </w:p>
    <w:p>
      <w:pPr>
        <w:ind w:firstLine="480"/>
      </w:pPr>
      <w:r>
        <w:t>雨水管按设计暴雨强度进行计算，并随规划建设时序逐步铺设管道，雨水干管应先行铺设。雨水管道应以就近、分散排放入河为主要布置原则，以减小管径，缩短管道长度，减少造价。尽量利用地势，使规划线路最短，管径较小，埋深较浅，把地面径流通过管网排入水体。在雨水排放口，加装防止河水倒灌的鸭嘴阀或防潮门。</w:t>
      </w:r>
    </w:p>
    <w:p>
      <w:pPr>
        <w:ind w:firstLine="480"/>
      </w:pPr>
      <w:r>
        <w:t>雨水管网系统按远期规模并适当考虑远景要求一次完成整体规划，实施时可根据建设发展情况分步实施，并可结合城市发展过程中的具体情况适当调整管道口径和线路布局。</w:t>
      </w:r>
    </w:p>
    <w:p>
      <w:pPr>
        <w:ind w:firstLine="480"/>
      </w:pPr>
      <w:r>
        <w:t>规划雨水管采用DN600~DN1600钢筋混凝土管，敷设道路机动车道下。</w:t>
      </w:r>
    </w:p>
    <w:p>
      <w:pPr>
        <w:ind w:firstLine="480"/>
      </w:pPr>
      <w:r>
        <w:t>（3）管道附属构筑物</w:t>
      </w:r>
    </w:p>
    <w:p>
      <w:pPr>
        <w:numPr>
          <w:ilvl w:val="255"/>
          <w:numId w:val="0"/>
        </w:numPr>
        <w:adjustRightInd w:val="0"/>
        <w:snapToGrid w:val="0"/>
        <w:ind w:firstLine="480"/>
      </w:pPr>
      <w:r>
        <w:t>1）排水管材及基础</w:t>
      </w:r>
    </w:p>
    <w:p>
      <w:pPr>
        <w:ind w:firstLine="480"/>
      </w:pPr>
      <w:r>
        <w:t>管径DN300雨水联络管采用钢筋混凝土Ⅰ级承插管（GB/T11836-2009），基础采用混凝土满包基础，采用承插橡胶圈接口。</w:t>
      </w:r>
    </w:p>
    <w:p>
      <w:pPr>
        <w:ind w:firstLine="480"/>
      </w:pPr>
      <w:r>
        <w:t>管径DN500~1600采用钢筋混凝土II级承插管（GB/T11836-2009），180°砂石基础，做法见国标图集06MS201-1第11页。接口采用承插橡胶圈接口，柔性接口管道采用的橡胶密封圈应满足JC/T946-2005标准要求。</w:t>
      </w:r>
    </w:p>
    <w:p>
      <w:pPr>
        <w:numPr>
          <w:ilvl w:val="255"/>
          <w:numId w:val="0"/>
        </w:numPr>
        <w:adjustRightInd w:val="0"/>
        <w:snapToGrid w:val="0"/>
        <w:ind w:firstLine="480"/>
      </w:pPr>
      <w:r>
        <w:t>2）检查井等附属构筑物</w:t>
      </w:r>
    </w:p>
    <w:p>
      <w:pPr>
        <w:autoSpaceDE w:val="0"/>
        <w:autoSpaceDN w:val="0"/>
        <w:adjustRightInd w:val="0"/>
        <w:ind w:firstLine="480"/>
      </w:pPr>
      <w:r>
        <w:t>当管道直径400≤D≤1000时，采用圆形检查井，井径按06MS201-3/7“排水检查井尺寸表”确定；当管道直径1000＜D≤2200（污水）或2000（雨水）时，采用矩形或扇形检查井，详见06MS201-3。设在车行道下的检查井，在检查井周边宽0.8m范围内回填采用5%水泥稳定碎石，并分层夯实。当管道覆土8.0m＞H≥D+6.0m时，检查井井室纵向钢筋增大一级，超深部分水平钢筋增大一级。超深检查井另行设计。</w:t>
      </w:r>
    </w:p>
    <w:p>
      <w:pPr>
        <w:autoSpaceDE w:val="0"/>
        <w:autoSpaceDN w:val="0"/>
        <w:adjustRightInd w:val="0"/>
        <w:ind w:firstLine="480"/>
      </w:pPr>
      <w:r>
        <w:t>井室周围的回填，应与管道沟槽的回填同时进行；当不便同时进行时，应留台阶形接茬；井室周围回填压实时应沿井室中心对称进行，且不得漏夯；回填材料压实后应与井壁紧贴。</w:t>
      </w:r>
    </w:p>
    <w:p>
      <w:pPr>
        <w:autoSpaceDE w:val="0"/>
        <w:autoSpaceDN w:val="0"/>
        <w:adjustRightInd w:val="0"/>
        <w:ind w:firstLine="480"/>
      </w:pPr>
      <w:r>
        <w:t>当井内有支管接入管顶与管顶的落差h≥1.2m时应设竖槽式跌水井，采用06MS201-3国标图集。当井内有支管接入管顶与管顶的落差0.5≤h＜1.2m时可用C30混凝土垫层加固，厚20cm，以防冲刷。</w:t>
      </w:r>
    </w:p>
    <w:p>
      <w:pPr>
        <w:autoSpaceDE w:val="0"/>
        <w:autoSpaceDN w:val="0"/>
        <w:adjustRightInd w:val="0"/>
        <w:ind w:firstLine="480"/>
      </w:pPr>
      <w:r>
        <w:t>检查井盖须符合《检查井盖》（GB23858-2009）的要求：车行道下检查井盖采用新型“五防”球墨铸铁井盖，并符合《球墨铸铁件》（GB/T1348-2009）的相关要求，等级不低于D400级。位于绿化带的检查井采用聚合物基复合材料检查井盖，等级采用B125型，还应符合《聚合物基复合材料检查井盖》（CJ/T211-2005）和四川省工程建设地方标准《城市道路高分子复合材料检查井盖、水箅技术规程》（DB51/5057-2008）的要求。位于人行道的检查井盖可根据后期景观工程的要求进行调整，采用方形不锈钢钢板与不锈钢角钢框密焊井盖，并与人行道铺装保持一致。</w:t>
      </w:r>
    </w:p>
    <w:p>
      <w:pPr>
        <w:autoSpaceDE w:val="0"/>
        <w:autoSpaceDN w:val="0"/>
        <w:adjustRightInd w:val="0"/>
        <w:ind w:firstLine="480"/>
      </w:pPr>
      <w:r>
        <w:t>设于车行道和人行道下的检查井井盖顶面与路面齐平。设于绿化带下的检查井井盖顶面可高于地面0.30m。</w:t>
      </w:r>
    </w:p>
    <w:p>
      <w:pPr>
        <w:adjustRightInd w:val="0"/>
        <w:snapToGrid w:val="0"/>
        <w:ind w:firstLine="480"/>
      </w:pPr>
      <w:r>
        <w:t>3）雨水口</w:t>
      </w:r>
    </w:p>
    <w:p>
      <w:pPr>
        <w:ind w:firstLine="480"/>
      </w:pPr>
      <w:r>
        <w:t>雨水口采用砖砌，为提高雨水口收水能力，采用单、双箅雨水口（雨水篦子采用球墨铸铁）。道路竖曲线最低点及道路交叉口附近的雨水口在实施时应调整至实际路面的最低点，以保证有效的收水。雨水口沿检查井布置，雨水口支管采用DN300，i≥0.01，井深均为1.0m，加深0.3m进行沉泥。</w:t>
      </w:r>
    </w:p>
    <w:p>
      <w:pPr>
        <w:ind w:firstLine="480"/>
      </w:pPr>
      <w:r>
        <w:t>4）雨、污水接入井及支管</w:t>
      </w:r>
    </w:p>
    <w:p>
      <w:pPr>
        <w:ind w:firstLine="480"/>
      </w:pPr>
      <w:r>
        <w:t>道路上布置雨、污水检查井均应在两侧预留接入检查井。雨水接入井支管管径为DN500，坡度为0.3%，坡向干管检查井；污水接入井支管管径为DN400，坡度为0.5%，坡向干管检查井。</w:t>
      </w:r>
    </w:p>
    <w:p>
      <w:pPr>
        <w:pStyle w:val="8"/>
        <w:rPr>
          <w:rFonts w:eastAsia="仿宋_GB2312"/>
        </w:rPr>
      </w:pPr>
      <w:r>
        <w:rPr>
          <w:rFonts w:eastAsia="仿宋_GB2312"/>
        </w:rPr>
        <w:t>2.1.5.3.3电源规划</w:t>
      </w:r>
    </w:p>
    <w:p>
      <w:pPr>
        <w:widowControl/>
        <w:ind w:firstLine="480"/>
      </w:pPr>
      <w:r>
        <w:t>目前园区用电主要由园区范围以外的金粟220KV变电站以及500KV嘉州站供应。园区内规划新建6座变电站，其中110KV变电站2座，220KV变电站4座。通过查阅对企业批复的水保方案及现场实地调查，1#及2#电站占地1.58hm</w:t>
      </w:r>
      <w:r>
        <w:rPr>
          <w:vertAlign w:val="superscript"/>
        </w:rPr>
        <w:t>2</w:t>
      </w:r>
      <w:r>
        <w:t>，其布置于协鑫10万吨颗粒硅项目批复的水土流失防治责任范围内，已基本建成；3#电站占地1.47hm</w:t>
      </w:r>
      <w:r>
        <w:rPr>
          <w:vertAlign w:val="superscript"/>
        </w:rPr>
        <w:t>2</w:t>
      </w:r>
      <w:r>
        <w:t>，其布置于于永祥二期4.5万吨高纯晶硅项目批复的水土流失防治责任范围内，已基本建成。上述电站的占地不再重复计列。4#电站（会云220kV变电站）位于永祥二期4.5万吨高纯晶硅项目对侧</w:t>
      </w:r>
      <w:r>
        <w:rPr>
          <w:kern w:val="0"/>
          <w:szCs w:val="24"/>
        </w:rPr>
        <w:t>。该工程于2021年1月26日取得乐山市五通桥区水务局关于220千伏会云输变电新建工程水土保持方案报告表的回复（五水函〔2021〕6号），批复的电站永久占地为1.84hm</w:t>
      </w:r>
      <w:r>
        <w:rPr>
          <w:kern w:val="0"/>
          <w:szCs w:val="24"/>
          <w:vertAlign w:val="superscript"/>
        </w:rPr>
        <w:t>2</w:t>
      </w:r>
      <w:r>
        <w:rPr>
          <w:kern w:val="0"/>
          <w:szCs w:val="24"/>
        </w:rPr>
        <w:t>（变电站1.69hm</w:t>
      </w:r>
      <w:r>
        <w:rPr>
          <w:kern w:val="0"/>
          <w:szCs w:val="24"/>
          <w:vertAlign w:val="superscript"/>
        </w:rPr>
        <w:t>2</w:t>
      </w:r>
      <w:r>
        <w:rPr>
          <w:kern w:val="0"/>
          <w:szCs w:val="24"/>
        </w:rPr>
        <w:t>，配套塔基0.15hm</w:t>
      </w:r>
      <w:r>
        <w:rPr>
          <w:kern w:val="0"/>
          <w:szCs w:val="24"/>
          <w:vertAlign w:val="superscript"/>
        </w:rPr>
        <w:t>2</w:t>
      </w:r>
      <w:r>
        <w:rPr>
          <w:kern w:val="0"/>
          <w:szCs w:val="24"/>
        </w:rPr>
        <w:t>）。5#电站占地1.12</w:t>
      </w:r>
      <w:r>
        <w:t>hm</w:t>
      </w:r>
      <w:r>
        <w:rPr>
          <w:vertAlign w:val="superscript"/>
        </w:rPr>
        <w:t>2</w:t>
      </w:r>
      <w:r>
        <w:t>，</w:t>
      </w:r>
      <w:r>
        <w:rPr>
          <w:kern w:val="0"/>
          <w:szCs w:val="24"/>
        </w:rPr>
        <w:t>位于北二路（永祥段）北侧、西一路（永祥段）南侧。6#电站占地1.87</w:t>
      </w:r>
      <w:r>
        <w:t>hm</w:t>
      </w:r>
      <w:r>
        <w:rPr>
          <w:vertAlign w:val="superscript"/>
        </w:rPr>
        <w:t>2</w:t>
      </w:r>
      <w:r>
        <w:t>，位于北二路北侧，处于远期发展区域。园区规划电站及配套塔基占地为6.63hm</w:t>
      </w:r>
      <w:r>
        <w:rPr>
          <w:vertAlign w:val="superscript"/>
        </w:rPr>
        <w:t>2</w:t>
      </w:r>
      <w:r>
        <w:t>。</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01"/>
        <w:gridCol w:w="46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gridSpan w:val="2"/>
          </w:tcPr>
          <w:p>
            <w:pPr>
              <w:widowControl/>
              <w:spacing w:line="240" w:lineRule="auto"/>
              <w:ind w:firstLine="0" w:firstLineChars="0"/>
              <w:jc w:val="center"/>
              <w:rPr>
                <w:kern w:val="0"/>
                <w:sz w:val="21"/>
                <w:szCs w:val="21"/>
              </w:rPr>
            </w:pPr>
            <w:r>
              <w:drawing>
                <wp:inline distT="0" distB="0" distL="114300" distR="114300">
                  <wp:extent cx="5758180" cy="3420110"/>
                  <wp:effectExtent l="0" t="0" r="13970" b="8890"/>
                  <wp:docPr id="22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图片 82"/>
                          <pic:cNvPicPr>
                            <a:picLocks noChangeAspect="1"/>
                          </pic:cNvPicPr>
                        </pic:nvPicPr>
                        <pic:blipFill>
                          <a:blip r:embed="rId100"/>
                          <a:stretch>
                            <a:fillRect/>
                          </a:stretch>
                        </pic:blipFill>
                        <pic:spPr>
                          <a:xfrm>
                            <a:off x="0" y="0"/>
                            <a:ext cx="5758180" cy="342011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gridSpan w:val="2"/>
          </w:tcPr>
          <w:p>
            <w:pPr>
              <w:widowControl/>
              <w:spacing w:line="240" w:lineRule="auto"/>
              <w:ind w:firstLine="0" w:firstLineChars="0"/>
              <w:jc w:val="center"/>
              <w:rPr>
                <w:kern w:val="0"/>
                <w:sz w:val="21"/>
                <w:szCs w:val="21"/>
              </w:rPr>
            </w:pPr>
            <w:r>
              <w:rPr>
                <w:b/>
                <w:bCs/>
                <w:sz w:val="21"/>
                <w:szCs w:val="21"/>
              </w:rPr>
              <w:t>图2.1-2</w:t>
            </w:r>
            <w:r>
              <w:rPr>
                <w:rFonts w:hint="eastAsia"/>
                <w:b/>
                <w:bCs/>
                <w:sz w:val="21"/>
                <w:szCs w:val="21"/>
              </w:rPr>
              <w:t>8</w:t>
            </w:r>
            <w:r>
              <w:rPr>
                <w:b/>
                <w:bCs/>
                <w:kern w:val="0"/>
                <w:sz w:val="21"/>
                <w:szCs w:val="21"/>
              </w:rPr>
              <w:t>园区变电站位置示意图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vAlign w:val="center"/>
          </w:tcPr>
          <w:p>
            <w:pPr>
              <w:spacing w:line="240" w:lineRule="auto"/>
              <w:ind w:firstLine="0" w:firstLineChars="0"/>
              <w:jc w:val="center"/>
              <w:rPr>
                <w:b/>
                <w:bCs/>
                <w:sz w:val="21"/>
                <w:szCs w:val="21"/>
              </w:rPr>
            </w:pPr>
            <w:r>
              <w:drawing>
                <wp:inline distT="0" distB="0" distL="114300" distR="114300">
                  <wp:extent cx="2945130" cy="2131060"/>
                  <wp:effectExtent l="0" t="0" r="7620" b="2540"/>
                  <wp:docPr id="116" name="图片 71"/>
                  <wp:cNvGraphicFramePr/>
                  <a:graphic xmlns:a="http://schemas.openxmlformats.org/drawingml/2006/main">
                    <a:graphicData uri="http://schemas.openxmlformats.org/drawingml/2006/picture">
                      <pic:pic xmlns:pic="http://schemas.openxmlformats.org/drawingml/2006/picture">
                        <pic:nvPicPr>
                          <pic:cNvPr id="116" name="图片 71"/>
                          <pic:cNvPicPr/>
                        </pic:nvPicPr>
                        <pic:blipFill>
                          <a:blip r:embed="rId101"/>
                          <a:stretch>
                            <a:fillRect/>
                          </a:stretch>
                        </pic:blipFill>
                        <pic:spPr>
                          <a:xfrm>
                            <a:off x="0" y="0"/>
                            <a:ext cx="2945130" cy="2131060"/>
                          </a:xfrm>
                          <a:prstGeom prst="rect">
                            <a:avLst/>
                          </a:prstGeom>
                          <a:noFill/>
                          <a:ln>
                            <a:noFill/>
                          </a:ln>
                        </pic:spPr>
                      </pic:pic>
                    </a:graphicData>
                  </a:graphic>
                </wp:inline>
              </w:drawing>
            </w:r>
          </w:p>
        </w:tc>
        <w:tc>
          <w:tcPr>
            <w:tcW w:w="4644" w:type="dxa"/>
            <w:vAlign w:val="center"/>
          </w:tcPr>
          <w:p>
            <w:pPr>
              <w:spacing w:line="240" w:lineRule="auto"/>
              <w:ind w:firstLine="0" w:firstLineChars="0"/>
              <w:jc w:val="center"/>
            </w:pPr>
            <w:r>
              <w:drawing>
                <wp:inline distT="0" distB="0" distL="114300" distR="114300">
                  <wp:extent cx="2841625" cy="2131060"/>
                  <wp:effectExtent l="0" t="0" r="15875" b="2540"/>
                  <wp:docPr id="62" name="图片 62" descr="IMG_20221031_154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IMG_20221031_154243"/>
                          <pic:cNvPicPr>
                            <a:picLocks noChangeAspect="1"/>
                          </pic:cNvPicPr>
                        </pic:nvPicPr>
                        <pic:blipFill>
                          <a:blip r:embed="rId102"/>
                          <a:stretch>
                            <a:fillRect/>
                          </a:stretch>
                        </pic:blipFill>
                        <pic:spPr>
                          <a:xfrm>
                            <a:off x="0" y="0"/>
                            <a:ext cx="2841625" cy="213106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vAlign w:val="center"/>
          </w:tcPr>
          <w:p>
            <w:pPr>
              <w:spacing w:line="240" w:lineRule="auto"/>
              <w:ind w:firstLine="0" w:firstLineChars="0"/>
              <w:jc w:val="center"/>
              <w:rPr>
                <w:b/>
                <w:bCs/>
                <w:sz w:val="21"/>
                <w:szCs w:val="21"/>
              </w:rPr>
            </w:pPr>
            <w:r>
              <w:rPr>
                <w:b/>
                <w:bCs/>
                <w:sz w:val="21"/>
                <w:szCs w:val="21"/>
              </w:rPr>
              <w:t>图2.1-2</w:t>
            </w:r>
            <w:r>
              <w:rPr>
                <w:rFonts w:hint="eastAsia"/>
                <w:b/>
                <w:bCs/>
                <w:sz w:val="21"/>
                <w:szCs w:val="21"/>
              </w:rPr>
              <w:t>9</w:t>
            </w:r>
            <w:r>
              <w:rPr>
                <w:b/>
                <w:bCs/>
                <w:sz w:val="21"/>
                <w:szCs w:val="21"/>
              </w:rPr>
              <w:t>1#、2#变电站现状</w:t>
            </w:r>
          </w:p>
        </w:tc>
        <w:tc>
          <w:tcPr>
            <w:tcW w:w="4644" w:type="dxa"/>
            <w:vAlign w:val="center"/>
          </w:tcPr>
          <w:p>
            <w:pPr>
              <w:spacing w:line="240" w:lineRule="auto"/>
              <w:ind w:firstLine="0" w:firstLineChars="0"/>
              <w:jc w:val="center"/>
            </w:pPr>
            <w:r>
              <w:rPr>
                <w:b/>
                <w:bCs/>
                <w:sz w:val="21"/>
                <w:szCs w:val="21"/>
              </w:rPr>
              <w:t>图2.1-</w:t>
            </w:r>
            <w:r>
              <w:rPr>
                <w:rFonts w:hint="eastAsia"/>
                <w:b/>
                <w:bCs/>
                <w:sz w:val="21"/>
                <w:szCs w:val="21"/>
              </w:rPr>
              <w:t>30</w:t>
            </w:r>
            <w:r>
              <w:rPr>
                <w:b/>
                <w:bCs/>
                <w:sz w:val="21"/>
                <w:szCs w:val="21"/>
              </w:rPr>
              <w:t>3#变电站现状</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vAlign w:val="center"/>
          </w:tcPr>
          <w:p>
            <w:pPr>
              <w:spacing w:line="240" w:lineRule="auto"/>
              <w:ind w:firstLine="0" w:firstLineChars="0"/>
              <w:jc w:val="center"/>
            </w:pPr>
            <w:r>
              <w:drawing>
                <wp:inline distT="0" distB="0" distL="114300" distR="114300">
                  <wp:extent cx="2944495" cy="1962785"/>
                  <wp:effectExtent l="0" t="0" r="8255" b="18415"/>
                  <wp:docPr id="115" name="图片 115" descr="DJI_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descr="DJI_0239"/>
                          <pic:cNvPicPr>
                            <a:picLocks noChangeAspect="1"/>
                          </pic:cNvPicPr>
                        </pic:nvPicPr>
                        <pic:blipFill>
                          <a:blip r:embed="rId103"/>
                          <a:stretch>
                            <a:fillRect/>
                          </a:stretch>
                        </pic:blipFill>
                        <pic:spPr>
                          <a:xfrm>
                            <a:off x="0" y="0"/>
                            <a:ext cx="2944495" cy="1962785"/>
                          </a:xfrm>
                          <a:prstGeom prst="rect">
                            <a:avLst/>
                          </a:prstGeom>
                        </pic:spPr>
                      </pic:pic>
                    </a:graphicData>
                  </a:graphic>
                </wp:inline>
              </w:drawing>
            </w:r>
          </w:p>
        </w:tc>
        <w:tc>
          <w:tcPr>
            <w:tcW w:w="4644" w:type="dxa"/>
            <w:vAlign w:val="center"/>
          </w:tcPr>
          <w:p>
            <w:pPr>
              <w:spacing w:line="240" w:lineRule="auto"/>
              <w:ind w:firstLine="0" w:firstLineChars="0"/>
              <w:jc w:val="center"/>
            </w:pPr>
            <w:r>
              <w:drawing>
                <wp:inline distT="0" distB="0" distL="114300" distR="114300">
                  <wp:extent cx="3007360" cy="1962150"/>
                  <wp:effectExtent l="0" t="0" r="2540" b="0"/>
                  <wp:docPr id="117"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72"/>
                          <pic:cNvPicPr>
                            <a:picLocks noChangeAspect="1"/>
                          </pic:cNvPicPr>
                        </pic:nvPicPr>
                        <pic:blipFill>
                          <a:blip r:embed="rId104"/>
                          <a:stretch>
                            <a:fillRect/>
                          </a:stretch>
                        </pic:blipFill>
                        <pic:spPr>
                          <a:xfrm>
                            <a:off x="0" y="0"/>
                            <a:ext cx="3007360" cy="196215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vAlign w:val="center"/>
          </w:tcPr>
          <w:p>
            <w:pPr>
              <w:spacing w:line="240" w:lineRule="auto"/>
              <w:ind w:firstLine="0" w:firstLineChars="0"/>
              <w:jc w:val="center"/>
              <w:rPr>
                <w:b/>
                <w:bCs/>
                <w:sz w:val="21"/>
                <w:szCs w:val="21"/>
              </w:rPr>
            </w:pPr>
            <w:r>
              <w:rPr>
                <w:b/>
                <w:bCs/>
                <w:sz w:val="21"/>
                <w:szCs w:val="21"/>
              </w:rPr>
              <w:t>图2.1-</w:t>
            </w:r>
            <w:r>
              <w:rPr>
                <w:rFonts w:hint="eastAsia"/>
                <w:b/>
                <w:bCs/>
                <w:sz w:val="21"/>
                <w:szCs w:val="21"/>
              </w:rPr>
              <w:t>31</w:t>
            </w:r>
            <w:r>
              <w:rPr>
                <w:b/>
                <w:bCs/>
                <w:sz w:val="21"/>
                <w:szCs w:val="21"/>
              </w:rPr>
              <w:t>4#变电站现状</w:t>
            </w:r>
          </w:p>
        </w:tc>
        <w:tc>
          <w:tcPr>
            <w:tcW w:w="4644" w:type="dxa"/>
            <w:vAlign w:val="center"/>
          </w:tcPr>
          <w:p>
            <w:pPr>
              <w:spacing w:line="240" w:lineRule="auto"/>
              <w:ind w:firstLine="0" w:firstLineChars="0"/>
              <w:jc w:val="center"/>
              <w:rPr>
                <w:b/>
                <w:bCs/>
                <w:sz w:val="21"/>
                <w:szCs w:val="21"/>
              </w:rPr>
            </w:pPr>
            <w:r>
              <w:rPr>
                <w:b/>
                <w:bCs/>
                <w:sz w:val="21"/>
                <w:szCs w:val="21"/>
              </w:rPr>
              <w:t>图2.1-3</w:t>
            </w:r>
            <w:r>
              <w:rPr>
                <w:rFonts w:hint="eastAsia"/>
                <w:b/>
                <w:bCs/>
                <w:sz w:val="21"/>
                <w:szCs w:val="21"/>
              </w:rPr>
              <w:t>2</w:t>
            </w:r>
            <w:r>
              <w:rPr>
                <w:b/>
                <w:bCs/>
                <w:sz w:val="21"/>
                <w:szCs w:val="21"/>
              </w:rPr>
              <w:t>5#变电站现状</w:t>
            </w:r>
          </w:p>
        </w:tc>
      </w:tr>
    </w:tbl>
    <w:p>
      <w:pPr>
        <w:spacing w:beforeLines="50"/>
        <w:ind w:firstLine="480"/>
      </w:pPr>
      <w:r>
        <w:t>2、高压走廊规划</w:t>
      </w:r>
    </w:p>
    <w:p>
      <w:pPr>
        <w:ind w:firstLine="480"/>
      </w:pPr>
      <w:r>
        <w:t>区内规划新建的220KV和110KV变电站电源进出线采用架空的形式。高压走廊应当尽量避免对地块造成大的穿越影响。规划对现有35KV以上（500KV除外）高压线实施线路迁改，全部纳入规划预留的高压走廊内进行走线。</w:t>
      </w:r>
    </w:p>
    <w:p>
      <w:pPr>
        <w:ind w:firstLine="480"/>
      </w:pPr>
      <w:r>
        <w:t>高压走廊：500KV线路走廊宽度不小于60米；220kV线路走廊宽度不小于30米；110kV线路走廊宽度不小于15米；35kV线路走廊宽度不小于12米。</w:t>
      </w:r>
    </w:p>
    <w:p>
      <w:pPr>
        <w:ind w:firstLine="480"/>
      </w:pPr>
      <w:r>
        <w:t>3、电网规划</w:t>
      </w:r>
    </w:p>
    <w:p>
      <w:pPr>
        <w:ind w:firstLine="480"/>
      </w:pPr>
      <w:r>
        <w:t>对于新建区，应当做好片区供电规划，减少小容量变压器分散供电，禁止采用杆上变压器供电的方式；对于用电负荷较集中的地区应当设置集中变电房；对设置在一类高、低层主体建筑中的变压器，应选择干式、气体绝缘或可燃性液体绝缘的变压器。</w:t>
      </w:r>
    </w:p>
    <w:p>
      <w:pPr>
        <w:ind w:firstLine="480"/>
      </w:pPr>
      <w:r>
        <w:t>10kV配电线路供电半径原则上不超过5公里；低压配电线路供电半径原则不超过400米。重要用户至少具有两个及以上不同方向的电源供电。要求10kV配电网通过开关站、线路分段分支设备，形成环网络，开环运行，以确保供电的可靠性、连续性，一般采用混合式供电，并有明确的供电范围，原则上不跨区供电，供电半径应满足末端电压质量的要求。为使10kV配电网有较强的适应性，新建的主干线和开关站的土建均应按发展需要的规模一次建成。10kV开关站容量一般不宜超过15000kVA。</w:t>
      </w:r>
    </w:p>
    <w:p>
      <w:pPr>
        <w:ind w:firstLine="480"/>
      </w:pPr>
      <w:r>
        <w:t>10kV线路及变电所低压出线应沿园区内道路敷设。对于市政道路建设先行的，在道路施工时应与供电部门密切配合，预留好电缆管沟，原则上道路的东、南侧为电力线路走廊。所有线路中、后期则视经济能力、线路走廊所处的用地性质及负荷发展情况，逐步改为地下电缆敷设，以改善空间环境。</w:t>
      </w:r>
    </w:p>
    <w:p>
      <w:pPr>
        <w:pStyle w:val="8"/>
        <w:rPr>
          <w:rFonts w:eastAsia="仿宋_GB2312"/>
        </w:rPr>
      </w:pPr>
      <w:r>
        <w:rPr>
          <w:rFonts w:eastAsia="仿宋_GB2312"/>
        </w:rPr>
        <w:t>2.1.5.3.4供热规划</w:t>
      </w:r>
    </w:p>
    <w:p>
      <w:pPr>
        <w:ind w:firstLine="480"/>
      </w:pPr>
      <w:bookmarkStart w:id="43" w:name="_Toc456979317"/>
      <w:bookmarkStart w:id="44" w:name="_Toc470877123"/>
      <w:bookmarkStart w:id="45" w:name="_Toc456945184"/>
      <w:r>
        <w:t>1、供热工程现状</w:t>
      </w:r>
      <w:bookmarkEnd w:id="43"/>
      <w:bookmarkEnd w:id="44"/>
      <w:bookmarkEnd w:id="45"/>
    </w:p>
    <w:p>
      <w:pPr>
        <w:ind w:firstLine="480"/>
      </w:pPr>
      <w:r>
        <w:t>园区现状无供热设施。从区域角度看，园区周边现状无可供选择的集中供热热源。</w:t>
      </w:r>
    </w:p>
    <w:p>
      <w:pPr>
        <w:ind w:firstLine="480"/>
      </w:pPr>
      <w:bookmarkStart w:id="46" w:name="_Toc456979318"/>
      <w:bookmarkStart w:id="47" w:name="_Toc456945185"/>
      <w:bookmarkStart w:id="48" w:name="_Toc470877124"/>
      <w:r>
        <w:t>2、供热负荷预测</w:t>
      </w:r>
      <w:bookmarkEnd w:id="46"/>
      <w:bookmarkEnd w:id="47"/>
      <w:bookmarkEnd w:id="48"/>
    </w:p>
    <w:p>
      <w:pPr>
        <w:ind w:firstLine="480"/>
      </w:pPr>
      <w:r>
        <w:t>根据《乐山五通桥化工园区产业发展规划》，新能源（含晶硅光伏）产业链项目年消耗蒸汽105万t，化工新材料产业链项目年消耗蒸汽1101万t，化工园区年用热量约1206万t。规划期园区内用汽量为1377t/h。供热能源采用天然气等清洁能源，气源由金山输气站接入。</w:t>
      </w:r>
      <w:bookmarkStart w:id="49" w:name="_Toc456979319"/>
      <w:bookmarkStart w:id="50" w:name="_Toc456945186"/>
      <w:bookmarkStart w:id="51" w:name="_Toc470877125"/>
    </w:p>
    <w:p>
      <w:pPr>
        <w:ind w:firstLine="480"/>
      </w:pPr>
      <w:r>
        <w:t>3、热源规划</w:t>
      </w:r>
      <w:bookmarkEnd w:id="49"/>
      <w:bookmarkEnd w:id="50"/>
      <w:bookmarkEnd w:id="51"/>
    </w:p>
    <w:p>
      <w:pPr>
        <w:ind w:firstLine="480"/>
      </w:pPr>
      <w:r>
        <w:t>园区新建集中热力站1座，位于园区中部，用地面积6.60hm</w:t>
      </w:r>
      <w:r>
        <w:rPr>
          <w:vertAlign w:val="superscript"/>
        </w:rPr>
        <w:t>2</w:t>
      </w:r>
      <w:r>
        <w:t>，锅炉房总容量1030MW。供热采用中高压过热蒸汽，供热压力1.3Mpa以上，温度300℃以上。园区供热能源采用天然气等清洁能源，气源由金山输气站接入。园区内禁建燃煤、重油、渣油锅炉及直接燃用生物质的锅炉和工业炉窑。</w:t>
      </w:r>
    </w:p>
    <w:p>
      <w:pPr>
        <w:ind w:firstLine="480"/>
      </w:pPr>
      <w:bookmarkStart w:id="52" w:name="_Toc456979321"/>
      <w:bookmarkStart w:id="53" w:name="_Toc470877126"/>
      <w:bookmarkStart w:id="54" w:name="_Toc456945188"/>
      <w:r>
        <w:t>4、供热管网规划及敷设方式</w:t>
      </w:r>
      <w:bookmarkEnd w:id="52"/>
      <w:bookmarkEnd w:id="53"/>
      <w:bookmarkEnd w:id="54"/>
    </w:p>
    <w:p>
      <w:pPr>
        <w:ind w:firstLine="480"/>
      </w:pPr>
      <w:r>
        <w:t>供热管网单管制，直埋敷设，主干管道采用螺旋缝电焊钢管，材质为20G钢。热力管网规划建设要满足城市建设的热负荷需求，与城市开发、道路修建同步建设，热网敷设尽可能靠近热负荷密集区。</w:t>
      </w:r>
    </w:p>
    <w:p>
      <w:pPr>
        <w:pStyle w:val="8"/>
        <w:rPr>
          <w:rFonts w:eastAsia="仿宋_GB2312"/>
        </w:rPr>
      </w:pPr>
      <w:r>
        <w:rPr>
          <w:rFonts w:eastAsia="仿宋_GB2312"/>
        </w:rPr>
        <w:t>2.1.5.3.5固废处理规划</w:t>
      </w:r>
    </w:p>
    <w:p>
      <w:pPr>
        <w:ind w:firstLine="480"/>
      </w:pPr>
      <w:r>
        <w:t>1、生活垃圾</w:t>
      </w:r>
    </w:p>
    <w:p>
      <w:pPr>
        <w:ind w:firstLine="480"/>
      </w:pPr>
      <w:r>
        <w:t>参考相关规范，并结合本园区实际情况，日产垃圾产生量按1.0公斤/人，产业人口折半进行预测，园区日产生活垃圾量约90t。生活垃圾运至乐山垃圾焚烧发电厂统一处理。</w:t>
      </w:r>
    </w:p>
    <w:p>
      <w:pPr>
        <w:ind w:firstLine="480"/>
      </w:pPr>
      <w:r>
        <w:t>2、其他固体垃圾</w:t>
      </w:r>
    </w:p>
    <w:p>
      <w:pPr>
        <w:ind w:firstLine="480"/>
      </w:pPr>
      <w:r>
        <w:t>建筑垃圾：由指定单位统一管理，明确各自的清运责任。</w:t>
      </w:r>
    </w:p>
    <w:p>
      <w:pPr>
        <w:ind w:firstLine="480"/>
      </w:pPr>
      <w:r>
        <w:t>工业固体废物：加强对工业固体废物的回收利用，引入专业的固废综合利用单位，作为环保产业或再制造产业类布局于园区北部工业组团内，通过有针对性的技术手段实现固废资源化，最大限度的在园区内部实现物料循环。</w:t>
      </w:r>
    </w:p>
    <w:p>
      <w:pPr>
        <w:ind w:firstLine="480"/>
      </w:pPr>
      <w:r>
        <w:t>危险固体废物：由环卫部门密闭收集运送至乐山市危险固废处置场进行统一处理。</w:t>
      </w:r>
    </w:p>
    <w:p>
      <w:pPr>
        <w:widowControl/>
        <w:ind w:firstLine="480"/>
      </w:pPr>
      <w:r>
        <w:t>为处理园区内</w:t>
      </w:r>
      <w:r>
        <w:rPr>
          <w:kern w:val="0"/>
          <w:szCs w:val="24"/>
        </w:rPr>
        <w:t>I类一般性工业固体废弃物，乐山高新投五通桥基地开发建设有限公司在园区北部龙翔路南侧、五犍沐快速路南侧、</w:t>
      </w:r>
      <w:r>
        <w:t>四川永祥能源科技有限公司一期高纯晶硅项目</w:t>
      </w:r>
      <w:r>
        <w:rPr>
          <w:kern w:val="0"/>
          <w:szCs w:val="24"/>
        </w:rPr>
        <w:t>北侧200m处新建了1座固体废弃物填埋场（园区规划范围外），总用地面积5.89hm</w:t>
      </w:r>
      <w:r>
        <w:rPr>
          <w:kern w:val="0"/>
          <w:szCs w:val="24"/>
          <w:vertAlign w:val="superscript"/>
        </w:rPr>
        <w:t>2</w:t>
      </w:r>
      <w:r>
        <w:rPr>
          <w:kern w:val="0"/>
          <w:szCs w:val="24"/>
        </w:rPr>
        <w:t>，设计有效库容62万m</w:t>
      </w:r>
      <w:r>
        <w:rPr>
          <w:kern w:val="0"/>
          <w:szCs w:val="24"/>
          <w:vertAlign w:val="superscript"/>
        </w:rPr>
        <w:t>3</w:t>
      </w:r>
      <w:r>
        <w:rPr>
          <w:kern w:val="0"/>
          <w:szCs w:val="24"/>
        </w:rPr>
        <w:t>，处理规模为624t/d，服务年限5.44年。工程于2020年4月3日取得乐山市五通桥区水务局关于五通桥区工业基地固体废弃物填埋场工程水土保持方案报告书的批复（五水函〔2020〕21号）。</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pict>
                <v:shape id="_x0000_s1087" o:spid="_x0000_s1087" o:spt="61" type="#_x0000_t61" style="position:absolute;left:0pt;margin-left:170.3pt;margin-top:10.4pt;height:29.2pt;width:88.4pt;z-index:251665408;mso-width-relative:page;mso-height-relative:page;" filled="f" stroked="t" coordsize="21600,21600" o:gfxdata="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Iuim3NkAAAAJAQAA&#10;DwAAAAAAAAABACAAAAAiAAAAZHJzL2Rvd25yZXYueG1sUEsBAhQAFAAAAAgAh07iQOhj3lxRAgAA&#10;jgQAAA4AAAAAAAAAAQAgAAAAKAEAAGRycy9lMm9Eb2MueG1sUEsFBgAAAAAGAAYAWQEAAOsFAAAA&#10;AA==&#10;" adj="3887,30588">
                  <v:path/>
                  <v:fill on="f" focussize="0,0"/>
                  <v:stroke weight="1.25pt" color="#00B0F0" joinstyle="miter"/>
                  <v:imagedata o:title=""/>
                  <o:lock v:ext="edit"/>
                  <v:textbox>
                    <w:txbxContent>
                      <w:p>
                        <w:pPr>
                          <w:ind w:firstLine="0" w:firstLineChars="0"/>
                          <w:jc w:val="center"/>
                          <w:rPr>
                            <w:b/>
                            <w:bCs/>
                            <w:color w:val="FF0000"/>
                          </w:rPr>
                        </w:pPr>
                        <w:r>
                          <w:rPr>
                            <w:rFonts w:hint="eastAsia" w:ascii="仿宋" w:hAnsi="仿宋" w:eastAsia="仿宋" w:cs="仿宋"/>
                            <w:b/>
                            <w:bCs/>
                            <w:color w:val="FF0000"/>
                            <w:kern w:val="0"/>
                            <w:szCs w:val="24"/>
                          </w:rPr>
                          <w:t>五犍沐快速路</w:t>
                        </w:r>
                      </w:p>
                    </w:txbxContent>
                  </v:textbox>
                </v:shape>
              </w:pict>
            </w:r>
            <w:r>
              <w:pict>
                <v:shape id="自选图形 425" o:spid="_x0000_s1086" o:spt="61" type="#_x0000_t61" style="position:absolute;left:0pt;margin-left:14.55pt;margin-top:51.5pt;height:29.2pt;width:60.3pt;z-index:251664384;mso-width-relative:page;mso-height-relative:page;" filled="f" stroked="t" coordsize="21600,21600" o:gfxdata="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FP1oO2gAAAAoBAAAPAAAA&#10;AAAAAAEAIAAAACIAAABkcnMvZG93bnJldi54bWxQSwECFAAUAAAACACHTuJAb4BeDkwCAACNBAAA&#10;DgAAAAAAAAABACAAAAApAQAAZHJzL2Uyb0RvYy54bWxQSwUGAAAAAAYABgBZAQAA5wUAAAAA&#10;" adj="32991,25520">
                  <v:path/>
                  <v:fill on="f" focussize="0,0"/>
                  <v:stroke weight="1.25pt" color="#00B0F0" joinstyle="miter"/>
                  <v:imagedata o:title=""/>
                  <o:lock v:ext="edit"/>
                  <v:textbox>
                    <w:txbxContent>
                      <w:p>
                        <w:pPr>
                          <w:ind w:firstLine="0" w:firstLineChars="0"/>
                          <w:jc w:val="center"/>
                          <w:rPr>
                            <w:b/>
                            <w:bCs/>
                            <w:color w:val="FF0000"/>
                          </w:rPr>
                        </w:pPr>
                        <w:r>
                          <w:rPr>
                            <w:rFonts w:hint="eastAsia"/>
                            <w:b/>
                            <w:bCs/>
                            <w:color w:val="FF0000"/>
                          </w:rPr>
                          <w:t>龙翔路</w:t>
                        </w:r>
                      </w:p>
                    </w:txbxContent>
                  </v:textbox>
                </v:shape>
              </w:pict>
            </w:r>
            <w:r>
              <w:pict>
                <v:shape id="自选图形 424" o:spid="_x0000_s1085" o:spt="61" type="#_x0000_t61" style="position:absolute;left:0pt;margin-left:217.5pt;margin-top:93.2pt;height:47.35pt;width:136.1pt;z-index:251663360;mso-width-relative:page;mso-height-relative:page;" filled="f" stroked="f" coordsize="21600,21600" o:gfxdata="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FqJUgzZAAAACwEAAA8AAAAAAAAAAQAgAAAAIgAAAGRycy9k&#10;b3ducmV2LnhtbFBLAQIUABQAAAAIAIdO4kC035pfOgIAAGQEAAAOAAAAAAAAAAEAIAAAACgBAABk&#10;cnMvZTJvRG9jLnhtbFBLBQYAAAAABgAGAFkBAADUBQAAAAA=&#10;" adj="0,12232">
                  <v:path/>
                  <v:fill on="f" focussize="0,0"/>
                  <v:stroke on="f" weight="1.25pt" joinstyle="miter"/>
                  <v:imagedata o:title=""/>
                  <o:lock v:ext="edit"/>
                  <v:textbox>
                    <w:txbxContent>
                      <w:p>
                        <w:pPr>
                          <w:ind w:firstLine="0" w:firstLineChars="0"/>
                          <w:jc w:val="center"/>
                          <w:rPr>
                            <w:b/>
                            <w:bCs/>
                            <w:color w:val="FF0000"/>
                          </w:rPr>
                        </w:pPr>
                        <w:r>
                          <w:rPr>
                            <w:rFonts w:hint="eastAsia"/>
                            <w:b/>
                            <w:bCs/>
                            <w:color w:val="FF0000"/>
                          </w:rPr>
                          <w:t>五通桥区工业基地固体废物填埋场</w:t>
                        </w:r>
                      </w:p>
                    </w:txbxContent>
                  </v:textbox>
                </v:shape>
              </w:pict>
            </w:r>
            <w:r>
              <w:drawing>
                <wp:inline distT="0" distB="0" distL="114300" distR="114300">
                  <wp:extent cx="5758180" cy="2813685"/>
                  <wp:effectExtent l="0" t="0" r="13970" b="5715"/>
                  <wp:docPr id="121"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49"/>
                          <pic:cNvPicPr>
                            <a:picLocks noChangeAspect="1"/>
                          </pic:cNvPicPr>
                        </pic:nvPicPr>
                        <pic:blipFill>
                          <a:blip r:embed="rId105"/>
                          <a:stretch>
                            <a:fillRect/>
                          </a:stretch>
                        </pic:blipFill>
                        <pic:spPr>
                          <a:xfrm>
                            <a:off x="0" y="0"/>
                            <a:ext cx="5758180" cy="28136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图2.1-3</w:t>
            </w:r>
            <w:r>
              <w:rPr>
                <w:rFonts w:hint="eastAsia"/>
                <w:b/>
                <w:bCs/>
                <w:sz w:val="21"/>
                <w:szCs w:val="21"/>
              </w:rPr>
              <w:t>3</w:t>
            </w:r>
            <w:r>
              <w:rPr>
                <w:b/>
                <w:bCs/>
                <w:sz w:val="21"/>
                <w:szCs w:val="21"/>
              </w:rPr>
              <w:t>固体废物填埋场航拍图</w:t>
            </w:r>
          </w:p>
        </w:tc>
      </w:tr>
    </w:tbl>
    <w:p>
      <w:pPr>
        <w:pStyle w:val="8"/>
        <w:rPr>
          <w:rFonts w:eastAsia="仿宋_GB2312"/>
        </w:rPr>
      </w:pPr>
      <w:r>
        <w:rPr>
          <w:rFonts w:eastAsia="仿宋_GB2312"/>
        </w:rPr>
        <w:t>2.1.5.3.6燃气规划</w:t>
      </w:r>
    </w:p>
    <w:p>
      <w:pPr>
        <w:ind w:firstLine="480"/>
      </w:pPr>
      <w:r>
        <w:t>1、供气现状</w:t>
      </w:r>
    </w:p>
    <w:p>
      <w:pPr>
        <w:ind w:firstLine="480"/>
      </w:pPr>
      <w:r>
        <w:t>园区现状燃气供应以管道天然气为主，液化石油气为辅。区内气源来自金山输气站。为满足园区内的供电需求，园区靠近危险化学品车辆专用停车场）规划新建1座工业配气站，占地面积为0.83hm</w:t>
      </w:r>
      <w:r>
        <w:rPr>
          <w:vertAlign w:val="superscript"/>
        </w:rPr>
        <w:t>2</w:t>
      </w:r>
      <w:r>
        <w:t>。具体布置位置详见图2.1-</w:t>
      </w:r>
      <w:r>
        <w:rPr>
          <w:rFonts w:hint="eastAsia"/>
        </w:rPr>
        <w:t>13</w:t>
      </w:r>
      <w:r>
        <w:t>。园区现已建成工业供气管6.1km，管径DN273mm，日供气量为12万m</w:t>
      </w:r>
      <w:r>
        <w:rPr>
          <w:vertAlign w:val="superscript"/>
        </w:rPr>
        <w:t>3</w:t>
      </w:r>
      <w:r>
        <w:t>。</w:t>
      </w:r>
    </w:p>
    <w:p>
      <w:pPr>
        <w:ind w:firstLine="480"/>
      </w:pPr>
      <w:r>
        <w:t>2、燃气用量预测</w:t>
      </w:r>
    </w:p>
    <w:p>
      <w:pPr>
        <w:ind w:firstLine="480"/>
      </w:pPr>
      <w:r>
        <w:t>（1）工业用气量</w:t>
      </w:r>
    </w:p>
    <w:p>
      <w:pPr>
        <w:ind w:firstLine="480"/>
      </w:pPr>
      <w:r>
        <w:t>根据现状工业用气情况和工业发展状况，规划工业用气量按1.0万Nm</w:t>
      </w:r>
      <w:r>
        <w:rPr>
          <w:vertAlign w:val="superscript"/>
        </w:rPr>
        <w:t>3</w:t>
      </w:r>
      <w:r>
        <w:t>/km</w:t>
      </w:r>
      <w:r>
        <w:rPr>
          <w:vertAlign w:val="superscript"/>
        </w:rPr>
        <w:t>2</w:t>
      </w:r>
      <w:r>
        <w:t>•d计，工业用地面积9.58km</w:t>
      </w:r>
      <w:r>
        <w:rPr>
          <w:vertAlign w:val="superscript"/>
        </w:rPr>
        <w:t>2</w:t>
      </w:r>
      <w:r>
        <w:t>，则工业用气量为9.58万Nm</w:t>
      </w:r>
      <w:r>
        <w:rPr>
          <w:vertAlign w:val="superscript"/>
        </w:rPr>
        <w:t>3</w:t>
      </w:r>
      <w:r>
        <w:t>/d（不包括以大型天然气为原料企业用气量）。</w:t>
      </w:r>
    </w:p>
    <w:p>
      <w:pPr>
        <w:ind w:firstLine="480"/>
      </w:pPr>
      <w:r>
        <w:t>（2）总用气量</w:t>
      </w:r>
    </w:p>
    <w:p>
      <w:pPr>
        <w:ind w:firstLine="480"/>
      </w:pPr>
      <w:r>
        <w:t>不可预见用气量按上述两项总合的10%估算，则园区总用气量为10.54万Nm</w:t>
      </w:r>
      <w:r>
        <w:rPr>
          <w:vertAlign w:val="superscript"/>
        </w:rPr>
        <w:t>3</w:t>
      </w:r>
      <w:r>
        <w:t>/d。</w:t>
      </w:r>
    </w:p>
    <w:p>
      <w:pPr>
        <w:ind w:firstLine="480"/>
      </w:pPr>
      <w:r>
        <w:t>4、管网规划</w:t>
      </w:r>
    </w:p>
    <w:p>
      <w:pPr>
        <w:ind w:firstLine="480"/>
      </w:pPr>
      <w:r>
        <w:t>（1）供气气源</w:t>
      </w:r>
    </w:p>
    <w:p>
      <w:pPr>
        <w:ind w:firstLine="480"/>
      </w:pPr>
      <w:r>
        <w:t>园区工业用气选择管道天然气，气源引自金山输气站，沿园区中部规划道路敷设一根次高压管线，同时在园区（靠近危险化学品车辆专用停车场）规划新建1座工业配气站，进站管线接自次高压管。规划民用气气源仍引自现状金粟配气站，供气主管沿现状213国道敷设。</w:t>
      </w:r>
    </w:p>
    <w:p>
      <w:pPr>
        <w:ind w:firstLine="480"/>
      </w:pPr>
      <w:r>
        <w:t>（2）管网压力级制</w:t>
      </w:r>
    </w:p>
    <w:p>
      <w:pPr>
        <w:ind w:firstLine="480"/>
      </w:pPr>
      <w:r>
        <w:t>天然气由次高压管道输送至配气站，经接收并调压后，通过中压管道沿道路敷设。输配管网压力级制采用中压和低压二级系统，经专用调压站（柜）降压后送入大型公建用户（或工业用户），或经区域调压降至低压后直接供应园区用户。</w:t>
      </w:r>
    </w:p>
    <w:p>
      <w:pPr>
        <w:ind w:firstLine="480"/>
      </w:pPr>
      <w:r>
        <w:t>（3）管网系统</w:t>
      </w:r>
    </w:p>
    <w:p>
      <w:pPr>
        <w:ind w:firstLine="480"/>
      </w:pPr>
      <w:r>
        <w:t>区域输气干管从金山方向沿道路敷设至园区，并接入工业配气站，输气干管管径DN400。工业园区内配气干管沿规划的主次干道敷设，形成环状，管径DN250；规划支管沿各级道路敷设，管径DN150-DN200。</w:t>
      </w:r>
    </w:p>
    <w:p>
      <w:pPr>
        <w:pStyle w:val="8"/>
        <w:rPr>
          <w:rFonts w:eastAsia="仿宋_GB2312"/>
        </w:rPr>
      </w:pPr>
      <w:r>
        <w:rPr>
          <w:rFonts w:eastAsia="仿宋_GB2312"/>
        </w:rPr>
        <w:t>2.1.5.3.7通信规划</w:t>
      </w:r>
    </w:p>
    <w:p>
      <w:pPr>
        <w:ind w:firstLine="480"/>
      </w:pPr>
      <w:r>
        <w:t>按照固话容量预测规模及规划用地布局，园区内不新增设电信支局，电信业务由基地南侧金粟城镇电信配套设施解决。</w:t>
      </w:r>
    </w:p>
    <w:p>
      <w:pPr>
        <w:ind w:firstLine="480"/>
      </w:pPr>
      <w:r>
        <w:t>随着园区的开发建设、电信业务需求的增加，应配套建设多个电信模块机房，每个用户远端模块机房的服务半径一般为1～2km，密集区则为0.8～1km，其位置宜设于用户密度中心和线路网中心，建筑面积约60～100m</w:t>
      </w:r>
      <w:r>
        <w:rPr>
          <w:vertAlign w:val="superscript"/>
        </w:rPr>
        <w:t>2</w:t>
      </w:r>
      <w:r>
        <w:t>，用征地建房方式，设立永久性局房或附设于公共建筑物首层。</w:t>
      </w:r>
    </w:p>
    <w:p>
      <w:pPr>
        <w:ind w:firstLine="480"/>
      </w:pPr>
      <w:r>
        <w:t>通信管道是电信业务、数据通信、移动通信、有线电视、交通监控、通信专网及各种运营网络等多种信息的传输通道。</w:t>
      </w:r>
    </w:p>
    <w:p>
      <w:pPr>
        <w:ind w:firstLine="480"/>
      </w:pPr>
      <w:r>
        <w:t>电信管道宜与道路施工同步建设，管道主要沿快速路、城市主干道两侧敷设，另外在新建的道路两侧均应预留电信管道的管孔，通信管道的管孔数应满足各类通信业务的要求，并合理分布管孔资源。</w:t>
      </w:r>
    </w:p>
    <w:p>
      <w:pPr>
        <w:pStyle w:val="8"/>
        <w:rPr>
          <w:rFonts w:eastAsia="仿宋_GB2312"/>
        </w:rPr>
      </w:pPr>
      <w:r>
        <w:rPr>
          <w:rFonts w:eastAsia="仿宋_GB2312"/>
        </w:rPr>
        <w:t>2.1.5.3.8消防规划</w:t>
      </w:r>
    </w:p>
    <w:p>
      <w:pPr>
        <w:ind w:firstLine="480"/>
      </w:pPr>
      <w:r>
        <w:t>规划在化工园区范围外设置1座特勤消防站占地面积6.10hm</w:t>
      </w:r>
      <w:r>
        <w:rPr>
          <w:vertAlign w:val="superscript"/>
        </w:rPr>
        <w:t>2</w:t>
      </w:r>
      <w:r>
        <w:t>，位于化工园区范围外北侧，以满足园区消防工作需求。各企业根据规模和安全隐患大小设置企业微型消防站，组建专（兼）职消防队或义务消防队。</w:t>
      </w:r>
    </w:p>
    <w:p>
      <w:pPr>
        <w:pStyle w:val="8"/>
        <w:rPr>
          <w:rFonts w:eastAsia="仿宋_GB2312"/>
        </w:rPr>
      </w:pPr>
      <w:r>
        <w:rPr>
          <w:rFonts w:eastAsia="仿宋_GB2312"/>
        </w:rPr>
        <w:t>2.1.5.3.9园区服务中心</w:t>
      </w:r>
    </w:p>
    <w:p>
      <w:pPr>
        <w:ind w:firstLine="480"/>
        <w:rPr>
          <w:szCs w:val="24"/>
        </w:rPr>
      </w:pPr>
      <w:r>
        <w:t>为方便为入驻企业服务，园区在通威光伏科技15GW拉棒项目前方地块设置建设一处园区服务中心，占地面积为4.35hm</w:t>
      </w:r>
      <w:r>
        <w:rPr>
          <w:vertAlign w:val="superscript"/>
        </w:rPr>
        <w:t>2</w:t>
      </w:r>
      <w:r>
        <w:t>，服务中心占地性质为工业用地。工程于2022年10月12日取得乐山市五通桥区水务局关于乐山市五通桥区绿色新型产业园片区开发配套基</w:t>
      </w:r>
      <w:r>
        <w:rPr>
          <w:szCs w:val="24"/>
        </w:rPr>
        <w:t>础设施建设项目（一期）-服务中心和停车场配套工程水土保持方案报告书的批复（</w:t>
      </w:r>
      <w:r>
        <w:rPr>
          <w:kern w:val="0"/>
          <w:szCs w:val="24"/>
        </w:rPr>
        <w:t>五水函〔2022〕66号</w:t>
      </w:r>
      <w:r>
        <w:rPr>
          <w:szCs w:val="24"/>
        </w:rPr>
        <w:t>）。根据批复水保方案，“新建服务中心1座配套停车场1处，建设场址用地面积4.35hm</w:t>
      </w:r>
      <w:r>
        <w:rPr>
          <w:szCs w:val="24"/>
          <w:vertAlign w:val="superscript"/>
        </w:rPr>
        <w:t>2</w:t>
      </w:r>
      <w:r>
        <w:rPr>
          <w:szCs w:val="24"/>
        </w:rPr>
        <w:t>。工程主要建设内容包括服务中心及管委会办公楼、企业展示中心、派出所、多功能厅、食堂、消防控制室等附属设施以及各类机动车库，本项目分为地上和地下两层，地下主要以车库为主”。</w:t>
      </w:r>
    </w:p>
    <w:p>
      <w:pPr>
        <w:pStyle w:val="7"/>
      </w:pPr>
      <w:r>
        <w:t>2.1.5.4绿地与广场用地</w:t>
      </w:r>
    </w:p>
    <w:p>
      <w:pPr>
        <w:ind w:firstLine="480"/>
      </w:pPr>
      <w:r>
        <w:t>1、规划原则</w:t>
      </w:r>
    </w:p>
    <w:p>
      <w:pPr>
        <w:ind w:firstLine="480"/>
      </w:pPr>
      <w:r>
        <w:t>生态原则：充分利用自然生态资源，尊重原生自然生态环境；共生原则：人工绿地系统和自然生态系统共生；均布原则：公共绿地按照各自服务半径均匀分布；网络原则：各种绿地相互连成网络。</w:t>
      </w:r>
    </w:p>
    <w:p>
      <w:pPr>
        <w:ind w:firstLine="480"/>
      </w:pPr>
      <w:r>
        <w:t>2、绿地系统规划</w:t>
      </w:r>
    </w:p>
    <w:p>
      <w:pPr>
        <w:ind w:firstLine="480"/>
      </w:pPr>
      <w:r>
        <w:t>园区绿地系统由公园绿地、防护绿地构成。园区绿地用地面积为55.45hm</w:t>
      </w:r>
      <w:r>
        <w:rPr>
          <w:vertAlign w:val="superscript"/>
        </w:rPr>
        <w:t>2</w:t>
      </w:r>
      <w:r>
        <w:t>，其中公园绿地22.05hm</w:t>
      </w:r>
      <w:r>
        <w:rPr>
          <w:vertAlign w:val="superscript"/>
        </w:rPr>
        <w:t>2</w:t>
      </w:r>
      <w:r>
        <w:t>，防护绿地30.41hm</w:t>
      </w:r>
      <w:r>
        <w:rPr>
          <w:vertAlign w:val="superscript"/>
        </w:rPr>
        <w:t>2</w:t>
      </w:r>
      <w:r>
        <w:t>。公园绿地：借助自然山体、溪沟，构筑园区与外部生态交流的通廊，形成南北互融的沟通桥梁。防护绿地：以中部南北向河流水系为支撑，形成宽面域，长纵深的防护绿地屏障。</w:t>
      </w:r>
    </w:p>
    <w:p>
      <w:pPr>
        <w:pStyle w:val="5"/>
        <w:spacing w:beforeLines="50"/>
      </w:pPr>
      <w:bookmarkStart w:id="55" w:name="_Toc19138"/>
      <w:r>
        <w:t>2.2施工组织</w:t>
      </w:r>
      <w:bookmarkEnd w:id="55"/>
    </w:p>
    <w:p>
      <w:pPr>
        <w:pStyle w:val="6"/>
      </w:pPr>
      <w:r>
        <w:t>2.2.1组织与管理</w:t>
      </w:r>
    </w:p>
    <w:p>
      <w:pPr>
        <w:ind w:firstLine="480"/>
      </w:pPr>
      <w:r>
        <w:t>园区管理机构为</w:t>
      </w:r>
      <w:r>
        <w:rPr>
          <w:rFonts w:hint="eastAsia"/>
          <w:bCs/>
          <w:lang w:eastAsia="zh-CN"/>
        </w:rPr>
        <w:t>四川五通桥经济开发区管理委员会（原乐山高新区五通桥基地管理委员会）</w:t>
      </w:r>
      <w:r>
        <w:t>，管理机构的主要职责包括负责组织制定园区的发展战略及中长期发展规划，起草园区的土地利用、环境保护和建设总体规划、控制性规划，并报上级部门审批。负责做好园区内各类项目的规划、建设、环保等报批工作；负责对园区内建设项目进行审批、选址、定点和实施监督；负责建设和管理园区内各类基础设施及公共设施。</w:t>
      </w:r>
    </w:p>
    <w:p>
      <w:pPr>
        <w:ind w:firstLine="480"/>
      </w:pPr>
      <w:r>
        <w:t>管理机构主要负责实施第一次场平、五通工程及其他公共基础设施项目，除此以外的园区入驻项目包括其二次场平工程均由其建设单位（投资主体）具体实施。</w:t>
      </w:r>
    </w:p>
    <w:p>
      <w:pPr>
        <w:pStyle w:val="6"/>
      </w:pPr>
      <w:r>
        <w:t>2.2.2施工生产区和生活区</w:t>
      </w:r>
    </w:p>
    <w:p>
      <w:pPr>
        <w:ind w:firstLine="480"/>
      </w:pPr>
      <w:r>
        <w:t>1、施工人员办公及生活区</w:t>
      </w:r>
    </w:p>
    <w:p>
      <w:pPr>
        <w:ind w:firstLine="480"/>
      </w:pPr>
      <w:r>
        <w:t>根据调查，园区场平工程及基础设施建设等工程在施工过程中未单独设置集中的施工人员办公及生活区域。各建设工程由园区管委会确定好施工单位后，由施工单位在对应的施工项目范围内布置施工人员的办公及生活区，若施工项目范围内无空闲用地时，紧邻项目进行布设办公及生活区。</w:t>
      </w:r>
    </w:p>
    <w:p>
      <w:pPr>
        <w:ind w:firstLine="480"/>
      </w:pPr>
      <w:r>
        <w:t>2、施工生产区</w:t>
      </w:r>
    </w:p>
    <w:p>
      <w:pPr>
        <w:ind w:firstLine="480"/>
      </w:pPr>
      <w:r>
        <w:t>根据调查，施工生产区主要包含施工材料的临时堆放场地及施工材料的加工场地，在施工过程中未单独设置集中的施工生产区。各工程的施工生产区应在对应的施工项目范围内布置。若施工项目范围内无空闲用地时，紧邻项目进行布设。</w:t>
      </w:r>
    </w:p>
    <w:p>
      <w:pPr>
        <w:ind w:firstLine="480"/>
      </w:pPr>
      <w:r>
        <w:t>本报告从水土保持角度建议，施工人员的办公及生活区、施工生产区等区域尽可能的布置于项目的施工用地范围内，若施工项目范围内无空闲用地时，宜紧邻项目布设，在满足施工需求的情况下应以控制占地，节约占地为原则布设相应的施工区。同时施工区应配套相应的具有水土保持功能的措施，例如：围挡、洗车设施、临时排水沟、沉沙池等措施。施工结束后应根据施工时序，及时对施工办公及生活区、施工生产区等临时设施进行拆除并实施临时苫盖、绿化恢复措施。</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9287" w:type="dxa"/>
            <w:vAlign w:val="center"/>
          </w:tcPr>
          <w:p>
            <w:pPr>
              <w:spacing w:line="240" w:lineRule="auto"/>
              <w:ind w:firstLine="0" w:firstLineChars="0"/>
              <w:jc w:val="center"/>
              <w:rPr>
                <w:sz w:val="21"/>
                <w:szCs w:val="21"/>
              </w:rPr>
            </w:pPr>
            <w:r>
              <w:drawing>
                <wp:inline distT="0" distB="0" distL="114300" distR="114300">
                  <wp:extent cx="5755005" cy="3688080"/>
                  <wp:effectExtent l="0" t="0" r="17145" b="7620"/>
                  <wp:docPr id="1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8"/>
                          <pic:cNvPicPr>
                            <a:picLocks noChangeAspect="1"/>
                          </pic:cNvPicPr>
                        </pic:nvPicPr>
                        <pic:blipFill>
                          <a:blip r:embed="rId106"/>
                          <a:stretch>
                            <a:fillRect/>
                          </a:stretch>
                        </pic:blipFill>
                        <pic:spPr>
                          <a:xfrm>
                            <a:off x="0" y="0"/>
                            <a:ext cx="5755005" cy="368808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sz w:val="21"/>
                <w:szCs w:val="21"/>
              </w:rPr>
            </w:pPr>
            <w:r>
              <w:rPr>
                <w:b/>
                <w:bCs/>
                <w:sz w:val="21"/>
                <w:szCs w:val="21"/>
              </w:rPr>
              <w:t>图2.2-1北二路-施工生产区（布置在道路永久占地范围内）</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sz w:val="21"/>
                <w:szCs w:val="21"/>
              </w:rPr>
            </w:pPr>
            <w:r>
              <w:rPr>
                <w:sz w:val="21"/>
                <w:szCs w:val="21"/>
              </w:rPr>
              <w:drawing>
                <wp:inline distT="0" distB="0" distL="114300" distR="114300">
                  <wp:extent cx="5740400" cy="4305300"/>
                  <wp:effectExtent l="0" t="0" r="12700" b="0"/>
                  <wp:docPr id="13" name="图片 13" descr="IMG_20221031_154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20221031_154613"/>
                          <pic:cNvPicPr>
                            <a:picLocks noChangeAspect="1"/>
                          </pic:cNvPicPr>
                        </pic:nvPicPr>
                        <pic:blipFill>
                          <a:blip r:embed="rId107"/>
                          <a:stretch>
                            <a:fillRect/>
                          </a:stretch>
                        </pic:blipFill>
                        <pic:spPr>
                          <a:xfrm>
                            <a:off x="0" y="0"/>
                            <a:ext cx="5740400" cy="430530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sz w:val="21"/>
                <w:szCs w:val="21"/>
              </w:rPr>
            </w:pPr>
            <w:r>
              <w:rPr>
                <w:b/>
                <w:bCs/>
                <w:sz w:val="21"/>
                <w:szCs w:val="21"/>
              </w:rPr>
              <w:t>图2.2-2龙翔路-办公及生活区（紧邻项目施工场地布置）</w:t>
            </w:r>
          </w:p>
        </w:tc>
      </w:tr>
    </w:tbl>
    <w:p>
      <w:pPr>
        <w:pStyle w:val="6"/>
        <w:spacing w:beforeLines="50"/>
      </w:pPr>
      <w:r>
        <w:t>2.2.3施工条件</w:t>
      </w:r>
    </w:p>
    <w:p>
      <w:pPr>
        <w:pStyle w:val="7"/>
      </w:pPr>
      <w:r>
        <w:t>2.2.3.1主要材料供应</w:t>
      </w:r>
    </w:p>
    <w:p>
      <w:pPr>
        <w:ind w:firstLine="480"/>
      </w:pPr>
      <w:r>
        <w:t>园区建设所需砼采用外购商品砼。建设过程中的钢材、砖块、石块、石板及其它建筑材料均可就近购买，土料可直接从园区内获取，土料数量和质地可满足工程建设需要。</w:t>
      </w:r>
    </w:p>
    <w:p>
      <w:pPr>
        <w:pStyle w:val="7"/>
      </w:pPr>
      <w:r>
        <w:t>2.2.3.2施工供排水、供电和通讯</w:t>
      </w:r>
    </w:p>
    <w:p>
      <w:pPr>
        <w:ind w:firstLine="480"/>
      </w:pPr>
      <w:r>
        <w:t>1、施工用水</w:t>
      </w:r>
    </w:p>
    <w:p>
      <w:pPr>
        <w:ind w:firstLine="480"/>
      </w:pPr>
      <w:r>
        <w:t>园区内已覆盖有市政供水管网，市政供水水源充足、水质优良。</w:t>
      </w:r>
      <w:r>
        <w:rPr>
          <w:szCs w:val="28"/>
        </w:rPr>
        <w:t>市政管网引入一根自来水干管形成环状给水管网</w:t>
      </w:r>
      <w:r>
        <w:t>，接口管径为DN200，供水压力0.25MPa，其供水量完全能满足施工用水。</w:t>
      </w:r>
    </w:p>
    <w:p>
      <w:pPr>
        <w:ind w:firstLine="480"/>
      </w:pPr>
      <w:r>
        <w:t>2、施工排水</w:t>
      </w:r>
    </w:p>
    <w:p>
      <w:pPr>
        <w:ind w:firstLine="480"/>
      </w:pPr>
      <w:r>
        <w:t>施工期的污水经初步沉淀后排入临近道路的市政污水管网。雨水经初步沉淀后可就近排入临近道路的市政雨水管网。</w:t>
      </w:r>
    </w:p>
    <w:p>
      <w:pPr>
        <w:ind w:firstLine="480"/>
      </w:pPr>
      <w:r>
        <w:t>3、施工供电</w:t>
      </w:r>
    </w:p>
    <w:p>
      <w:pPr>
        <w:ind w:firstLine="480"/>
      </w:pPr>
      <w:r>
        <w:t>园区内用电主要由园区范围以外的金粟220KV变电站以及500KV嘉州站供应。地块四周的市政道路上有已建成的变配电设备可以接电。</w:t>
      </w:r>
    </w:p>
    <w:p>
      <w:pPr>
        <w:ind w:firstLine="480"/>
      </w:pPr>
      <w:r>
        <w:t>4、施工通讯</w:t>
      </w:r>
    </w:p>
    <w:p>
      <w:pPr>
        <w:ind w:firstLine="480"/>
      </w:pPr>
      <w:r>
        <w:t>项目区中国联通、中国移动和中国电信网络已覆盖整个园区，无线通讯条件较好。</w:t>
      </w:r>
    </w:p>
    <w:p>
      <w:pPr>
        <w:pStyle w:val="7"/>
      </w:pPr>
      <w:r>
        <w:t>2.2.3.3施工交通运输条件</w:t>
      </w:r>
    </w:p>
    <w:p>
      <w:pPr>
        <w:ind w:firstLine="480"/>
      </w:pPr>
      <w:r>
        <w:t>对外交通：园区位于五通桥区，周边交通路网完善，现状有成渝环线高速、蓉丽高速、隆汉高速、乐山绕城高速、成乐高速、国道G213线、五犍沐快速路等，园区距成贵客运专线犍为站约15km，距连乐铁路茅桥站约30km。</w:t>
      </w:r>
    </w:p>
    <w:p>
      <w:pPr>
        <w:ind w:firstLine="480"/>
        <w:rPr>
          <w:b/>
          <w:bCs/>
        </w:rPr>
      </w:pPr>
      <w:r>
        <w:t>内部交通：主要以县道和乡道为主，形成了内部交通网络，串联各区块。同时龙翔路、北二路、西二路、北永路、永祥物流通道等已建成道路</w:t>
      </w:r>
      <w:r>
        <w:rPr>
          <w:kern w:val="0"/>
          <w:szCs w:val="24"/>
        </w:rPr>
        <w:t>可供园区通行使用，</w:t>
      </w:r>
      <w:r>
        <w:t>其交通情况满足园区施工期间的交通需求。</w:t>
      </w:r>
    </w:p>
    <w:p>
      <w:pPr>
        <w:pStyle w:val="6"/>
      </w:pPr>
      <w:r>
        <w:t>2.2.4临时中转场</w:t>
      </w:r>
    </w:p>
    <w:p>
      <w:pPr>
        <w:pStyle w:val="7"/>
      </w:pPr>
      <w:r>
        <w:t>2.2.4.1布置原则</w:t>
      </w:r>
    </w:p>
    <w:p>
      <w:pPr>
        <w:ind w:firstLine="480"/>
      </w:pPr>
      <w:r>
        <w:t>根据《生产建设项目水土保持技术标准》（GB50433-2018）、《水土保持工程设计规范》（GB51018-2014）等规范规定，表土中转场、土石方中转场的布置原则为：</w:t>
      </w:r>
    </w:p>
    <w:p>
      <w:pPr>
        <w:ind w:firstLine="480"/>
      </w:pPr>
      <w:r>
        <w:t>（1）严禁在对公共设施、基础设施、工业企业、居民点及行洪安全等有重大影响的区域设置表土中转场、土石方中转场；</w:t>
      </w:r>
    </w:p>
    <w:p>
      <w:pPr>
        <w:ind w:firstLine="480"/>
      </w:pPr>
      <w:r>
        <w:t>（2）应避开滑坡体、泥石流易发区等不良地质条件地段；</w:t>
      </w:r>
    </w:p>
    <w:p>
      <w:pPr>
        <w:ind w:firstLine="480"/>
      </w:pPr>
      <w:r>
        <w:t>（3）涉及河道的应符合防洪规划及治导线的规定，不得设置在河道、湖泊和建成水库管理范围内；</w:t>
      </w:r>
    </w:p>
    <w:p>
      <w:pPr>
        <w:ind w:firstLine="480"/>
      </w:pPr>
      <w:r>
        <w:t>（4）表土中转场应优先布置于绿地区、农林用地，土石方中转场应主要布置于有填方缺口的道路、规划功能地块或绿地区内；</w:t>
      </w:r>
    </w:p>
    <w:p>
      <w:pPr>
        <w:ind w:firstLine="480"/>
      </w:pPr>
      <w:r>
        <w:t>（5）应综合兼顾后期综合利用的经济性及便利性，并应设置在园区规划范围内；</w:t>
      </w:r>
    </w:p>
    <w:p>
      <w:pPr>
        <w:ind w:firstLine="480"/>
      </w:pPr>
      <w:r>
        <w:t>（6）应满足表土剥离、土石方中转最大量需要，并适应园区地形地貌、功能布局、景观绿化、开发进度等情况。</w:t>
      </w:r>
    </w:p>
    <w:p>
      <w:pPr>
        <w:pStyle w:val="7"/>
      </w:pPr>
      <w:r>
        <w:t>2.2.4.2表土中转场、土石方中转场基本情况</w:t>
      </w:r>
    </w:p>
    <w:p>
      <w:pPr>
        <w:ind w:firstLine="482"/>
      </w:pPr>
      <w:r>
        <w:rPr>
          <w:b/>
          <w:bCs/>
        </w:rPr>
        <w:t>表土中转场：</w:t>
      </w:r>
      <w:r>
        <w:t>根据表土资源调查，园区内可剥离表土总量为</w:t>
      </w:r>
      <w:r>
        <w:rPr>
          <w:rFonts w:hint="eastAsia"/>
        </w:rPr>
        <w:t>165.35万m</w:t>
      </w:r>
      <w:r>
        <w:rPr>
          <w:vertAlign w:val="superscript"/>
        </w:rPr>
        <w:t>3</w:t>
      </w:r>
      <w:r>
        <w:t>，已剥离表土量为20.09万m</w:t>
      </w:r>
      <w:r>
        <w:rPr>
          <w:vertAlign w:val="superscript"/>
        </w:rPr>
        <w:t>3</w:t>
      </w:r>
      <w:r>
        <w:t>，已剥离的表土均已回覆完成。目前还未剥离的表土总量为169.30万m</w:t>
      </w:r>
      <w:r>
        <w:rPr>
          <w:vertAlign w:val="superscript"/>
        </w:rPr>
        <w:t>3</w:t>
      </w:r>
      <w:r>
        <w:t>。根据园区开发建设时序，近期建设区开发时段为2022年~2025年，远期建设区开发时段为2026年~2035年。充分考虑表土堆存时间及剥离区域，将近期建设区域可剥离的表土均考虑为需进行临时堆放，经计算，近期建设期间园区需临时堆放表土最大量为81.26万m</w:t>
      </w:r>
      <w:r>
        <w:rPr>
          <w:vertAlign w:val="superscript"/>
        </w:rPr>
        <w:t>3</w:t>
      </w:r>
      <w:r>
        <w:t>。</w:t>
      </w:r>
    </w:p>
    <w:p>
      <w:pPr>
        <w:ind w:firstLine="480"/>
      </w:pPr>
      <w:r>
        <w:t>表土资源主要分布在各个地块范围内，其表土资源利用最大的区域主要集中在每个地块周边的公共绿地。为做到对表土资源的保护，考虑到尽可能的减少表土大范围的转移造成水土流失以及施工作业时的实操性，本报告根据规划分析并结合园区开发建设时序，将表土中转场布置于各个地块的公共绿地区域。表土中转场共计布设6处，总占地面积为39.55hm</w:t>
      </w:r>
      <w:r>
        <w:rPr>
          <w:vertAlign w:val="superscript"/>
        </w:rPr>
        <w:t>2</w:t>
      </w:r>
      <w:r>
        <w:t>，最大容量为139.90万m</w:t>
      </w:r>
      <w:r>
        <w:rPr>
          <w:vertAlign w:val="superscript"/>
        </w:rPr>
        <w:t>3</w:t>
      </w:r>
      <w:r>
        <w:t>，表土中转场堆高根据地形调整，堆高高度控制在4~5m，放坡系数为1:1.5。对于地形坡度较大的区域先进行场平措施，使其满足堆土条件，再行堆置表土。园区内设置的表土中转场可根据各地块开发时序</w:t>
      </w:r>
      <w:r>
        <w:rPr>
          <w:rFonts w:hint="eastAsia"/>
        </w:rPr>
        <w:t>、</w:t>
      </w:r>
      <w:r>
        <w:t>运距</w:t>
      </w:r>
      <w:r>
        <w:rPr>
          <w:rFonts w:hint="eastAsia"/>
        </w:rPr>
        <w:t>及分期绿化回覆</w:t>
      </w:r>
      <w:r>
        <w:t>考虑就近堆放至各个表土中转场中。待后续园区基础设施的绿化、集中绿化区域、园区入驻项目区域需使用表土时再从表土中转场中进行调运。以便对整个园区的表土资源进行全系统的规划，纳入统一管理。同时本报告将对表土中转场新增编织袋临时挡护、密目网苫盖、撒播草籽等水土保持措施进行防护。表土中转场位于园区永久占地范围内，场地质条件良好，且不属于县级以上人民政府划定的崩塌和滑坡危险区、泥石流易发区，不涉及水源保护区、生态功能保护区、景观保护区、经济开发区，居民点等敏感对象，亦不对重要基础设施、人民群众生命财产安全及行洪安全等产生影响。园区各个表土中转场布置情况详见表2.2-1。表土中转场位置示意图详见图2.2-3。</w:t>
      </w:r>
    </w:p>
    <w:p>
      <w:pPr>
        <w:ind w:firstLine="0" w:firstLineChars="0"/>
        <w:jc w:val="center"/>
        <w:rPr>
          <w:b/>
          <w:bCs/>
        </w:rPr>
      </w:pPr>
      <w:r>
        <w:rPr>
          <w:b/>
          <w:bCs/>
        </w:rPr>
        <w:t>表2.2-1园区各个表土中转场布置情况一览表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718"/>
        <w:gridCol w:w="1086"/>
        <w:gridCol w:w="1331"/>
        <w:gridCol w:w="1337"/>
        <w:gridCol w:w="1209"/>
        <w:gridCol w:w="1294"/>
        <w:gridCol w:w="1068"/>
        <w:gridCol w:w="1237"/>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2" w:hRule="atLeast"/>
        </w:trPr>
        <w:tc>
          <w:tcPr>
            <w:tcW w:w="387" w:type="pct"/>
            <w:vMerge w:val="restart"/>
            <w:vAlign w:val="center"/>
          </w:tcPr>
          <w:p>
            <w:pPr>
              <w:spacing w:line="240" w:lineRule="auto"/>
              <w:ind w:firstLine="0" w:firstLineChars="0"/>
              <w:jc w:val="center"/>
              <w:rPr>
                <w:b/>
                <w:bCs/>
                <w:sz w:val="21"/>
                <w:szCs w:val="21"/>
              </w:rPr>
            </w:pPr>
            <w:r>
              <w:rPr>
                <w:b/>
                <w:bCs/>
                <w:sz w:val="21"/>
                <w:szCs w:val="21"/>
              </w:rPr>
              <w:t>建设分区</w:t>
            </w:r>
          </w:p>
        </w:tc>
        <w:tc>
          <w:tcPr>
            <w:tcW w:w="585" w:type="pct"/>
            <w:vMerge w:val="restart"/>
            <w:vAlign w:val="center"/>
          </w:tcPr>
          <w:p>
            <w:pPr>
              <w:spacing w:line="240" w:lineRule="auto"/>
              <w:ind w:firstLine="0" w:firstLineChars="0"/>
              <w:jc w:val="center"/>
              <w:rPr>
                <w:b/>
                <w:bCs/>
                <w:sz w:val="21"/>
                <w:szCs w:val="21"/>
              </w:rPr>
            </w:pPr>
            <w:r>
              <w:rPr>
                <w:b/>
                <w:bCs/>
                <w:sz w:val="21"/>
                <w:szCs w:val="21"/>
              </w:rPr>
              <w:t>表土</w:t>
            </w:r>
          </w:p>
          <w:p>
            <w:pPr>
              <w:spacing w:line="240" w:lineRule="auto"/>
              <w:ind w:firstLine="0" w:firstLineChars="0"/>
              <w:jc w:val="center"/>
              <w:rPr>
                <w:b/>
                <w:bCs/>
                <w:sz w:val="21"/>
                <w:szCs w:val="21"/>
              </w:rPr>
            </w:pPr>
            <w:r>
              <w:rPr>
                <w:b/>
                <w:bCs/>
                <w:sz w:val="21"/>
                <w:szCs w:val="21"/>
              </w:rPr>
              <w:t>中转场</w:t>
            </w:r>
          </w:p>
        </w:tc>
        <w:tc>
          <w:tcPr>
            <w:tcW w:w="1436" w:type="pct"/>
            <w:gridSpan w:val="2"/>
            <w:vAlign w:val="center"/>
          </w:tcPr>
          <w:p>
            <w:pPr>
              <w:spacing w:line="240" w:lineRule="auto"/>
              <w:ind w:firstLine="0" w:firstLineChars="0"/>
              <w:jc w:val="center"/>
              <w:rPr>
                <w:b/>
                <w:bCs/>
                <w:sz w:val="21"/>
                <w:szCs w:val="21"/>
              </w:rPr>
            </w:pPr>
            <w:r>
              <w:rPr>
                <w:b/>
                <w:bCs/>
                <w:sz w:val="21"/>
                <w:szCs w:val="21"/>
              </w:rPr>
              <w:t>规格尺寸（m）</w:t>
            </w:r>
          </w:p>
        </w:tc>
        <w:tc>
          <w:tcPr>
            <w:tcW w:w="651" w:type="pct"/>
            <w:vMerge w:val="restart"/>
            <w:vAlign w:val="center"/>
          </w:tcPr>
          <w:p>
            <w:pPr>
              <w:spacing w:line="240" w:lineRule="auto"/>
              <w:ind w:firstLine="0" w:firstLineChars="0"/>
              <w:jc w:val="center"/>
              <w:rPr>
                <w:b/>
                <w:bCs/>
                <w:sz w:val="21"/>
                <w:szCs w:val="21"/>
              </w:rPr>
            </w:pPr>
            <w:r>
              <w:rPr>
                <w:b/>
                <w:bCs/>
                <w:sz w:val="21"/>
                <w:szCs w:val="21"/>
              </w:rPr>
              <w:t>占地面积（hm</w:t>
            </w:r>
            <w:r>
              <w:rPr>
                <w:b/>
                <w:bCs/>
                <w:sz w:val="21"/>
                <w:szCs w:val="21"/>
                <w:vertAlign w:val="superscript"/>
              </w:rPr>
              <w:t>2</w:t>
            </w:r>
            <w:r>
              <w:rPr>
                <w:b/>
                <w:bCs/>
                <w:sz w:val="21"/>
                <w:szCs w:val="21"/>
              </w:rPr>
              <w:t>）</w:t>
            </w:r>
          </w:p>
        </w:tc>
        <w:tc>
          <w:tcPr>
            <w:tcW w:w="697" w:type="pct"/>
            <w:vMerge w:val="restart"/>
            <w:vAlign w:val="center"/>
          </w:tcPr>
          <w:p>
            <w:pPr>
              <w:spacing w:line="240" w:lineRule="auto"/>
              <w:ind w:firstLine="0" w:firstLineChars="0"/>
              <w:jc w:val="center"/>
              <w:rPr>
                <w:b/>
                <w:bCs/>
                <w:sz w:val="21"/>
                <w:szCs w:val="21"/>
              </w:rPr>
            </w:pPr>
            <w:r>
              <w:rPr>
                <w:b/>
                <w:bCs/>
                <w:sz w:val="21"/>
                <w:szCs w:val="21"/>
              </w:rPr>
              <w:t>堆高范围（m）</w:t>
            </w:r>
          </w:p>
        </w:tc>
        <w:tc>
          <w:tcPr>
            <w:tcW w:w="575" w:type="pct"/>
            <w:vMerge w:val="restart"/>
            <w:vAlign w:val="center"/>
          </w:tcPr>
          <w:p>
            <w:pPr>
              <w:spacing w:line="240" w:lineRule="auto"/>
              <w:ind w:firstLine="0" w:firstLineChars="0"/>
              <w:jc w:val="center"/>
              <w:rPr>
                <w:b/>
                <w:bCs/>
                <w:sz w:val="21"/>
                <w:szCs w:val="21"/>
              </w:rPr>
            </w:pPr>
            <w:r>
              <w:rPr>
                <w:b/>
                <w:bCs/>
                <w:sz w:val="21"/>
                <w:szCs w:val="21"/>
              </w:rPr>
              <w:t>坡比</w:t>
            </w:r>
          </w:p>
        </w:tc>
        <w:tc>
          <w:tcPr>
            <w:tcW w:w="666" w:type="pct"/>
            <w:vMerge w:val="restart"/>
            <w:vAlign w:val="center"/>
          </w:tcPr>
          <w:p>
            <w:pPr>
              <w:spacing w:line="240" w:lineRule="auto"/>
              <w:ind w:firstLine="0" w:firstLineChars="0"/>
              <w:jc w:val="center"/>
              <w:rPr>
                <w:b/>
                <w:bCs/>
                <w:sz w:val="21"/>
                <w:szCs w:val="21"/>
              </w:rPr>
            </w:pPr>
            <w:r>
              <w:rPr>
                <w:b/>
                <w:bCs/>
                <w:sz w:val="21"/>
                <w:szCs w:val="21"/>
              </w:rPr>
              <w:t>最大容量</w:t>
            </w:r>
          </w:p>
          <w:p>
            <w:pPr>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2" w:hRule="atLeast"/>
        </w:trPr>
        <w:tc>
          <w:tcPr>
            <w:tcW w:w="387" w:type="pct"/>
            <w:vMerge w:val="continue"/>
            <w:vAlign w:val="center"/>
          </w:tcPr>
          <w:p>
            <w:pPr>
              <w:spacing w:line="240" w:lineRule="auto"/>
              <w:ind w:firstLine="0" w:firstLineChars="0"/>
              <w:jc w:val="center"/>
              <w:rPr>
                <w:b/>
                <w:bCs/>
                <w:sz w:val="21"/>
                <w:szCs w:val="21"/>
              </w:rPr>
            </w:pPr>
          </w:p>
        </w:tc>
        <w:tc>
          <w:tcPr>
            <w:tcW w:w="585" w:type="pct"/>
            <w:vMerge w:val="continue"/>
            <w:vAlign w:val="center"/>
          </w:tcPr>
          <w:p>
            <w:pPr>
              <w:spacing w:line="240" w:lineRule="auto"/>
              <w:ind w:firstLine="0" w:firstLineChars="0"/>
              <w:jc w:val="center"/>
              <w:rPr>
                <w:b/>
                <w:bCs/>
                <w:sz w:val="21"/>
                <w:szCs w:val="21"/>
              </w:rPr>
            </w:pPr>
          </w:p>
        </w:tc>
        <w:tc>
          <w:tcPr>
            <w:tcW w:w="717" w:type="pct"/>
            <w:vAlign w:val="center"/>
          </w:tcPr>
          <w:p>
            <w:pPr>
              <w:spacing w:line="240" w:lineRule="auto"/>
              <w:ind w:firstLine="0" w:firstLineChars="0"/>
              <w:jc w:val="center"/>
              <w:rPr>
                <w:b/>
                <w:bCs/>
                <w:sz w:val="21"/>
                <w:szCs w:val="21"/>
              </w:rPr>
            </w:pPr>
            <w:r>
              <w:rPr>
                <w:b/>
                <w:bCs/>
                <w:sz w:val="21"/>
                <w:szCs w:val="21"/>
              </w:rPr>
              <w:t>宽度</w:t>
            </w:r>
          </w:p>
        </w:tc>
        <w:tc>
          <w:tcPr>
            <w:tcW w:w="719" w:type="pct"/>
            <w:vAlign w:val="center"/>
          </w:tcPr>
          <w:p>
            <w:pPr>
              <w:spacing w:line="240" w:lineRule="auto"/>
              <w:ind w:firstLine="0" w:firstLineChars="0"/>
              <w:jc w:val="center"/>
              <w:rPr>
                <w:b/>
                <w:bCs/>
                <w:sz w:val="21"/>
                <w:szCs w:val="21"/>
              </w:rPr>
            </w:pPr>
            <w:r>
              <w:rPr>
                <w:b/>
                <w:bCs/>
                <w:sz w:val="21"/>
                <w:szCs w:val="21"/>
              </w:rPr>
              <w:t>周长</w:t>
            </w:r>
          </w:p>
        </w:tc>
        <w:tc>
          <w:tcPr>
            <w:tcW w:w="651" w:type="pct"/>
            <w:vMerge w:val="continue"/>
            <w:vAlign w:val="center"/>
          </w:tcPr>
          <w:p>
            <w:pPr>
              <w:spacing w:line="240" w:lineRule="auto"/>
              <w:ind w:firstLine="0" w:firstLineChars="0"/>
              <w:jc w:val="center"/>
              <w:rPr>
                <w:b/>
                <w:bCs/>
                <w:sz w:val="21"/>
                <w:szCs w:val="21"/>
              </w:rPr>
            </w:pPr>
          </w:p>
        </w:tc>
        <w:tc>
          <w:tcPr>
            <w:tcW w:w="697" w:type="pct"/>
            <w:vMerge w:val="continue"/>
            <w:vAlign w:val="center"/>
          </w:tcPr>
          <w:p>
            <w:pPr>
              <w:spacing w:line="240" w:lineRule="auto"/>
              <w:ind w:firstLine="0" w:firstLineChars="0"/>
              <w:jc w:val="center"/>
              <w:rPr>
                <w:b/>
                <w:bCs/>
                <w:sz w:val="21"/>
                <w:szCs w:val="21"/>
              </w:rPr>
            </w:pPr>
          </w:p>
        </w:tc>
        <w:tc>
          <w:tcPr>
            <w:tcW w:w="575" w:type="pct"/>
            <w:vMerge w:val="continue"/>
            <w:vAlign w:val="center"/>
          </w:tcPr>
          <w:p>
            <w:pPr>
              <w:spacing w:line="240" w:lineRule="auto"/>
              <w:ind w:firstLine="0" w:firstLineChars="0"/>
              <w:jc w:val="center"/>
              <w:rPr>
                <w:b/>
                <w:bCs/>
                <w:sz w:val="21"/>
                <w:szCs w:val="21"/>
              </w:rPr>
            </w:pPr>
          </w:p>
        </w:tc>
        <w:tc>
          <w:tcPr>
            <w:tcW w:w="666" w:type="pct"/>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7" w:hRule="atLeast"/>
        </w:trPr>
        <w:tc>
          <w:tcPr>
            <w:tcW w:w="387" w:type="pct"/>
            <w:vMerge w:val="restart"/>
            <w:vAlign w:val="center"/>
          </w:tcPr>
          <w:p>
            <w:pPr>
              <w:spacing w:line="240" w:lineRule="auto"/>
              <w:ind w:firstLine="0" w:firstLineChars="0"/>
              <w:jc w:val="center"/>
              <w:rPr>
                <w:sz w:val="21"/>
                <w:szCs w:val="21"/>
              </w:rPr>
            </w:pPr>
            <w:r>
              <w:rPr>
                <w:sz w:val="21"/>
                <w:szCs w:val="21"/>
              </w:rPr>
              <w:t>近期建设区</w:t>
            </w:r>
          </w:p>
        </w:tc>
        <w:tc>
          <w:tcPr>
            <w:tcW w:w="585" w:type="pct"/>
            <w:vAlign w:val="center"/>
          </w:tcPr>
          <w:p>
            <w:pPr>
              <w:spacing w:line="240" w:lineRule="auto"/>
              <w:ind w:firstLine="0" w:firstLineChars="0"/>
              <w:jc w:val="center"/>
              <w:rPr>
                <w:sz w:val="21"/>
                <w:szCs w:val="21"/>
              </w:rPr>
            </w:pPr>
            <w:r>
              <w:rPr>
                <w:sz w:val="21"/>
                <w:szCs w:val="21"/>
              </w:rPr>
              <w:t>1#</w:t>
            </w:r>
          </w:p>
        </w:tc>
        <w:tc>
          <w:tcPr>
            <w:tcW w:w="717" w:type="pct"/>
            <w:vAlign w:val="center"/>
          </w:tcPr>
          <w:p>
            <w:pPr>
              <w:spacing w:line="240" w:lineRule="auto"/>
              <w:ind w:firstLine="0" w:firstLineChars="0"/>
              <w:jc w:val="center"/>
              <w:rPr>
                <w:sz w:val="21"/>
                <w:szCs w:val="21"/>
              </w:rPr>
            </w:pPr>
            <w:r>
              <w:rPr>
                <w:sz w:val="21"/>
                <w:szCs w:val="21"/>
              </w:rPr>
              <w:t>15</w:t>
            </w:r>
          </w:p>
        </w:tc>
        <w:tc>
          <w:tcPr>
            <w:tcW w:w="719" w:type="pct"/>
            <w:vAlign w:val="center"/>
          </w:tcPr>
          <w:p>
            <w:pPr>
              <w:spacing w:line="240" w:lineRule="auto"/>
              <w:ind w:firstLine="0" w:firstLineChars="0"/>
              <w:jc w:val="center"/>
              <w:rPr>
                <w:sz w:val="21"/>
                <w:szCs w:val="21"/>
              </w:rPr>
            </w:pPr>
            <w:r>
              <w:rPr>
                <w:sz w:val="21"/>
                <w:szCs w:val="21"/>
              </w:rPr>
              <w:t>4903</w:t>
            </w:r>
          </w:p>
        </w:tc>
        <w:tc>
          <w:tcPr>
            <w:tcW w:w="651" w:type="pct"/>
            <w:vAlign w:val="center"/>
          </w:tcPr>
          <w:p>
            <w:pPr>
              <w:spacing w:line="240" w:lineRule="auto"/>
              <w:ind w:firstLine="0" w:firstLineChars="0"/>
              <w:jc w:val="center"/>
              <w:rPr>
                <w:sz w:val="21"/>
                <w:szCs w:val="21"/>
              </w:rPr>
            </w:pPr>
            <w:r>
              <w:rPr>
                <w:sz w:val="21"/>
                <w:szCs w:val="21"/>
              </w:rPr>
              <w:t>4.38</w:t>
            </w:r>
          </w:p>
        </w:tc>
        <w:tc>
          <w:tcPr>
            <w:tcW w:w="697" w:type="pct"/>
            <w:vAlign w:val="center"/>
          </w:tcPr>
          <w:p>
            <w:pPr>
              <w:spacing w:line="240" w:lineRule="auto"/>
              <w:ind w:firstLine="0" w:firstLineChars="0"/>
              <w:jc w:val="center"/>
              <w:rPr>
                <w:sz w:val="21"/>
                <w:szCs w:val="21"/>
              </w:rPr>
            </w:pPr>
            <w:r>
              <w:rPr>
                <w:sz w:val="21"/>
                <w:szCs w:val="21"/>
              </w:rPr>
              <w:t>4~5</w:t>
            </w:r>
          </w:p>
        </w:tc>
        <w:tc>
          <w:tcPr>
            <w:tcW w:w="575" w:type="pct"/>
            <w:vAlign w:val="center"/>
          </w:tcPr>
          <w:p>
            <w:pPr>
              <w:spacing w:line="240" w:lineRule="auto"/>
              <w:ind w:firstLine="0" w:firstLineChars="0"/>
              <w:jc w:val="center"/>
              <w:rPr>
                <w:sz w:val="21"/>
                <w:szCs w:val="21"/>
              </w:rPr>
            </w:pPr>
            <w:r>
              <w:rPr>
                <w:sz w:val="21"/>
                <w:szCs w:val="21"/>
              </w:rPr>
              <w:t>1：1.5</w:t>
            </w:r>
          </w:p>
        </w:tc>
        <w:tc>
          <w:tcPr>
            <w:tcW w:w="666" w:type="pct"/>
            <w:vAlign w:val="center"/>
          </w:tcPr>
          <w:p>
            <w:pPr>
              <w:spacing w:line="240" w:lineRule="auto"/>
              <w:ind w:firstLine="0" w:firstLineChars="0"/>
              <w:jc w:val="center"/>
              <w:rPr>
                <w:sz w:val="21"/>
                <w:szCs w:val="21"/>
              </w:rPr>
            </w:pPr>
            <w:r>
              <w:rPr>
                <w:sz w:val="21"/>
                <w:szCs w:val="21"/>
              </w:rPr>
              <w:t>9.05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87" w:type="pct"/>
            <w:vMerge w:val="continue"/>
            <w:vAlign w:val="center"/>
          </w:tcPr>
          <w:p>
            <w:pPr>
              <w:spacing w:line="240" w:lineRule="auto"/>
              <w:ind w:firstLine="0" w:firstLineChars="0"/>
              <w:jc w:val="center"/>
              <w:rPr>
                <w:sz w:val="21"/>
                <w:szCs w:val="21"/>
              </w:rPr>
            </w:pPr>
          </w:p>
        </w:tc>
        <w:tc>
          <w:tcPr>
            <w:tcW w:w="585" w:type="pct"/>
            <w:vAlign w:val="center"/>
          </w:tcPr>
          <w:p>
            <w:pPr>
              <w:spacing w:line="240" w:lineRule="auto"/>
              <w:ind w:firstLine="0" w:firstLineChars="0"/>
              <w:jc w:val="center"/>
              <w:rPr>
                <w:sz w:val="21"/>
                <w:szCs w:val="21"/>
              </w:rPr>
            </w:pPr>
            <w:r>
              <w:rPr>
                <w:sz w:val="21"/>
                <w:szCs w:val="21"/>
              </w:rPr>
              <w:t>2#</w:t>
            </w:r>
          </w:p>
        </w:tc>
        <w:tc>
          <w:tcPr>
            <w:tcW w:w="717" w:type="pct"/>
            <w:vAlign w:val="center"/>
          </w:tcPr>
          <w:p>
            <w:pPr>
              <w:spacing w:line="240" w:lineRule="auto"/>
              <w:ind w:firstLine="0" w:firstLineChars="0"/>
              <w:jc w:val="center"/>
              <w:rPr>
                <w:sz w:val="21"/>
                <w:szCs w:val="21"/>
              </w:rPr>
            </w:pPr>
            <w:r>
              <w:rPr>
                <w:sz w:val="21"/>
                <w:szCs w:val="21"/>
              </w:rPr>
              <w:t>87</w:t>
            </w:r>
          </w:p>
        </w:tc>
        <w:tc>
          <w:tcPr>
            <w:tcW w:w="719" w:type="pct"/>
            <w:vAlign w:val="center"/>
          </w:tcPr>
          <w:p>
            <w:pPr>
              <w:spacing w:line="240" w:lineRule="auto"/>
              <w:ind w:firstLine="0" w:firstLineChars="0"/>
              <w:jc w:val="center"/>
              <w:rPr>
                <w:sz w:val="21"/>
                <w:szCs w:val="21"/>
              </w:rPr>
            </w:pPr>
            <w:r>
              <w:rPr>
                <w:sz w:val="21"/>
                <w:szCs w:val="21"/>
              </w:rPr>
              <w:t>2779</w:t>
            </w:r>
          </w:p>
        </w:tc>
        <w:tc>
          <w:tcPr>
            <w:tcW w:w="651" w:type="pct"/>
            <w:vAlign w:val="center"/>
          </w:tcPr>
          <w:p>
            <w:pPr>
              <w:spacing w:line="240" w:lineRule="auto"/>
              <w:ind w:firstLine="0" w:firstLineChars="0"/>
              <w:jc w:val="center"/>
              <w:rPr>
                <w:sz w:val="21"/>
                <w:szCs w:val="21"/>
              </w:rPr>
            </w:pPr>
            <w:r>
              <w:rPr>
                <w:sz w:val="21"/>
                <w:szCs w:val="21"/>
              </w:rPr>
              <w:t>11.39</w:t>
            </w:r>
          </w:p>
        </w:tc>
        <w:tc>
          <w:tcPr>
            <w:tcW w:w="697" w:type="pct"/>
            <w:vAlign w:val="center"/>
          </w:tcPr>
          <w:p>
            <w:pPr>
              <w:spacing w:line="240" w:lineRule="auto"/>
              <w:ind w:firstLine="0" w:firstLineChars="0"/>
              <w:jc w:val="center"/>
              <w:rPr>
                <w:sz w:val="21"/>
                <w:szCs w:val="21"/>
              </w:rPr>
            </w:pPr>
            <w:r>
              <w:rPr>
                <w:sz w:val="21"/>
                <w:szCs w:val="21"/>
              </w:rPr>
              <w:t>4~5</w:t>
            </w:r>
          </w:p>
        </w:tc>
        <w:tc>
          <w:tcPr>
            <w:tcW w:w="575" w:type="pct"/>
            <w:vAlign w:val="center"/>
          </w:tcPr>
          <w:p>
            <w:pPr>
              <w:spacing w:line="240" w:lineRule="auto"/>
              <w:ind w:firstLine="0" w:firstLineChars="0"/>
              <w:jc w:val="center"/>
              <w:rPr>
                <w:sz w:val="21"/>
                <w:szCs w:val="21"/>
              </w:rPr>
            </w:pPr>
            <w:r>
              <w:rPr>
                <w:sz w:val="21"/>
                <w:szCs w:val="21"/>
              </w:rPr>
              <w:t>1：1.5</w:t>
            </w:r>
          </w:p>
        </w:tc>
        <w:tc>
          <w:tcPr>
            <w:tcW w:w="666" w:type="pct"/>
            <w:vAlign w:val="center"/>
          </w:tcPr>
          <w:p>
            <w:pPr>
              <w:spacing w:line="240" w:lineRule="auto"/>
              <w:ind w:firstLine="0" w:firstLineChars="0"/>
              <w:jc w:val="center"/>
              <w:rPr>
                <w:sz w:val="21"/>
                <w:szCs w:val="21"/>
              </w:rPr>
            </w:pPr>
            <w:r>
              <w:rPr>
                <w:sz w:val="21"/>
                <w:szCs w:val="21"/>
              </w:rPr>
              <w:t>47.04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3" w:hRule="atLeast"/>
        </w:trPr>
        <w:tc>
          <w:tcPr>
            <w:tcW w:w="387" w:type="pct"/>
            <w:vMerge w:val="continue"/>
            <w:vAlign w:val="center"/>
          </w:tcPr>
          <w:p>
            <w:pPr>
              <w:spacing w:line="240" w:lineRule="auto"/>
              <w:ind w:firstLine="0" w:firstLineChars="0"/>
              <w:jc w:val="center"/>
              <w:rPr>
                <w:sz w:val="21"/>
                <w:szCs w:val="21"/>
              </w:rPr>
            </w:pPr>
          </w:p>
        </w:tc>
        <w:tc>
          <w:tcPr>
            <w:tcW w:w="585" w:type="pct"/>
            <w:vAlign w:val="center"/>
          </w:tcPr>
          <w:p>
            <w:pPr>
              <w:spacing w:line="240" w:lineRule="auto"/>
              <w:ind w:firstLine="0" w:firstLineChars="0"/>
              <w:jc w:val="center"/>
              <w:rPr>
                <w:sz w:val="21"/>
                <w:szCs w:val="21"/>
              </w:rPr>
            </w:pPr>
            <w:r>
              <w:rPr>
                <w:sz w:val="21"/>
                <w:szCs w:val="21"/>
              </w:rPr>
              <w:t>3#</w:t>
            </w:r>
          </w:p>
        </w:tc>
        <w:tc>
          <w:tcPr>
            <w:tcW w:w="717" w:type="pct"/>
            <w:vAlign w:val="center"/>
          </w:tcPr>
          <w:p>
            <w:pPr>
              <w:spacing w:line="240" w:lineRule="auto"/>
              <w:ind w:firstLine="0" w:firstLineChars="0"/>
              <w:jc w:val="center"/>
              <w:rPr>
                <w:sz w:val="21"/>
                <w:szCs w:val="21"/>
              </w:rPr>
            </w:pPr>
            <w:r>
              <w:rPr>
                <w:sz w:val="21"/>
                <w:szCs w:val="21"/>
              </w:rPr>
              <w:t>15</w:t>
            </w:r>
          </w:p>
        </w:tc>
        <w:tc>
          <w:tcPr>
            <w:tcW w:w="719" w:type="pct"/>
            <w:vAlign w:val="center"/>
          </w:tcPr>
          <w:p>
            <w:pPr>
              <w:spacing w:line="240" w:lineRule="auto"/>
              <w:ind w:firstLine="0" w:firstLineChars="0"/>
              <w:jc w:val="center"/>
              <w:rPr>
                <w:sz w:val="21"/>
                <w:szCs w:val="21"/>
              </w:rPr>
            </w:pPr>
            <w:r>
              <w:rPr>
                <w:sz w:val="21"/>
                <w:szCs w:val="21"/>
              </w:rPr>
              <w:t>3184</w:t>
            </w:r>
          </w:p>
        </w:tc>
        <w:tc>
          <w:tcPr>
            <w:tcW w:w="651" w:type="pct"/>
            <w:vAlign w:val="center"/>
          </w:tcPr>
          <w:p>
            <w:pPr>
              <w:spacing w:line="240" w:lineRule="auto"/>
              <w:ind w:firstLine="0" w:firstLineChars="0"/>
              <w:jc w:val="center"/>
              <w:rPr>
                <w:sz w:val="21"/>
                <w:szCs w:val="21"/>
              </w:rPr>
            </w:pPr>
            <w:r>
              <w:rPr>
                <w:sz w:val="21"/>
                <w:szCs w:val="21"/>
              </w:rPr>
              <w:t>2.40</w:t>
            </w:r>
          </w:p>
        </w:tc>
        <w:tc>
          <w:tcPr>
            <w:tcW w:w="697" w:type="pct"/>
            <w:vAlign w:val="center"/>
          </w:tcPr>
          <w:p>
            <w:pPr>
              <w:spacing w:line="240" w:lineRule="auto"/>
              <w:ind w:firstLine="0" w:firstLineChars="0"/>
              <w:jc w:val="center"/>
              <w:rPr>
                <w:sz w:val="21"/>
                <w:szCs w:val="21"/>
              </w:rPr>
            </w:pPr>
            <w:r>
              <w:rPr>
                <w:sz w:val="21"/>
                <w:szCs w:val="21"/>
              </w:rPr>
              <w:t>4~5</w:t>
            </w:r>
          </w:p>
        </w:tc>
        <w:tc>
          <w:tcPr>
            <w:tcW w:w="575" w:type="pct"/>
            <w:vAlign w:val="center"/>
          </w:tcPr>
          <w:p>
            <w:pPr>
              <w:spacing w:line="240" w:lineRule="auto"/>
              <w:ind w:firstLine="0" w:firstLineChars="0"/>
              <w:jc w:val="center"/>
              <w:rPr>
                <w:sz w:val="21"/>
                <w:szCs w:val="21"/>
              </w:rPr>
            </w:pPr>
            <w:r>
              <w:rPr>
                <w:sz w:val="21"/>
                <w:szCs w:val="21"/>
              </w:rPr>
              <w:t>1：1.5</w:t>
            </w:r>
          </w:p>
        </w:tc>
        <w:tc>
          <w:tcPr>
            <w:tcW w:w="666" w:type="pct"/>
            <w:vAlign w:val="center"/>
          </w:tcPr>
          <w:p>
            <w:pPr>
              <w:spacing w:line="240" w:lineRule="auto"/>
              <w:ind w:firstLine="0" w:firstLineChars="0"/>
              <w:jc w:val="center"/>
              <w:rPr>
                <w:sz w:val="21"/>
                <w:szCs w:val="21"/>
              </w:rPr>
            </w:pPr>
            <w:r>
              <w:rPr>
                <w:sz w:val="21"/>
                <w:szCs w:val="21"/>
              </w:rPr>
              <w:t>5.85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9" w:hRule="atLeast"/>
        </w:trPr>
        <w:tc>
          <w:tcPr>
            <w:tcW w:w="387" w:type="pct"/>
            <w:vMerge w:val="continue"/>
            <w:vAlign w:val="center"/>
          </w:tcPr>
          <w:p>
            <w:pPr>
              <w:spacing w:line="240" w:lineRule="auto"/>
              <w:ind w:firstLine="0" w:firstLineChars="0"/>
              <w:jc w:val="center"/>
              <w:rPr>
                <w:sz w:val="21"/>
                <w:szCs w:val="21"/>
              </w:rPr>
            </w:pPr>
          </w:p>
        </w:tc>
        <w:tc>
          <w:tcPr>
            <w:tcW w:w="585" w:type="pct"/>
            <w:vAlign w:val="center"/>
          </w:tcPr>
          <w:p>
            <w:pPr>
              <w:spacing w:line="240" w:lineRule="auto"/>
              <w:ind w:firstLine="0" w:firstLineChars="0"/>
              <w:jc w:val="center"/>
              <w:rPr>
                <w:sz w:val="21"/>
                <w:szCs w:val="21"/>
              </w:rPr>
            </w:pPr>
            <w:r>
              <w:rPr>
                <w:sz w:val="21"/>
                <w:szCs w:val="21"/>
              </w:rPr>
              <w:t>4#</w:t>
            </w:r>
          </w:p>
        </w:tc>
        <w:tc>
          <w:tcPr>
            <w:tcW w:w="717" w:type="pct"/>
            <w:vAlign w:val="center"/>
          </w:tcPr>
          <w:p>
            <w:pPr>
              <w:spacing w:line="240" w:lineRule="auto"/>
              <w:ind w:firstLine="0" w:firstLineChars="0"/>
              <w:jc w:val="center"/>
              <w:rPr>
                <w:sz w:val="21"/>
                <w:szCs w:val="21"/>
              </w:rPr>
            </w:pPr>
            <w:r>
              <w:rPr>
                <w:sz w:val="21"/>
                <w:szCs w:val="21"/>
              </w:rPr>
              <w:t>15</w:t>
            </w:r>
          </w:p>
        </w:tc>
        <w:tc>
          <w:tcPr>
            <w:tcW w:w="719" w:type="pct"/>
            <w:vAlign w:val="center"/>
          </w:tcPr>
          <w:p>
            <w:pPr>
              <w:spacing w:line="240" w:lineRule="auto"/>
              <w:ind w:firstLine="0" w:firstLineChars="0"/>
              <w:jc w:val="center"/>
              <w:rPr>
                <w:sz w:val="21"/>
                <w:szCs w:val="21"/>
              </w:rPr>
            </w:pPr>
            <w:r>
              <w:rPr>
                <w:sz w:val="21"/>
                <w:szCs w:val="21"/>
              </w:rPr>
              <w:t>3139</w:t>
            </w:r>
          </w:p>
        </w:tc>
        <w:tc>
          <w:tcPr>
            <w:tcW w:w="651" w:type="pct"/>
            <w:vAlign w:val="center"/>
          </w:tcPr>
          <w:p>
            <w:pPr>
              <w:spacing w:line="240" w:lineRule="auto"/>
              <w:ind w:firstLine="0" w:firstLineChars="0"/>
              <w:jc w:val="center"/>
              <w:rPr>
                <w:sz w:val="21"/>
                <w:szCs w:val="21"/>
              </w:rPr>
            </w:pPr>
            <w:r>
              <w:rPr>
                <w:sz w:val="21"/>
                <w:szCs w:val="21"/>
              </w:rPr>
              <w:t>2.32</w:t>
            </w:r>
          </w:p>
        </w:tc>
        <w:tc>
          <w:tcPr>
            <w:tcW w:w="1294" w:type="dxa"/>
            <w:vAlign w:val="center"/>
          </w:tcPr>
          <w:p>
            <w:pPr>
              <w:spacing w:line="240" w:lineRule="auto"/>
              <w:ind w:firstLine="0" w:firstLineChars="0"/>
              <w:jc w:val="center"/>
              <w:rPr>
                <w:sz w:val="21"/>
                <w:szCs w:val="21"/>
              </w:rPr>
            </w:pPr>
            <w:r>
              <w:rPr>
                <w:sz w:val="21"/>
                <w:szCs w:val="21"/>
              </w:rPr>
              <w:t>4~5</w:t>
            </w:r>
          </w:p>
        </w:tc>
        <w:tc>
          <w:tcPr>
            <w:tcW w:w="1068" w:type="dxa"/>
            <w:vAlign w:val="center"/>
          </w:tcPr>
          <w:p>
            <w:pPr>
              <w:spacing w:line="240" w:lineRule="auto"/>
              <w:ind w:firstLine="0" w:firstLineChars="0"/>
              <w:jc w:val="center"/>
              <w:rPr>
                <w:sz w:val="21"/>
                <w:szCs w:val="21"/>
              </w:rPr>
            </w:pPr>
            <w:r>
              <w:rPr>
                <w:sz w:val="21"/>
                <w:szCs w:val="21"/>
              </w:rPr>
              <w:t>1：1.5</w:t>
            </w:r>
          </w:p>
        </w:tc>
        <w:tc>
          <w:tcPr>
            <w:tcW w:w="666" w:type="pct"/>
            <w:vAlign w:val="center"/>
          </w:tcPr>
          <w:p>
            <w:pPr>
              <w:spacing w:line="240" w:lineRule="auto"/>
              <w:ind w:firstLine="0" w:firstLineChars="0"/>
              <w:jc w:val="center"/>
              <w:rPr>
                <w:sz w:val="21"/>
                <w:szCs w:val="21"/>
              </w:rPr>
            </w:pPr>
            <w:r>
              <w:rPr>
                <w:sz w:val="21"/>
                <w:szCs w:val="21"/>
              </w:rPr>
              <w:t>5.77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6" w:hRule="atLeast"/>
        </w:trPr>
        <w:tc>
          <w:tcPr>
            <w:tcW w:w="387" w:type="pct"/>
            <w:vMerge w:val="continue"/>
            <w:vAlign w:val="center"/>
          </w:tcPr>
          <w:p>
            <w:pPr>
              <w:spacing w:line="240" w:lineRule="auto"/>
              <w:ind w:firstLine="0" w:firstLineChars="0"/>
              <w:jc w:val="center"/>
              <w:rPr>
                <w:sz w:val="21"/>
                <w:szCs w:val="21"/>
              </w:rPr>
            </w:pPr>
          </w:p>
        </w:tc>
        <w:tc>
          <w:tcPr>
            <w:tcW w:w="585" w:type="pct"/>
            <w:vMerge w:val="restart"/>
            <w:vAlign w:val="center"/>
          </w:tcPr>
          <w:p>
            <w:pPr>
              <w:spacing w:line="240" w:lineRule="auto"/>
              <w:ind w:firstLine="0" w:firstLineChars="0"/>
              <w:jc w:val="center"/>
              <w:rPr>
                <w:sz w:val="21"/>
                <w:szCs w:val="21"/>
              </w:rPr>
            </w:pPr>
            <w:r>
              <w:rPr>
                <w:sz w:val="21"/>
                <w:szCs w:val="21"/>
              </w:rPr>
              <w:t>5#</w:t>
            </w:r>
          </w:p>
        </w:tc>
        <w:tc>
          <w:tcPr>
            <w:tcW w:w="717" w:type="pct"/>
            <w:vAlign w:val="center"/>
          </w:tcPr>
          <w:p>
            <w:pPr>
              <w:spacing w:line="240" w:lineRule="auto"/>
              <w:ind w:firstLine="0" w:firstLineChars="0"/>
              <w:jc w:val="center"/>
              <w:rPr>
                <w:sz w:val="21"/>
                <w:szCs w:val="21"/>
              </w:rPr>
            </w:pPr>
            <w:r>
              <w:rPr>
                <w:sz w:val="21"/>
                <w:szCs w:val="21"/>
              </w:rPr>
              <w:t>15</w:t>
            </w:r>
          </w:p>
        </w:tc>
        <w:tc>
          <w:tcPr>
            <w:tcW w:w="719" w:type="pct"/>
            <w:vAlign w:val="center"/>
          </w:tcPr>
          <w:p>
            <w:pPr>
              <w:spacing w:line="240" w:lineRule="auto"/>
              <w:ind w:firstLine="0" w:firstLineChars="0"/>
              <w:jc w:val="center"/>
              <w:rPr>
                <w:sz w:val="21"/>
                <w:szCs w:val="21"/>
              </w:rPr>
            </w:pPr>
            <w:r>
              <w:rPr>
                <w:sz w:val="21"/>
                <w:szCs w:val="21"/>
              </w:rPr>
              <w:t>4379</w:t>
            </w:r>
          </w:p>
        </w:tc>
        <w:tc>
          <w:tcPr>
            <w:tcW w:w="651" w:type="pct"/>
            <w:vMerge w:val="restart"/>
            <w:vAlign w:val="center"/>
          </w:tcPr>
          <w:p>
            <w:pPr>
              <w:spacing w:line="240" w:lineRule="auto"/>
              <w:ind w:firstLine="0" w:firstLineChars="0"/>
              <w:jc w:val="center"/>
              <w:rPr>
                <w:sz w:val="21"/>
                <w:szCs w:val="21"/>
              </w:rPr>
            </w:pPr>
            <w:r>
              <w:rPr>
                <w:sz w:val="21"/>
                <w:szCs w:val="21"/>
              </w:rPr>
              <w:t>5.76</w:t>
            </w:r>
          </w:p>
        </w:tc>
        <w:tc>
          <w:tcPr>
            <w:tcW w:w="697" w:type="pct"/>
            <w:vMerge w:val="restart"/>
            <w:vAlign w:val="center"/>
          </w:tcPr>
          <w:p>
            <w:pPr>
              <w:spacing w:line="240" w:lineRule="auto"/>
              <w:ind w:firstLine="0" w:firstLineChars="0"/>
              <w:jc w:val="center"/>
              <w:rPr>
                <w:sz w:val="21"/>
                <w:szCs w:val="21"/>
              </w:rPr>
            </w:pPr>
            <w:r>
              <w:rPr>
                <w:sz w:val="21"/>
                <w:szCs w:val="21"/>
              </w:rPr>
              <w:t>4~5</w:t>
            </w:r>
          </w:p>
        </w:tc>
        <w:tc>
          <w:tcPr>
            <w:tcW w:w="575" w:type="pct"/>
            <w:vMerge w:val="restart"/>
            <w:vAlign w:val="center"/>
          </w:tcPr>
          <w:p>
            <w:pPr>
              <w:spacing w:line="240" w:lineRule="auto"/>
              <w:ind w:firstLine="0" w:firstLineChars="0"/>
              <w:jc w:val="center"/>
              <w:rPr>
                <w:sz w:val="21"/>
                <w:szCs w:val="21"/>
              </w:rPr>
            </w:pPr>
            <w:r>
              <w:rPr>
                <w:sz w:val="21"/>
                <w:szCs w:val="21"/>
              </w:rPr>
              <w:t>1：1.5</w:t>
            </w:r>
          </w:p>
        </w:tc>
        <w:tc>
          <w:tcPr>
            <w:tcW w:w="666" w:type="pct"/>
            <w:vMerge w:val="restart"/>
            <w:vAlign w:val="center"/>
          </w:tcPr>
          <w:p>
            <w:pPr>
              <w:spacing w:line="240" w:lineRule="auto"/>
              <w:ind w:firstLine="0" w:firstLineChars="0"/>
              <w:jc w:val="center"/>
              <w:rPr>
                <w:sz w:val="21"/>
                <w:szCs w:val="21"/>
              </w:rPr>
            </w:pPr>
            <w:r>
              <w:rPr>
                <w:sz w:val="21"/>
                <w:szCs w:val="21"/>
              </w:rPr>
              <w:t>18.27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6" w:hRule="atLeast"/>
        </w:trPr>
        <w:tc>
          <w:tcPr>
            <w:tcW w:w="387" w:type="pct"/>
            <w:vMerge w:val="continue"/>
            <w:vAlign w:val="center"/>
          </w:tcPr>
          <w:p>
            <w:pPr>
              <w:spacing w:line="240" w:lineRule="auto"/>
              <w:ind w:firstLine="0" w:firstLineChars="0"/>
              <w:jc w:val="center"/>
              <w:rPr>
                <w:sz w:val="21"/>
                <w:szCs w:val="21"/>
              </w:rPr>
            </w:pPr>
          </w:p>
        </w:tc>
        <w:tc>
          <w:tcPr>
            <w:tcW w:w="585" w:type="pct"/>
            <w:vMerge w:val="continue"/>
            <w:vAlign w:val="center"/>
          </w:tcPr>
          <w:p>
            <w:pPr>
              <w:spacing w:line="240" w:lineRule="auto"/>
              <w:ind w:firstLine="0" w:firstLineChars="0"/>
              <w:jc w:val="center"/>
              <w:rPr>
                <w:sz w:val="21"/>
                <w:szCs w:val="21"/>
              </w:rPr>
            </w:pPr>
          </w:p>
        </w:tc>
        <w:tc>
          <w:tcPr>
            <w:tcW w:w="717" w:type="pct"/>
            <w:vAlign w:val="center"/>
          </w:tcPr>
          <w:p>
            <w:pPr>
              <w:spacing w:line="240" w:lineRule="auto"/>
              <w:ind w:firstLine="0" w:firstLineChars="0"/>
              <w:jc w:val="center"/>
              <w:rPr>
                <w:sz w:val="21"/>
                <w:szCs w:val="21"/>
              </w:rPr>
            </w:pPr>
            <w:r>
              <w:rPr>
                <w:sz w:val="21"/>
                <w:szCs w:val="21"/>
              </w:rPr>
              <w:t>80</w:t>
            </w:r>
          </w:p>
        </w:tc>
        <w:tc>
          <w:tcPr>
            <w:tcW w:w="719" w:type="pct"/>
            <w:vAlign w:val="center"/>
          </w:tcPr>
          <w:p>
            <w:pPr>
              <w:spacing w:line="240" w:lineRule="auto"/>
              <w:ind w:firstLine="0" w:firstLineChars="0"/>
              <w:jc w:val="center"/>
              <w:rPr>
                <w:sz w:val="21"/>
                <w:szCs w:val="21"/>
              </w:rPr>
            </w:pPr>
            <w:r>
              <w:rPr>
                <w:sz w:val="21"/>
                <w:szCs w:val="21"/>
              </w:rPr>
              <w:t>779</w:t>
            </w:r>
          </w:p>
        </w:tc>
        <w:tc>
          <w:tcPr>
            <w:tcW w:w="651" w:type="pct"/>
            <w:vMerge w:val="continue"/>
            <w:vAlign w:val="center"/>
          </w:tcPr>
          <w:p>
            <w:pPr>
              <w:spacing w:line="240" w:lineRule="auto"/>
              <w:ind w:firstLine="0" w:firstLineChars="0"/>
              <w:jc w:val="center"/>
              <w:rPr>
                <w:sz w:val="21"/>
                <w:szCs w:val="21"/>
              </w:rPr>
            </w:pPr>
          </w:p>
        </w:tc>
        <w:tc>
          <w:tcPr>
            <w:tcW w:w="697" w:type="pct"/>
            <w:vMerge w:val="continue"/>
            <w:vAlign w:val="center"/>
          </w:tcPr>
          <w:p>
            <w:pPr>
              <w:spacing w:line="240" w:lineRule="auto"/>
              <w:ind w:firstLine="0" w:firstLineChars="0"/>
              <w:jc w:val="center"/>
              <w:rPr>
                <w:sz w:val="21"/>
                <w:szCs w:val="21"/>
              </w:rPr>
            </w:pPr>
          </w:p>
        </w:tc>
        <w:tc>
          <w:tcPr>
            <w:tcW w:w="575" w:type="pct"/>
            <w:vMerge w:val="continue"/>
            <w:vAlign w:val="center"/>
          </w:tcPr>
          <w:p>
            <w:pPr>
              <w:spacing w:line="240" w:lineRule="auto"/>
              <w:ind w:firstLine="0" w:firstLineChars="0"/>
              <w:jc w:val="center"/>
              <w:rPr>
                <w:sz w:val="21"/>
                <w:szCs w:val="21"/>
              </w:rPr>
            </w:pPr>
          </w:p>
        </w:tc>
        <w:tc>
          <w:tcPr>
            <w:tcW w:w="666" w:type="pct"/>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87" w:type="pct"/>
            <w:vMerge w:val="continue"/>
            <w:vAlign w:val="center"/>
          </w:tcPr>
          <w:p>
            <w:pPr>
              <w:spacing w:line="240" w:lineRule="auto"/>
              <w:ind w:firstLine="0" w:firstLineChars="0"/>
              <w:jc w:val="center"/>
              <w:rPr>
                <w:sz w:val="21"/>
                <w:szCs w:val="21"/>
              </w:rPr>
            </w:pPr>
          </w:p>
        </w:tc>
        <w:tc>
          <w:tcPr>
            <w:tcW w:w="2021" w:type="pct"/>
            <w:gridSpan w:val="3"/>
            <w:vAlign w:val="center"/>
          </w:tcPr>
          <w:p>
            <w:pPr>
              <w:spacing w:line="240" w:lineRule="auto"/>
              <w:ind w:firstLine="0" w:firstLineChars="0"/>
              <w:jc w:val="center"/>
              <w:rPr>
                <w:b/>
                <w:bCs/>
                <w:sz w:val="21"/>
                <w:szCs w:val="21"/>
              </w:rPr>
            </w:pPr>
            <w:r>
              <w:rPr>
                <w:b/>
                <w:bCs/>
                <w:sz w:val="21"/>
                <w:szCs w:val="21"/>
              </w:rPr>
              <w:t>小计</w:t>
            </w:r>
          </w:p>
        </w:tc>
        <w:tc>
          <w:tcPr>
            <w:tcW w:w="651" w:type="pct"/>
            <w:vAlign w:val="center"/>
          </w:tcPr>
          <w:p>
            <w:pPr>
              <w:spacing w:line="240" w:lineRule="auto"/>
              <w:ind w:firstLine="0" w:firstLineChars="0"/>
              <w:jc w:val="center"/>
              <w:rPr>
                <w:b/>
                <w:bCs/>
                <w:sz w:val="21"/>
                <w:szCs w:val="21"/>
              </w:rPr>
            </w:pPr>
            <w:r>
              <w:rPr>
                <w:b/>
                <w:bCs/>
                <w:sz w:val="21"/>
                <w:szCs w:val="21"/>
              </w:rPr>
              <w:t>23.93</w:t>
            </w:r>
          </w:p>
        </w:tc>
        <w:tc>
          <w:tcPr>
            <w:tcW w:w="697" w:type="pct"/>
            <w:vAlign w:val="center"/>
          </w:tcPr>
          <w:p>
            <w:pPr>
              <w:spacing w:line="240" w:lineRule="auto"/>
              <w:ind w:firstLine="0" w:firstLineChars="0"/>
              <w:jc w:val="center"/>
              <w:rPr>
                <w:b/>
                <w:bCs/>
                <w:sz w:val="21"/>
                <w:szCs w:val="21"/>
              </w:rPr>
            </w:pPr>
          </w:p>
        </w:tc>
        <w:tc>
          <w:tcPr>
            <w:tcW w:w="575" w:type="pct"/>
            <w:vAlign w:val="center"/>
          </w:tcPr>
          <w:p>
            <w:pPr>
              <w:spacing w:line="240" w:lineRule="auto"/>
              <w:ind w:firstLine="0" w:firstLineChars="0"/>
              <w:jc w:val="center"/>
              <w:rPr>
                <w:b/>
                <w:bCs/>
                <w:sz w:val="21"/>
                <w:szCs w:val="21"/>
              </w:rPr>
            </w:pPr>
          </w:p>
        </w:tc>
        <w:tc>
          <w:tcPr>
            <w:tcW w:w="666" w:type="pct"/>
            <w:vAlign w:val="center"/>
          </w:tcPr>
          <w:p>
            <w:pPr>
              <w:spacing w:line="240" w:lineRule="auto"/>
              <w:ind w:firstLine="0" w:firstLineChars="0"/>
              <w:jc w:val="center"/>
              <w:rPr>
                <w:sz w:val="21"/>
                <w:szCs w:val="21"/>
              </w:rPr>
            </w:pPr>
            <w:r>
              <w:rPr>
                <w:b/>
                <w:bCs/>
                <w:sz w:val="21"/>
                <w:szCs w:val="21"/>
              </w:rPr>
              <w:t>85.98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1" w:hRule="atLeast"/>
        </w:trPr>
        <w:tc>
          <w:tcPr>
            <w:tcW w:w="387" w:type="pct"/>
            <w:vAlign w:val="center"/>
          </w:tcPr>
          <w:p>
            <w:pPr>
              <w:spacing w:line="240" w:lineRule="auto"/>
              <w:ind w:firstLine="0" w:firstLineChars="0"/>
              <w:jc w:val="center"/>
              <w:rPr>
                <w:sz w:val="21"/>
                <w:szCs w:val="21"/>
              </w:rPr>
            </w:pPr>
            <w:r>
              <w:rPr>
                <w:sz w:val="21"/>
                <w:szCs w:val="21"/>
              </w:rPr>
              <w:t>远期建设区</w:t>
            </w:r>
          </w:p>
        </w:tc>
        <w:tc>
          <w:tcPr>
            <w:tcW w:w="585" w:type="pct"/>
            <w:vAlign w:val="center"/>
          </w:tcPr>
          <w:p>
            <w:pPr>
              <w:spacing w:line="240" w:lineRule="auto"/>
              <w:ind w:firstLine="0" w:firstLineChars="0"/>
              <w:jc w:val="center"/>
              <w:rPr>
                <w:sz w:val="21"/>
                <w:szCs w:val="21"/>
              </w:rPr>
            </w:pPr>
            <w:r>
              <w:rPr>
                <w:sz w:val="21"/>
                <w:szCs w:val="21"/>
              </w:rPr>
              <w:t>6#</w:t>
            </w:r>
          </w:p>
        </w:tc>
        <w:tc>
          <w:tcPr>
            <w:tcW w:w="717" w:type="pct"/>
            <w:vAlign w:val="center"/>
          </w:tcPr>
          <w:p>
            <w:pPr>
              <w:spacing w:line="240" w:lineRule="auto"/>
              <w:ind w:firstLine="0" w:firstLineChars="0"/>
              <w:jc w:val="center"/>
              <w:rPr>
                <w:sz w:val="21"/>
                <w:szCs w:val="21"/>
              </w:rPr>
            </w:pPr>
            <w:r>
              <w:rPr>
                <w:sz w:val="21"/>
                <w:szCs w:val="21"/>
              </w:rPr>
              <w:t>80</w:t>
            </w:r>
          </w:p>
        </w:tc>
        <w:tc>
          <w:tcPr>
            <w:tcW w:w="719" w:type="pct"/>
            <w:vAlign w:val="center"/>
          </w:tcPr>
          <w:p>
            <w:pPr>
              <w:spacing w:line="240" w:lineRule="auto"/>
              <w:ind w:firstLine="0" w:firstLineChars="0"/>
              <w:jc w:val="center"/>
              <w:rPr>
                <w:sz w:val="21"/>
                <w:szCs w:val="21"/>
              </w:rPr>
            </w:pPr>
            <w:r>
              <w:rPr>
                <w:sz w:val="21"/>
                <w:szCs w:val="21"/>
              </w:rPr>
              <w:t>3437</w:t>
            </w:r>
          </w:p>
        </w:tc>
        <w:tc>
          <w:tcPr>
            <w:tcW w:w="651" w:type="pct"/>
            <w:vAlign w:val="center"/>
          </w:tcPr>
          <w:p>
            <w:pPr>
              <w:spacing w:line="240" w:lineRule="auto"/>
              <w:ind w:firstLine="0" w:firstLineChars="0"/>
              <w:jc w:val="center"/>
              <w:rPr>
                <w:sz w:val="21"/>
                <w:szCs w:val="21"/>
              </w:rPr>
            </w:pPr>
            <w:r>
              <w:rPr>
                <w:sz w:val="21"/>
                <w:szCs w:val="21"/>
              </w:rPr>
              <w:t>13.30</w:t>
            </w:r>
          </w:p>
        </w:tc>
        <w:tc>
          <w:tcPr>
            <w:tcW w:w="697" w:type="pct"/>
            <w:vAlign w:val="center"/>
          </w:tcPr>
          <w:p>
            <w:pPr>
              <w:spacing w:line="240" w:lineRule="auto"/>
              <w:ind w:firstLine="0" w:firstLineChars="0"/>
              <w:jc w:val="center"/>
              <w:rPr>
                <w:sz w:val="21"/>
                <w:szCs w:val="21"/>
              </w:rPr>
            </w:pPr>
            <w:r>
              <w:rPr>
                <w:sz w:val="21"/>
                <w:szCs w:val="21"/>
              </w:rPr>
              <w:t>4~5</w:t>
            </w:r>
          </w:p>
        </w:tc>
        <w:tc>
          <w:tcPr>
            <w:tcW w:w="575" w:type="pct"/>
            <w:vAlign w:val="center"/>
          </w:tcPr>
          <w:p>
            <w:pPr>
              <w:spacing w:line="240" w:lineRule="auto"/>
              <w:ind w:firstLine="0" w:firstLineChars="0"/>
              <w:jc w:val="center"/>
              <w:rPr>
                <w:sz w:val="21"/>
                <w:szCs w:val="21"/>
              </w:rPr>
            </w:pPr>
            <w:r>
              <w:rPr>
                <w:sz w:val="21"/>
                <w:szCs w:val="21"/>
              </w:rPr>
              <w:t>1：1.5</w:t>
            </w:r>
          </w:p>
        </w:tc>
        <w:tc>
          <w:tcPr>
            <w:tcW w:w="666" w:type="pct"/>
            <w:vAlign w:val="center"/>
          </w:tcPr>
          <w:p>
            <w:pPr>
              <w:spacing w:line="240" w:lineRule="auto"/>
              <w:ind w:firstLine="0" w:firstLineChars="0"/>
              <w:jc w:val="center"/>
              <w:rPr>
                <w:sz w:val="21"/>
                <w:szCs w:val="21"/>
              </w:rPr>
            </w:pPr>
            <w:r>
              <w:rPr>
                <w:sz w:val="21"/>
                <w:szCs w:val="21"/>
              </w:rPr>
              <w:t>54.01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7" w:hRule="atLeast"/>
        </w:trPr>
        <w:tc>
          <w:tcPr>
            <w:tcW w:w="2409" w:type="pct"/>
            <w:gridSpan w:val="4"/>
            <w:vAlign w:val="center"/>
          </w:tcPr>
          <w:p>
            <w:pPr>
              <w:spacing w:line="240" w:lineRule="auto"/>
              <w:ind w:firstLine="0" w:firstLineChars="0"/>
              <w:jc w:val="center"/>
              <w:rPr>
                <w:b/>
                <w:bCs/>
                <w:sz w:val="21"/>
                <w:szCs w:val="21"/>
              </w:rPr>
            </w:pPr>
            <w:r>
              <w:rPr>
                <w:b/>
                <w:bCs/>
                <w:sz w:val="21"/>
                <w:szCs w:val="21"/>
              </w:rPr>
              <w:t>合计</w:t>
            </w:r>
          </w:p>
        </w:tc>
        <w:tc>
          <w:tcPr>
            <w:tcW w:w="651" w:type="pct"/>
            <w:vAlign w:val="center"/>
          </w:tcPr>
          <w:p>
            <w:pPr>
              <w:spacing w:line="240" w:lineRule="auto"/>
              <w:ind w:firstLine="0" w:firstLineChars="0"/>
              <w:jc w:val="center"/>
              <w:rPr>
                <w:b/>
                <w:bCs/>
                <w:sz w:val="21"/>
                <w:szCs w:val="21"/>
              </w:rPr>
            </w:pPr>
            <w:r>
              <w:rPr>
                <w:b/>
                <w:bCs/>
                <w:sz w:val="21"/>
                <w:szCs w:val="21"/>
              </w:rPr>
              <w:t>39.55</w:t>
            </w:r>
          </w:p>
        </w:tc>
        <w:tc>
          <w:tcPr>
            <w:tcW w:w="697" w:type="pct"/>
            <w:vAlign w:val="center"/>
          </w:tcPr>
          <w:p>
            <w:pPr>
              <w:spacing w:line="240" w:lineRule="auto"/>
              <w:ind w:firstLine="0" w:firstLineChars="0"/>
              <w:jc w:val="center"/>
              <w:rPr>
                <w:b/>
                <w:bCs/>
                <w:sz w:val="21"/>
                <w:szCs w:val="21"/>
              </w:rPr>
            </w:pPr>
          </w:p>
        </w:tc>
        <w:tc>
          <w:tcPr>
            <w:tcW w:w="575" w:type="pct"/>
            <w:vAlign w:val="center"/>
          </w:tcPr>
          <w:p>
            <w:pPr>
              <w:spacing w:line="240" w:lineRule="auto"/>
              <w:ind w:firstLine="0" w:firstLineChars="0"/>
              <w:jc w:val="center"/>
              <w:rPr>
                <w:b/>
                <w:bCs/>
                <w:sz w:val="21"/>
                <w:szCs w:val="21"/>
              </w:rPr>
            </w:pPr>
          </w:p>
        </w:tc>
        <w:tc>
          <w:tcPr>
            <w:tcW w:w="666" w:type="pct"/>
            <w:vAlign w:val="center"/>
          </w:tcPr>
          <w:p>
            <w:pPr>
              <w:spacing w:line="240" w:lineRule="auto"/>
              <w:ind w:firstLine="0" w:firstLineChars="0"/>
              <w:jc w:val="center"/>
              <w:rPr>
                <w:b/>
                <w:bCs/>
                <w:sz w:val="21"/>
                <w:szCs w:val="21"/>
              </w:rPr>
            </w:pPr>
            <w:r>
              <w:rPr>
                <w:b/>
                <w:bCs/>
                <w:sz w:val="21"/>
                <w:szCs w:val="21"/>
              </w:rPr>
              <w:t>139.90</w:t>
            </w:r>
          </w:p>
        </w:tc>
      </w:tr>
    </w:tbl>
    <w:p>
      <w:pPr>
        <w:spacing w:line="40" w:lineRule="exact"/>
        <w:ind w:firstLine="0" w:firstLineChars="0"/>
      </w:pP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pPr>
            <w:r>
              <w:drawing>
                <wp:inline distT="0" distB="0" distL="114300" distR="114300">
                  <wp:extent cx="5757545" cy="3234055"/>
                  <wp:effectExtent l="0" t="0" r="14605" b="4445"/>
                  <wp:docPr id="7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63"/>
                          <pic:cNvPicPr>
                            <a:picLocks noChangeAspect="1"/>
                          </pic:cNvPicPr>
                        </pic:nvPicPr>
                        <pic:blipFill>
                          <a:blip r:embed="rId108"/>
                          <a:stretch>
                            <a:fillRect/>
                          </a:stretch>
                        </pic:blipFill>
                        <pic:spPr>
                          <a:xfrm>
                            <a:off x="0" y="0"/>
                            <a:ext cx="5757545" cy="323405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pPr>
            <w:r>
              <w:rPr>
                <w:b/>
                <w:bCs/>
              </w:rPr>
              <w:t>图2.2-3表土中转场位置示意图</w:t>
            </w:r>
          </w:p>
        </w:tc>
      </w:tr>
    </w:tbl>
    <w:p>
      <w:pPr>
        <w:ind w:firstLine="482"/>
        <w:rPr>
          <w:b/>
          <w:bCs/>
        </w:rPr>
      </w:pPr>
      <w:r>
        <w:rPr>
          <w:b/>
          <w:bCs/>
        </w:rPr>
        <w:t>土石方中转场：</w:t>
      </w:r>
      <w:r>
        <w:t>根据园区设计标高及原始标高数据并结合开发建设时序，园区各地块场平工程及基础设施建设产生的土石方均在各个地块之间相互调运，实现土石方的平衡，本报告考虑到园区在场平及基础设施建设以及企业入驻后二次开挖的过程中会存在土石方的临时堆存情况，故在远期建设区新增设置5处土石方中转场，土石方堆置容量为88.79万m</w:t>
      </w:r>
      <w:r>
        <w:rPr>
          <w:vertAlign w:val="superscript"/>
        </w:rPr>
        <w:t>3</w:t>
      </w:r>
      <w:r>
        <w:t>，作为土石方的临时转运点。以便对整个园区的土石方调运进行全系统的规划，纳入统一管理。同时本报告将对土石方中转场新增挡护、密目网苫盖、截排水沟等水土保持措施进行防护。土石方中转场位于园区永久占地范围内，场地质条件良好，且不属于县级以上人民政府划定的崩塌和滑坡危险区、泥石流易发区，不涉及水源保护区、生态功能保护区、景观保护区、经济开发区，居民点等敏感对象，亦不对重要基础设施、人民群众生命财产安全及行洪安全等产生影响。园区各个土石方中转场特性详见表2.2-2。</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drawing>
                <wp:inline distT="0" distB="0" distL="114300" distR="114300">
                  <wp:extent cx="5754370" cy="3837305"/>
                  <wp:effectExtent l="0" t="0" r="17780" b="10795"/>
                  <wp:docPr id="7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81"/>
                          <pic:cNvPicPr>
                            <a:picLocks noChangeAspect="1"/>
                          </pic:cNvPicPr>
                        </pic:nvPicPr>
                        <pic:blipFill>
                          <a:blip r:embed="rId109"/>
                          <a:stretch>
                            <a:fillRect/>
                          </a:stretch>
                        </pic:blipFill>
                        <pic:spPr>
                          <a:xfrm>
                            <a:off x="0" y="0"/>
                            <a:ext cx="5754370" cy="383730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图2.2-41#土石方中转场容量计算示意图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sz w:val="21"/>
                <w:szCs w:val="21"/>
              </w:rPr>
              <w:drawing>
                <wp:inline distT="0" distB="0" distL="114300" distR="114300">
                  <wp:extent cx="5754370" cy="4416425"/>
                  <wp:effectExtent l="0" t="0" r="17780" b="3175"/>
                  <wp:docPr id="223"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图片 79"/>
                          <pic:cNvPicPr>
                            <a:picLocks noChangeAspect="1"/>
                          </pic:cNvPicPr>
                        </pic:nvPicPr>
                        <pic:blipFill>
                          <a:blip r:embed="rId110"/>
                          <a:stretch>
                            <a:fillRect/>
                          </a:stretch>
                        </pic:blipFill>
                        <pic:spPr>
                          <a:xfrm>
                            <a:off x="0" y="0"/>
                            <a:ext cx="5754370" cy="441642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图2.2-52#土石方中转场容量计算示意图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sz w:val="21"/>
                <w:szCs w:val="21"/>
              </w:rPr>
              <w:drawing>
                <wp:inline distT="0" distB="0" distL="114300" distR="114300">
                  <wp:extent cx="5759450" cy="3149600"/>
                  <wp:effectExtent l="0" t="0" r="12700" b="12700"/>
                  <wp:docPr id="7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82"/>
                          <pic:cNvPicPr>
                            <a:picLocks noChangeAspect="1"/>
                          </pic:cNvPicPr>
                        </pic:nvPicPr>
                        <pic:blipFill>
                          <a:blip r:embed="rId111"/>
                          <a:stretch>
                            <a:fillRect/>
                          </a:stretch>
                        </pic:blipFill>
                        <pic:spPr>
                          <a:xfrm>
                            <a:off x="0" y="0"/>
                            <a:ext cx="5759450" cy="314960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图2.2-63#土石方中转场容量计算示意图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sz w:val="21"/>
                <w:szCs w:val="21"/>
              </w:rPr>
              <w:drawing>
                <wp:inline distT="0" distB="0" distL="114300" distR="114300">
                  <wp:extent cx="5752465" cy="4345305"/>
                  <wp:effectExtent l="0" t="0" r="635" b="17145"/>
                  <wp:docPr id="77"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3"/>
                          <pic:cNvPicPr>
                            <a:picLocks noChangeAspect="1"/>
                          </pic:cNvPicPr>
                        </pic:nvPicPr>
                        <pic:blipFill>
                          <a:blip r:embed="rId112"/>
                          <a:stretch>
                            <a:fillRect/>
                          </a:stretch>
                        </pic:blipFill>
                        <pic:spPr>
                          <a:xfrm>
                            <a:off x="0" y="0"/>
                            <a:ext cx="5752465" cy="434530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图2.2-74#土石方中转场容量计算示意图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sz w:val="21"/>
                <w:szCs w:val="21"/>
              </w:rPr>
              <w:drawing>
                <wp:inline distT="0" distB="0" distL="114300" distR="114300">
                  <wp:extent cx="5757545" cy="4453255"/>
                  <wp:effectExtent l="0" t="0" r="14605" b="4445"/>
                  <wp:docPr id="78"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4"/>
                          <pic:cNvPicPr>
                            <a:picLocks noChangeAspect="1"/>
                          </pic:cNvPicPr>
                        </pic:nvPicPr>
                        <pic:blipFill>
                          <a:blip r:embed="rId113"/>
                          <a:stretch>
                            <a:fillRect/>
                          </a:stretch>
                        </pic:blipFill>
                        <pic:spPr>
                          <a:xfrm>
                            <a:off x="0" y="0"/>
                            <a:ext cx="5757545" cy="445325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spacing w:line="240" w:lineRule="auto"/>
              <w:ind w:firstLine="0" w:firstLineChars="0"/>
              <w:jc w:val="center"/>
              <w:rPr>
                <w:b/>
                <w:bCs/>
                <w:sz w:val="21"/>
                <w:szCs w:val="21"/>
              </w:rPr>
            </w:pPr>
            <w:r>
              <w:rPr>
                <w:b/>
                <w:bCs/>
                <w:sz w:val="21"/>
                <w:szCs w:val="21"/>
              </w:rPr>
              <w:t>图2.2-85#土石方中转场容量计算示意图</w:t>
            </w:r>
          </w:p>
        </w:tc>
      </w:tr>
    </w:tbl>
    <w:p>
      <w:pPr>
        <w:ind w:firstLine="422"/>
        <w:rPr>
          <w:b/>
          <w:bCs/>
          <w:sz w:val="21"/>
          <w:szCs w:val="21"/>
        </w:rPr>
        <w:sectPr>
          <w:pgSz w:w="11905" w:h="16838"/>
          <w:pgMar w:top="1417" w:right="1417" w:bottom="1417" w:left="1417" w:header="850" w:footer="992" w:gutter="0"/>
          <w:cols w:space="720" w:num="1"/>
          <w:docGrid w:linePitch="312" w:charSpace="0"/>
        </w:sectPr>
      </w:pPr>
    </w:p>
    <w:p>
      <w:pPr>
        <w:ind w:firstLine="0" w:firstLineChars="0"/>
        <w:jc w:val="center"/>
      </w:pPr>
      <w:r>
        <w:rPr>
          <w:b/>
          <w:bCs/>
        </w:rPr>
        <w:t>表2.2-2园区各个土石方中转场特性一览表</w:t>
      </w:r>
    </w:p>
    <w:tbl>
      <w:tblPr>
        <w:tblStyle w:val="110"/>
        <w:tblW w:w="508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781"/>
        <w:gridCol w:w="1122"/>
        <w:gridCol w:w="2066"/>
        <w:gridCol w:w="1126"/>
        <w:gridCol w:w="824"/>
        <w:gridCol w:w="1238"/>
        <w:gridCol w:w="26"/>
        <w:gridCol w:w="1212"/>
        <w:gridCol w:w="1238"/>
        <w:gridCol w:w="1238"/>
        <w:gridCol w:w="1238"/>
        <w:gridCol w:w="1238"/>
        <w:gridCol w:w="1001"/>
        <w:gridCol w:w="242"/>
        <w:gridCol w:w="3481"/>
        <w:gridCol w:w="349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1" w:type="pct"/>
            <w:vAlign w:val="center"/>
          </w:tcPr>
          <w:p>
            <w:pPr>
              <w:spacing w:line="240" w:lineRule="auto"/>
              <w:ind w:firstLine="0" w:firstLineChars="0"/>
              <w:jc w:val="center"/>
              <w:rPr>
                <w:b/>
                <w:bCs/>
                <w:sz w:val="21"/>
                <w:szCs w:val="21"/>
              </w:rPr>
            </w:pPr>
            <w:r>
              <w:rPr>
                <w:b/>
                <w:bCs/>
                <w:sz w:val="21"/>
                <w:szCs w:val="21"/>
              </w:rPr>
              <w:t>土石方中转场编号</w:t>
            </w:r>
          </w:p>
        </w:tc>
        <w:tc>
          <w:tcPr>
            <w:tcW w:w="260" w:type="pct"/>
            <w:vAlign w:val="center"/>
          </w:tcPr>
          <w:p>
            <w:pPr>
              <w:spacing w:line="240" w:lineRule="auto"/>
              <w:ind w:firstLine="0" w:firstLineChars="0"/>
              <w:jc w:val="center"/>
              <w:rPr>
                <w:b/>
                <w:bCs/>
                <w:sz w:val="21"/>
                <w:szCs w:val="21"/>
              </w:rPr>
            </w:pPr>
            <w:r>
              <w:rPr>
                <w:b/>
                <w:bCs/>
                <w:sz w:val="21"/>
                <w:szCs w:val="21"/>
              </w:rPr>
              <w:t>位置</w:t>
            </w:r>
          </w:p>
        </w:tc>
        <w:tc>
          <w:tcPr>
            <w:tcW w:w="479" w:type="pct"/>
            <w:vAlign w:val="center"/>
          </w:tcPr>
          <w:p>
            <w:pPr>
              <w:spacing w:line="240" w:lineRule="auto"/>
              <w:ind w:firstLine="0" w:firstLineChars="0"/>
              <w:jc w:val="center"/>
              <w:rPr>
                <w:b/>
                <w:bCs/>
                <w:sz w:val="21"/>
                <w:szCs w:val="21"/>
              </w:rPr>
            </w:pPr>
            <w:r>
              <w:rPr>
                <w:b/>
                <w:bCs/>
                <w:sz w:val="21"/>
                <w:szCs w:val="21"/>
              </w:rPr>
              <w:t>中心坐标</w:t>
            </w:r>
          </w:p>
        </w:tc>
        <w:tc>
          <w:tcPr>
            <w:tcW w:w="261" w:type="pct"/>
            <w:vAlign w:val="center"/>
          </w:tcPr>
          <w:p>
            <w:pPr>
              <w:spacing w:line="240" w:lineRule="auto"/>
              <w:ind w:firstLine="0" w:firstLineChars="0"/>
              <w:jc w:val="center"/>
              <w:rPr>
                <w:b/>
                <w:bCs/>
                <w:sz w:val="21"/>
                <w:szCs w:val="21"/>
              </w:rPr>
            </w:pPr>
            <w:r>
              <w:rPr>
                <w:b/>
                <w:bCs/>
                <w:sz w:val="21"/>
                <w:szCs w:val="21"/>
              </w:rPr>
              <w:t>类型</w:t>
            </w:r>
          </w:p>
        </w:tc>
        <w:tc>
          <w:tcPr>
            <w:tcW w:w="189" w:type="pct"/>
            <w:vAlign w:val="center"/>
          </w:tcPr>
          <w:p>
            <w:pPr>
              <w:spacing w:line="240" w:lineRule="auto"/>
              <w:ind w:firstLine="0" w:firstLineChars="0"/>
              <w:jc w:val="center"/>
              <w:rPr>
                <w:b/>
                <w:bCs/>
                <w:sz w:val="21"/>
                <w:szCs w:val="21"/>
              </w:rPr>
            </w:pPr>
            <w:r>
              <w:rPr>
                <w:b/>
                <w:bCs/>
                <w:sz w:val="21"/>
                <w:szCs w:val="21"/>
              </w:rPr>
              <w:t>级别</w:t>
            </w:r>
          </w:p>
        </w:tc>
        <w:tc>
          <w:tcPr>
            <w:tcW w:w="287" w:type="pct"/>
            <w:vAlign w:val="center"/>
          </w:tcPr>
          <w:p>
            <w:pPr>
              <w:spacing w:line="240" w:lineRule="auto"/>
              <w:ind w:firstLine="0" w:firstLineChars="0"/>
              <w:jc w:val="center"/>
              <w:rPr>
                <w:b/>
                <w:bCs/>
                <w:sz w:val="21"/>
                <w:szCs w:val="21"/>
              </w:rPr>
            </w:pPr>
            <w:r>
              <w:rPr>
                <w:b/>
                <w:bCs/>
                <w:sz w:val="21"/>
                <w:szCs w:val="21"/>
              </w:rPr>
              <w:t>容量</w:t>
            </w:r>
          </w:p>
          <w:p>
            <w:pPr>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287" w:type="pct"/>
            <w:gridSpan w:val="2"/>
            <w:vAlign w:val="center"/>
          </w:tcPr>
          <w:p>
            <w:pPr>
              <w:spacing w:line="240" w:lineRule="auto"/>
              <w:ind w:firstLine="0" w:firstLineChars="0"/>
              <w:jc w:val="center"/>
              <w:rPr>
                <w:b/>
                <w:bCs/>
                <w:sz w:val="21"/>
                <w:szCs w:val="21"/>
              </w:rPr>
            </w:pPr>
            <w:r>
              <w:rPr>
                <w:b/>
                <w:bCs/>
                <w:sz w:val="21"/>
                <w:szCs w:val="21"/>
              </w:rPr>
              <w:t>坡比</w:t>
            </w:r>
          </w:p>
        </w:tc>
        <w:tc>
          <w:tcPr>
            <w:tcW w:w="287" w:type="pct"/>
            <w:vAlign w:val="center"/>
          </w:tcPr>
          <w:p>
            <w:pPr>
              <w:spacing w:line="240" w:lineRule="auto"/>
              <w:ind w:firstLine="0" w:firstLineChars="0"/>
              <w:jc w:val="center"/>
              <w:rPr>
                <w:b/>
                <w:bCs/>
                <w:sz w:val="21"/>
                <w:szCs w:val="21"/>
              </w:rPr>
            </w:pPr>
            <w:r>
              <w:rPr>
                <w:b/>
                <w:bCs/>
                <w:sz w:val="21"/>
                <w:szCs w:val="21"/>
              </w:rPr>
              <w:t>堆置</w:t>
            </w:r>
          </w:p>
          <w:p>
            <w:pPr>
              <w:spacing w:line="240" w:lineRule="auto"/>
              <w:ind w:firstLine="0" w:firstLineChars="0"/>
              <w:jc w:val="center"/>
              <w:rPr>
                <w:b/>
                <w:bCs/>
                <w:sz w:val="21"/>
                <w:szCs w:val="21"/>
              </w:rPr>
            </w:pPr>
            <w:r>
              <w:rPr>
                <w:b/>
                <w:bCs/>
                <w:sz w:val="21"/>
                <w:szCs w:val="21"/>
              </w:rPr>
              <w:t>高程（m）</w:t>
            </w:r>
          </w:p>
        </w:tc>
        <w:tc>
          <w:tcPr>
            <w:tcW w:w="287" w:type="pct"/>
            <w:vAlign w:val="center"/>
          </w:tcPr>
          <w:p>
            <w:pPr>
              <w:spacing w:line="240" w:lineRule="auto"/>
              <w:ind w:firstLine="0" w:firstLineChars="0"/>
              <w:jc w:val="center"/>
              <w:rPr>
                <w:b/>
                <w:bCs/>
                <w:sz w:val="21"/>
                <w:szCs w:val="21"/>
              </w:rPr>
            </w:pPr>
            <w:r>
              <w:rPr>
                <w:b/>
                <w:bCs/>
                <w:sz w:val="21"/>
                <w:szCs w:val="21"/>
              </w:rPr>
              <w:t>最大</w:t>
            </w:r>
          </w:p>
          <w:p>
            <w:pPr>
              <w:spacing w:line="240" w:lineRule="auto"/>
              <w:ind w:firstLine="0" w:firstLineChars="0"/>
              <w:jc w:val="center"/>
              <w:rPr>
                <w:b/>
                <w:bCs/>
                <w:sz w:val="21"/>
                <w:szCs w:val="21"/>
              </w:rPr>
            </w:pPr>
            <w:r>
              <w:rPr>
                <w:b/>
                <w:bCs/>
                <w:sz w:val="21"/>
                <w:szCs w:val="21"/>
              </w:rPr>
              <w:t>堆高（m）</w:t>
            </w:r>
          </w:p>
        </w:tc>
        <w:tc>
          <w:tcPr>
            <w:tcW w:w="287" w:type="pct"/>
            <w:vAlign w:val="center"/>
          </w:tcPr>
          <w:p>
            <w:pPr>
              <w:spacing w:line="240" w:lineRule="auto"/>
              <w:ind w:firstLine="0" w:firstLineChars="0"/>
              <w:jc w:val="center"/>
              <w:rPr>
                <w:b/>
                <w:bCs/>
                <w:sz w:val="21"/>
                <w:szCs w:val="21"/>
              </w:rPr>
            </w:pPr>
            <w:r>
              <w:rPr>
                <w:b/>
                <w:bCs/>
                <w:sz w:val="21"/>
                <w:szCs w:val="21"/>
              </w:rPr>
              <w:t>平均</w:t>
            </w:r>
          </w:p>
          <w:p>
            <w:pPr>
              <w:spacing w:line="240" w:lineRule="auto"/>
              <w:ind w:firstLine="0" w:firstLineChars="0"/>
              <w:jc w:val="center"/>
              <w:rPr>
                <w:b/>
                <w:bCs/>
                <w:sz w:val="21"/>
                <w:szCs w:val="21"/>
              </w:rPr>
            </w:pPr>
            <w:r>
              <w:rPr>
                <w:b/>
                <w:bCs/>
                <w:sz w:val="21"/>
                <w:szCs w:val="21"/>
              </w:rPr>
              <w:t>堆高（m）</w:t>
            </w:r>
          </w:p>
        </w:tc>
        <w:tc>
          <w:tcPr>
            <w:tcW w:w="287" w:type="pct"/>
            <w:vAlign w:val="center"/>
          </w:tcPr>
          <w:p>
            <w:pPr>
              <w:spacing w:line="240" w:lineRule="auto"/>
              <w:ind w:firstLine="0" w:firstLineChars="0"/>
              <w:jc w:val="center"/>
              <w:rPr>
                <w:b/>
                <w:bCs/>
                <w:sz w:val="21"/>
                <w:szCs w:val="21"/>
              </w:rPr>
            </w:pPr>
            <w:r>
              <w:rPr>
                <w:b/>
                <w:bCs/>
                <w:sz w:val="21"/>
                <w:szCs w:val="21"/>
              </w:rPr>
              <w:t>汇水</w:t>
            </w:r>
          </w:p>
          <w:p>
            <w:pPr>
              <w:spacing w:line="240" w:lineRule="auto"/>
              <w:ind w:firstLine="0" w:firstLineChars="0"/>
              <w:jc w:val="center"/>
              <w:rPr>
                <w:b/>
                <w:bCs/>
                <w:sz w:val="21"/>
                <w:szCs w:val="21"/>
              </w:rPr>
            </w:pPr>
            <w:r>
              <w:rPr>
                <w:b/>
                <w:bCs/>
                <w:sz w:val="21"/>
                <w:szCs w:val="21"/>
              </w:rPr>
              <w:t>面积</w:t>
            </w:r>
          </w:p>
          <w:p>
            <w:pPr>
              <w:spacing w:line="240" w:lineRule="auto"/>
              <w:ind w:firstLine="0" w:firstLineChars="0"/>
              <w:jc w:val="center"/>
              <w:rPr>
                <w:b/>
                <w:bCs/>
                <w:sz w:val="21"/>
                <w:szCs w:val="21"/>
              </w:rPr>
            </w:pPr>
            <w:r>
              <w:rPr>
                <w:b/>
                <w:bCs/>
                <w:sz w:val="21"/>
                <w:szCs w:val="21"/>
              </w:rPr>
              <w:t>（km</w:t>
            </w:r>
            <w:r>
              <w:rPr>
                <w:b/>
                <w:bCs/>
                <w:sz w:val="21"/>
                <w:szCs w:val="21"/>
                <w:vertAlign w:val="superscript"/>
              </w:rPr>
              <w:t>2</w:t>
            </w:r>
            <w:r>
              <w:rPr>
                <w:b/>
                <w:bCs/>
                <w:sz w:val="21"/>
                <w:szCs w:val="21"/>
              </w:rPr>
              <w:t>）</w:t>
            </w:r>
          </w:p>
        </w:tc>
        <w:tc>
          <w:tcPr>
            <w:tcW w:w="288" w:type="pct"/>
            <w:gridSpan w:val="2"/>
            <w:vAlign w:val="center"/>
          </w:tcPr>
          <w:p>
            <w:pPr>
              <w:spacing w:line="240" w:lineRule="auto"/>
              <w:ind w:firstLine="0" w:firstLineChars="0"/>
              <w:jc w:val="center"/>
              <w:rPr>
                <w:b/>
                <w:bCs/>
                <w:sz w:val="21"/>
                <w:szCs w:val="21"/>
              </w:rPr>
            </w:pPr>
            <w:r>
              <w:rPr>
                <w:b/>
                <w:bCs/>
                <w:sz w:val="21"/>
                <w:szCs w:val="21"/>
              </w:rPr>
              <w:t>占地</w:t>
            </w:r>
          </w:p>
          <w:p>
            <w:pPr>
              <w:spacing w:line="240" w:lineRule="auto"/>
              <w:ind w:firstLine="0" w:firstLineChars="0"/>
              <w:jc w:val="center"/>
              <w:rPr>
                <w:b/>
                <w:bCs/>
                <w:sz w:val="21"/>
                <w:szCs w:val="21"/>
              </w:rPr>
            </w:pPr>
            <w:r>
              <w:rPr>
                <w:b/>
                <w:bCs/>
                <w:sz w:val="21"/>
                <w:szCs w:val="21"/>
              </w:rPr>
              <w:t>（hm</w:t>
            </w:r>
            <w:r>
              <w:rPr>
                <w:b/>
                <w:bCs/>
                <w:sz w:val="21"/>
                <w:szCs w:val="21"/>
                <w:vertAlign w:val="superscript"/>
              </w:rPr>
              <w:t>2</w:t>
            </w:r>
            <w:r>
              <w:rPr>
                <w:b/>
                <w:bCs/>
                <w:sz w:val="21"/>
                <w:szCs w:val="21"/>
              </w:rPr>
              <w:t>）</w:t>
            </w:r>
          </w:p>
        </w:tc>
        <w:tc>
          <w:tcPr>
            <w:tcW w:w="807" w:type="pct"/>
            <w:vAlign w:val="center"/>
          </w:tcPr>
          <w:p>
            <w:pPr>
              <w:spacing w:line="240" w:lineRule="auto"/>
              <w:ind w:firstLine="0" w:firstLineChars="0"/>
              <w:jc w:val="center"/>
              <w:rPr>
                <w:b/>
                <w:bCs/>
                <w:sz w:val="21"/>
                <w:szCs w:val="21"/>
              </w:rPr>
            </w:pPr>
            <w:r>
              <w:rPr>
                <w:b/>
                <w:bCs/>
                <w:sz w:val="21"/>
                <w:szCs w:val="21"/>
              </w:rPr>
              <w:t>堆置方案</w:t>
            </w:r>
          </w:p>
        </w:tc>
        <w:tc>
          <w:tcPr>
            <w:tcW w:w="807" w:type="pct"/>
            <w:vAlign w:val="center"/>
          </w:tcPr>
          <w:p>
            <w:pPr>
              <w:spacing w:line="240" w:lineRule="auto"/>
              <w:ind w:firstLine="0" w:firstLineChars="0"/>
              <w:jc w:val="center"/>
              <w:rPr>
                <w:b/>
                <w:bCs/>
                <w:sz w:val="21"/>
                <w:szCs w:val="21"/>
              </w:rPr>
            </w:pPr>
            <w:r>
              <w:rPr>
                <w:b/>
                <w:bCs/>
                <w:sz w:val="21"/>
                <w:szCs w:val="21"/>
              </w:rPr>
              <w:t>下游重要设施、居民点情况</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1" w:type="pct"/>
            <w:vAlign w:val="center"/>
          </w:tcPr>
          <w:p>
            <w:pPr>
              <w:spacing w:line="240" w:lineRule="auto"/>
              <w:ind w:firstLine="0" w:firstLineChars="0"/>
              <w:jc w:val="center"/>
              <w:rPr>
                <w:sz w:val="21"/>
                <w:szCs w:val="21"/>
              </w:rPr>
            </w:pPr>
            <w:r>
              <w:rPr>
                <w:sz w:val="21"/>
                <w:szCs w:val="21"/>
              </w:rPr>
              <w:t>1#</w:t>
            </w:r>
          </w:p>
        </w:tc>
        <w:tc>
          <w:tcPr>
            <w:tcW w:w="260" w:type="pct"/>
            <w:vAlign w:val="center"/>
          </w:tcPr>
          <w:p>
            <w:pPr>
              <w:spacing w:line="240" w:lineRule="auto"/>
              <w:ind w:firstLine="0" w:firstLineChars="0"/>
              <w:jc w:val="center"/>
              <w:rPr>
                <w:sz w:val="21"/>
                <w:szCs w:val="21"/>
              </w:rPr>
            </w:pPr>
            <w:r>
              <w:rPr>
                <w:sz w:val="21"/>
                <w:szCs w:val="21"/>
              </w:rPr>
              <w:t>远期建设区</w:t>
            </w:r>
          </w:p>
        </w:tc>
        <w:tc>
          <w:tcPr>
            <w:tcW w:w="479" w:type="pct"/>
            <w:vAlign w:val="center"/>
          </w:tcPr>
          <w:p>
            <w:pPr>
              <w:spacing w:line="240" w:lineRule="auto"/>
              <w:ind w:firstLine="0" w:firstLineChars="0"/>
              <w:jc w:val="center"/>
              <w:rPr>
                <w:sz w:val="21"/>
                <w:szCs w:val="21"/>
              </w:rPr>
            </w:pPr>
            <w:r>
              <w:rPr>
                <w:sz w:val="21"/>
                <w:szCs w:val="21"/>
              </w:rPr>
              <w:t>103°52′40.690″</w:t>
            </w:r>
          </w:p>
          <w:p>
            <w:pPr>
              <w:spacing w:line="240" w:lineRule="auto"/>
              <w:ind w:firstLine="0" w:firstLineChars="0"/>
              <w:jc w:val="center"/>
              <w:rPr>
                <w:sz w:val="21"/>
                <w:szCs w:val="21"/>
              </w:rPr>
            </w:pPr>
            <w:r>
              <w:rPr>
                <w:sz w:val="21"/>
                <w:szCs w:val="21"/>
              </w:rPr>
              <w:t>29°22′36.414″</w:t>
            </w:r>
          </w:p>
        </w:tc>
        <w:tc>
          <w:tcPr>
            <w:tcW w:w="261" w:type="pct"/>
            <w:vAlign w:val="center"/>
          </w:tcPr>
          <w:p>
            <w:pPr>
              <w:spacing w:line="240" w:lineRule="auto"/>
              <w:ind w:firstLine="0" w:firstLineChars="0"/>
              <w:jc w:val="center"/>
              <w:rPr>
                <w:sz w:val="21"/>
                <w:szCs w:val="21"/>
              </w:rPr>
            </w:pPr>
            <w:r>
              <w:rPr>
                <w:sz w:val="21"/>
                <w:szCs w:val="21"/>
              </w:rPr>
              <w:t>坡地型</w:t>
            </w:r>
          </w:p>
        </w:tc>
        <w:tc>
          <w:tcPr>
            <w:tcW w:w="189" w:type="pct"/>
            <w:vAlign w:val="center"/>
          </w:tcPr>
          <w:p>
            <w:pPr>
              <w:spacing w:line="240" w:lineRule="auto"/>
              <w:ind w:firstLine="0" w:firstLineChars="0"/>
              <w:jc w:val="center"/>
              <w:rPr>
                <w:sz w:val="21"/>
                <w:szCs w:val="21"/>
              </w:rPr>
            </w:pPr>
            <w:r>
              <w:rPr>
                <w:sz w:val="21"/>
                <w:szCs w:val="21"/>
              </w:rPr>
              <w:t>5级</w:t>
            </w:r>
          </w:p>
        </w:tc>
        <w:tc>
          <w:tcPr>
            <w:tcW w:w="287" w:type="pct"/>
            <w:vAlign w:val="center"/>
          </w:tcPr>
          <w:p>
            <w:pPr>
              <w:spacing w:line="240" w:lineRule="auto"/>
              <w:ind w:firstLine="0" w:firstLineChars="0"/>
              <w:jc w:val="center"/>
              <w:rPr>
                <w:sz w:val="21"/>
                <w:szCs w:val="21"/>
              </w:rPr>
            </w:pPr>
            <w:r>
              <w:rPr>
                <w:sz w:val="21"/>
                <w:szCs w:val="21"/>
              </w:rPr>
              <w:t>14.17</w:t>
            </w:r>
          </w:p>
        </w:tc>
        <w:tc>
          <w:tcPr>
            <w:tcW w:w="287" w:type="pct"/>
            <w:gridSpan w:val="2"/>
            <w:vAlign w:val="center"/>
          </w:tcPr>
          <w:p>
            <w:pPr>
              <w:spacing w:line="240" w:lineRule="auto"/>
              <w:ind w:firstLine="0" w:firstLineChars="0"/>
              <w:jc w:val="center"/>
              <w:rPr>
                <w:sz w:val="21"/>
                <w:szCs w:val="21"/>
              </w:rPr>
            </w:pPr>
            <w:r>
              <w:rPr>
                <w:sz w:val="21"/>
                <w:szCs w:val="21"/>
              </w:rPr>
              <w:t>1:3</w:t>
            </w:r>
          </w:p>
        </w:tc>
        <w:tc>
          <w:tcPr>
            <w:tcW w:w="287" w:type="pct"/>
            <w:vAlign w:val="center"/>
          </w:tcPr>
          <w:p>
            <w:pPr>
              <w:spacing w:line="240" w:lineRule="auto"/>
              <w:ind w:firstLine="0" w:firstLineChars="0"/>
              <w:jc w:val="center"/>
              <w:rPr>
                <w:sz w:val="21"/>
                <w:szCs w:val="21"/>
              </w:rPr>
            </w:pPr>
            <w:r>
              <w:rPr>
                <w:sz w:val="21"/>
                <w:szCs w:val="21"/>
              </w:rPr>
              <w:t>420.39~421</w:t>
            </w:r>
          </w:p>
        </w:tc>
        <w:tc>
          <w:tcPr>
            <w:tcW w:w="287" w:type="pct"/>
            <w:vAlign w:val="center"/>
          </w:tcPr>
          <w:p>
            <w:pPr>
              <w:spacing w:line="240" w:lineRule="auto"/>
              <w:ind w:firstLine="0" w:firstLineChars="0"/>
              <w:jc w:val="center"/>
              <w:rPr>
                <w:sz w:val="21"/>
                <w:szCs w:val="21"/>
              </w:rPr>
            </w:pPr>
            <w:r>
              <w:rPr>
                <w:sz w:val="21"/>
                <w:szCs w:val="21"/>
              </w:rPr>
              <w:t>18.61</w:t>
            </w:r>
          </w:p>
        </w:tc>
        <w:tc>
          <w:tcPr>
            <w:tcW w:w="287" w:type="pct"/>
            <w:vAlign w:val="center"/>
          </w:tcPr>
          <w:p>
            <w:pPr>
              <w:spacing w:line="240" w:lineRule="auto"/>
              <w:ind w:firstLine="0" w:firstLineChars="0"/>
              <w:jc w:val="center"/>
              <w:rPr>
                <w:sz w:val="21"/>
                <w:szCs w:val="21"/>
              </w:rPr>
            </w:pPr>
            <w:r>
              <w:rPr>
                <w:sz w:val="21"/>
                <w:szCs w:val="21"/>
              </w:rPr>
              <w:t>4.95</w:t>
            </w:r>
          </w:p>
        </w:tc>
        <w:tc>
          <w:tcPr>
            <w:tcW w:w="287" w:type="pct"/>
            <w:vAlign w:val="center"/>
          </w:tcPr>
          <w:p>
            <w:pPr>
              <w:spacing w:line="240" w:lineRule="auto"/>
              <w:ind w:firstLine="0" w:firstLineChars="0"/>
              <w:jc w:val="center"/>
              <w:rPr>
                <w:sz w:val="21"/>
                <w:szCs w:val="21"/>
              </w:rPr>
            </w:pPr>
            <w:r>
              <w:rPr>
                <w:sz w:val="21"/>
                <w:szCs w:val="21"/>
              </w:rPr>
              <w:t>0.04</w:t>
            </w:r>
          </w:p>
        </w:tc>
        <w:tc>
          <w:tcPr>
            <w:tcW w:w="288" w:type="pct"/>
            <w:gridSpan w:val="2"/>
            <w:vAlign w:val="center"/>
          </w:tcPr>
          <w:p>
            <w:pPr>
              <w:spacing w:line="240" w:lineRule="auto"/>
              <w:ind w:firstLine="0" w:firstLineChars="0"/>
              <w:jc w:val="center"/>
              <w:rPr>
                <w:sz w:val="21"/>
                <w:szCs w:val="21"/>
              </w:rPr>
            </w:pPr>
            <w:r>
              <w:rPr>
                <w:sz w:val="21"/>
                <w:szCs w:val="21"/>
              </w:rPr>
              <w:t>2.86</w:t>
            </w:r>
          </w:p>
        </w:tc>
        <w:tc>
          <w:tcPr>
            <w:tcW w:w="807" w:type="pct"/>
            <w:vAlign w:val="center"/>
          </w:tcPr>
          <w:p>
            <w:pPr>
              <w:spacing w:line="240" w:lineRule="auto"/>
              <w:ind w:firstLine="0" w:firstLineChars="0"/>
              <w:jc w:val="center"/>
              <w:rPr>
                <w:sz w:val="21"/>
                <w:szCs w:val="21"/>
              </w:rPr>
            </w:pPr>
            <w:r>
              <w:rPr>
                <w:sz w:val="21"/>
                <w:szCs w:val="21"/>
              </w:rPr>
              <w:t>先挡后弃，石渣在下，土渣在上，分层压实，堆渣边坡1:3。</w:t>
            </w:r>
          </w:p>
        </w:tc>
        <w:tc>
          <w:tcPr>
            <w:tcW w:w="807" w:type="pct"/>
            <w:vAlign w:val="center"/>
          </w:tcPr>
          <w:p>
            <w:pPr>
              <w:spacing w:line="240" w:lineRule="auto"/>
              <w:ind w:firstLine="0" w:firstLineChars="0"/>
              <w:jc w:val="center"/>
              <w:rPr>
                <w:sz w:val="21"/>
                <w:szCs w:val="21"/>
              </w:rPr>
            </w:pPr>
            <w:r>
              <w:rPr>
                <w:sz w:val="21"/>
                <w:szCs w:val="21"/>
              </w:rPr>
              <w:t>中转场位于园区开发区域内，下游无重要设施、居民点。</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1" w:type="pct"/>
            <w:vAlign w:val="center"/>
          </w:tcPr>
          <w:p>
            <w:pPr>
              <w:spacing w:line="240" w:lineRule="auto"/>
              <w:ind w:firstLine="0" w:firstLineChars="0"/>
              <w:jc w:val="center"/>
              <w:rPr>
                <w:sz w:val="21"/>
                <w:szCs w:val="21"/>
              </w:rPr>
            </w:pPr>
            <w:r>
              <w:rPr>
                <w:sz w:val="21"/>
                <w:szCs w:val="21"/>
              </w:rPr>
              <w:t>2#</w:t>
            </w:r>
          </w:p>
        </w:tc>
        <w:tc>
          <w:tcPr>
            <w:tcW w:w="260" w:type="pct"/>
            <w:vAlign w:val="center"/>
          </w:tcPr>
          <w:p>
            <w:pPr>
              <w:spacing w:line="240" w:lineRule="auto"/>
              <w:ind w:firstLine="0" w:firstLineChars="0"/>
              <w:jc w:val="center"/>
              <w:rPr>
                <w:sz w:val="21"/>
                <w:szCs w:val="21"/>
              </w:rPr>
            </w:pPr>
            <w:r>
              <w:rPr>
                <w:sz w:val="21"/>
                <w:szCs w:val="21"/>
              </w:rPr>
              <w:t>远期建设区</w:t>
            </w:r>
          </w:p>
        </w:tc>
        <w:tc>
          <w:tcPr>
            <w:tcW w:w="479" w:type="pct"/>
            <w:vAlign w:val="center"/>
          </w:tcPr>
          <w:p>
            <w:pPr>
              <w:spacing w:line="240" w:lineRule="auto"/>
              <w:ind w:firstLine="0" w:firstLineChars="0"/>
              <w:jc w:val="center"/>
              <w:rPr>
                <w:sz w:val="21"/>
                <w:szCs w:val="21"/>
              </w:rPr>
            </w:pPr>
            <w:r>
              <w:rPr>
                <w:sz w:val="21"/>
                <w:szCs w:val="21"/>
              </w:rPr>
              <w:t>103°53′20.781″</w:t>
            </w:r>
          </w:p>
          <w:p>
            <w:pPr>
              <w:spacing w:line="240" w:lineRule="auto"/>
              <w:ind w:firstLine="0" w:firstLineChars="0"/>
              <w:jc w:val="center"/>
              <w:rPr>
                <w:sz w:val="21"/>
                <w:szCs w:val="21"/>
              </w:rPr>
            </w:pPr>
            <w:r>
              <w:rPr>
                <w:sz w:val="21"/>
                <w:szCs w:val="21"/>
              </w:rPr>
              <w:t>29°22′23.736″</w:t>
            </w:r>
          </w:p>
        </w:tc>
        <w:tc>
          <w:tcPr>
            <w:tcW w:w="261" w:type="pct"/>
            <w:vAlign w:val="center"/>
          </w:tcPr>
          <w:p>
            <w:pPr>
              <w:spacing w:line="240" w:lineRule="auto"/>
              <w:ind w:firstLine="0" w:firstLineChars="0"/>
              <w:jc w:val="center"/>
              <w:rPr>
                <w:sz w:val="21"/>
                <w:szCs w:val="21"/>
              </w:rPr>
            </w:pPr>
            <w:r>
              <w:rPr>
                <w:sz w:val="21"/>
                <w:szCs w:val="21"/>
              </w:rPr>
              <w:t>坡地型</w:t>
            </w:r>
          </w:p>
        </w:tc>
        <w:tc>
          <w:tcPr>
            <w:tcW w:w="189" w:type="pct"/>
            <w:vAlign w:val="center"/>
          </w:tcPr>
          <w:p>
            <w:pPr>
              <w:spacing w:line="240" w:lineRule="auto"/>
              <w:ind w:firstLine="0" w:firstLineChars="0"/>
              <w:jc w:val="center"/>
              <w:rPr>
                <w:sz w:val="21"/>
                <w:szCs w:val="21"/>
              </w:rPr>
            </w:pPr>
            <w:r>
              <w:rPr>
                <w:sz w:val="21"/>
                <w:szCs w:val="21"/>
              </w:rPr>
              <w:t>5级</w:t>
            </w:r>
          </w:p>
        </w:tc>
        <w:tc>
          <w:tcPr>
            <w:tcW w:w="287" w:type="pct"/>
            <w:vAlign w:val="center"/>
          </w:tcPr>
          <w:p>
            <w:pPr>
              <w:spacing w:line="240" w:lineRule="auto"/>
              <w:ind w:firstLine="0" w:firstLineChars="0"/>
              <w:jc w:val="center"/>
              <w:rPr>
                <w:sz w:val="21"/>
                <w:szCs w:val="21"/>
              </w:rPr>
            </w:pPr>
            <w:r>
              <w:rPr>
                <w:sz w:val="21"/>
                <w:szCs w:val="21"/>
              </w:rPr>
              <w:t>9.50</w:t>
            </w:r>
          </w:p>
        </w:tc>
        <w:tc>
          <w:tcPr>
            <w:tcW w:w="287" w:type="pct"/>
            <w:gridSpan w:val="2"/>
            <w:vAlign w:val="center"/>
          </w:tcPr>
          <w:p>
            <w:pPr>
              <w:spacing w:line="240" w:lineRule="auto"/>
              <w:ind w:firstLine="0" w:firstLineChars="0"/>
              <w:jc w:val="center"/>
              <w:rPr>
                <w:sz w:val="21"/>
                <w:szCs w:val="21"/>
              </w:rPr>
            </w:pPr>
            <w:r>
              <w:rPr>
                <w:sz w:val="21"/>
                <w:szCs w:val="21"/>
              </w:rPr>
              <w:t>1:3</w:t>
            </w:r>
          </w:p>
        </w:tc>
        <w:tc>
          <w:tcPr>
            <w:tcW w:w="287" w:type="pct"/>
            <w:vAlign w:val="center"/>
          </w:tcPr>
          <w:p>
            <w:pPr>
              <w:spacing w:line="240" w:lineRule="auto"/>
              <w:ind w:firstLine="0" w:firstLineChars="0"/>
              <w:jc w:val="center"/>
              <w:rPr>
                <w:sz w:val="21"/>
                <w:szCs w:val="21"/>
              </w:rPr>
            </w:pPr>
            <w:r>
              <w:rPr>
                <w:sz w:val="21"/>
                <w:szCs w:val="21"/>
              </w:rPr>
              <w:t>406.46~425</w:t>
            </w:r>
          </w:p>
        </w:tc>
        <w:tc>
          <w:tcPr>
            <w:tcW w:w="287" w:type="pct"/>
            <w:vAlign w:val="center"/>
          </w:tcPr>
          <w:p>
            <w:pPr>
              <w:spacing w:line="240" w:lineRule="auto"/>
              <w:ind w:firstLine="0" w:firstLineChars="0"/>
              <w:jc w:val="center"/>
              <w:rPr>
                <w:sz w:val="21"/>
                <w:szCs w:val="21"/>
              </w:rPr>
            </w:pPr>
            <w:r>
              <w:rPr>
                <w:sz w:val="21"/>
                <w:szCs w:val="21"/>
              </w:rPr>
              <w:t>18.54</w:t>
            </w:r>
          </w:p>
        </w:tc>
        <w:tc>
          <w:tcPr>
            <w:tcW w:w="287" w:type="pct"/>
            <w:vAlign w:val="center"/>
          </w:tcPr>
          <w:p>
            <w:pPr>
              <w:spacing w:line="240" w:lineRule="auto"/>
              <w:ind w:firstLine="0" w:firstLineChars="0"/>
              <w:jc w:val="center"/>
              <w:rPr>
                <w:sz w:val="21"/>
                <w:szCs w:val="21"/>
              </w:rPr>
            </w:pPr>
            <w:r>
              <w:rPr>
                <w:sz w:val="21"/>
                <w:szCs w:val="21"/>
              </w:rPr>
              <w:t>5.13</w:t>
            </w:r>
          </w:p>
        </w:tc>
        <w:tc>
          <w:tcPr>
            <w:tcW w:w="287" w:type="pct"/>
            <w:vAlign w:val="center"/>
          </w:tcPr>
          <w:p>
            <w:pPr>
              <w:spacing w:line="240" w:lineRule="auto"/>
              <w:ind w:firstLine="0" w:firstLineChars="0"/>
              <w:jc w:val="center"/>
              <w:rPr>
                <w:sz w:val="21"/>
                <w:szCs w:val="21"/>
              </w:rPr>
            </w:pPr>
            <w:r>
              <w:rPr>
                <w:sz w:val="21"/>
                <w:szCs w:val="21"/>
              </w:rPr>
              <w:t>0.035</w:t>
            </w:r>
          </w:p>
        </w:tc>
        <w:tc>
          <w:tcPr>
            <w:tcW w:w="288" w:type="pct"/>
            <w:gridSpan w:val="2"/>
            <w:vAlign w:val="center"/>
          </w:tcPr>
          <w:p>
            <w:pPr>
              <w:spacing w:line="240" w:lineRule="auto"/>
              <w:ind w:firstLine="0" w:firstLineChars="0"/>
              <w:jc w:val="center"/>
              <w:rPr>
                <w:sz w:val="21"/>
                <w:szCs w:val="21"/>
              </w:rPr>
            </w:pPr>
            <w:r>
              <w:rPr>
                <w:sz w:val="21"/>
                <w:szCs w:val="21"/>
              </w:rPr>
              <w:t>1.85</w:t>
            </w:r>
          </w:p>
        </w:tc>
        <w:tc>
          <w:tcPr>
            <w:tcW w:w="807" w:type="pct"/>
            <w:vAlign w:val="center"/>
          </w:tcPr>
          <w:p>
            <w:pPr>
              <w:spacing w:line="240" w:lineRule="auto"/>
              <w:ind w:firstLine="0" w:firstLineChars="0"/>
              <w:jc w:val="center"/>
              <w:rPr>
                <w:sz w:val="21"/>
                <w:szCs w:val="21"/>
              </w:rPr>
            </w:pPr>
            <w:r>
              <w:rPr>
                <w:sz w:val="21"/>
                <w:szCs w:val="21"/>
              </w:rPr>
              <w:t>先挡后弃，石渣在下，土渣在上，分层压实，堆渣边坡1:3。</w:t>
            </w:r>
          </w:p>
        </w:tc>
        <w:tc>
          <w:tcPr>
            <w:tcW w:w="807" w:type="pct"/>
            <w:vAlign w:val="center"/>
          </w:tcPr>
          <w:p>
            <w:pPr>
              <w:spacing w:line="240" w:lineRule="auto"/>
              <w:ind w:firstLine="0" w:firstLineChars="0"/>
              <w:jc w:val="center"/>
              <w:rPr>
                <w:sz w:val="21"/>
                <w:szCs w:val="21"/>
              </w:rPr>
            </w:pPr>
            <w:r>
              <w:rPr>
                <w:sz w:val="21"/>
                <w:szCs w:val="21"/>
              </w:rPr>
              <w:t>中转场位于园区开发区域内，下游无重要设施、居民点。</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6" w:hRule="atLeast"/>
        </w:trPr>
        <w:tc>
          <w:tcPr>
            <w:tcW w:w="181" w:type="pct"/>
            <w:vAlign w:val="center"/>
          </w:tcPr>
          <w:p>
            <w:pPr>
              <w:spacing w:line="240" w:lineRule="auto"/>
              <w:ind w:firstLine="0" w:firstLineChars="0"/>
              <w:jc w:val="center"/>
              <w:rPr>
                <w:sz w:val="21"/>
                <w:szCs w:val="21"/>
              </w:rPr>
            </w:pPr>
            <w:r>
              <w:rPr>
                <w:sz w:val="21"/>
                <w:szCs w:val="21"/>
              </w:rPr>
              <w:t>3#</w:t>
            </w:r>
          </w:p>
        </w:tc>
        <w:tc>
          <w:tcPr>
            <w:tcW w:w="260" w:type="pct"/>
            <w:vAlign w:val="center"/>
          </w:tcPr>
          <w:p>
            <w:pPr>
              <w:spacing w:line="240" w:lineRule="auto"/>
              <w:ind w:firstLine="0" w:firstLineChars="0"/>
              <w:jc w:val="center"/>
              <w:rPr>
                <w:sz w:val="21"/>
                <w:szCs w:val="21"/>
              </w:rPr>
            </w:pPr>
            <w:r>
              <w:rPr>
                <w:sz w:val="21"/>
                <w:szCs w:val="21"/>
              </w:rPr>
              <w:t>远期建设区</w:t>
            </w:r>
          </w:p>
        </w:tc>
        <w:tc>
          <w:tcPr>
            <w:tcW w:w="479" w:type="pct"/>
            <w:vAlign w:val="center"/>
          </w:tcPr>
          <w:p>
            <w:pPr>
              <w:spacing w:line="240" w:lineRule="auto"/>
              <w:ind w:firstLine="0" w:firstLineChars="0"/>
              <w:jc w:val="center"/>
              <w:rPr>
                <w:sz w:val="21"/>
                <w:szCs w:val="21"/>
              </w:rPr>
            </w:pPr>
            <w:r>
              <w:rPr>
                <w:sz w:val="21"/>
                <w:szCs w:val="21"/>
              </w:rPr>
              <w:t>103°53′4.154″</w:t>
            </w:r>
          </w:p>
          <w:p>
            <w:pPr>
              <w:spacing w:line="240" w:lineRule="auto"/>
              <w:ind w:firstLine="0" w:firstLineChars="0"/>
              <w:jc w:val="center"/>
              <w:rPr>
                <w:sz w:val="21"/>
                <w:szCs w:val="21"/>
              </w:rPr>
            </w:pPr>
            <w:r>
              <w:rPr>
                <w:sz w:val="21"/>
                <w:szCs w:val="21"/>
              </w:rPr>
              <w:t>29°22′15.663″</w:t>
            </w:r>
          </w:p>
        </w:tc>
        <w:tc>
          <w:tcPr>
            <w:tcW w:w="261" w:type="pct"/>
            <w:vAlign w:val="center"/>
          </w:tcPr>
          <w:p>
            <w:pPr>
              <w:spacing w:line="240" w:lineRule="auto"/>
              <w:ind w:firstLine="0" w:firstLineChars="0"/>
              <w:jc w:val="center"/>
              <w:rPr>
                <w:sz w:val="21"/>
                <w:szCs w:val="21"/>
              </w:rPr>
            </w:pPr>
            <w:r>
              <w:rPr>
                <w:sz w:val="21"/>
                <w:szCs w:val="21"/>
              </w:rPr>
              <w:t>坡地型</w:t>
            </w:r>
          </w:p>
        </w:tc>
        <w:tc>
          <w:tcPr>
            <w:tcW w:w="189" w:type="pct"/>
            <w:vAlign w:val="center"/>
          </w:tcPr>
          <w:p>
            <w:pPr>
              <w:spacing w:line="240" w:lineRule="auto"/>
              <w:ind w:firstLine="0" w:firstLineChars="0"/>
              <w:jc w:val="center"/>
              <w:rPr>
                <w:sz w:val="21"/>
                <w:szCs w:val="21"/>
              </w:rPr>
            </w:pPr>
            <w:r>
              <w:rPr>
                <w:sz w:val="21"/>
                <w:szCs w:val="21"/>
              </w:rPr>
              <w:t>5级</w:t>
            </w:r>
          </w:p>
        </w:tc>
        <w:tc>
          <w:tcPr>
            <w:tcW w:w="287" w:type="pct"/>
            <w:vAlign w:val="center"/>
          </w:tcPr>
          <w:p>
            <w:pPr>
              <w:spacing w:line="240" w:lineRule="auto"/>
              <w:ind w:firstLine="0" w:firstLineChars="0"/>
              <w:jc w:val="center"/>
              <w:rPr>
                <w:sz w:val="21"/>
                <w:szCs w:val="21"/>
              </w:rPr>
            </w:pPr>
            <w:r>
              <w:rPr>
                <w:sz w:val="21"/>
                <w:szCs w:val="21"/>
              </w:rPr>
              <w:t>30.91</w:t>
            </w:r>
          </w:p>
        </w:tc>
        <w:tc>
          <w:tcPr>
            <w:tcW w:w="287" w:type="pct"/>
            <w:gridSpan w:val="2"/>
            <w:vAlign w:val="center"/>
          </w:tcPr>
          <w:p>
            <w:pPr>
              <w:spacing w:line="240" w:lineRule="auto"/>
              <w:ind w:firstLine="0" w:firstLineChars="0"/>
              <w:jc w:val="center"/>
              <w:rPr>
                <w:sz w:val="21"/>
                <w:szCs w:val="21"/>
              </w:rPr>
            </w:pPr>
            <w:r>
              <w:rPr>
                <w:sz w:val="21"/>
                <w:szCs w:val="21"/>
              </w:rPr>
              <w:t>1:3</w:t>
            </w:r>
          </w:p>
        </w:tc>
        <w:tc>
          <w:tcPr>
            <w:tcW w:w="287" w:type="pct"/>
            <w:vAlign w:val="center"/>
          </w:tcPr>
          <w:p>
            <w:pPr>
              <w:spacing w:line="240" w:lineRule="auto"/>
              <w:ind w:firstLine="0" w:firstLineChars="0"/>
              <w:jc w:val="center"/>
              <w:rPr>
                <w:sz w:val="21"/>
                <w:szCs w:val="21"/>
              </w:rPr>
            </w:pPr>
            <w:r>
              <w:rPr>
                <w:sz w:val="21"/>
                <w:szCs w:val="21"/>
              </w:rPr>
              <w:t>383.36~402</w:t>
            </w:r>
          </w:p>
        </w:tc>
        <w:tc>
          <w:tcPr>
            <w:tcW w:w="287" w:type="pct"/>
            <w:vAlign w:val="center"/>
          </w:tcPr>
          <w:p>
            <w:pPr>
              <w:spacing w:line="240" w:lineRule="auto"/>
              <w:ind w:firstLine="0" w:firstLineChars="0"/>
              <w:jc w:val="center"/>
              <w:rPr>
                <w:sz w:val="21"/>
                <w:szCs w:val="21"/>
              </w:rPr>
            </w:pPr>
            <w:r>
              <w:rPr>
                <w:sz w:val="21"/>
                <w:szCs w:val="21"/>
              </w:rPr>
              <w:t>18.64</w:t>
            </w:r>
          </w:p>
        </w:tc>
        <w:tc>
          <w:tcPr>
            <w:tcW w:w="287" w:type="pct"/>
            <w:vAlign w:val="center"/>
          </w:tcPr>
          <w:p>
            <w:pPr>
              <w:spacing w:line="240" w:lineRule="auto"/>
              <w:ind w:firstLine="0" w:firstLineChars="0"/>
              <w:jc w:val="center"/>
              <w:rPr>
                <w:sz w:val="21"/>
                <w:szCs w:val="21"/>
              </w:rPr>
            </w:pPr>
            <w:r>
              <w:rPr>
                <w:sz w:val="21"/>
                <w:szCs w:val="21"/>
              </w:rPr>
              <w:t>17.31</w:t>
            </w:r>
          </w:p>
        </w:tc>
        <w:tc>
          <w:tcPr>
            <w:tcW w:w="287" w:type="pct"/>
            <w:vAlign w:val="center"/>
          </w:tcPr>
          <w:p>
            <w:pPr>
              <w:spacing w:line="240" w:lineRule="auto"/>
              <w:ind w:firstLine="0" w:firstLineChars="0"/>
              <w:jc w:val="center"/>
              <w:rPr>
                <w:sz w:val="21"/>
                <w:szCs w:val="21"/>
              </w:rPr>
            </w:pPr>
            <w:r>
              <w:rPr>
                <w:sz w:val="21"/>
                <w:szCs w:val="21"/>
              </w:rPr>
              <w:t>0.035</w:t>
            </w:r>
          </w:p>
        </w:tc>
        <w:tc>
          <w:tcPr>
            <w:tcW w:w="288" w:type="pct"/>
            <w:gridSpan w:val="2"/>
            <w:vAlign w:val="center"/>
          </w:tcPr>
          <w:p>
            <w:pPr>
              <w:spacing w:line="240" w:lineRule="auto"/>
              <w:ind w:firstLine="0" w:firstLineChars="0"/>
              <w:jc w:val="center"/>
              <w:rPr>
                <w:sz w:val="21"/>
                <w:szCs w:val="21"/>
              </w:rPr>
            </w:pPr>
            <w:r>
              <w:rPr>
                <w:sz w:val="21"/>
                <w:szCs w:val="21"/>
              </w:rPr>
              <w:t>1.79</w:t>
            </w:r>
          </w:p>
        </w:tc>
        <w:tc>
          <w:tcPr>
            <w:tcW w:w="807" w:type="pct"/>
            <w:vAlign w:val="center"/>
          </w:tcPr>
          <w:p>
            <w:pPr>
              <w:spacing w:line="240" w:lineRule="auto"/>
              <w:ind w:firstLine="0" w:firstLineChars="0"/>
              <w:jc w:val="center"/>
              <w:rPr>
                <w:sz w:val="21"/>
                <w:szCs w:val="21"/>
              </w:rPr>
            </w:pPr>
            <w:r>
              <w:rPr>
                <w:sz w:val="21"/>
                <w:szCs w:val="21"/>
              </w:rPr>
              <w:t>先挡后弃，石渣在下，土渣在上，分层压实，堆渣边坡1:3。</w:t>
            </w:r>
          </w:p>
        </w:tc>
        <w:tc>
          <w:tcPr>
            <w:tcW w:w="807" w:type="pct"/>
            <w:vAlign w:val="center"/>
          </w:tcPr>
          <w:p>
            <w:pPr>
              <w:spacing w:line="240" w:lineRule="auto"/>
              <w:ind w:firstLine="0" w:firstLineChars="0"/>
              <w:jc w:val="center"/>
              <w:rPr>
                <w:sz w:val="21"/>
                <w:szCs w:val="21"/>
              </w:rPr>
            </w:pPr>
            <w:r>
              <w:rPr>
                <w:sz w:val="21"/>
                <w:szCs w:val="21"/>
              </w:rPr>
              <w:t>中转场位于园区开发区域内，下游无重要设施、居民点。</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1" w:type="pct"/>
            <w:vAlign w:val="center"/>
          </w:tcPr>
          <w:p>
            <w:pPr>
              <w:spacing w:line="240" w:lineRule="auto"/>
              <w:ind w:firstLine="0" w:firstLineChars="0"/>
              <w:jc w:val="center"/>
              <w:rPr>
                <w:sz w:val="21"/>
                <w:szCs w:val="21"/>
              </w:rPr>
            </w:pPr>
            <w:r>
              <w:rPr>
                <w:sz w:val="21"/>
                <w:szCs w:val="21"/>
              </w:rPr>
              <w:t>4#</w:t>
            </w:r>
          </w:p>
        </w:tc>
        <w:tc>
          <w:tcPr>
            <w:tcW w:w="260" w:type="pct"/>
            <w:vAlign w:val="center"/>
          </w:tcPr>
          <w:p>
            <w:pPr>
              <w:spacing w:line="240" w:lineRule="auto"/>
              <w:ind w:firstLine="0" w:firstLineChars="0"/>
              <w:jc w:val="center"/>
              <w:rPr>
                <w:sz w:val="21"/>
                <w:szCs w:val="21"/>
              </w:rPr>
            </w:pPr>
            <w:r>
              <w:rPr>
                <w:sz w:val="21"/>
                <w:szCs w:val="21"/>
              </w:rPr>
              <w:t>远期建设区</w:t>
            </w:r>
          </w:p>
        </w:tc>
        <w:tc>
          <w:tcPr>
            <w:tcW w:w="479" w:type="pct"/>
            <w:vAlign w:val="center"/>
          </w:tcPr>
          <w:p>
            <w:pPr>
              <w:spacing w:line="240" w:lineRule="auto"/>
              <w:ind w:firstLine="0" w:firstLineChars="0"/>
              <w:jc w:val="center"/>
              <w:rPr>
                <w:sz w:val="21"/>
                <w:szCs w:val="21"/>
              </w:rPr>
            </w:pPr>
            <w:r>
              <w:rPr>
                <w:sz w:val="21"/>
                <w:szCs w:val="21"/>
              </w:rPr>
              <w:t>103°53′8.209″</w:t>
            </w:r>
          </w:p>
          <w:p>
            <w:pPr>
              <w:spacing w:line="240" w:lineRule="auto"/>
              <w:ind w:firstLine="0" w:firstLineChars="0"/>
              <w:jc w:val="center"/>
              <w:rPr>
                <w:sz w:val="21"/>
                <w:szCs w:val="21"/>
              </w:rPr>
            </w:pPr>
            <w:r>
              <w:rPr>
                <w:sz w:val="21"/>
                <w:szCs w:val="21"/>
              </w:rPr>
              <w:t>29°22′6.838″</w:t>
            </w:r>
          </w:p>
        </w:tc>
        <w:tc>
          <w:tcPr>
            <w:tcW w:w="261" w:type="pct"/>
            <w:vAlign w:val="center"/>
          </w:tcPr>
          <w:p>
            <w:pPr>
              <w:spacing w:line="240" w:lineRule="auto"/>
              <w:ind w:firstLine="0" w:firstLineChars="0"/>
              <w:jc w:val="center"/>
              <w:rPr>
                <w:sz w:val="21"/>
                <w:szCs w:val="21"/>
              </w:rPr>
            </w:pPr>
            <w:r>
              <w:rPr>
                <w:sz w:val="21"/>
                <w:szCs w:val="21"/>
              </w:rPr>
              <w:t>坡地型</w:t>
            </w:r>
          </w:p>
        </w:tc>
        <w:tc>
          <w:tcPr>
            <w:tcW w:w="189" w:type="pct"/>
            <w:vAlign w:val="center"/>
          </w:tcPr>
          <w:p>
            <w:pPr>
              <w:spacing w:line="240" w:lineRule="auto"/>
              <w:ind w:firstLine="0" w:firstLineChars="0"/>
              <w:jc w:val="center"/>
              <w:rPr>
                <w:sz w:val="21"/>
                <w:szCs w:val="21"/>
              </w:rPr>
            </w:pPr>
            <w:r>
              <w:rPr>
                <w:sz w:val="21"/>
                <w:szCs w:val="21"/>
              </w:rPr>
              <w:t>5级</w:t>
            </w:r>
          </w:p>
        </w:tc>
        <w:tc>
          <w:tcPr>
            <w:tcW w:w="287" w:type="pct"/>
            <w:vAlign w:val="center"/>
          </w:tcPr>
          <w:p>
            <w:pPr>
              <w:spacing w:line="240" w:lineRule="auto"/>
              <w:ind w:firstLine="0" w:firstLineChars="0"/>
              <w:jc w:val="center"/>
              <w:rPr>
                <w:sz w:val="21"/>
                <w:szCs w:val="21"/>
              </w:rPr>
            </w:pPr>
            <w:r>
              <w:rPr>
                <w:sz w:val="21"/>
                <w:szCs w:val="21"/>
              </w:rPr>
              <w:t>23.47</w:t>
            </w:r>
          </w:p>
        </w:tc>
        <w:tc>
          <w:tcPr>
            <w:tcW w:w="287" w:type="pct"/>
            <w:gridSpan w:val="2"/>
            <w:vAlign w:val="center"/>
          </w:tcPr>
          <w:p>
            <w:pPr>
              <w:spacing w:line="240" w:lineRule="auto"/>
              <w:ind w:firstLine="0" w:firstLineChars="0"/>
              <w:jc w:val="center"/>
              <w:rPr>
                <w:sz w:val="21"/>
                <w:szCs w:val="21"/>
              </w:rPr>
            </w:pPr>
            <w:r>
              <w:rPr>
                <w:sz w:val="21"/>
                <w:szCs w:val="21"/>
              </w:rPr>
              <w:t>1:3</w:t>
            </w:r>
          </w:p>
        </w:tc>
        <w:tc>
          <w:tcPr>
            <w:tcW w:w="287" w:type="pct"/>
            <w:vAlign w:val="center"/>
          </w:tcPr>
          <w:p>
            <w:pPr>
              <w:spacing w:line="240" w:lineRule="auto"/>
              <w:ind w:firstLine="0" w:firstLineChars="0"/>
              <w:jc w:val="center"/>
              <w:rPr>
                <w:sz w:val="21"/>
                <w:szCs w:val="21"/>
              </w:rPr>
            </w:pPr>
            <w:r>
              <w:rPr>
                <w:sz w:val="21"/>
                <w:szCs w:val="21"/>
              </w:rPr>
              <w:t>401.37~419</w:t>
            </w:r>
          </w:p>
        </w:tc>
        <w:tc>
          <w:tcPr>
            <w:tcW w:w="287" w:type="pct"/>
            <w:vAlign w:val="center"/>
          </w:tcPr>
          <w:p>
            <w:pPr>
              <w:spacing w:line="240" w:lineRule="auto"/>
              <w:ind w:firstLine="0" w:firstLineChars="0"/>
              <w:jc w:val="center"/>
              <w:rPr>
                <w:sz w:val="21"/>
                <w:szCs w:val="21"/>
              </w:rPr>
            </w:pPr>
            <w:r>
              <w:rPr>
                <w:sz w:val="21"/>
                <w:szCs w:val="21"/>
              </w:rPr>
              <w:t>17.63</w:t>
            </w:r>
          </w:p>
        </w:tc>
        <w:tc>
          <w:tcPr>
            <w:tcW w:w="287" w:type="pct"/>
            <w:vAlign w:val="center"/>
          </w:tcPr>
          <w:p>
            <w:pPr>
              <w:spacing w:line="240" w:lineRule="auto"/>
              <w:ind w:firstLine="0" w:firstLineChars="0"/>
              <w:jc w:val="center"/>
              <w:rPr>
                <w:sz w:val="21"/>
                <w:szCs w:val="21"/>
              </w:rPr>
            </w:pPr>
            <w:r>
              <w:rPr>
                <w:sz w:val="21"/>
                <w:szCs w:val="21"/>
              </w:rPr>
              <w:t>6.99</w:t>
            </w:r>
          </w:p>
        </w:tc>
        <w:tc>
          <w:tcPr>
            <w:tcW w:w="287" w:type="pct"/>
            <w:vAlign w:val="center"/>
          </w:tcPr>
          <w:p>
            <w:pPr>
              <w:spacing w:line="240" w:lineRule="auto"/>
              <w:ind w:firstLine="0" w:firstLineChars="0"/>
              <w:jc w:val="center"/>
              <w:rPr>
                <w:sz w:val="21"/>
                <w:szCs w:val="21"/>
              </w:rPr>
            </w:pPr>
            <w:r>
              <w:rPr>
                <w:sz w:val="21"/>
                <w:szCs w:val="21"/>
              </w:rPr>
              <w:t>0.04</w:t>
            </w:r>
          </w:p>
        </w:tc>
        <w:tc>
          <w:tcPr>
            <w:tcW w:w="288" w:type="pct"/>
            <w:gridSpan w:val="2"/>
            <w:vAlign w:val="center"/>
          </w:tcPr>
          <w:p>
            <w:pPr>
              <w:spacing w:line="240" w:lineRule="auto"/>
              <w:ind w:firstLine="0" w:firstLineChars="0"/>
              <w:jc w:val="center"/>
              <w:rPr>
                <w:sz w:val="21"/>
                <w:szCs w:val="21"/>
              </w:rPr>
            </w:pPr>
            <w:r>
              <w:rPr>
                <w:sz w:val="21"/>
                <w:szCs w:val="21"/>
              </w:rPr>
              <w:t>3.36</w:t>
            </w:r>
          </w:p>
        </w:tc>
        <w:tc>
          <w:tcPr>
            <w:tcW w:w="807" w:type="pct"/>
            <w:vAlign w:val="center"/>
          </w:tcPr>
          <w:p>
            <w:pPr>
              <w:spacing w:line="240" w:lineRule="auto"/>
              <w:ind w:firstLine="0" w:firstLineChars="0"/>
              <w:jc w:val="center"/>
              <w:rPr>
                <w:sz w:val="21"/>
                <w:szCs w:val="21"/>
              </w:rPr>
            </w:pPr>
            <w:r>
              <w:rPr>
                <w:sz w:val="21"/>
                <w:szCs w:val="21"/>
              </w:rPr>
              <w:t>先挡后弃，石渣在下，土渣在上，分层压实，堆渣边坡1:3。</w:t>
            </w:r>
          </w:p>
        </w:tc>
        <w:tc>
          <w:tcPr>
            <w:tcW w:w="807" w:type="pct"/>
            <w:vAlign w:val="center"/>
          </w:tcPr>
          <w:p>
            <w:pPr>
              <w:spacing w:line="240" w:lineRule="auto"/>
              <w:ind w:firstLine="0" w:firstLineChars="0"/>
              <w:jc w:val="center"/>
              <w:rPr>
                <w:sz w:val="21"/>
                <w:szCs w:val="21"/>
              </w:rPr>
            </w:pPr>
            <w:r>
              <w:rPr>
                <w:sz w:val="21"/>
                <w:szCs w:val="21"/>
              </w:rPr>
              <w:t>中转场位于园区开发区域内，下游无重要设施、居民点。</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1" w:type="pct"/>
            <w:vAlign w:val="center"/>
          </w:tcPr>
          <w:p>
            <w:pPr>
              <w:spacing w:line="240" w:lineRule="auto"/>
              <w:ind w:firstLine="0" w:firstLineChars="0"/>
              <w:jc w:val="center"/>
              <w:rPr>
                <w:sz w:val="21"/>
                <w:szCs w:val="21"/>
              </w:rPr>
            </w:pPr>
            <w:r>
              <w:rPr>
                <w:sz w:val="21"/>
                <w:szCs w:val="21"/>
              </w:rPr>
              <w:t>5#</w:t>
            </w:r>
          </w:p>
        </w:tc>
        <w:tc>
          <w:tcPr>
            <w:tcW w:w="260" w:type="pct"/>
            <w:vAlign w:val="center"/>
          </w:tcPr>
          <w:p>
            <w:pPr>
              <w:spacing w:line="240" w:lineRule="auto"/>
              <w:ind w:firstLine="0" w:firstLineChars="0"/>
              <w:jc w:val="center"/>
              <w:rPr>
                <w:sz w:val="21"/>
                <w:szCs w:val="21"/>
              </w:rPr>
            </w:pPr>
            <w:r>
              <w:rPr>
                <w:sz w:val="21"/>
                <w:szCs w:val="21"/>
              </w:rPr>
              <w:t>远期建设区</w:t>
            </w:r>
          </w:p>
        </w:tc>
        <w:tc>
          <w:tcPr>
            <w:tcW w:w="479" w:type="pct"/>
            <w:vAlign w:val="center"/>
          </w:tcPr>
          <w:p>
            <w:pPr>
              <w:spacing w:line="240" w:lineRule="auto"/>
              <w:ind w:firstLine="0" w:firstLineChars="0"/>
              <w:jc w:val="center"/>
              <w:rPr>
                <w:sz w:val="21"/>
                <w:szCs w:val="21"/>
              </w:rPr>
            </w:pPr>
            <w:r>
              <w:rPr>
                <w:sz w:val="21"/>
                <w:szCs w:val="21"/>
              </w:rPr>
              <w:t>103°52′51.620″</w:t>
            </w:r>
          </w:p>
          <w:p>
            <w:pPr>
              <w:spacing w:line="240" w:lineRule="auto"/>
              <w:ind w:firstLine="0" w:firstLineChars="0"/>
              <w:jc w:val="center"/>
              <w:rPr>
                <w:sz w:val="21"/>
                <w:szCs w:val="21"/>
              </w:rPr>
            </w:pPr>
            <w:r>
              <w:rPr>
                <w:sz w:val="21"/>
                <w:szCs w:val="21"/>
              </w:rPr>
              <w:t>29°21′52.363″</w:t>
            </w:r>
          </w:p>
        </w:tc>
        <w:tc>
          <w:tcPr>
            <w:tcW w:w="261" w:type="pct"/>
            <w:vAlign w:val="center"/>
          </w:tcPr>
          <w:p>
            <w:pPr>
              <w:spacing w:line="240" w:lineRule="auto"/>
              <w:ind w:firstLine="0" w:firstLineChars="0"/>
              <w:jc w:val="center"/>
              <w:rPr>
                <w:sz w:val="21"/>
                <w:szCs w:val="21"/>
              </w:rPr>
            </w:pPr>
            <w:r>
              <w:rPr>
                <w:sz w:val="21"/>
                <w:szCs w:val="21"/>
              </w:rPr>
              <w:t>坡地型</w:t>
            </w:r>
          </w:p>
        </w:tc>
        <w:tc>
          <w:tcPr>
            <w:tcW w:w="189" w:type="pct"/>
            <w:vAlign w:val="center"/>
          </w:tcPr>
          <w:p>
            <w:pPr>
              <w:spacing w:line="240" w:lineRule="auto"/>
              <w:ind w:firstLine="0" w:firstLineChars="0"/>
              <w:jc w:val="center"/>
              <w:rPr>
                <w:sz w:val="21"/>
                <w:szCs w:val="21"/>
              </w:rPr>
            </w:pPr>
            <w:r>
              <w:rPr>
                <w:sz w:val="21"/>
                <w:szCs w:val="21"/>
              </w:rPr>
              <w:t>5级</w:t>
            </w:r>
          </w:p>
        </w:tc>
        <w:tc>
          <w:tcPr>
            <w:tcW w:w="287" w:type="pct"/>
            <w:vAlign w:val="center"/>
          </w:tcPr>
          <w:p>
            <w:pPr>
              <w:spacing w:line="240" w:lineRule="auto"/>
              <w:ind w:firstLine="0" w:firstLineChars="0"/>
              <w:jc w:val="center"/>
              <w:rPr>
                <w:sz w:val="21"/>
                <w:szCs w:val="21"/>
              </w:rPr>
            </w:pPr>
            <w:r>
              <w:rPr>
                <w:sz w:val="21"/>
                <w:szCs w:val="21"/>
              </w:rPr>
              <w:t>10.74</w:t>
            </w:r>
          </w:p>
        </w:tc>
        <w:tc>
          <w:tcPr>
            <w:tcW w:w="287" w:type="pct"/>
            <w:gridSpan w:val="2"/>
            <w:vAlign w:val="center"/>
          </w:tcPr>
          <w:p>
            <w:pPr>
              <w:spacing w:line="240" w:lineRule="auto"/>
              <w:ind w:firstLine="0" w:firstLineChars="0"/>
              <w:jc w:val="center"/>
              <w:rPr>
                <w:sz w:val="21"/>
                <w:szCs w:val="21"/>
              </w:rPr>
            </w:pPr>
            <w:r>
              <w:rPr>
                <w:sz w:val="21"/>
                <w:szCs w:val="21"/>
              </w:rPr>
              <w:t>1:3</w:t>
            </w:r>
          </w:p>
        </w:tc>
        <w:tc>
          <w:tcPr>
            <w:tcW w:w="287" w:type="pct"/>
            <w:vAlign w:val="center"/>
          </w:tcPr>
          <w:p>
            <w:pPr>
              <w:spacing w:line="240" w:lineRule="auto"/>
              <w:ind w:firstLine="0" w:firstLineChars="0"/>
              <w:jc w:val="center"/>
              <w:rPr>
                <w:sz w:val="21"/>
                <w:szCs w:val="21"/>
              </w:rPr>
            </w:pPr>
            <w:r>
              <w:rPr>
                <w:sz w:val="21"/>
                <w:szCs w:val="21"/>
              </w:rPr>
              <w:t>395.35~414</w:t>
            </w:r>
          </w:p>
        </w:tc>
        <w:tc>
          <w:tcPr>
            <w:tcW w:w="287" w:type="pct"/>
            <w:vAlign w:val="center"/>
          </w:tcPr>
          <w:p>
            <w:pPr>
              <w:spacing w:line="240" w:lineRule="auto"/>
              <w:ind w:firstLine="0" w:firstLineChars="0"/>
              <w:jc w:val="center"/>
              <w:rPr>
                <w:sz w:val="21"/>
                <w:szCs w:val="21"/>
              </w:rPr>
            </w:pPr>
            <w:r>
              <w:rPr>
                <w:sz w:val="21"/>
                <w:szCs w:val="21"/>
              </w:rPr>
              <w:t>18.65</w:t>
            </w:r>
          </w:p>
        </w:tc>
        <w:tc>
          <w:tcPr>
            <w:tcW w:w="287" w:type="pct"/>
            <w:vAlign w:val="center"/>
          </w:tcPr>
          <w:p>
            <w:pPr>
              <w:spacing w:line="240" w:lineRule="auto"/>
              <w:ind w:firstLine="0" w:firstLineChars="0"/>
              <w:jc w:val="center"/>
              <w:rPr>
                <w:sz w:val="21"/>
                <w:szCs w:val="21"/>
              </w:rPr>
            </w:pPr>
            <w:r>
              <w:rPr>
                <w:sz w:val="21"/>
                <w:szCs w:val="21"/>
              </w:rPr>
              <w:t>4.64</w:t>
            </w:r>
          </w:p>
        </w:tc>
        <w:tc>
          <w:tcPr>
            <w:tcW w:w="287" w:type="pct"/>
            <w:vAlign w:val="center"/>
          </w:tcPr>
          <w:p>
            <w:pPr>
              <w:spacing w:line="240" w:lineRule="auto"/>
              <w:ind w:firstLine="0" w:firstLineChars="0"/>
              <w:jc w:val="center"/>
              <w:rPr>
                <w:sz w:val="21"/>
                <w:szCs w:val="21"/>
              </w:rPr>
            </w:pPr>
            <w:r>
              <w:rPr>
                <w:sz w:val="21"/>
                <w:szCs w:val="21"/>
              </w:rPr>
              <w:t>0.04</w:t>
            </w:r>
          </w:p>
        </w:tc>
        <w:tc>
          <w:tcPr>
            <w:tcW w:w="288" w:type="pct"/>
            <w:gridSpan w:val="2"/>
            <w:vAlign w:val="center"/>
          </w:tcPr>
          <w:p>
            <w:pPr>
              <w:spacing w:line="240" w:lineRule="auto"/>
              <w:ind w:firstLine="0" w:firstLineChars="0"/>
              <w:jc w:val="center"/>
              <w:rPr>
                <w:sz w:val="21"/>
                <w:szCs w:val="21"/>
              </w:rPr>
            </w:pPr>
            <w:r>
              <w:rPr>
                <w:sz w:val="21"/>
                <w:szCs w:val="21"/>
              </w:rPr>
              <w:t>2.31</w:t>
            </w:r>
          </w:p>
        </w:tc>
        <w:tc>
          <w:tcPr>
            <w:tcW w:w="807" w:type="pct"/>
            <w:vAlign w:val="center"/>
          </w:tcPr>
          <w:p>
            <w:pPr>
              <w:spacing w:line="240" w:lineRule="auto"/>
              <w:ind w:firstLine="0" w:firstLineChars="0"/>
              <w:jc w:val="center"/>
              <w:rPr>
                <w:sz w:val="21"/>
                <w:szCs w:val="21"/>
              </w:rPr>
            </w:pPr>
            <w:r>
              <w:rPr>
                <w:sz w:val="21"/>
                <w:szCs w:val="21"/>
              </w:rPr>
              <w:t>先挡后弃，石渣在下，土渣在上，分层压实，堆渣边坡1:3。</w:t>
            </w:r>
          </w:p>
        </w:tc>
        <w:tc>
          <w:tcPr>
            <w:tcW w:w="807" w:type="pct"/>
            <w:vAlign w:val="center"/>
          </w:tcPr>
          <w:p>
            <w:pPr>
              <w:spacing w:line="240" w:lineRule="auto"/>
              <w:ind w:firstLine="0" w:firstLineChars="0"/>
              <w:jc w:val="center"/>
              <w:rPr>
                <w:sz w:val="21"/>
                <w:szCs w:val="21"/>
              </w:rPr>
            </w:pPr>
            <w:r>
              <w:rPr>
                <w:sz w:val="21"/>
                <w:szCs w:val="21"/>
              </w:rPr>
              <w:t>中转场位于园区开发区域内，下游无重要设施、居民点。</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2" w:type="pct"/>
            <w:gridSpan w:val="5"/>
            <w:vAlign w:val="center"/>
          </w:tcPr>
          <w:p>
            <w:pPr>
              <w:spacing w:line="240" w:lineRule="auto"/>
              <w:ind w:firstLine="0" w:firstLineChars="0"/>
              <w:jc w:val="center"/>
              <w:rPr>
                <w:b/>
                <w:bCs/>
                <w:sz w:val="21"/>
                <w:szCs w:val="21"/>
              </w:rPr>
            </w:pPr>
            <w:r>
              <w:rPr>
                <w:b/>
                <w:bCs/>
                <w:sz w:val="21"/>
                <w:szCs w:val="21"/>
              </w:rPr>
              <w:t>合计</w:t>
            </w:r>
          </w:p>
        </w:tc>
        <w:tc>
          <w:tcPr>
            <w:tcW w:w="287" w:type="pct"/>
            <w:vAlign w:val="center"/>
          </w:tcPr>
          <w:p>
            <w:pPr>
              <w:spacing w:line="240" w:lineRule="auto"/>
              <w:ind w:firstLine="0" w:firstLineChars="0"/>
              <w:jc w:val="center"/>
              <w:rPr>
                <w:b/>
                <w:bCs/>
                <w:sz w:val="21"/>
                <w:szCs w:val="21"/>
              </w:rPr>
            </w:pPr>
            <w:r>
              <w:rPr>
                <w:b/>
                <w:bCs/>
                <w:sz w:val="21"/>
                <w:szCs w:val="21"/>
              </w:rPr>
              <w:t>88.79</w:t>
            </w:r>
          </w:p>
        </w:tc>
        <w:tc>
          <w:tcPr>
            <w:tcW w:w="287" w:type="pct"/>
            <w:gridSpan w:val="2"/>
            <w:vAlign w:val="center"/>
          </w:tcPr>
          <w:p>
            <w:pPr>
              <w:spacing w:line="240" w:lineRule="auto"/>
              <w:ind w:firstLine="0" w:firstLineChars="0"/>
              <w:jc w:val="center"/>
              <w:rPr>
                <w:b/>
                <w:bCs/>
                <w:sz w:val="21"/>
                <w:szCs w:val="21"/>
              </w:rPr>
            </w:pPr>
          </w:p>
        </w:tc>
        <w:tc>
          <w:tcPr>
            <w:tcW w:w="287" w:type="pct"/>
            <w:vAlign w:val="center"/>
          </w:tcPr>
          <w:p>
            <w:pPr>
              <w:spacing w:line="240" w:lineRule="auto"/>
              <w:ind w:firstLine="0" w:firstLineChars="0"/>
              <w:jc w:val="center"/>
              <w:rPr>
                <w:b/>
                <w:bCs/>
                <w:sz w:val="21"/>
                <w:szCs w:val="21"/>
              </w:rPr>
            </w:pPr>
          </w:p>
        </w:tc>
        <w:tc>
          <w:tcPr>
            <w:tcW w:w="287" w:type="pct"/>
            <w:vAlign w:val="center"/>
          </w:tcPr>
          <w:p>
            <w:pPr>
              <w:spacing w:line="240" w:lineRule="auto"/>
              <w:ind w:firstLine="0" w:firstLineChars="0"/>
              <w:jc w:val="center"/>
              <w:rPr>
                <w:b/>
                <w:bCs/>
                <w:sz w:val="21"/>
                <w:szCs w:val="21"/>
              </w:rPr>
            </w:pPr>
          </w:p>
        </w:tc>
        <w:tc>
          <w:tcPr>
            <w:tcW w:w="287" w:type="pct"/>
            <w:vAlign w:val="center"/>
          </w:tcPr>
          <w:p>
            <w:pPr>
              <w:spacing w:line="240" w:lineRule="auto"/>
              <w:ind w:firstLine="0" w:firstLineChars="0"/>
              <w:jc w:val="center"/>
              <w:rPr>
                <w:b/>
                <w:bCs/>
                <w:sz w:val="21"/>
                <w:szCs w:val="21"/>
              </w:rPr>
            </w:pPr>
          </w:p>
        </w:tc>
        <w:tc>
          <w:tcPr>
            <w:tcW w:w="287" w:type="pct"/>
            <w:vAlign w:val="center"/>
          </w:tcPr>
          <w:p>
            <w:pPr>
              <w:spacing w:line="240" w:lineRule="auto"/>
              <w:ind w:firstLine="0" w:firstLineChars="0"/>
              <w:jc w:val="center"/>
              <w:rPr>
                <w:b/>
                <w:bCs/>
                <w:sz w:val="21"/>
                <w:szCs w:val="21"/>
              </w:rPr>
            </w:pPr>
          </w:p>
        </w:tc>
        <w:tc>
          <w:tcPr>
            <w:tcW w:w="288" w:type="pct"/>
            <w:gridSpan w:val="2"/>
            <w:vAlign w:val="center"/>
          </w:tcPr>
          <w:p>
            <w:pPr>
              <w:spacing w:line="240" w:lineRule="auto"/>
              <w:ind w:firstLine="0" w:firstLineChars="0"/>
              <w:jc w:val="center"/>
              <w:rPr>
                <w:b/>
                <w:bCs/>
                <w:sz w:val="21"/>
                <w:szCs w:val="21"/>
              </w:rPr>
            </w:pPr>
            <w:r>
              <w:rPr>
                <w:b/>
                <w:bCs/>
                <w:sz w:val="21"/>
                <w:szCs w:val="21"/>
              </w:rPr>
              <w:t>12.17</w:t>
            </w:r>
          </w:p>
        </w:tc>
        <w:tc>
          <w:tcPr>
            <w:tcW w:w="807" w:type="pct"/>
            <w:vAlign w:val="center"/>
          </w:tcPr>
          <w:p>
            <w:pPr>
              <w:spacing w:line="240" w:lineRule="auto"/>
              <w:ind w:firstLine="0" w:firstLineChars="0"/>
              <w:jc w:val="center"/>
              <w:rPr>
                <w:b/>
                <w:bCs/>
                <w:sz w:val="21"/>
                <w:szCs w:val="21"/>
              </w:rPr>
            </w:pPr>
          </w:p>
        </w:tc>
        <w:tc>
          <w:tcPr>
            <w:tcW w:w="807" w:type="pct"/>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665" w:type="pct"/>
            <w:gridSpan w:val="7"/>
            <w:vAlign w:val="center"/>
          </w:tcPr>
          <w:p>
            <w:pPr>
              <w:spacing w:line="240" w:lineRule="auto"/>
              <w:ind w:firstLine="0" w:firstLineChars="0"/>
              <w:jc w:val="center"/>
              <w:rPr>
                <w:b/>
                <w:bCs/>
                <w:sz w:val="21"/>
                <w:szCs w:val="21"/>
              </w:rPr>
            </w:pPr>
            <w:r>
              <w:rPr>
                <w:b/>
                <w:bCs/>
                <w:sz w:val="21"/>
                <w:szCs w:val="21"/>
              </w:rPr>
              <w:t>地形图</w:t>
            </w:r>
          </w:p>
        </w:tc>
        <w:tc>
          <w:tcPr>
            <w:tcW w:w="1661" w:type="pct"/>
            <w:gridSpan w:val="6"/>
            <w:vAlign w:val="center"/>
          </w:tcPr>
          <w:p>
            <w:pPr>
              <w:spacing w:line="240" w:lineRule="auto"/>
              <w:ind w:firstLine="0" w:firstLineChars="0"/>
              <w:jc w:val="center"/>
              <w:rPr>
                <w:b/>
                <w:bCs/>
                <w:sz w:val="21"/>
                <w:szCs w:val="21"/>
              </w:rPr>
            </w:pPr>
            <w:r>
              <w:rPr>
                <w:b/>
                <w:bCs/>
                <w:sz w:val="21"/>
                <w:szCs w:val="21"/>
              </w:rPr>
              <w:t>遥感影像图</w:t>
            </w:r>
          </w:p>
        </w:tc>
        <w:tc>
          <w:tcPr>
            <w:tcW w:w="1673" w:type="pct"/>
            <w:gridSpan w:val="3"/>
            <w:vAlign w:val="center"/>
          </w:tcPr>
          <w:p>
            <w:pPr>
              <w:spacing w:line="240" w:lineRule="auto"/>
              <w:ind w:firstLine="0" w:firstLineChars="0"/>
              <w:jc w:val="center"/>
              <w:rPr>
                <w:b/>
                <w:bCs/>
                <w:sz w:val="21"/>
                <w:szCs w:val="21"/>
              </w:rPr>
            </w:pPr>
            <w:r>
              <w:rPr>
                <w:b/>
                <w:bCs/>
                <w:sz w:val="21"/>
                <w:szCs w:val="21"/>
              </w:rPr>
              <w:t>航拍图</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665" w:type="pct"/>
            <w:gridSpan w:val="7"/>
            <w:vAlign w:val="center"/>
          </w:tcPr>
          <w:p>
            <w:pPr>
              <w:spacing w:line="240" w:lineRule="auto"/>
              <w:ind w:firstLine="0" w:firstLineChars="0"/>
              <w:jc w:val="center"/>
              <w:rPr>
                <w:sz w:val="21"/>
                <w:szCs w:val="21"/>
              </w:rPr>
            </w:pPr>
            <w:r>
              <w:drawing>
                <wp:inline distT="0" distB="0" distL="114300" distR="114300">
                  <wp:extent cx="4390390" cy="2588260"/>
                  <wp:effectExtent l="0" t="0" r="10160" b="2540"/>
                  <wp:docPr id="5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5"/>
                          <pic:cNvPicPr>
                            <a:picLocks noChangeAspect="1"/>
                          </pic:cNvPicPr>
                        </pic:nvPicPr>
                        <pic:blipFill>
                          <a:blip r:embed="rId114"/>
                          <a:stretch>
                            <a:fillRect/>
                          </a:stretch>
                        </pic:blipFill>
                        <pic:spPr>
                          <a:xfrm>
                            <a:off x="0" y="0"/>
                            <a:ext cx="4390390" cy="2588260"/>
                          </a:xfrm>
                          <a:prstGeom prst="rect">
                            <a:avLst/>
                          </a:prstGeom>
                          <a:noFill/>
                          <a:ln>
                            <a:noFill/>
                          </a:ln>
                        </pic:spPr>
                      </pic:pic>
                    </a:graphicData>
                  </a:graphic>
                </wp:inline>
              </w:drawing>
            </w:r>
          </w:p>
        </w:tc>
        <w:tc>
          <w:tcPr>
            <w:tcW w:w="1661" w:type="pct"/>
            <w:gridSpan w:val="6"/>
            <w:vAlign w:val="center"/>
          </w:tcPr>
          <w:p>
            <w:pPr>
              <w:spacing w:line="240" w:lineRule="auto"/>
              <w:ind w:firstLine="0" w:firstLineChars="0"/>
              <w:jc w:val="center"/>
              <w:rPr>
                <w:sz w:val="21"/>
                <w:szCs w:val="21"/>
              </w:rPr>
            </w:pPr>
            <w:r>
              <w:drawing>
                <wp:inline distT="0" distB="0" distL="114300" distR="114300">
                  <wp:extent cx="4392295" cy="2588260"/>
                  <wp:effectExtent l="0" t="0" r="8255" b="2540"/>
                  <wp:docPr id="66" name="图片 16"/>
                  <wp:cNvGraphicFramePr/>
                  <a:graphic xmlns:a="http://schemas.openxmlformats.org/drawingml/2006/main">
                    <a:graphicData uri="http://schemas.openxmlformats.org/drawingml/2006/picture">
                      <pic:pic xmlns:pic="http://schemas.openxmlformats.org/drawingml/2006/picture">
                        <pic:nvPicPr>
                          <pic:cNvPr id="66" name="图片 16"/>
                          <pic:cNvPicPr/>
                        </pic:nvPicPr>
                        <pic:blipFill>
                          <a:blip r:embed="rId115" cstate="print"/>
                          <a:stretch>
                            <a:fillRect/>
                          </a:stretch>
                        </pic:blipFill>
                        <pic:spPr>
                          <a:xfrm>
                            <a:off x="0" y="0"/>
                            <a:ext cx="4392295" cy="2588260"/>
                          </a:xfrm>
                          <a:prstGeom prst="rect">
                            <a:avLst/>
                          </a:prstGeom>
                          <a:noFill/>
                          <a:ln>
                            <a:noFill/>
                          </a:ln>
                        </pic:spPr>
                      </pic:pic>
                    </a:graphicData>
                  </a:graphic>
                </wp:inline>
              </w:drawing>
            </w:r>
          </w:p>
        </w:tc>
        <w:tc>
          <w:tcPr>
            <w:tcW w:w="1673" w:type="pct"/>
            <w:gridSpan w:val="3"/>
            <w:vAlign w:val="center"/>
          </w:tcPr>
          <w:p>
            <w:pPr>
              <w:spacing w:line="240" w:lineRule="auto"/>
              <w:ind w:firstLine="0" w:firstLineChars="0"/>
              <w:jc w:val="center"/>
              <w:rPr>
                <w:sz w:val="21"/>
                <w:szCs w:val="21"/>
              </w:rPr>
            </w:pPr>
            <w:r>
              <w:pict>
                <v:shape id="_x0000_s1084" o:spid="_x0000_s1084" o:spt="100" style="position:absolute;left:0pt;margin-left:66.4pt;margin-top:76.7pt;height:103.15pt;width:288.4pt;z-index:251695104;mso-width-relative:page;mso-height-relative:page;" filled="f" stroked="t" coordsize="3662935,1310011" o:gfxdata="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" adj="," path="m1023814,80969c1183834,42869,1306389,9849,1507684,1594c1708979,-6661,1761684,18739,2031559,40964c2301434,63189,2571309,80969,2857059,112719c3142809,144469,3302829,125419,3460309,199714c3617789,274009,3615884,359734,3643189,485464c3670494,611194,3681289,773119,3595564,827094c3509839,881069,3356169,719144,3214564,755339c3072959,791534,3104709,939489,2888809,1009339c2672909,1079189,2409384,1061409,2135064,1104589c1860744,1147769,1715964,1196664,1515939,1223969c1315914,1251274,1300039,1235399,1134939,1239844c969839,1244289,896814,1234764,690439,1247464c484064,1260164,239589,1331919,103064,1303344c-33461,1274769,3369,1277944,7814,1104589c12259,931234,64964,609289,126559,437839c188154,266389,200854,296234,317059,247339c433264,198444,564709,225114,706314,192094c847919,159074,863794,119069,1023814,80969xe">
                  <v:path o:connecttype="segments" o:connectlocs="1023742,80968;1507579,1593;2031417,40963;2856860,112718;3460068,199713;3642935,485461;3595313,827090;3214340,755335;2888607,1009334;2134915,1104583;1515833,1223963;1134859,1239838;690390,1247458;103056,1303338;7813,1104583;126550,437836;317036,247337;706264,192093;1023742,80968" o:connectangles="0,0,0,0,0,0,0,0,0,0,0,0,0,0,0,0,0,0,0"/>
                  <v:fill on="f" focussize="0,0"/>
                  <v:stroke weight="3pt" color="#FF00FF" joinstyle="round"/>
                  <v:imagedata o:title=""/>
                  <o:lock v:ext="edit"/>
                  <v:shadow on="t" color="#000000" opacity="22937f" offset="0pt,1.81102362204724pt" origin="0f,32768f"/>
                </v:shape>
              </w:pict>
            </w:r>
            <w:r>
              <w:drawing>
                <wp:inline distT="0" distB="0" distL="114300" distR="114300">
                  <wp:extent cx="4533265" cy="2588260"/>
                  <wp:effectExtent l="0" t="0" r="635" b="2540"/>
                  <wp:docPr id="2" name="图片 47"/>
                  <wp:cNvGraphicFramePr/>
                  <a:graphic xmlns:a="http://schemas.openxmlformats.org/drawingml/2006/main">
                    <a:graphicData uri="http://schemas.openxmlformats.org/drawingml/2006/picture">
                      <pic:pic xmlns:pic="http://schemas.openxmlformats.org/drawingml/2006/picture">
                        <pic:nvPicPr>
                          <pic:cNvPr id="2" name="图片 47"/>
                          <pic:cNvPicPr/>
                        </pic:nvPicPr>
                        <pic:blipFill>
                          <a:blip r:embed="rId116" cstate="print"/>
                          <a:stretch>
                            <a:fillRect/>
                          </a:stretch>
                        </pic:blipFill>
                        <pic:spPr>
                          <a:xfrm>
                            <a:off x="0" y="0"/>
                            <a:ext cx="4533265" cy="2588260"/>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00" w:type="pct"/>
            <w:gridSpan w:val="16"/>
            <w:vAlign w:val="center"/>
          </w:tcPr>
          <w:p>
            <w:pPr>
              <w:spacing w:line="240" w:lineRule="auto"/>
              <w:ind w:firstLine="0" w:firstLineChars="0"/>
              <w:jc w:val="center"/>
              <w:rPr>
                <w:b/>
                <w:bCs/>
                <w:sz w:val="21"/>
                <w:szCs w:val="21"/>
              </w:rPr>
            </w:pPr>
            <w:r>
              <w:rPr>
                <w:b/>
                <w:bCs/>
                <w:sz w:val="21"/>
                <w:szCs w:val="21"/>
              </w:rPr>
              <w:t>1#土石方中转场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665" w:type="pct"/>
            <w:gridSpan w:val="7"/>
            <w:vAlign w:val="center"/>
          </w:tcPr>
          <w:p>
            <w:pPr>
              <w:spacing w:line="240" w:lineRule="auto"/>
              <w:ind w:firstLine="0" w:firstLineChars="0"/>
              <w:jc w:val="center"/>
              <w:rPr>
                <w:sz w:val="21"/>
                <w:szCs w:val="21"/>
              </w:rPr>
            </w:pPr>
            <w:r>
              <w:drawing>
                <wp:inline distT="0" distB="0" distL="114300" distR="114300">
                  <wp:extent cx="4505960" cy="2705735"/>
                  <wp:effectExtent l="0" t="0" r="8890" b="18415"/>
                  <wp:docPr id="63"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2"/>
                          <pic:cNvPicPr>
                            <a:picLocks noChangeAspect="1"/>
                          </pic:cNvPicPr>
                        </pic:nvPicPr>
                        <pic:blipFill>
                          <a:blip r:embed="rId117" cstate="print"/>
                          <a:stretch>
                            <a:fillRect/>
                          </a:stretch>
                        </pic:blipFill>
                        <pic:spPr>
                          <a:xfrm>
                            <a:off x="0" y="0"/>
                            <a:ext cx="4505960" cy="2705735"/>
                          </a:xfrm>
                          <a:prstGeom prst="rect">
                            <a:avLst/>
                          </a:prstGeom>
                          <a:noFill/>
                          <a:ln>
                            <a:noFill/>
                          </a:ln>
                        </pic:spPr>
                      </pic:pic>
                    </a:graphicData>
                  </a:graphic>
                </wp:inline>
              </w:drawing>
            </w:r>
          </w:p>
        </w:tc>
        <w:tc>
          <w:tcPr>
            <w:tcW w:w="1661" w:type="pct"/>
            <w:gridSpan w:val="6"/>
            <w:vAlign w:val="center"/>
          </w:tcPr>
          <w:p>
            <w:pPr>
              <w:spacing w:line="240" w:lineRule="auto"/>
              <w:ind w:firstLine="0" w:firstLineChars="0"/>
              <w:jc w:val="center"/>
              <w:rPr>
                <w:sz w:val="21"/>
                <w:szCs w:val="21"/>
              </w:rPr>
            </w:pPr>
            <w:r>
              <w:drawing>
                <wp:inline distT="0" distB="0" distL="114300" distR="114300">
                  <wp:extent cx="4498975" cy="2755900"/>
                  <wp:effectExtent l="0" t="0" r="15875" b="6350"/>
                  <wp:docPr id="67"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3"/>
                          <pic:cNvPicPr>
                            <a:picLocks noChangeAspect="1"/>
                          </pic:cNvPicPr>
                        </pic:nvPicPr>
                        <pic:blipFill>
                          <a:blip r:embed="rId118"/>
                          <a:stretch>
                            <a:fillRect/>
                          </a:stretch>
                        </pic:blipFill>
                        <pic:spPr>
                          <a:xfrm>
                            <a:off x="0" y="0"/>
                            <a:ext cx="4498975" cy="2755900"/>
                          </a:xfrm>
                          <a:prstGeom prst="rect">
                            <a:avLst/>
                          </a:prstGeom>
                          <a:noFill/>
                          <a:ln>
                            <a:noFill/>
                          </a:ln>
                        </pic:spPr>
                      </pic:pic>
                    </a:graphicData>
                  </a:graphic>
                </wp:inline>
              </w:drawing>
            </w:r>
          </w:p>
        </w:tc>
        <w:tc>
          <w:tcPr>
            <w:tcW w:w="1673" w:type="pct"/>
            <w:gridSpan w:val="3"/>
            <w:vAlign w:val="center"/>
          </w:tcPr>
          <w:p>
            <w:pPr>
              <w:spacing w:line="240" w:lineRule="auto"/>
              <w:ind w:firstLine="0" w:firstLineChars="0"/>
              <w:jc w:val="center"/>
              <w:rPr>
                <w:sz w:val="21"/>
                <w:szCs w:val="21"/>
              </w:rPr>
            </w:pPr>
            <w:r>
              <w:pict>
                <v:shape id="_x0000_s1083" o:spid="_x0000_s1083" o:spt="100" style="position:absolute;left:0pt;margin-left:52.15pt;margin-top:62.15pt;height:56.25pt;width:145.1pt;z-index:251694080;mso-width-relative:page;mso-height-relative:page;" filled="f" stroked="t" coordsize="2902,1125" o:gfxdata="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" adj="," path="m212,0c612,130,1985,515,2477,704c2969,893,2879,890,2897,974c2915,1058,2894,1118,2567,1124c2240,1130,1628,1097,1262,1004c896,911,959,758,737,659c515,560,299,602,152,509c5,416,-7,290,2,194c11,98,155,56,197,29e">
                  <v:path o:connecttype="segments" o:connectlocs="134657,0;1573337,447311;1840112,618866;1630503,714174;801595,637927;468126,418719;96547,323411;1270,123264;125130,18426" o:connectangles="0,0,0,0,0,0,0,0,0"/>
                  <v:fill on="f" focussize="0,0"/>
                  <v:stroke weight="3pt" color="#FF00FF" joinstyle="round"/>
                  <v:imagedata o:title=""/>
                  <o:lock v:ext="edit"/>
                  <v:shadow on="t" color="#000000" opacity="22937f" offset="0pt,1.81102362204724pt" origin="0f,32768f"/>
                </v:shape>
              </w:pict>
            </w:r>
            <w:r>
              <w:drawing>
                <wp:inline distT="0" distB="0" distL="114300" distR="114300">
                  <wp:extent cx="4523105" cy="2757805"/>
                  <wp:effectExtent l="0" t="0" r="10795" b="4445"/>
                  <wp:docPr id="69" name="图片 64"/>
                  <wp:cNvGraphicFramePr/>
                  <a:graphic xmlns:a="http://schemas.openxmlformats.org/drawingml/2006/main">
                    <a:graphicData uri="http://schemas.openxmlformats.org/drawingml/2006/picture">
                      <pic:pic xmlns:pic="http://schemas.openxmlformats.org/drawingml/2006/picture">
                        <pic:nvPicPr>
                          <pic:cNvPr id="69" name="图片 64"/>
                          <pic:cNvPicPr/>
                        </pic:nvPicPr>
                        <pic:blipFill>
                          <a:blip r:embed="rId119"/>
                          <a:stretch>
                            <a:fillRect/>
                          </a:stretch>
                        </pic:blipFill>
                        <pic:spPr>
                          <a:xfrm>
                            <a:off x="0" y="0"/>
                            <a:ext cx="4523105" cy="275780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00" w:type="pct"/>
            <w:gridSpan w:val="16"/>
            <w:vAlign w:val="center"/>
          </w:tcPr>
          <w:p>
            <w:pPr>
              <w:spacing w:line="240" w:lineRule="auto"/>
              <w:ind w:firstLine="0" w:firstLineChars="0"/>
              <w:jc w:val="center"/>
              <w:rPr>
                <w:b/>
                <w:bCs/>
                <w:sz w:val="21"/>
                <w:szCs w:val="21"/>
              </w:rPr>
            </w:pPr>
            <w:r>
              <w:rPr>
                <w:b/>
                <w:bCs/>
                <w:sz w:val="21"/>
                <w:szCs w:val="21"/>
              </w:rPr>
              <w:t>2#土石方中转场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665" w:type="pct"/>
            <w:gridSpan w:val="7"/>
            <w:vAlign w:val="center"/>
          </w:tcPr>
          <w:p>
            <w:pPr>
              <w:spacing w:line="240" w:lineRule="auto"/>
              <w:ind w:firstLine="0" w:firstLineChars="0"/>
              <w:jc w:val="center"/>
              <w:rPr>
                <w:sz w:val="21"/>
                <w:szCs w:val="21"/>
              </w:rPr>
            </w:pPr>
            <w:r>
              <w:drawing>
                <wp:inline distT="0" distB="0" distL="114300" distR="114300">
                  <wp:extent cx="4392295" cy="2844165"/>
                  <wp:effectExtent l="0" t="0" r="8255" b="13335"/>
                  <wp:docPr id="132" name="图片 65"/>
                  <wp:cNvGraphicFramePr/>
                  <a:graphic xmlns:a="http://schemas.openxmlformats.org/drawingml/2006/main">
                    <a:graphicData uri="http://schemas.openxmlformats.org/drawingml/2006/picture">
                      <pic:pic xmlns:pic="http://schemas.openxmlformats.org/drawingml/2006/picture">
                        <pic:nvPicPr>
                          <pic:cNvPr id="132" name="图片 65"/>
                          <pic:cNvPicPr/>
                        </pic:nvPicPr>
                        <pic:blipFill>
                          <a:blip r:embed="rId120"/>
                          <a:stretch>
                            <a:fillRect/>
                          </a:stretch>
                        </pic:blipFill>
                        <pic:spPr>
                          <a:xfrm>
                            <a:off x="0" y="0"/>
                            <a:ext cx="4392295" cy="2844165"/>
                          </a:xfrm>
                          <a:prstGeom prst="rect">
                            <a:avLst/>
                          </a:prstGeom>
                          <a:noFill/>
                          <a:ln>
                            <a:noFill/>
                          </a:ln>
                        </pic:spPr>
                      </pic:pic>
                    </a:graphicData>
                  </a:graphic>
                </wp:inline>
              </w:drawing>
            </w:r>
          </w:p>
        </w:tc>
        <w:tc>
          <w:tcPr>
            <w:tcW w:w="1661" w:type="pct"/>
            <w:gridSpan w:val="6"/>
            <w:vAlign w:val="center"/>
          </w:tcPr>
          <w:p>
            <w:pPr>
              <w:spacing w:line="240" w:lineRule="auto"/>
              <w:ind w:firstLine="0" w:firstLineChars="0"/>
              <w:jc w:val="center"/>
              <w:rPr>
                <w:sz w:val="21"/>
                <w:szCs w:val="21"/>
              </w:rPr>
            </w:pPr>
            <w:r>
              <w:drawing>
                <wp:inline distT="0" distB="0" distL="114300" distR="114300">
                  <wp:extent cx="4392295" cy="2844165"/>
                  <wp:effectExtent l="0" t="0" r="8255" b="13335"/>
                  <wp:docPr id="86" name="图片 22"/>
                  <wp:cNvGraphicFramePr/>
                  <a:graphic xmlns:a="http://schemas.openxmlformats.org/drawingml/2006/main">
                    <a:graphicData uri="http://schemas.openxmlformats.org/drawingml/2006/picture">
                      <pic:pic xmlns:pic="http://schemas.openxmlformats.org/drawingml/2006/picture">
                        <pic:nvPicPr>
                          <pic:cNvPr id="86" name="图片 22"/>
                          <pic:cNvPicPr/>
                        </pic:nvPicPr>
                        <pic:blipFill>
                          <a:blip r:embed="rId121"/>
                          <a:stretch>
                            <a:fillRect/>
                          </a:stretch>
                        </pic:blipFill>
                        <pic:spPr>
                          <a:xfrm>
                            <a:off x="0" y="0"/>
                            <a:ext cx="4392295" cy="2844165"/>
                          </a:xfrm>
                          <a:prstGeom prst="rect">
                            <a:avLst/>
                          </a:prstGeom>
                          <a:noFill/>
                          <a:ln>
                            <a:noFill/>
                          </a:ln>
                        </pic:spPr>
                      </pic:pic>
                    </a:graphicData>
                  </a:graphic>
                </wp:inline>
              </w:drawing>
            </w:r>
          </w:p>
        </w:tc>
        <w:tc>
          <w:tcPr>
            <w:tcW w:w="1673" w:type="pct"/>
            <w:gridSpan w:val="3"/>
            <w:vAlign w:val="center"/>
          </w:tcPr>
          <w:p>
            <w:pPr>
              <w:spacing w:line="240" w:lineRule="auto"/>
              <w:ind w:firstLine="0" w:firstLineChars="0"/>
              <w:jc w:val="center"/>
              <w:rPr>
                <w:sz w:val="21"/>
                <w:szCs w:val="21"/>
              </w:rPr>
            </w:pPr>
            <w:r>
              <w:pict>
                <v:shape id="_x0000_s1082" o:spid="_x0000_s1082" o:spt="100" style="position:absolute;left:0pt;margin-left:110.35pt;margin-top:57.55pt;height:158pt;width:101pt;z-index:251682816;mso-width-relative:page;mso-height-relative:page;" filled="f" stroked="t" coordsize="2020,2988" o:gfxdata="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" adj="," path="m1613,2988c1483,2969,1081,3005,970,2817c859,2629,1082,2346,1056,2046c1030,1746,1035,1480,842,1317c649,1154,229,1295,92,1231c-45,1167,-33,1035,156,996c345,957,812,1184,1035,1038c1258,892,1129,464,1270,267c1411,70,1635,-85,1742,52c1849,189,1750,656,1806,952c1862,1248,2020,1231,2020,1531c2020,1831,1866,2169,1806,2452c1746,2735,1669,2889,1656,2969e">
                  <v:path o:connecttype="segments" o:connectlocs="1024719,2006600;616229,1891764;670864,1373997;534912,884435;58446,826681;99104,668866;657523,697071;806816,179304;1106672,34920;1147330,639318;1283282,1028147;1147330,1646647;1052037,1993840" o:connectangles="0,0,0,0,0,0,0,0,0,0,0,0,0"/>
                  <v:fill on="f" focussize="0,0"/>
                  <v:stroke weight="3pt" color="#FF00FF" joinstyle="round"/>
                  <v:imagedata o:title=""/>
                  <o:lock v:ext="edit"/>
                  <v:shadow on="t" color="#000000" opacity="22937f" offset="0pt,1.81102362204724pt" origin="0f,32768f"/>
                </v:shape>
              </w:pict>
            </w:r>
            <w:r>
              <w:drawing>
                <wp:inline distT="0" distB="0" distL="114300" distR="114300">
                  <wp:extent cx="4499610" cy="2844165"/>
                  <wp:effectExtent l="0" t="0" r="15240" b="13335"/>
                  <wp:docPr id="187" name="图片 72"/>
                  <wp:cNvGraphicFramePr/>
                  <a:graphic xmlns:a="http://schemas.openxmlformats.org/drawingml/2006/main">
                    <a:graphicData uri="http://schemas.openxmlformats.org/drawingml/2006/picture">
                      <pic:pic xmlns:pic="http://schemas.openxmlformats.org/drawingml/2006/picture">
                        <pic:nvPicPr>
                          <pic:cNvPr id="187" name="图片 72"/>
                          <pic:cNvPicPr/>
                        </pic:nvPicPr>
                        <pic:blipFill>
                          <a:blip r:embed="rId122"/>
                          <a:stretch>
                            <a:fillRect/>
                          </a:stretch>
                        </pic:blipFill>
                        <pic:spPr>
                          <a:xfrm>
                            <a:off x="0" y="0"/>
                            <a:ext cx="4499610" cy="284416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00" w:type="pct"/>
            <w:gridSpan w:val="16"/>
            <w:vAlign w:val="center"/>
          </w:tcPr>
          <w:p>
            <w:pPr>
              <w:spacing w:line="240" w:lineRule="auto"/>
              <w:ind w:firstLine="0" w:firstLineChars="0"/>
              <w:jc w:val="center"/>
              <w:rPr>
                <w:b/>
                <w:bCs/>
                <w:sz w:val="21"/>
                <w:szCs w:val="21"/>
              </w:rPr>
            </w:pPr>
            <w:r>
              <w:rPr>
                <w:b/>
                <w:bCs/>
                <w:sz w:val="21"/>
                <w:szCs w:val="21"/>
              </w:rPr>
              <w:t>3#土石方中转场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665" w:type="pct"/>
            <w:gridSpan w:val="7"/>
            <w:vAlign w:val="center"/>
          </w:tcPr>
          <w:p>
            <w:pPr>
              <w:spacing w:line="240" w:lineRule="auto"/>
              <w:ind w:firstLine="0" w:firstLineChars="0"/>
              <w:jc w:val="center"/>
            </w:pPr>
            <w:r>
              <w:drawing>
                <wp:inline distT="0" distB="0" distL="114300" distR="114300">
                  <wp:extent cx="4392295" cy="2844165"/>
                  <wp:effectExtent l="0" t="0" r="8255" b="13335"/>
                  <wp:docPr id="83" name="图片 19"/>
                  <wp:cNvGraphicFramePr/>
                  <a:graphic xmlns:a="http://schemas.openxmlformats.org/drawingml/2006/main">
                    <a:graphicData uri="http://schemas.openxmlformats.org/drawingml/2006/picture">
                      <pic:pic xmlns:pic="http://schemas.openxmlformats.org/drawingml/2006/picture">
                        <pic:nvPicPr>
                          <pic:cNvPr id="83" name="图片 19"/>
                          <pic:cNvPicPr/>
                        </pic:nvPicPr>
                        <pic:blipFill>
                          <a:blip r:embed="rId123"/>
                          <a:stretch>
                            <a:fillRect/>
                          </a:stretch>
                        </pic:blipFill>
                        <pic:spPr>
                          <a:xfrm>
                            <a:off x="0" y="0"/>
                            <a:ext cx="4392295" cy="2844165"/>
                          </a:xfrm>
                          <a:prstGeom prst="rect">
                            <a:avLst/>
                          </a:prstGeom>
                          <a:noFill/>
                          <a:ln>
                            <a:noFill/>
                          </a:ln>
                        </pic:spPr>
                      </pic:pic>
                    </a:graphicData>
                  </a:graphic>
                </wp:inline>
              </w:drawing>
            </w:r>
          </w:p>
        </w:tc>
        <w:tc>
          <w:tcPr>
            <w:tcW w:w="1661" w:type="pct"/>
            <w:gridSpan w:val="6"/>
            <w:vAlign w:val="center"/>
          </w:tcPr>
          <w:p>
            <w:pPr>
              <w:spacing w:line="240" w:lineRule="auto"/>
              <w:ind w:firstLine="0" w:firstLineChars="0"/>
              <w:jc w:val="center"/>
              <w:rPr>
                <w:sz w:val="21"/>
                <w:szCs w:val="21"/>
              </w:rPr>
            </w:pPr>
            <w:r>
              <w:drawing>
                <wp:inline distT="0" distB="0" distL="114300" distR="114300">
                  <wp:extent cx="4392295" cy="2844165"/>
                  <wp:effectExtent l="0" t="0" r="8255" b="13335"/>
                  <wp:docPr id="110" name="图片 23"/>
                  <wp:cNvGraphicFramePr/>
                  <a:graphic xmlns:a="http://schemas.openxmlformats.org/drawingml/2006/main">
                    <a:graphicData uri="http://schemas.openxmlformats.org/drawingml/2006/picture">
                      <pic:pic xmlns:pic="http://schemas.openxmlformats.org/drawingml/2006/picture">
                        <pic:nvPicPr>
                          <pic:cNvPr id="110" name="图片 23"/>
                          <pic:cNvPicPr/>
                        </pic:nvPicPr>
                        <pic:blipFill>
                          <a:blip r:embed="rId124"/>
                          <a:stretch>
                            <a:fillRect/>
                          </a:stretch>
                        </pic:blipFill>
                        <pic:spPr>
                          <a:xfrm>
                            <a:off x="0" y="0"/>
                            <a:ext cx="4392295" cy="2844165"/>
                          </a:xfrm>
                          <a:prstGeom prst="rect">
                            <a:avLst/>
                          </a:prstGeom>
                          <a:noFill/>
                          <a:ln>
                            <a:noFill/>
                          </a:ln>
                        </pic:spPr>
                      </pic:pic>
                    </a:graphicData>
                  </a:graphic>
                </wp:inline>
              </w:drawing>
            </w:r>
          </w:p>
        </w:tc>
        <w:tc>
          <w:tcPr>
            <w:tcW w:w="1673" w:type="pct"/>
            <w:gridSpan w:val="3"/>
            <w:vAlign w:val="center"/>
          </w:tcPr>
          <w:p>
            <w:pPr>
              <w:spacing w:line="240" w:lineRule="auto"/>
              <w:ind w:firstLine="0" w:firstLineChars="0"/>
              <w:jc w:val="center"/>
              <w:rPr>
                <w:sz w:val="21"/>
                <w:szCs w:val="21"/>
              </w:rPr>
            </w:pPr>
            <w:r>
              <w:pict>
                <v:shape id="_x0000_s1081" o:spid="_x0000_s1081" o:spt="100" style="position:absolute;left:0pt;margin-left:62.8pt;margin-top:39.75pt;height:136.85pt;width:228.25pt;z-index:251681792;mso-width-relative:page;mso-height-relative:page;" filled="f" stroked="t" coordsize="4565,2737" o:gfxdata="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" adj="," path="m2777,23c2839,33,2982,23,3119,108c3256,193,3475,343,3462,450c3449,557,3111,545,3055,644c2999,743,2905,597,3184,944c3463,1291,4234,2024,4448,2380c4662,2736,4576,2762,4255,2723c3934,2684,3231,2439,2842,2186c2452,1933,2555,1578,2306,1458c2057,1338,1869,1556,1599,1586c1329,1616,1273,1685,956,1608c639,1531,94,1359,13,1200c-68,1041,253,978,549,815c845,652,1063,270,1149,112c1235,-46,2280,207,2563,130c2846,53,2859,21,2905,0e">
                  <v:path o:connecttype="segments" o:connectlocs="1763527,14607;1980713,68592;2198534,285803;1940070,409017;2021991,599553;2824691,1511585;2702127,1729431;1804805,1388372;1464419,926004;1015441,1007300;607105,1021272;8255,762143;348641,517622;729669,71133;1627626,82565;1844813,0" o:connectangles="0,0,0,0,0,0,0,0,0,0,0,0,0,0,0,0"/>
                  <v:fill on="f" focussize="0,0"/>
                  <v:stroke weight="3pt" color="#FF00FF" joinstyle="round"/>
                  <v:imagedata o:title=""/>
                  <o:lock v:ext="edit"/>
                  <v:shadow on="t" color="#000000" opacity="22937f" offset="0pt,1.81102362204724pt" origin="0f,32768f"/>
                </v:shape>
              </w:pict>
            </w:r>
            <w:r>
              <w:drawing>
                <wp:inline distT="0" distB="0" distL="114300" distR="114300">
                  <wp:extent cx="4496435" cy="2844165"/>
                  <wp:effectExtent l="0" t="0" r="18415" b="13335"/>
                  <wp:docPr id="175" name="图片 71"/>
                  <wp:cNvGraphicFramePr/>
                  <a:graphic xmlns:a="http://schemas.openxmlformats.org/drawingml/2006/main">
                    <a:graphicData uri="http://schemas.openxmlformats.org/drawingml/2006/picture">
                      <pic:pic xmlns:pic="http://schemas.openxmlformats.org/drawingml/2006/picture">
                        <pic:nvPicPr>
                          <pic:cNvPr id="175" name="图片 71"/>
                          <pic:cNvPicPr/>
                        </pic:nvPicPr>
                        <pic:blipFill>
                          <a:blip r:embed="rId125"/>
                          <a:stretch>
                            <a:fillRect/>
                          </a:stretch>
                        </pic:blipFill>
                        <pic:spPr>
                          <a:xfrm>
                            <a:off x="0" y="0"/>
                            <a:ext cx="4496435" cy="284416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00" w:type="pct"/>
            <w:gridSpan w:val="16"/>
            <w:vAlign w:val="center"/>
          </w:tcPr>
          <w:p>
            <w:pPr>
              <w:spacing w:line="240" w:lineRule="auto"/>
              <w:ind w:firstLine="0" w:firstLineChars="0"/>
              <w:jc w:val="center"/>
              <w:rPr>
                <w:b/>
                <w:bCs/>
                <w:sz w:val="21"/>
                <w:szCs w:val="21"/>
              </w:rPr>
            </w:pPr>
            <w:r>
              <w:rPr>
                <w:b/>
                <w:bCs/>
                <w:sz w:val="21"/>
                <w:szCs w:val="21"/>
              </w:rPr>
              <w:t>4#土石方中转场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665" w:type="pct"/>
            <w:gridSpan w:val="7"/>
            <w:vAlign w:val="center"/>
          </w:tcPr>
          <w:p>
            <w:pPr>
              <w:spacing w:line="240" w:lineRule="auto"/>
              <w:ind w:firstLine="0" w:firstLineChars="0"/>
              <w:jc w:val="center"/>
            </w:pPr>
            <w:r>
              <w:drawing>
                <wp:inline distT="0" distB="0" distL="114300" distR="114300">
                  <wp:extent cx="4392295" cy="2844165"/>
                  <wp:effectExtent l="0" t="0" r="8255" b="13335"/>
                  <wp:docPr id="84" name="图片 20"/>
                  <wp:cNvGraphicFramePr/>
                  <a:graphic xmlns:a="http://schemas.openxmlformats.org/drawingml/2006/main">
                    <a:graphicData uri="http://schemas.openxmlformats.org/drawingml/2006/picture">
                      <pic:pic xmlns:pic="http://schemas.openxmlformats.org/drawingml/2006/picture">
                        <pic:nvPicPr>
                          <pic:cNvPr id="84" name="图片 20"/>
                          <pic:cNvPicPr/>
                        </pic:nvPicPr>
                        <pic:blipFill>
                          <a:blip r:embed="rId126" cstate="print"/>
                          <a:stretch>
                            <a:fillRect/>
                          </a:stretch>
                        </pic:blipFill>
                        <pic:spPr>
                          <a:xfrm>
                            <a:off x="0" y="0"/>
                            <a:ext cx="4392295" cy="2844165"/>
                          </a:xfrm>
                          <a:prstGeom prst="rect">
                            <a:avLst/>
                          </a:prstGeom>
                          <a:noFill/>
                          <a:ln>
                            <a:noFill/>
                          </a:ln>
                        </pic:spPr>
                      </pic:pic>
                    </a:graphicData>
                  </a:graphic>
                </wp:inline>
              </w:drawing>
            </w:r>
          </w:p>
        </w:tc>
        <w:tc>
          <w:tcPr>
            <w:tcW w:w="1661" w:type="pct"/>
            <w:gridSpan w:val="6"/>
            <w:vAlign w:val="center"/>
          </w:tcPr>
          <w:p>
            <w:pPr>
              <w:spacing w:line="240" w:lineRule="auto"/>
              <w:ind w:firstLine="0" w:firstLineChars="0"/>
              <w:jc w:val="center"/>
              <w:rPr>
                <w:sz w:val="21"/>
                <w:szCs w:val="21"/>
              </w:rPr>
            </w:pPr>
            <w:r>
              <w:drawing>
                <wp:inline distT="0" distB="0" distL="114300" distR="114300">
                  <wp:extent cx="4392295" cy="2844165"/>
                  <wp:effectExtent l="0" t="0" r="8255" b="13335"/>
                  <wp:docPr id="111" name="图片 24"/>
                  <wp:cNvGraphicFramePr/>
                  <a:graphic xmlns:a="http://schemas.openxmlformats.org/drawingml/2006/main">
                    <a:graphicData uri="http://schemas.openxmlformats.org/drawingml/2006/picture">
                      <pic:pic xmlns:pic="http://schemas.openxmlformats.org/drawingml/2006/picture">
                        <pic:nvPicPr>
                          <pic:cNvPr id="111" name="图片 24"/>
                          <pic:cNvPicPr/>
                        </pic:nvPicPr>
                        <pic:blipFill>
                          <a:blip r:embed="rId127"/>
                          <a:stretch>
                            <a:fillRect/>
                          </a:stretch>
                        </pic:blipFill>
                        <pic:spPr>
                          <a:xfrm>
                            <a:off x="0" y="0"/>
                            <a:ext cx="4392295" cy="2844165"/>
                          </a:xfrm>
                          <a:prstGeom prst="rect">
                            <a:avLst/>
                          </a:prstGeom>
                          <a:noFill/>
                          <a:ln>
                            <a:noFill/>
                          </a:ln>
                        </pic:spPr>
                      </pic:pic>
                    </a:graphicData>
                  </a:graphic>
                </wp:inline>
              </w:drawing>
            </w:r>
          </w:p>
        </w:tc>
        <w:tc>
          <w:tcPr>
            <w:tcW w:w="1673" w:type="pct"/>
            <w:gridSpan w:val="3"/>
            <w:vAlign w:val="center"/>
          </w:tcPr>
          <w:p>
            <w:pPr>
              <w:spacing w:line="240" w:lineRule="auto"/>
              <w:ind w:firstLine="0" w:firstLineChars="0"/>
              <w:jc w:val="center"/>
              <w:rPr>
                <w:sz w:val="21"/>
                <w:szCs w:val="21"/>
              </w:rPr>
            </w:pPr>
            <w:r>
              <w:drawing>
                <wp:inline distT="0" distB="0" distL="114300" distR="114300">
                  <wp:extent cx="4498975" cy="2844165"/>
                  <wp:effectExtent l="0" t="0" r="15875" b="13335"/>
                  <wp:docPr id="156" name="图片 70"/>
                  <wp:cNvGraphicFramePr/>
                  <a:graphic xmlns:a="http://schemas.openxmlformats.org/drawingml/2006/main">
                    <a:graphicData uri="http://schemas.openxmlformats.org/drawingml/2006/picture">
                      <pic:pic xmlns:pic="http://schemas.openxmlformats.org/drawingml/2006/picture">
                        <pic:nvPicPr>
                          <pic:cNvPr id="156" name="图片 70"/>
                          <pic:cNvPicPr/>
                        </pic:nvPicPr>
                        <pic:blipFill>
                          <a:blip r:embed="rId128"/>
                          <a:stretch>
                            <a:fillRect/>
                          </a:stretch>
                        </pic:blipFill>
                        <pic:spPr>
                          <a:xfrm>
                            <a:off x="0" y="0"/>
                            <a:ext cx="4498975" cy="2844165"/>
                          </a:xfrm>
                          <a:prstGeom prst="rect">
                            <a:avLst/>
                          </a:prstGeom>
                          <a:noFill/>
                          <a:ln>
                            <a:noFill/>
                          </a:ln>
                        </pic:spPr>
                      </pic:pic>
                    </a:graphicData>
                  </a:graphic>
                </wp:inline>
              </w:drawing>
            </w:r>
            <w:r>
              <w:pict>
                <v:shape id="_x0000_s1080" o:spid="_x0000_s1080" o:spt="100" style="position:absolute;left:0pt;margin-left:59.05pt;margin-top:31.75pt;height:113pt;width:195.05pt;z-index:251680768;mso-width-relative:page;mso-height-relative:page;" filled="f" stroked="t" coordsize="3901,2260" o:gfxdata="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" adj="," path="m85,735c62,766,199,747,325,765c451,783,526,657,775,675c1024,693,1276,732,1345,825c1414,918,1216,924,1120,1140c1024,1356,832,1683,865,1905c898,2127,979,2208,1285,2250c1591,2292,1960,2187,2395,2115c2829,2043,3171,1992,3459,1890c3747,1788,3768,1740,3834,1605c3900,1470,3963,1311,3789,1215c3615,1119,3285,1185,2964,1125c2643,1065,2341,1002,2185,915c2029,828,2221,798,2185,690c2149,582,2056,486,2005,375c1954,264,1945,210,1930,135c1915,60,2074,3,1930,0c1786,-3,1576,15,1210,120c844,225,322,414,100,525c-122,636,93,713,115,735e">
                  <v:path o:connecttype="segments" o:connectlocs="53979,466913;206390,485970;492161,428797;854139,524086;711253,724191;549316,1210162;816036,1429325;1520939,1343566;2196629,1200633;2434772,1019585;2406195,771835;1882281,714662;1387579,581259;1387579,438326;1273270,238220;1225642,85759;1225642,0;768407,76230;63504,333509;73030,466913" o:connectangles="0,0,0,0,0,0,0,0,0,0,0,0,0,0,0,0,0,0,0,0"/>
                  <v:fill on="f" focussize="0,0"/>
                  <v:stroke weight="3pt" color="#FF00FF" joinstyle="round"/>
                  <v:imagedata o:title=""/>
                  <o:lock v:ext="edit"/>
                  <v:shadow on="t" color="#000000" opacity="22937f" offset="0pt,1.81102362204724pt" origin="0f,32768f"/>
                </v:shape>
              </w:pic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00" w:type="pct"/>
            <w:gridSpan w:val="16"/>
            <w:vAlign w:val="center"/>
          </w:tcPr>
          <w:p>
            <w:pPr>
              <w:spacing w:line="240" w:lineRule="auto"/>
              <w:ind w:firstLine="0" w:firstLineChars="0"/>
              <w:jc w:val="center"/>
              <w:rPr>
                <w:b/>
                <w:bCs/>
                <w:sz w:val="21"/>
                <w:szCs w:val="21"/>
              </w:rPr>
            </w:pPr>
            <w:r>
              <w:rPr>
                <w:b/>
                <w:bCs/>
                <w:sz w:val="21"/>
                <w:szCs w:val="21"/>
              </w:rPr>
              <w:t>5#土石方中转场</w:t>
            </w:r>
          </w:p>
        </w:tc>
      </w:tr>
    </w:tbl>
    <w:p>
      <w:pPr>
        <w:pStyle w:val="6"/>
        <w:jc w:val="center"/>
        <w:sectPr>
          <w:pgSz w:w="23811" w:h="16838" w:orient="landscape"/>
          <w:pgMar w:top="1417" w:right="1417" w:bottom="1417" w:left="1417" w:header="850" w:footer="992" w:gutter="0"/>
          <w:cols w:space="720" w:num="1"/>
          <w:docGrid w:linePitch="312" w:charSpace="0"/>
        </w:sectPr>
      </w:pPr>
    </w:p>
    <w:p>
      <w:pPr>
        <w:pStyle w:val="6"/>
      </w:pPr>
      <w:r>
        <w:t>2.2.5五通一平实施规划</w:t>
      </w:r>
    </w:p>
    <w:p>
      <w:pPr>
        <w:widowControl/>
        <w:ind w:firstLine="480"/>
        <w:jc w:val="left"/>
      </w:pPr>
      <w:r>
        <w:t>1、</w:t>
      </w:r>
      <w:r>
        <w:rPr>
          <w:kern w:val="0"/>
          <w:szCs w:val="24"/>
        </w:rPr>
        <w:t>场地平整原则</w:t>
      </w:r>
    </w:p>
    <w:p>
      <w:pPr>
        <w:widowControl/>
        <w:ind w:firstLine="480"/>
      </w:pPr>
      <w:r>
        <w:rPr>
          <w:kern w:val="0"/>
          <w:szCs w:val="24"/>
        </w:rPr>
        <w:t>根据园区建设用地特点，综合考虑场区规划、布置、施工、造价、景观及与周边道路、排水设施协调等因素，为具有较好的社会、经济及环境效益，场地平整原则如下：</w:t>
      </w:r>
    </w:p>
    <w:p>
      <w:pPr>
        <w:widowControl/>
        <w:ind w:firstLine="480"/>
      </w:pPr>
      <w:r>
        <w:rPr>
          <w:kern w:val="0"/>
          <w:szCs w:val="24"/>
        </w:rPr>
        <w:t>（1）场地平整后有利于土地开发利用，与周边地块及市政道路衔接良好，同时满足场地控规用地标高控制总体要求；</w:t>
      </w:r>
    </w:p>
    <w:p>
      <w:pPr>
        <w:widowControl/>
        <w:ind w:firstLine="480"/>
      </w:pPr>
      <w:r>
        <w:rPr>
          <w:kern w:val="0"/>
          <w:szCs w:val="24"/>
        </w:rPr>
        <w:t>（2）满足园区竖向规划，满足地块使用功能及工程总投资规模；</w:t>
      </w:r>
    </w:p>
    <w:p>
      <w:pPr>
        <w:widowControl/>
        <w:ind w:firstLine="480"/>
      </w:pPr>
      <w:r>
        <w:rPr>
          <w:kern w:val="0"/>
          <w:szCs w:val="24"/>
        </w:rPr>
        <w:t>（3）考虑土石方平衡，减少土石方借土及弃土工程量，减少环境影响，节约工程造价等；</w:t>
      </w:r>
    </w:p>
    <w:p>
      <w:pPr>
        <w:widowControl/>
        <w:ind w:firstLine="480"/>
      </w:pPr>
      <w:r>
        <w:rPr>
          <w:kern w:val="0"/>
          <w:szCs w:val="24"/>
        </w:rPr>
        <w:t>（4）要保护好场区环境和景观并与周边相协调；</w:t>
      </w:r>
    </w:p>
    <w:p>
      <w:pPr>
        <w:widowControl/>
        <w:ind w:firstLine="480"/>
      </w:pPr>
      <w:r>
        <w:rPr>
          <w:kern w:val="0"/>
          <w:szCs w:val="24"/>
        </w:rPr>
        <w:t>（5）场地满足防洪、排水要求。</w:t>
      </w:r>
    </w:p>
    <w:p>
      <w:pPr>
        <w:widowControl/>
        <w:ind w:firstLine="480"/>
        <w:jc w:val="left"/>
      </w:pPr>
      <w:r>
        <w:t>2、</w:t>
      </w:r>
      <w:r>
        <w:rPr>
          <w:kern w:val="0"/>
          <w:szCs w:val="24"/>
        </w:rPr>
        <w:t>五通一平规划</w:t>
      </w:r>
    </w:p>
    <w:p>
      <w:pPr>
        <w:widowControl/>
        <w:ind w:firstLine="480"/>
      </w:pPr>
      <w:r>
        <w:rPr>
          <w:kern w:val="0"/>
          <w:szCs w:val="24"/>
        </w:rPr>
        <w:t>根据园区建设实施需要，需要先实施园区“五通一平”（道路通、给排水通、电力通、燃气通、通热及场地平整）工程，由园区管理委员会负责实施。根据园区发展规划，园区“五通一平”工程拟在规划前期（2022~2025年）实施完毕，园区分期建设总体规划为由北向南逐步开展，优先规划建设凤翔路以北（即</w:t>
      </w:r>
      <w:r>
        <w:t>近期建设区</w:t>
      </w:r>
      <w:r>
        <w:rPr>
          <w:kern w:val="0"/>
          <w:szCs w:val="24"/>
        </w:rPr>
        <w:t>），园区东部的区域（即</w:t>
      </w:r>
      <w:r>
        <w:t>远期拓展区</w:t>
      </w:r>
      <w:r>
        <w:rPr>
          <w:kern w:val="0"/>
          <w:szCs w:val="24"/>
        </w:rPr>
        <w:t>），再根据招商及项目落地进度，逐步规划建设其他区域。园区通水、通电、通气、通讯设施将结合通路、公共基础设施工程一并实施。</w:t>
      </w:r>
    </w:p>
    <w:p>
      <w:pPr>
        <w:pStyle w:val="6"/>
      </w:pPr>
      <w:r>
        <w:t>2.2.6施工工艺和方法</w:t>
      </w:r>
    </w:p>
    <w:p>
      <w:pPr>
        <w:ind w:firstLine="480"/>
      </w:pPr>
      <w:r>
        <w:rPr>
          <w:kern w:val="0"/>
          <w:szCs w:val="24"/>
        </w:rPr>
        <w:t>园区建设内容为：场地平整、道路、给排水、电力通信线路、燃气管网、绿化、房建等项目，其主要项目施工与水土流失有关的施工工艺具体如下。</w:t>
      </w:r>
    </w:p>
    <w:p>
      <w:pPr>
        <w:widowControl/>
        <w:ind w:firstLine="480"/>
      </w:pPr>
      <w:r>
        <w:rPr>
          <w:kern w:val="0"/>
          <w:szCs w:val="24"/>
        </w:rPr>
        <w:t>1、清基工程</w:t>
      </w:r>
    </w:p>
    <w:p>
      <w:pPr>
        <w:widowControl/>
        <w:ind w:firstLine="480"/>
      </w:pPr>
      <w:r>
        <w:rPr>
          <w:kern w:val="0"/>
          <w:szCs w:val="24"/>
        </w:rPr>
        <w:t>施工前，对园区内扰动区域的所有耕地、林地等可以剥离表土的区域进行表层土剥离，以保护珍贵的表土资源，剥离厚度20～40cm。表土剥离施工采用机械配合人工的施工方式，剥离的表层土运至表土临时堆土场集中堆放，并采取相应的临时防护措施，用于施工后期绿化覆土。清基工程采用履带式推土机清基，由于场平工程和道路工程同时施工，所以清基工程在整个建设区域同时实施。</w:t>
      </w:r>
    </w:p>
    <w:p>
      <w:pPr>
        <w:ind w:firstLine="480"/>
      </w:pPr>
      <w:r>
        <w:t>2、场平工程</w:t>
      </w:r>
    </w:p>
    <w:p>
      <w:pPr>
        <w:widowControl/>
        <w:ind w:firstLine="480"/>
      </w:pPr>
      <w:r>
        <w:rPr>
          <w:kern w:val="0"/>
          <w:szCs w:val="24"/>
        </w:rPr>
        <w:t>场地平整施工主要采用机械开挖填筑方式，根据园区内竖向设计原则，场平工程基本依据已有地形进行局部平整，以道路路面为基准面，挖填至设计高程，为防止开挖边坡塌方，同时为防止强降雨造成基坑积水，需避开雨季施工。场平工程施工前根据设计边界对场平范围内的各类建筑物、障碍物、现有地下管线等进行认真调查并做好详细记录，按设计进行挖掘、迁移、拆除或清理，然后进行测量放线，定出挖填平衡线，测出挖填高程，选择合理运距，最后利用推土机、挖掘机、碾压机实施推、挖、碾压，局部进行人工修整，使场平后的地面高程达到设计高程。</w:t>
      </w:r>
    </w:p>
    <w:p>
      <w:pPr>
        <w:widowControl/>
        <w:ind w:firstLine="480"/>
      </w:pPr>
      <w:r>
        <w:t>3、</w:t>
      </w:r>
      <w:r>
        <w:rPr>
          <w:kern w:val="0"/>
          <w:szCs w:val="24"/>
        </w:rPr>
        <w:t>市政配套设施基础施工</w:t>
      </w:r>
    </w:p>
    <w:p>
      <w:pPr>
        <w:widowControl/>
        <w:ind w:firstLine="480"/>
      </w:pPr>
      <w:r>
        <w:rPr>
          <w:kern w:val="0"/>
          <w:szCs w:val="24"/>
        </w:rPr>
        <w:t>市政公用设施主要包括变电站、给水提升泵站、加油加气站、污水泵和环卫设施等。市政配套设施基础施工时，根据设计标高，进行基础挖填施工，全部采用机械化作业。根据区域地质条件，建筑物本阶段暂定条形基础。条形基础施工直接利用机械开挖，垫入基石并回填部分开挖土石方。地下室施工采用机械开挖方式，挖至设计高程，为防止边坡塌方，对开挖坡面及时进行钢板支护，同时为防止强降雨造成基坑积水，需避开雨季施工。市政配套设施工程施工与园区内地下管线埋设施工同步进行，如给水、排水、电力、通信和燃气等管线工程。管线沟槽开挖、回填采用机械配合人工方式施工，多余土石方就近在园区内场地回填。管线结合园区内道路布设，最后进行行道树和边坡的绿化工程。</w:t>
      </w:r>
    </w:p>
    <w:p>
      <w:pPr>
        <w:widowControl/>
        <w:ind w:firstLine="480"/>
      </w:pPr>
      <w:r>
        <w:rPr>
          <w:kern w:val="0"/>
          <w:szCs w:val="24"/>
        </w:rPr>
        <w:t>4、路基工程</w:t>
      </w:r>
    </w:p>
    <w:p>
      <w:pPr>
        <w:widowControl/>
        <w:ind w:firstLine="480"/>
      </w:pPr>
      <w:r>
        <w:rPr>
          <w:kern w:val="0"/>
          <w:szCs w:val="24"/>
        </w:rPr>
        <w:t>路基工程以机械施工为主，分开挖和填筑部分。对于开挖边坡较高的地段，采用爆破法施工，施工中考虑边坡稳定和填筑料最大粒径的要求。路基填筑采用分层填筑压实法，路基填筑料综合利用路堑开挖料，路基的压实度按照路基设计规范要求压实。路基工程施工同步进行给水、排水、电力、通信和燃气等管线工程埋设，待路基碾压密实后进行路面基层填筑碾压和混凝土路面浇筑。</w:t>
      </w:r>
    </w:p>
    <w:p>
      <w:pPr>
        <w:widowControl/>
        <w:ind w:firstLine="480"/>
      </w:pPr>
      <w:r>
        <w:rPr>
          <w:kern w:val="0"/>
          <w:szCs w:val="24"/>
        </w:rPr>
        <w:t>5、路面工程</w:t>
      </w:r>
    </w:p>
    <w:p>
      <w:pPr>
        <w:widowControl/>
        <w:ind w:firstLine="480"/>
      </w:pPr>
      <w:r>
        <w:rPr>
          <w:kern w:val="0"/>
          <w:szCs w:val="24"/>
        </w:rPr>
        <w:t>工程采用沥青混凝土路面，路面底基层水泥稳定碎石、基层水泥稳定碎石，沥青混凝土面层均采用拌和厂集中拌和、摊铺机摊铺法施工。</w:t>
      </w:r>
    </w:p>
    <w:p>
      <w:pPr>
        <w:widowControl/>
        <w:ind w:firstLine="480"/>
      </w:pPr>
      <w:r>
        <w:rPr>
          <w:kern w:val="0"/>
          <w:szCs w:val="24"/>
        </w:rPr>
        <w:t>6、涵管工程</w:t>
      </w:r>
    </w:p>
    <w:p>
      <w:pPr>
        <w:widowControl/>
        <w:ind w:firstLine="480"/>
      </w:pPr>
      <w:r>
        <w:rPr>
          <w:kern w:val="0"/>
          <w:szCs w:val="24"/>
        </w:rPr>
        <w:t>涵管施工根据工程地质、地形地貌的实际情况逢沟设涵，涵管采用预制普通钢筋砼圆管涵或箱涵。</w:t>
      </w:r>
    </w:p>
    <w:p>
      <w:pPr>
        <w:widowControl/>
        <w:ind w:firstLine="480"/>
      </w:pPr>
      <w:r>
        <w:rPr>
          <w:kern w:val="0"/>
          <w:szCs w:val="24"/>
        </w:rPr>
        <w:t>7、绿化工程</w:t>
      </w:r>
    </w:p>
    <w:p>
      <w:pPr>
        <w:widowControl/>
        <w:ind w:firstLine="480"/>
      </w:pPr>
      <w:r>
        <w:rPr>
          <w:kern w:val="0"/>
          <w:szCs w:val="24"/>
        </w:rPr>
        <w:t>绿化前采用机械或人工平整场地、覆盖表土，然后按绿化设计方案配置乔木、灌木及花卉，树下铺植草皮或撒播草籽。工程开挖边坡采取厚层基材植被护坡，市政公用设施非硬化区域采取园林式景观绿化，路基边坡采取铺植草皮、土工格栅植草、方格网植草防护，侧分带和中央分隔带采取园林式绿化。绿化带上层行道树以速生、主干分枝较高、冠幅较大、耐修剪的乔木为佳；下层绿化设计耐修剪的灌木，进行拼图、满铺；在地表铺设草皮，减少地表裸露。根据城市建设需要，在园区内还需实施生产防护绿地和公共绿地。园区绿化工程实施后需加强后期养护。</w:t>
      </w:r>
    </w:p>
    <w:p>
      <w:pPr>
        <w:widowControl/>
        <w:ind w:firstLine="480"/>
      </w:pPr>
      <w:r>
        <w:rPr>
          <w:kern w:val="0"/>
          <w:szCs w:val="24"/>
        </w:rPr>
        <w:t>8、表土剥离及临时堆土施工</w:t>
      </w:r>
    </w:p>
    <w:p>
      <w:pPr>
        <w:widowControl/>
        <w:ind w:firstLine="480"/>
      </w:pPr>
      <w:r>
        <w:rPr>
          <w:kern w:val="0"/>
          <w:szCs w:val="24"/>
        </w:rPr>
        <w:t>临时堆土采用临时拦挡及临时排水措施进行防护，临时堆土按项目施工工序而定，项目区场地整理到位不再扰动后立即回填，减少堆置时间。施工结束后，施工单位须将地表建筑物及硬化地面全部拆除，废弃物及时运至附近临时堆土场。然后按照施工场地后期使用规划，做好场地的土地整治，以备绿化。</w:t>
      </w:r>
    </w:p>
    <w:p>
      <w:pPr>
        <w:pStyle w:val="5"/>
      </w:pPr>
      <w:bookmarkStart w:id="56" w:name="_Toc28122"/>
      <w:r>
        <w:t>2.3工程占地</w:t>
      </w:r>
      <w:bookmarkEnd w:id="56"/>
    </w:p>
    <w:p>
      <w:pPr>
        <w:widowControl/>
        <w:ind w:firstLine="480"/>
        <w:sectPr>
          <w:pgSz w:w="11905" w:h="16838"/>
          <w:pgMar w:top="1417" w:right="1417" w:bottom="1417" w:left="1417" w:header="850" w:footer="992" w:gutter="0"/>
          <w:cols w:space="720" w:num="1"/>
          <w:docGrid w:linePitch="312" w:charSpace="0"/>
        </w:sectPr>
      </w:pPr>
      <w:r>
        <w:t>根据</w:t>
      </w:r>
      <w:r>
        <w:rPr>
          <w:szCs w:val="21"/>
        </w:rPr>
        <w:t>《乐山五通桥化工园区总体规划》</w:t>
      </w:r>
      <w:r>
        <w:t>、《土地利用现状分类》（GB/T21010-2017）、五通桥区三调数据资料，在</w:t>
      </w:r>
      <w:r>
        <w:rPr>
          <w:kern w:val="0"/>
          <w:szCs w:val="24"/>
        </w:rPr>
        <w:t>Arcgis中导出各地块面积及占地类型后按园区组成分类统计汇总，</w:t>
      </w:r>
      <w:r>
        <w:t>园区总占地面积1129.18hm</w:t>
      </w:r>
      <w:r>
        <w:rPr>
          <w:vertAlign w:val="superscript"/>
        </w:rPr>
        <w:t>2</w:t>
      </w:r>
      <w:r>
        <w:t>，均为永久占地。园区占地原始地貌类型为</w:t>
      </w:r>
      <w:r>
        <w:rPr>
          <w:kern w:val="0"/>
          <w:szCs w:val="24"/>
        </w:rPr>
        <w:t>耕地、园地、林地、草地、商服用地、工矿仓储用地、住宅用地、公共管理与公共服务用地、特殊用地、交通运输用地、水域及水利设施用地、其他土地。园区目前已经全部规划转为建设用地。其中已建区占地59.0hm</w:t>
      </w:r>
      <w:r>
        <w:rPr>
          <w:kern w:val="0"/>
          <w:szCs w:val="24"/>
          <w:vertAlign w:val="superscript"/>
        </w:rPr>
        <w:t>2</w:t>
      </w:r>
      <w:r>
        <w:rPr>
          <w:kern w:val="0"/>
          <w:szCs w:val="24"/>
        </w:rPr>
        <w:t>、在建区占地368.72hm</w:t>
      </w:r>
      <w:r>
        <w:rPr>
          <w:kern w:val="0"/>
          <w:szCs w:val="24"/>
          <w:vertAlign w:val="superscript"/>
        </w:rPr>
        <w:t>2</w:t>
      </w:r>
      <w:r>
        <w:rPr>
          <w:kern w:val="0"/>
          <w:szCs w:val="24"/>
        </w:rPr>
        <w:t>、未建区占地701.46hm</w:t>
      </w:r>
      <w:r>
        <w:rPr>
          <w:kern w:val="0"/>
          <w:szCs w:val="24"/>
          <w:vertAlign w:val="superscript"/>
        </w:rPr>
        <w:t>2</w:t>
      </w:r>
      <w:r>
        <w:rPr>
          <w:kern w:val="0"/>
          <w:szCs w:val="24"/>
        </w:rPr>
        <w:t>。项目区域ArcGis原始地貌详见图2.3-1，</w:t>
      </w:r>
      <w:r>
        <w:t>具体占地类型情况详见表2.3-</w:t>
      </w:r>
      <w:r>
        <w:rPr>
          <w:rFonts w:hint="eastAsia"/>
        </w:rPr>
        <w:t>1</w:t>
      </w:r>
      <w:r>
        <w:t>。</w:t>
      </w:r>
    </w:p>
    <w:tbl>
      <w:tblPr>
        <w:tblStyle w:val="37"/>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422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5000" w:type="pct"/>
          </w:tcPr>
          <w:p>
            <w:pPr>
              <w:pStyle w:val="75"/>
              <w:spacing w:line="360" w:lineRule="auto"/>
              <w:jc w:val="center"/>
              <w:rPr>
                <w:sz w:val="21"/>
                <w:szCs w:val="21"/>
              </w:rPr>
            </w:pPr>
            <w:r>
              <w:rPr>
                <w:sz w:val="21"/>
                <w:szCs w:val="21"/>
              </w:rPr>
              <w:drawing>
                <wp:inline distT="0" distB="0" distL="114300" distR="114300">
                  <wp:extent cx="7506335" cy="5305425"/>
                  <wp:effectExtent l="0" t="0" r="18415" b="9525"/>
                  <wp:docPr id="224" name="图片 224" descr="占地类型矢量图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占地类型矢量图_00"/>
                          <pic:cNvPicPr>
                            <a:picLocks noChangeAspect="1"/>
                          </pic:cNvPicPr>
                        </pic:nvPicPr>
                        <pic:blipFill>
                          <a:blip r:embed="rId129"/>
                          <a:stretch>
                            <a:fillRect/>
                          </a:stretch>
                        </pic:blipFill>
                        <pic:spPr>
                          <a:xfrm>
                            <a:off x="0" y="0"/>
                            <a:ext cx="7506335" cy="5305425"/>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55" w:hRule="atLeast"/>
          <w:jc w:val="center"/>
        </w:trPr>
        <w:tc>
          <w:tcPr>
            <w:tcW w:w="5000" w:type="pct"/>
          </w:tcPr>
          <w:p>
            <w:pPr>
              <w:pStyle w:val="75"/>
              <w:jc w:val="center"/>
              <w:rPr>
                <w:sz w:val="21"/>
                <w:szCs w:val="21"/>
              </w:rPr>
            </w:pPr>
            <w:r>
              <w:rPr>
                <w:sz w:val="21"/>
                <w:szCs w:val="21"/>
              </w:rPr>
              <w:t>图2.3-1项目区域ArcGis原始地貌矢量图</w:t>
            </w:r>
          </w:p>
        </w:tc>
      </w:tr>
    </w:tbl>
    <w:p>
      <w:pPr>
        <w:pStyle w:val="75"/>
        <w:spacing w:line="360" w:lineRule="auto"/>
        <w:jc w:val="center"/>
        <w:sectPr>
          <w:pgSz w:w="16838" w:h="11905" w:orient="landscape"/>
          <w:pgMar w:top="1417" w:right="1417" w:bottom="1417" w:left="1417" w:header="850" w:footer="992" w:gutter="0"/>
          <w:cols w:space="720" w:num="1"/>
          <w:docGrid w:linePitch="312" w:charSpace="0"/>
        </w:sectPr>
      </w:pPr>
    </w:p>
    <w:p>
      <w:pPr>
        <w:pStyle w:val="75"/>
        <w:spacing w:line="360" w:lineRule="auto"/>
        <w:jc w:val="center"/>
      </w:pPr>
      <w:r>
        <w:t>表2.3-1园区占地面积及占地类型表（单位：hm</w:t>
      </w:r>
      <w:r>
        <w:rPr>
          <w:vertAlign w:val="superscript"/>
        </w:rPr>
        <w:t>2</w:t>
      </w:r>
      <w:r>
        <w:t>）</w:t>
      </w:r>
    </w:p>
    <w:tbl>
      <w:tblPr>
        <w:tblStyle w:val="110"/>
        <w:tblW w:w="50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398"/>
        <w:gridCol w:w="1856"/>
        <w:gridCol w:w="876"/>
        <w:gridCol w:w="824"/>
        <w:gridCol w:w="824"/>
        <w:gridCol w:w="824"/>
        <w:gridCol w:w="824"/>
        <w:gridCol w:w="749"/>
        <w:gridCol w:w="731"/>
        <w:gridCol w:w="748"/>
        <w:gridCol w:w="1128"/>
        <w:gridCol w:w="699"/>
        <w:gridCol w:w="803"/>
        <w:gridCol w:w="896"/>
        <w:gridCol w:w="730"/>
        <w:gridCol w:w="890"/>
        <w:gridCol w:w="69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79" w:type="pct"/>
            <w:gridSpan w:val="3"/>
            <w:vMerge w:val="restart"/>
            <w:vAlign w:val="center"/>
          </w:tcPr>
          <w:p>
            <w:pPr>
              <w:tabs>
                <w:tab w:val="left" w:pos="1050"/>
              </w:tabs>
              <w:spacing w:line="240" w:lineRule="exact"/>
              <w:ind w:firstLine="0" w:firstLineChars="0"/>
              <w:jc w:val="center"/>
              <w:rPr>
                <w:b/>
                <w:bCs/>
                <w:sz w:val="21"/>
                <w:szCs w:val="21"/>
              </w:rPr>
            </w:pPr>
            <w:r>
              <w:rPr>
                <w:b/>
                <w:bCs/>
                <w:sz w:val="21"/>
                <w:szCs w:val="21"/>
              </w:rPr>
              <w:t>项目组成</w:t>
            </w:r>
          </w:p>
        </w:tc>
        <w:tc>
          <w:tcPr>
            <w:tcW w:w="3372" w:type="pct"/>
            <w:gridSpan w:val="12"/>
            <w:vAlign w:val="center"/>
          </w:tcPr>
          <w:p>
            <w:pPr>
              <w:tabs>
                <w:tab w:val="left" w:pos="1050"/>
              </w:tabs>
              <w:spacing w:line="240" w:lineRule="exact"/>
              <w:ind w:firstLine="0" w:firstLineChars="0"/>
              <w:jc w:val="center"/>
              <w:rPr>
                <w:b/>
                <w:bCs/>
                <w:sz w:val="21"/>
                <w:szCs w:val="21"/>
              </w:rPr>
            </w:pPr>
            <w:r>
              <w:rPr>
                <w:b/>
                <w:bCs/>
                <w:sz w:val="21"/>
                <w:szCs w:val="21"/>
              </w:rPr>
              <w:t>占地类型</w:t>
            </w:r>
          </w:p>
        </w:tc>
        <w:tc>
          <w:tcPr>
            <w:tcW w:w="307" w:type="pct"/>
            <w:vMerge w:val="restart"/>
            <w:vAlign w:val="center"/>
          </w:tcPr>
          <w:p>
            <w:pPr>
              <w:tabs>
                <w:tab w:val="left" w:pos="1050"/>
              </w:tabs>
              <w:spacing w:line="240" w:lineRule="exact"/>
              <w:ind w:firstLine="0" w:firstLineChars="0"/>
              <w:jc w:val="center"/>
              <w:rPr>
                <w:b/>
                <w:sz w:val="21"/>
                <w:szCs w:val="21"/>
              </w:rPr>
            </w:pPr>
            <w:r>
              <w:rPr>
                <w:b/>
                <w:sz w:val="21"/>
                <w:szCs w:val="21"/>
              </w:rPr>
              <w:t>合计</w:t>
            </w:r>
          </w:p>
        </w:tc>
        <w:tc>
          <w:tcPr>
            <w:tcW w:w="239" w:type="pct"/>
            <w:vMerge w:val="restart"/>
            <w:vAlign w:val="center"/>
          </w:tcPr>
          <w:p>
            <w:pPr>
              <w:tabs>
                <w:tab w:val="left" w:pos="1050"/>
              </w:tabs>
              <w:spacing w:line="240" w:lineRule="exact"/>
              <w:ind w:firstLine="0" w:firstLineChars="0"/>
              <w:jc w:val="center"/>
              <w:rPr>
                <w:b/>
                <w:sz w:val="21"/>
                <w:szCs w:val="21"/>
              </w:rPr>
            </w:pPr>
            <w:r>
              <w:rPr>
                <w:b/>
                <w:sz w:val="21"/>
                <w:szCs w:val="21"/>
              </w:rPr>
              <w:t>占地性质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79" w:type="pct"/>
            <w:gridSpan w:val="3"/>
            <w:vMerge w:val="continue"/>
            <w:vAlign w:val="center"/>
          </w:tcPr>
          <w:p>
            <w:pPr>
              <w:tabs>
                <w:tab w:val="left" w:pos="1050"/>
              </w:tabs>
              <w:spacing w:line="240" w:lineRule="exact"/>
              <w:ind w:firstLine="0" w:firstLineChars="0"/>
              <w:jc w:val="center"/>
              <w:rPr>
                <w:b/>
                <w:bCs/>
                <w:sz w:val="21"/>
                <w:szCs w:val="21"/>
              </w:rPr>
            </w:pPr>
          </w:p>
        </w:tc>
        <w:tc>
          <w:tcPr>
            <w:tcW w:w="284" w:type="pct"/>
            <w:vAlign w:val="center"/>
          </w:tcPr>
          <w:p>
            <w:pPr>
              <w:widowControl/>
              <w:spacing w:line="240" w:lineRule="exact"/>
              <w:ind w:firstLine="0" w:firstLineChars="0"/>
              <w:jc w:val="center"/>
              <w:textAlignment w:val="center"/>
              <w:rPr>
                <w:b/>
                <w:bCs/>
                <w:sz w:val="21"/>
                <w:szCs w:val="21"/>
              </w:rPr>
            </w:pPr>
            <w:r>
              <w:rPr>
                <w:b/>
                <w:bCs/>
                <w:kern w:val="0"/>
                <w:sz w:val="21"/>
                <w:szCs w:val="21"/>
              </w:rPr>
              <w:t>耕地</w:t>
            </w:r>
          </w:p>
        </w:tc>
        <w:tc>
          <w:tcPr>
            <w:tcW w:w="284" w:type="pct"/>
            <w:vAlign w:val="center"/>
          </w:tcPr>
          <w:p>
            <w:pPr>
              <w:widowControl/>
              <w:spacing w:line="240" w:lineRule="exact"/>
              <w:ind w:firstLine="0" w:firstLineChars="0"/>
              <w:jc w:val="center"/>
              <w:textAlignment w:val="center"/>
              <w:rPr>
                <w:b/>
                <w:bCs/>
                <w:sz w:val="21"/>
                <w:szCs w:val="21"/>
              </w:rPr>
            </w:pPr>
            <w:r>
              <w:rPr>
                <w:b/>
                <w:bCs/>
                <w:kern w:val="0"/>
                <w:sz w:val="21"/>
                <w:szCs w:val="21"/>
              </w:rPr>
              <w:t>园地</w:t>
            </w:r>
          </w:p>
        </w:tc>
        <w:tc>
          <w:tcPr>
            <w:tcW w:w="284" w:type="pct"/>
            <w:vAlign w:val="center"/>
          </w:tcPr>
          <w:p>
            <w:pPr>
              <w:widowControl/>
              <w:spacing w:line="240" w:lineRule="exact"/>
              <w:ind w:firstLine="0" w:firstLineChars="0"/>
              <w:jc w:val="center"/>
              <w:textAlignment w:val="center"/>
              <w:rPr>
                <w:b/>
                <w:bCs/>
                <w:sz w:val="21"/>
                <w:szCs w:val="21"/>
              </w:rPr>
            </w:pPr>
            <w:r>
              <w:rPr>
                <w:b/>
                <w:bCs/>
                <w:kern w:val="0"/>
                <w:sz w:val="21"/>
                <w:szCs w:val="21"/>
              </w:rPr>
              <w:t>林地</w:t>
            </w:r>
          </w:p>
        </w:tc>
        <w:tc>
          <w:tcPr>
            <w:tcW w:w="284" w:type="pct"/>
            <w:vAlign w:val="center"/>
          </w:tcPr>
          <w:p>
            <w:pPr>
              <w:widowControl/>
              <w:spacing w:line="240" w:lineRule="exact"/>
              <w:ind w:firstLine="0" w:firstLineChars="0"/>
              <w:jc w:val="center"/>
              <w:textAlignment w:val="center"/>
              <w:rPr>
                <w:b/>
                <w:bCs/>
                <w:sz w:val="21"/>
                <w:szCs w:val="21"/>
              </w:rPr>
            </w:pPr>
            <w:r>
              <w:rPr>
                <w:b/>
                <w:bCs/>
                <w:kern w:val="0"/>
                <w:sz w:val="21"/>
                <w:szCs w:val="21"/>
              </w:rPr>
              <w:t>草地</w:t>
            </w:r>
          </w:p>
        </w:tc>
        <w:tc>
          <w:tcPr>
            <w:tcW w:w="258" w:type="pct"/>
            <w:vAlign w:val="center"/>
          </w:tcPr>
          <w:p>
            <w:pPr>
              <w:widowControl/>
              <w:spacing w:line="240" w:lineRule="exact"/>
              <w:ind w:firstLine="0" w:firstLineChars="0"/>
              <w:jc w:val="center"/>
              <w:textAlignment w:val="center"/>
              <w:rPr>
                <w:b/>
                <w:bCs/>
                <w:sz w:val="21"/>
                <w:szCs w:val="21"/>
              </w:rPr>
            </w:pPr>
            <w:r>
              <w:rPr>
                <w:b/>
                <w:bCs/>
                <w:kern w:val="0"/>
                <w:sz w:val="21"/>
                <w:szCs w:val="21"/>
              </w:rPr>
              <w:t>商服用地</w:t>
            </w:r>
          </w:p>
        </w:tc>
        <w:tc>
          <w:tcPr>
            <w:tcW w:w="252" w:type="pct"/>
            <w:vAlign w:val="center"/>
          </w:tcPr>
          <w:p>
            <w:pPr>
              <w:widowControl/>
              <w:spacing w:line="240" w:lineRule="exact"/>
              <w:ind w:firstLine="0" w:firstLineChars="0"/>
              <w:jc w:val="center"/>
              <w:textAlignment w:val="center"/>
              <w:rPr>
                <w:b/>
                <w:bCs/>
                <w:sz w:val="21"/>
                <w:szCs w:val="21"/>
              </w:rPr>
            </w:pPr>
            <w:r>
              <w:rPr>
                <w:b/>
                <w:bCs/>
                <w:kern w:val="0"/>
                <w:sz w:val="21"/>
                <w:szCs w:val="21"/>
              </w:rPr>
              <w:t>工矿仓储用地</w:t>
            </w:r>
          </w:p>
        </w:tc>
        <w:tc>
          <w:tcPr>
            <w:tcW w:w="258" w:type="pct"/>
            <w:vAlign w:val="center"/>
          </w:tcPr>
          <w:p>
            <w:pPr>
              <w:widowControl/>
              <w:spacing w:line="240" w:lineRule="exact"/>
              <w:ind w:firstLine="0" w:firstLineChars="0"/>
              <w:jc w:val="center"/>
              <w:textAlignment w:val="center"/>
              <w:rPr>
                <w:b/>
                <w:bCs/>
                <w:sz w:val="21"/>
                <w:szCs w:val="21"/>
              </w:rPr>
            </w:pPr>
            <w:r>
              <w:rPr>
                <w:b/>
                <w:bCs/>
                <w:kern w:val="0"/>
                <w:sz w:val="21"/>
                <w:szCs w:val="21"/>
              </w:rPr>
              <w:t>住宅用地</w:t>
            </w:r>
          </w:p>
        </w:tc>
        <w:tc>
          <w:tcPr>
            <w:tcW w:w="389" w:type="pct"/>
            <w:vAlign w:val="center"/>
          </w:tcPr>
          <w:p>
            <w:pPr>
              <w:widowControl/>
              <w:spacing w:line="240" w:lineRule="exact"/>
              <w:ind w:firstLine="0" w:firstLineChars="0"/>
              <w:jc w:val="center"/>
              <w:textAlignment w:val="center"/>
              <w:rPr>
                <w:b/>
                <w:bCs/>
                <w:sz w:val="21"/>
                <w:szCs w:val="21"/>
              </w:rPr>
            </w:pPr>
            <w:r>
              <w:rPr>
                <w:b/>
                <w:bCs/>
                <w:kern w:val="0"/>
                <w:sz w:val="21"/>
                <w:szCs w:val="21"/>
              </w:rPr>
              <w:t>公共管理与公共服务用地</w:t>
            </w:r>
          </w:p>
        </w:tc>
        <w:tc>
          <w:tcPr>
            <w:tcW w:w="241" w:type="pct"/>
            <w:vAlign w:val="center"/>
          </w:tcPr>
          <w:p>
            <w:pPr>
              <w:widowControl/>
              <w:spacing w:line="240" w:lineRule="exact"/>
              <w:ind w:firstLine="0" w:firstLineChars="0"/>
              <w:jc w:val="center"/>
              <w:textAlignment w:val="center"/>
              <w:rPr>
                <w:b/>
                <w:bCs/>
                <w:sz w:val="21"/>
                <w:szCs w:val="21"/>
              </w:rPr>
            </w:pPr>
            <w:r>
              <w:rPr>
                <w:b/>
                <w:bCs/>
                <w:kern w:val="0"/>
                <w:sz w:val="21"/>
                <w:szCs w:val="21"/>
              </w:rPr>
              <w:t>特殊用地</w:t>
            </w:r>
          </w:p>
        </w:tc>
        <w:tc>
          <w:tcPr>
            <w:tcW w:w="277" w:type="pct"/>
            <w:vAlign w:val="center"/>
          </w:tcPr>
          <w:p>
            <w:pPr>
              <w:widowControl/>
              <w:spacing w:line="240" w:lineRule="exact"/>
              <w:ind w:firstLine="0" w:firstLineChars="0"/>
              <w:jc w:val="center"/>
              <w:textAlignment w:val="center"/>
              <w:rPr>
                <w:b/>
                <w:bCs/>
                <w:sz w:val="21"/>
                <w:szCs w:val="21"/>
              </w:rPr>
            </w:pPr>
            <w:r>
              <w:rPr>
                <w:b/>
                <w:bCs/>
                <w:kern w:val="0"/>
                <w:sz w:val="21"/>
                <w:szCs w:val="21"/>
              </w:rPr>
              <w:t>交通运输用地</w:t>
            </w:r>
          </w:p>
        </w:tc>
        <w:tc>
          <w:tcPr>
            <w:tcW w:w="309" w:type="pct"/>
            <w:vAlign w:val="center"/>
          </w:tcPr>
          <w:p>
            <w:pPr>
              <w:widowControl/>
              <w:spacing w:line="240" w:lineRule="exact"/>
              <w:ind w:firstLine="0" w:firstLineChars="0"/>
              <w:jc w:val="center"/>
              <w:textAlignment w:val="center"/>
              <w:rPr>
                <w:b/>
                <w:bCs/>
                <w:sz w:val="21"/>
                <w:szCs w:val="21"/>
              </w:rPr>
            </w:pPr>
            <w:r>
              <w:rPr>
                <w:b/>
                <w:bCs/>
                <w:kern w:val="0"/>
                <w:sz w:val="21"/>
                <w:szCs w:val="21"/>
              </w:rPr>
              <w:t>水域及水利设施用地</w:t>
            </w:r>
          </w:p>
        </w:tc>
        <w:tc>
          <w:tcPr>
            <w:tcW w:w="246" w:type="pct"/>
            <w:vAlign w:val="center"/>
          </w:tcPr>
          <w:p>
            <w:pPr>
              <w:widowControl/>
              <w:spacing w:line="240" w:lineRule="exact"/>
              <w:ind w:firstLine="0" w:firstLineChars="0"/>
              <w:jc w:val="center"/>
              <w:textAlignment w:val="center"/>
              <w:rPr>
                <w:b/>
                <w:bCs/>
                <w:sz w:val="21"/>
                <w:szCs w:val="21"/>
              </w:rPr>
            </w:pPr>
            <w:r>
              <w:rPr>
                <w:b/>
                <w:bCs/>
                <w:kern w:val="0"/>
                <w:sz w:val="21"/>
                <w:szCs w:val="21"/>
              </w:rPr>
              <w:t>其他土地</w:t>
            </w:r>
          </w:p>
        </w:tc>
        <w:tc>
          <w:tcPr>
            <w:tcW w:w="307" w:type="pct"/>
            <w:vMerge w:val="continue"/>
            <w:vAlign w:val="center"/>
          </w:tcPr>
          <w:p>
            <w:pPr>
              <w:tabs>
                <w:tab w:val="left" w:pos="1050"/>
              </w:tabs>
              <w:spacing w:line="240" w:lineRule="exact"/>
              <w:ind w:firstLine="0" w:firstLineChars="0"/>
              <w:jc w:val="center"/>
              <w:rPr>
                <w:sz w:val="21"/>
                <w:szCs w:val="21"/>
              </w:rPr>
            </w:pP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restart"/>
            <w:vAlign w:val="center"/>
          </w:tcPr>
          <w:p>
            <w:pPr>
              <w:tabs>
                <w:tab w:val="left" w:pos="1050"/>
              </w:tabs>
              <w:spacing w:line="240" w:lineRule="exact"/>
              <w:ind w:firstLine="0" w:firstLineChars="0"/>
              <w:jc w:val="center"/>
              <w:rPr>
                <w:sz w:val="21"/>
                <w:szCs w:val="21"/>
              </w:rPr>
            </w:pPr>
            <w:r>
              <w:rPr>
                <w:sz w:val="21"/>
                <w:szCs w:val="21"/>
              </w:rPr>
              <w:t>近期建设区</w:t>
            </w:r>
          </w:p>
        </w:tc>
        <w:tc>
          <w:tcPr>
            <w:tcW w:w="640" w:type="pct"/>
            <w:vMerge w:val="restart"/>
            <w:vAlign w:val="center"/>
          </w:tcPr>
          <w:p>
            <w:pPr>
              <w:tabs>
                <w:tab w:val="left" w:pos="1050"/>
              </w:tabs>
              <w:spacing w:line="240" w:lineRule="exact"/>
              <w:ind w:firstLine="0" w:firstLineChars="0"/>
              <w:jc w:val="center"/>
              <w:rPr>
                <w:sz w:val="21"/>
                <w:szCs w:val="21"/>
              </w:rPr>
            </w:pPr>
            <w:r>
              <w:rPr>
                <w:sz w:val="21"/>
                <w:szCs w:val="21"/>
              </w:rPr>
              <w:t>工业用地</w:t>
            </w:r>
          </w:p>
        </w:tc>
        <w:tc>
          <w:tcPr>
            <w:tcW w:w="302" w:type="pct"/>
            <w:vAlign w:val="center"/>
          </w:tcPr>
          <w:p>
            <w:pPr>
              <w:tabs>
                <w:tab w:val="left" w:pos="1050"/>
              </w:tabs>
              <w:spacing w:line="240" w:lineRule="exact"/>
              <w:ind w:firstLine="0" w:firstLineChars="0"/>
              <w:jc w:val="center"/>
              <w:rPr>
                <w:sz w:val="21"/>
                <w:szCs w:val="21"/>
              </w:rPr>
            </w:pPr>
            <w:r>
              <w:rPr>
                <w:sz w:val="21"/>
                <w:szCs w:val="21"/>
              </w:rPr>
              <w:t>已建区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1.11</w:t>
            </w:r>
          </w:p>
        </w:tc>
        <w:tc>
          <w:tcPr>
            <w:tcW w:w="284" w:type="pct"/>
            <w:vAlign w:val="center"/>
          </w:tcPr>
          <w:p>
            <w:pPr>
              <w:widowControl/>
              <w:spacing w:line="240" w:lineRule="exact"/>
              <w:ind w:firstLine="0" w:firstLineChars="0"/>
              <w:jc w:val="center"/>
              <w:textAlignment w:val="center"/>
              <w:rPr>
                <w:kern w:val="0"/>
                <w:sz w:val="21"/>
                <w:szCs w:val="21"/>
              </w:rPr>
            </w:pP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0.51</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50.70</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0.24</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0.15</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52.71</w:t>
            </w:r>
          </w:p>
        </w:tc>
        <w:tc>
          <w:tcPr>
            <w:tcW w:w="239" w:type="pct"/>
            <w:vMerge w:val="restart"/>
            <w:vAlign w:val="center"/>
          </w:tcPr>
          <w:p>
            <w:pPr>
              <w:tabs>
                <w:tab w:val="left" w:pos="1050"/>
              </w:tabs>
              <w:spacing w:line="240" w:lineRule="exact"/>
              <w:ind w:firstLine="0" w:firstLineChars="0"/>
              <w:jc w:val="center"/>
              <w:rPr>
                <w:sz w:val="21"/>
                <w:szCs w:val="21"/>
              </w:rPr>
            </w:pPr>
            <w:r>
              <w:rPr>
                <w:sz w:val="21"/>
                <w:szCs w:val="21"/>
              </w:rPr>
              <w:t>永久占地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在建区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130.80</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16.21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113.86</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2.27</w:t>
            </w: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5.78</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18.21</w:t>
            </w:r>
          </w:p>
        </w:tc>
        <w:tc>
          <w:tcPr>
            <w:tcW w:w="389" w:type="pct"/>
            <w:vAlign w:val="center"/>
          </w:tcPr>
          <w:p>
            <w:pPr>
              <w:widowControl/>
              <w:spacing w:line="240" w:lineRule="exact"/>
              <w:ind w:firstLine="0" w:firstLineChars="0"/>
              <w:jc w:val="center"/>
              <w:textAlignment w:val="center"/>
              <w:rPr>
                <w:kern w:val="0"/>
                <w:sz w:val="21"/>
                <w:szCs w:val="21"/>
              </w:rPr>
            </w:pPr>
            <w:r>
              <w:rPr>
                <w:kern w:val="0"/>
                <w:sz w:val="21"/>
                <w:szCs w:val="21"/>
              </w:rPr>
              <w:t>0.20</w:t>
            </w:r>
          </w:p>
        </w:tc>
        <w:tc>
          <w:tcPr>
            <w:tcW w:w="241" w:type="pct"/>
            <w:vAlign w:val="center"/>
          </w:tcPr>
          <w:p>
            <w:pPr>
              <w:widowControl/>
              <w:spacing w:line="240" w:lineRule="exact"/>
              <w:ind w:firstLine="0" w:firstLineChars="0"/>
              <w:jc w:val="center"/>
              <w:textAlignment w:val="center"/>
              <w:rPr>
                <w:kern w:val="0"/>
                <w:sz w:val="21"/>
                <w:szCs w:val="21"/>
              </w:rPr>
            </w:pPr>
            <w:r>
              <w:rPr>
                <w:kern w:val="0"/>
                <w:sz w:val="21"/>
                <w:szCs w:val="21"/>
              </w:rPr>
              <w:t>0.06</w:t>
            </w: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4.85</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7.87</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0.23</w:t>
            </w:r>
          </w:p>
        </w:tc>
        <w:tc>
          <w:tcPr>
            <w:tcW w:w="307" w:type="pct"/>
            <w:vAlign w:val="center"/>
          </w:tcPr>
          <w:p>
            <w:pPr>
              <w:tabs>
                <w:tab w:val="left" w:pos="1050"/>
              </w:tabs>
              <w:spacing w:line="240" w:lineRule="exact"/>
              <w:ind w:firstLine="0" w:firstLineChars="0"/>
              <w:jc w:val="center"/>
              <w:rPr>
                <w:sz w:val="21"/>
                <w:szCs w:val="21"/>
              </w:rPr>
            </w:pPr>
            <w:r>
              <w:rPr>
                <w:sz w:val="21"/>
                <w:szCs w:val="21"/>
              </w:rPr>
              <w:t>300.34</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92.41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27.44</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98.11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0.22</w:t>
            </w: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1.93</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12.23</w:t>
            </w:r>
          </w:p>
        </w:tc>
        <w:tc>
          <w:tcPr>
            <w:tcW w:w="389" w:type="pct"/>
            <w:vAlign w:val="center"/>
          </w:tcPr>
          <w:p>
            <w:pPr>
              <w:widowControl/>
              <w:spacing w:line="240" w:lineRule="exact"/>
              <w:ind w:firstLine="0" w:firstLineChars="0"/>
              <w:jc w:val="center"/>
              <w:textAlignment w:val="center"/>
              <w:rPr>
                <w:kern w:val="0"/>
                <w:sz w:val="21"/>
                <w:szCs w:val="21"/>
              </w:rPr>
            </w:pPr>
            <w:r>
              <w:rPr>
                <w:kern w:val="0"/>
                <w:sz w:val="21"/>
                <w:szCs w:val="21"/>
              </w:rPr>
              <w:t>0.39</w:t>
            </w: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3.78</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8.64</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0.44</w:t>
            </w:r>
          </w:p>
        </w:tc>
        <w:tc>
          <w:tcPr>
            <w:tcW w:w="307" w:type="pct"/>
            <w:vAlign w:val="center"/>
          </w:tcPr>
          <w:p>
            <w:pPr>
              <w:tabs>
                <w:tab w:val="left" w:pos="1050"/>
              </w:tabs>
              <w:spacing w:line="240" w:lineRule="exact"/>
              <w:ind w:firstLine="0" w:firstLineChars="0"/>
              <w:jc w:val="center"/>
              <w:rPr>
                <w:sz w:val="21"/>
                <w:szCs w:val="21"/>
              </w:rPr>
            </w:pPr>
            <w:r>
              <w:rPr>
                <w:sz w:val="21"/>
                <w:szCs w:val="21"/>
              </w:rPr>
              <w:t>245.59</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小计</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224.32</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43.65</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212.48</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2.49</w:t>
            </w: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58.41</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30.68</w:t>
            </w:r>
          </w:p>
        </w:tc>
        <w:tc>
          <w:tcPr>
            <w:tcW w:w="389" w:type="pct"/>
            <w:vAlign w:val="center"/>
          </w:tcPr>
          <w:p>
            <w:pPr>
              <w:widowControl/>
              <w:spacing w:line="240" w:lineRule="exact"/>
              <w:ind w:firstLine="0" w:firstLineChars="0"/>
              <w:jc w:val="center"/>
              <w:textAlignment w:val="center"/>
              <w:rPr>
                <w:kern w:val="0"/>
                <w:sz w:val="21"/>
                <w:szCs w:val="21"/>
              </w:rPr>
            </w:pPr>
            <w:r>
              <w:rPr>
                <w:kern w:val="0"/>
                <w:sz w:val="21"/>
                <w:szCs w:val="21"/>
              </w:rPr>
              <w:t>0.59</w:t>
            </w:r>
          </w:p>
        </w:tc>
        <w:tc>
          <w:tcPr>
            <w:tcW w:w="241" w:type="pct"/>
            <w:vAlign w:val="center"/>
          </w:tcPr>
          <w:p>
            <w:pPr>
              <w:widowControl/>
              <w:spacing w:line="240" w:lineRule="exact"/>
              <w:ind w:firstLine="0" w:firstLineChars="0"/>
              <w:jc w:val="center"/>
              <w:textAlignment w:val="center"/>
              <w:rPr>
                <w:kern w:val="0"/>
                <w:sz w:val="21"/>
                <w:szCs w:val="21"/>
              </w:rPr>
            </w:pPr>
            <w:r>
              <w:rPr>
                <w:kern w:val="0"/>
                <w:sz w:val="21"/>
                <w:szCs w:val="21"/>
              </w:rPr>
              <w:t>0.06</w:t>
            </w: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8.63</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16.66</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0.67</w:t>
            </w:r>
          </w:p>
        </w:tc>
        <w:tc>
          <w:tcPr>
            <w:tcW w:w="307" w:type="pct"/>
            <w:vAlign w:val="center"/>
          </w:tcPr>
          <w:p>
            <w:pPr>
              <w:tabs>
                <w:tab w:val="left" w:pos="1050"/>
              </w:tabs>
              <w:spacing w:line="240" w:lineRule="exact"/>
              <w:ind w:firstLine="0" w:firstLineChars="0"/>
              <w:jc w:val="center"/>
              <w:rPr>
                <w:sz w:val="21"/>
                <w:szCs w:val="21"/>
              </w:rPr>
            </w:pPr>
            <w:r>
              <w:rPr>
                <w:sz w:val="21"/>
                <w:szCs w:val="21"/>
              </w:rPr>
              <w:t>598.64</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restart"/>
            <w:vAlign w:val="center"/>
          </w:tcPr>
          <w:p>
            <w:pPr>
              <w:tabs>
                <w:tab w:val="left" w:pos="1050"/>
              </w:tabs>
              <w:spacing w:line="240" w:lineRule="exact"/>
              <w:ind w:firstLine="0" w:firstLineChars="0"/>
              <w:jc w:val="center"/>
              <w:rPr>
                <w:sz w:val="21"/>
                <w:szCs w:val="21"/>
              </w:rPr>
            </w:pPr>
            <w:r>
              <w:rPr>
                <w:sz w:val="21"/>
                <w:szCs w:val="21"/>
              </w:rPr>
              <w:t>道路与交通设施用地</w:t>
            </w:r>
          </w:p>
        </w:tc>
        <w:tc>
          <w:tcPr>
            <w:tcW w:w="302" w:type="pct"/>
            <w:vAlign w:val="center"/>
          </w:tcPr>
          <w:p>
            <w:pPr>
              <w:tabs>
                <w:tab w:val="left" w:pos="1050"/>
              </w:tabs>
              <w:spacing w:line="240" w:lineRule="exact"/>
              <w:ind w:firstLine="0" w:firstLineChars="0"/>
              <w:jc w:val="center"/>
              <w:rPr>
                <w:sz w:val="21"/>
                <w:szCs w:val="21"/>
              </w:rPr>
            </w:pPr>
            <w:r>
              <w:rPr>
                <w:sz w:val="21"/>
                <w:szCs w:val="21"/>
              </w:rPr>
              <w:t>已建区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2.60</w:t>
            </w:r>
          </w:p>
        </w:tc>
        <w:tc>
          <w:tcPr>
            <w:tcW w:w="284" w:type="pct"/>
            <w:vAlign w:val="center"/>
          </w:tcPr>
          <w:p>
            <w:pPr>
              <w:widowControl/>
              <w:spacing w:line="240" w:lineRule="exact"/>
              <w:ind w:firstLine="0" w:firstLineChars="0"/>
              <w:jc w:val="center"/>
              <w:textAlignment w:val="center"/>
              <w:rPr>
                <w:kern w:val="0"/>
                <w:sz w:val="21"/>
                <w:szCs w:val="21"/>
              </w:rPr>
            </w:pP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2.05</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1.10</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0.31</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0.14</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0.09</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6.29</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在建区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18.52</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2.26</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11.05</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0.17</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0.14</w:t>
            </w: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0.41</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3.44</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4.81</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0.60</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0.03</w:t>
            </w:r>
          </w:p>
        </w:tc>
        <w:tc>
          <w:tcPr>
            <w:tcW w:w="307" w:type="pct"/>
            <w:vAlign w:val="center"/>
          </w:tcPr>
          <w:p>
            <w:pPr>
              <w:tabs>
                <w:tab w:val="left" w:pos="1050"/>
              </w:tabs>
              <w:spacing w:line="240" w:lineRule="exact"/>
              <w:ind w:firstLine="0" w:firstLineChars="0"/>
              <w:jc w:val="center"/>
              <w:rPr>
                <w:sz w:val="21"/>
                <w:szCs w:val="21"/>
              </w:rPr>
            </w:pPr>
            <w:r>
              <w:rPr>
                <w:sz w:val="21"/>
                <w:szCs w:val="21"/>
              </w:rPr>
              <w:t>41.43</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12.63</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1.37</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8.59</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1.37</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1.88</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0.33</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26.17</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小计</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33.75</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3.63</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21.69</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0.17</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0.14</w:t>
            </w: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1.51</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5.12</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6.83</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1.02</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0.03</w:t>
            </w:r>
          </w:p>
        </w:tc>
        <w:tc>
          <w:tcPr>
            <w:tcW w:w="307" w:type="pct"/>
            <w:vAlign w:val="center"/>
          </w:tcPr>
          <w:p>
            <w:pPr>
              <w:widowControl/>
              <w:spacing w:line="240" w:lineRule="exact"/>
              <w:ind w:firstLine="0" w:firstLineChars="0"/>
              <w:jc w:val="center"/>
              <w:textAlignment w:val="center"/>
              <w:rPr>
                <w:kern w:val="0"/>
                <w:sz w:val="21"/>
                <w:szCs w:val="21"/>
              </w:rPr>
            </w:pPr>
            <w:r>
              <w:rPr>
                <w:kern w:val="0"/>
                <w:sz w:val="21"/>
                <w:szCs w:val="21"/>
              </w:rPr>
              <w:t>73.89</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3"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restart"/>
            <w:vAlign w:val="center"/>
          </w:tcPr>
          <w:p>
            <w:pPr>
              <w:tabs>
                <w:tab w:val="left" w:pos="1050"/>
              </w:tabs>
              <w:spacing w:line="240" w:lineRule="exact"/>
              <w:ind w:firstLine="0" w:firstLineChars="0"/>
              <w:jc w:val="center"/>
              <w:rPr>
                <w:sz w:val="21"/>
                <w:szCs w:val="21"/>
              </w:rPr>
            </w:pPr>
            <w:r>
              <w:rPr>
                <w:sz w:val="21"/>
                <w:szCs w:val="21"/>
              </w:rPr>
              <w:t>公用设施用地</w:t>
            </w:r>
          </w:p>
        </w:tc>
        <w:tc>
          <w:tcPr>
            <w:tcW w:w="302" w:type="pct"/>
            <w:vAlign w:val="center"/>
          </w:tcPr>
          <w:p>
            <w:pPr>
              <w:tabs>
                <w:tab w:val="left" w:pos="1050"/>
              </w:tabs>
              <w:spacing w:line="240" w:lineRule="exact"/>
              <w:ind w:firstLine="0" w:firstLineChars="0"/>
              <w:jc w:val="center"/>
              <w:rPr>
                <w:sz w:val="21"/>
                <w:szCs w:val="21"/>
              </w:rPr>
            </w:pPr>
            <w:r>
              <w:rPr>
                <w:sz w:val="21"/>
                <w:szCs w:val="21"/>
              </w:rPr>
              <w:t>在建区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4.37</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0.56</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2.36</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0.48</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0.29</w:t>
            </w:r>
          </w:p>
        </w:tc>
        <w:tc>
          <w:tcPr>
            <w:tcW w:w="309" w:type="pct"/>
            <w:vAlign w:val="center"/>
          </w:tcPr>
          <w:p>
            <w:pPr>
              <w:widowControl/>
              <w:spacing w:line="240" w:lineRule="exact"/>
              <w:ind w:firstLine="0" w:firstLineChars="0"/>
              <w:jc w:val="center"/>
              <w:textAlignment w:val="center"/>
              <w:rPr>
                <w:kern w:val="0"/>
                <w:sz w:val="21"/>
                <w:szCs w:val="21"/>
              </w:rPr>
            </w:pP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0.09</w:t>
            </w:r>
          </w:p>
        </w:tc>
        <w:tc>
          <w:tcPr>
            <w:tcW w:w="307" w:type="pct"/>
            <w:vAlign w:val="center"/>
          </w:tcPr>
          <w:p>
            <w:pPr>
              <w:tabs>
                <w:tab w:val="left" w:pos="1050"/>
              </w:tabs>
              <w:spacing w:line="240" w:lineRule="exact"/>
              <w:ind w:firstLine="0" w:firstLineChars="0"/>
              <w:jc w:val="center"/>
              <w:rPr>
                <w:sz w:val="21"/>
                <w:szCs w:val="21"/>
              </w:rPr>
            </w:pPr>
            <w:r>
              <w:rPr>
                <w:sz w:val="21"/>
                <w:szCs w:val="21"/>
              </w:rPr>
              <w:t>8.15</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2"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10.54</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1.35</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7.04</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0.94</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1.82</w:t>
            </w:r>
          </w:p>
        </w:tc>
        <w:tc>
          <w:tcPr>
            <w:tcW w:w="389" w:type="pct"/>
            <w:vAlign w:val="center"/>
          </w:tcPr>
          <w:p>
            <w:pPr>
              <w:widowControl/>
              <w:spacing w:line="240" w:lineRule="exact"/>
              <w:ind w:firstLine="0" w:firstLineChars="0"/>
              <w:jc w:val="center"/>
              <w:textAlignment w:val="center"/>
              <w:rPr>
                <w:kern w:val="0"/>
                <w:sz w:val="21"/>
                <w:szCs w:val="21"/>
              </w:rPr>
            </w:pPr>
            <w:r>
              <w:rPr>
                <w:kern w:val="0"/>
                <w:sz w:val="21"/>
                <w:szCs w:val="21"/>
              </w:rPr>
              <w:t>0.03</w:t>
            </w: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1.29</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0.30</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23.31</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0"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小计</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14.91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1.91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9.40</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0.94</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2.30</w:t>
            </w:r>
          </w:p>
        </w:tc>
        <w:tc>
          <w:tcPr>
            <w:tcW w:w="389" w:type="pct"/>
            <w:vAlign w:val="center"/>
          </w:tcPr>
          <w:p>
            <w:pPr>
              <w:widowControl/>
              <w:spacing w:line="240" w:lineRule="exact"/>
              <w:ind w:firstLine="0" w:firstLineChars="0"/>
              <w:jc w:val="center"/>
              <w:textAlignment w:val="center"/>
              <w:rPr>
                <w:kern w:val="0"/>
                <w:sz w:val="21"/>
                <w:szCs w:val="21"/>
              </w:rPr>
            </w:pPr>
            <w:r>
              <w:rPr>
                <w:kern w:val="0"/>
                <w:sz w:val="21"/>
                <w:szCs w:val="21"/>
              </w:rPr>
              <w:t>0.03</w:t>
            </w: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1.58</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0.30</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0.09</w:t>
            </w:r>
          </w:p>
        </w:tc>
        <w:tc>
          <w:tcPr>
            <w:tcW w:w="307" w:type="pct"/>
            <w:vAlign w:val="center"/>
          </w:tcPr>
          <w:p>
            <w:pPr>
              <w:tabs>
                <w:tab w:val="left" w:pos="1050"/>
              </w:tabs>
              <w:spacing w:line="240" w:lineRule="exact"/>
              <w:ind w:firstLine="0" w:firstLineChars="0"/>
              <w:jc w:val="center"/>
              <w:rPr>
                <w:sz w:val="21"/>
                <w:szCs w:val="21"/>
              </w:rPr>
            </w:pPr>
            <w:r>
              <w:rPr>
                <w:sz w:val="21"/>
                <w:szCs w:val="21"/>
              </w:rPr>
              <w:t>31.46</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5"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restart"/>
            <w:vAlign w:val="center"/>
          </w:tcPr>
          <w:p>
            <w:pPr>
              <w:tabs>
                <w:tab w:val="left" w:pos="1050"/>
              </w:tabs>
              <w:spacing w:line="240" w:lineRule="exact"/>
              <w:ind w:firstLine="0" w:firstLineChars="0"/>
              <w:jc w:val="center"/>
              <w:rPr>
                <w:sz w:val="21"/>
                <w:szCs w:val="21"/>
              </w:rPr>
            </w:pPr>
            <w:r>
              <w:rPr>
                <w:sz w:val="21"/>
                <w:szCs w:val="21"/>
              </w:rPr>
              <w:t>绿地与广场用地</w:t>
            </w:r>
          </w:p>
        </w:tc>
        <w:tc>
          <w:tcPr>
            <w:tcW w:w="302" w:type="pct"/>
            <w:vAlign w:val="center"/>
          </w:tcPr>
          <w:p>
            <w:pPr>
              <w:tabs>
                <w:tab w:val="left" w:pos="1050"/>
              </w:tabs>
              <w:spacing w:line="240" w:lineRule="exact"/>
              <w:ind w:firstLine="0" w:firstLineChars="0"/>
              <w:jc w:val="center"/>
              <w:rPr>
                <w:sz w:val="21"/>
                <w:szCs w:val="21"/>
              </w:rPr>
            </w:pPr>
            <w:r>
              <w:rPr>
                <w:sz w:val="21"/>
                <w:szCs w:val="21"/>
              </w:rPr>
              <w:t>在建区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8.78</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0.74</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4.93</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1.62</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1.17</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1.27</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0.29</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18.80</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10.72</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0.47</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9.15</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1.48</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0.43</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0.35</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0.17</w:t>
            </w:r>
          </w:p>
        </w:tc>
        <w:tc>
          <w:tcPr>
            <w:tcW w:w="307" w:type="pct"/>
            <w:vAlign w:val="center"/>
          </w:tcPr>
          <w:p>
            <w:pPr>
              <w:tabs>
                <w:tab w:val="left" w:pos="1050"/>
              </w:tabs>
              <w:spacing w:line="240" w:lineRule="exact"/>
              <w:ind w:firstLine="0" w:firstLineChars="0"/>
              <w:jc w:val="center"/>
              <w:rPr>
                <w:sz w:val="21"/>
                <w:szCs w:val="21"/>
              </w:rPr>
            </w:pPr>
            <w:r>
              <w:rPr>
                <w:sz w:val="21"/>
                <w:szCs w:val="21"/>
              </w:rPr>
              <w:t>22.77</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Merge w:val="continue"/>
            <w:vAlign w:val="center"/>
          </w:tcPr>
          <w:p>
            <w:pPr>
              <w:tabs>
                <w:tab w:val="left" w:pos="1050"/>
              </w:tabs>
              <w:spacing w:line="240" w:lineRule="exact"/>
              <w:ind w:firstLine="0" w:firstLineChars="0"/>
              <w:jc w:val="center"/>
              <w:rPr>
                <w:sz w:val="21"/>
                <w:szCs w:val="21"/>
              </w:rPr>
            </w:pPr>
          </w:p>
        </w:tc>
        <w:tc>
          <w:tcPr>
            <w:tcW w:w="302" w:type="pct"/>
            <w:vAlign w:val="center"/>
          </w:tcPr>
          <w:p>
            <w:pPr>
              <w:tabs>
                <w:tab w:val="left" w:pos="1050"/>
              </w:tabs>
              <w:spacing w:line="240" w:lineRule="exact"/>
              <w:ind w:firstLine="0" w:firstLineChars="0"/>
              <w:jc w:val="center"/>
              <w:rPr>
                <w:sz w:val="21"/>
                <w:szCs w:val="21"/>
              </w:rPr>
            </w:pPr>
            <w:r>
              <w:rPr>
                <w:sz w:val="21"/>
                <w:szCs w:val="21"/>
              </w:rPr>
              <w:t>小计</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19.50</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1.21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14.08</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1.62</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2.65</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1.70</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0.64</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0.17</w:t>
            </w:r>
          </w:p>
        </w:tc>
        <w:tc>
          <w:tcPr>
            <w:tcW w:w="307" w:type="pct"/>
            <w:vAlign w:val="center"/>
          </w:tcPr>
          <w:p>
            <w:pPr>
              <w:tabs>
                <w:tab w:val="left" w:pos="1050"/>
              </w:tabs>
              <w:spacing w:line="240" w:lineRule="exact"/>
              <w:ind w:firstLine="0" w:firstLineChars="0"/>
              <w:jc w:val="center"/>
              <w:rPr>
                <w:sz w:val="21"/>
                <w:szCs w:val="21"/>
              </w:rPr>
            </w:pPr>
            <w:r>
              <w:rPr>
                <w:sz w:val="21"/>
                <w:szCs w:val="21"/>
              </w:rPr>
              <w:t>41.57</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3"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sz w:val="21"/>
                <w:szCs w:val="21"/>
              </w:rPr>
            </w:pPr>
            <w:r>
              <w:rPr>
                <w:sz w:val="21"/>
                <w:szCs w:val="21"/>
              </w:rPr>
              <w:t>表土中转场*</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16.75</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3.59</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2.15</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1.20</w:t>
            </w:r>
          </w:p>
        </w:tc>
        <w:tc>
          <w:tcPr>
            <w:tcW w:w="750" w:type="dxa"/>
            <w:vAlign w:val="center"/>
          </w:tcPr>
          <w:p>
            <w:pPr>
              <w:widowControl/>
              <w:spacing w:line="240" w:lineRule="exact"/>
              <w:ind w:firstLine="0" w:firstLineChars="0"/>
              <w:jc w:val="center"/>
              <w:textAlignment w:val="center"/>
              <w:rPr>
                <w:kern w:val="0"/>
                <w:sz w:val="21"/>
                <w:szCs w:val="21"/>
              </w:rPr>
            </w:pPr>
          </w:p>
        </w:tc>
        <w:tc>
          <w:tcPr>
            <w:tcW w:w="733"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r>
              <w:rPr>
                <w:kern w:val="0"/>
                <w:sz w:val="21"/>
                <w:szCs w:val="21"/>
              </w:rPr>
              <w:t>0.24</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p>
        </w:tc>
        <w:tc>
          <w:tcPr>
            <w:tcW w:w="309" w:type="pct"/>
            <w:vAlign w:val="center"/>
          </w:tcPr>
          <w:p>
            <w:pPr>
              <w:widowControl/>
              <w:spacing w:line="240" w:lineRule="exact"/>
              <w:ind w:firstLine="0" w:firstLineChars="0"/>
              <w:jc w:val="center"/>
              <w:textAlignment w:val="center"/>
              <w:rPr>
                <w:kern w:val="0"/>
                <w:sz w:val="21"/>
                <w:szCs w:val="21"/>
              </w:rPr>
            </w:pP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23.93</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8"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sz w:val="21"/>
                <w:szCs w:val="21"/>
              </w:rPr>
            </w:pPr>
            <w:r>
              <w:rPr>
                <w:sz w:val="21"/>
                <w:szCs w:val="21"/>
              </w:rPr>
              <w:t>施工生产生活区*</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2.39</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0.22</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1.31</w:t>
            </w:r>
          </w:p>
        </w:tc>
        <w:tc>
          <w:tcPr>
            <w:tcW w:w="825"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p>
        </w:tc>
        <w:tc>
          <w:tcPr>
            <w:tcW w:w="733"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r>
              <w:rPr>
                <w:kern w:val="0"/>
                <w:sz w:val="21"/>
                <w:szCs w:val="21"/>
              </w:rPr>
              <w:t>0.43</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p>
        </w:tc>
        <w:tc>
          <w:tcPr>
            <w:tcW w:w="309" w:type="pct"/>
            <w:vAlign w:val="center"/>
          </w:tcPr>
          <w:p>
            <w:pPr>
              <w:widowControl/>
              <w:spacing w:line="240" w:lineRule="exact"/>
              <w:ind w:firstLine="0" w:firstLineChars="0"/>
              <w:jc w:val="center"/>
              <w:textAlignment w:val="center"/>
              <w:rPr>
                <w:kern w:val="0"/>
                <w:sz w:val="21"/>
                <w:szCs w:val="21"/>
              </w:rPr>
            </w:pP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4.35</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b/>
                <w:bCs/>
                <w:sz w:val="21"/>
                <w:szCs w:val="21"/>
              </w:rPr>
            </w:pPr>
            <w:r>
              <w:rPr>
                <w:b/>
                <w:bCs/>
                <w:sz w:val="21"/>
                <w:szCs w:val="21"/>
              </w:rPr>
              <w:t>合计</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292.48</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50.4</w:t>
            </w:r>
            <w:r>
              <w:rPr>
                <w:rFonts w:hint="eastAsia"/>
                <w:b/>
                <w:bCs/>
                <w:sz w:val="21"/>
                <w:szCs w:val="21"/>
              </w:rPr>
              <w:t>0</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257.65</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2.66</w:t>
            </w:r>
          </w:p>
        </w:tc>
        <w:tc>
          <w:tcPr>
            <w:tcW w:w="258" w:type="pct"/>
            <w:vAlign w:val="center"/>
          </w:tcPr>
          <w:p>
            <w:pPr>
              <w:tabs>
                <w:tab w:val="left" w:pos="1050"/>
              </w:tabs>
              <w:spacing w:line="240" w:lineRule="exact"/>
              <w:ind w:firstLine="0" w:firstLineChars="0"/>
              <w:jc w:val="center"/>
              <w:rPr>
                <w:b/>
                <w:bCs/>
                <w:sz w:val="21"/>
                <w:szCs w:val="21"/>
              </w:rPr>
            </w:pPr>
            <w:r>
              <w:rPr>
                <w:b/>
                <w:bCs/>
                <w:sz w:val="21"/>
                <w:szCs w:val="21"/>
              </w:rPr>
              <w:t>0.14</w:t>
            </w:r>
          </w:p>
        </w:tc>
        <w:tc>
          <w:tcPr>
            <w:tcW w:w="252" w:type="pct"/>
            <w:vAlign w:val="center"/>
          </w:tcPr>
          <w:p>
            <w:pPr>
              <w:tabs>
                <w:tab w:val="left" w:pos="1050"/>
              </w:tabs>
              <w:spacing w:line="240" w:lineRule="exact"/>
              <w:ind w:firstLine="0" w:firstLineChars="0"/>
              <w:jc w:val="center"/>
              <w:rPr>
                <w:b/>
                <w:bCs/>
                <w:sz w:val="21"/>
                <w:szCs w:val="21"/>
              </w:rPr>
            </w:pPr>
            <w:r>
              <w:rPr>
                <w:b/>
                <w:bCs/>
                <w:sz w:val="21"/>
                <w:szCs w:val="21"/>
              </w:rPr>
              <w:t>62.48</w:t>
            </w:r>
          </w:p>
        </w:tc>
        <w:tc>
          <w:tcPr>
            <w:tcW w:w="258" w:type="pct"/>
            <w:vAlign w:val="center"/>
          </w:tcPr>
          <w:p>
            <w:pPr>
              <w:tabs>
                <w:tab w:val="left" w:pos="1050"/>
              </w:tabs>
              <w:spacing w:line="240" w:lineRule="exact"/>
              <w:ind w:firstLine="0" w:firstLineChars="0"/>
              <w:jc w:val="center"/>
              <w:rPr>
                <w:b/>
                <w:bCs/>
                <w:sz w:val="21"/>
                <w:szCs w:val="21"/>
              </w:rPr>
            </w:pPr>
            <w:r>
              <w:rPr>
                <w:b/>
                <w:bCs/>
                <w:sz w:val="21"/>
                <w:szCs w:val="21"/>
              </w:rPr>
              <w:t>40.75</w:t>
            </w:r>
          </w:p>
        </w:tc>
        <w:tc>
          <w:tcPr>
            <w:tcW w:w="389" w:type="pct"/>
            <w:vAlign w:val="center"/>
          </w:tcPr>
          <w:p>
            <w:pPr>
              <w:tabs>
                <w:tab w:val="left" w:pos="1050"/>
              </w:tabs>
              <w:spacing w:line="240" w:lineRule="exact"/>
              <w:ind w:firstLine="0" w:firstLineChars="0"/>
              <w:jc w:val="center"/>
              <w:rPr>
                <w:b/>
                <w:bCs/>
                <w:sz w:val="21"/>
                <w:szCs w:val="21"/>
              </w:rPr>
            </w:pPr>
            <w:r>
              <w:rPr>
                <w:b/>
                <w:bCs/>
                <w:sz w:val="21"/>
                <w:szCs w:val="21"/>
              </w:rPr>
              <w:t>0.62</w:t>
            </w:r>
          </w:p>
        </w:tc>
        <w:tc>
          <w:tcPr>
            <w:tcW w:w="241" w:type="pct"/>
            <w:vAlign w:val="center"/>
          </w:tcPr>
          <w:p>
            <w:pPr>
              <w:tabs>
                <w:tab w:val="left" w:pos="1050"/>
              </w:tabs>
              <w:spacing w:line="240" w:lineRule="exact"/>
              <w:ind w:firstLine="0" w:firstLineChars="0"/>
              <w:jc w:val="center"/>
              <w:rPr>
                <w:b/>
                <w:bCs/>
                <w:sz w:val="21"/>
                <w:szCs w:val="21"/>
              </w:rPr>
            </w:pPr>
            <w:r>
              <w:rPr>
                <w:b/>
                <w:bCs/>
                <w:sz w:val="21"/>
                <w:szCs w:val="21"/>
              </w:rPr>
              <w:t>0.06</w:t>
            </w:r>
          </w:p>
        </w:tc>
        <w:tc>
          <w:tcPr>
            <w:tcW w:w="277" w:type="pct"/>
            <w:vAlign w:val="center"/>
          </w:tcPr>
          <w:p>
            <w:pPr>
              <w:tabs>
                <w:tab w:val="left" w:pos="1050"/>
              </w:tabs>
              <w:spacing w:line="240" w:lineRule="exact"/>
              <w:ind w:firstLine="0" w:firstLineChars="0"/>
              <w:jc w:val="center"/>
              <w:rPr>
                <w:b/>
                <w:bCs/>
                <w:sz w:val="21"/>
                <w:szCs w:val="21"/>
              </w:rPr>
            </w:pPr>
            <w:r>
              <w:rPr>
                <w:b/>
                <w:bCs/>
                <w:sz w:val="21"/>
                <w:szCs w:val="21"/>
              </w:rPr>
              <w:t>18.74</w:t>
            </w:r>
          </w:p>
        </w:tc>
        <w:tc>
          <w:tcPr>
            <w:tcW w:w="309" w:type="pct"/>
            <w:vAlign w:val="center"/>
          </w:tcPr>
          <w:p>
            <w:pPr>
              <w:tabs>
                <w:tab w:val="left" w:pos="1050"/>
              </w:tabs>
              <w:spacing w:line="240" w:lineRule="exact"/>
              <w:ind w:firstLine="0" w:firstLineChars="0"/>
              <w:jc w:val="center"/>
              <w:rPr>
                <w:b/>
                <w:bCs/>
                <w:sz w:val="21"/>
                <w:szCs w:val="21"/>
              </w:rPr>
            </w:pPr>
            <w:r>
              <w:rPr>
                <w:b/>
                <w:bCs/>
                <w:sz w:val="21"/>
                <w:szCs w:val="21"/>
              </w:rPr>
              <w:t>18.62</w:t>
            </w:r>
          </w:p>
        </w:tc>
        <w:tc>
          <w:tcPr>
            <w:tcW w:w="246" w:type="pct"/>
            <w:vAlign w:val="center"/>
          </w:tcPr>
          <w:p>
            <w:pPr>
              <w:tabs>
                <w:tab w:val="left" w:pos="1050"/>
              </w:tabs>
              <w:spacing w:line="240" w:lineRule="exact"/>
              <w:ind w:firstLine="0" w:firstLineChars="0"/>
              <w:jc w:val="center"/>
              <w:rPr>
                <w:b/>
                <w:bCs/>
                <w:sz w:val="21"/>
                <w:szCs w:val="21"/>
              </w:rPr>
            </w:pPr>
            <w:r>
              <w:rPr>
                <w:b/>
                <w:bCs/>
                <w:sz w:val="21"/>
                <w:szCs w:val="21"/>
              </w:rPr>
              <w:t>0.96</w:t>
            </w:r>
          </w:p>
        </w:tc>
        <w:tc>
          <w:tcPr>
            <w:tcW w:w="307" w:type="pct"/>
            <w:vAlign w:val="center"/>
          </w:tcPr>
          <w:p>
            <w:pPr>
              <w:tabs>
                <w:tab w:val="left" w:pos="1050"/>
              </w:tabs>
              <w:spacing w:line="240" w:lineRule="exact"/>
              <w:ind w:firstLine="0" w:firstLineChars="0"/>
              <w:jc w:val="center"/>
              <w:rPr>
                <w:b/>
                <w:bCs/>
                <w:sz w:val="21"/>
                <w:szCs w:val="21"/>
              </w:rPr>
            </w:pPr>
            <w:r>
              <w:rPr>
                <w:b/>
                <w:bCs/>
                <w:sz w:val="21"/>
                <w:szCs w:val="21"/>
              </w:rPr>
              <w:t>745.56</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restart"/>
            <w:vAlign w:val="center"/>
          </w:tcPr>
          <w:p>
            <w:pPr>
              <w:tabs>
                <w:tab w:val="left" w:pos="1050"/>
              </w:tabs>
              <w:spacing w:line="240" w:lineRule="exact"/>
              <w:ind w:firstLine="0" w:firstLineChars="0"/>
              <w:jc w:val="center"/>
              <w:rPr>
                <w:sz w:val="21"/>
                <w:szCs w:val="21"/>
              </w:rPr>
            </w:pPr>
            <w:r>
              <w:rPr>
                <w:sz w:val="21"/>
                <w:szCs w:val="21"/>
              </w:rPr>
              <w:t>远期建设区</w:t>
            </w:r>
          </w:p>
        </w:tc>
        <w:tc>
          <w:tcPr>
            <w:tcW w:w="640" w:type="pct"/>
            <w:vAlign w:val="center"/>
          </w:tcPr>
          <w:p>
            <w:pPr>
              <w:tabs>
                <w:tab w:val="left" w:pos="1050"/>
              </w:tabs>
              <w:spacing w:line="240" w:lineRule="exact"/>
              <w:ind w:firstLine="0" w:firstLineChars="0"/>
              <w:jc w:val="center"/>
              <w:rPr>
                <w:sz w:val="21"/>
                <w:szCs w:val="21"/>
              </w:rPr>
            </w:pPr>
            <w:r>
              <w:rPr>
                <w:sz w:val="21"/>
                <w:szCs w:val="21"/>
              </w:rPr>
              <w:t>工业用地</w:t>
            </w: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86.52</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121.99</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116.23</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0.70</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0.08</w:t>
            </w:r>
          </w:p>
        </w:tc>
        <w:tc>
          <w:tcPr>
            <w:tcW w:w="252" w:type="pct"/>
            <w:vAlign w:val="center"/>
          </w:tcPr>
          <w:p>
            <w:pPr>
              <w:widowControl/>
              <w:spacing w:line="240" w:lineRule="exact"/>
              <w:ind w:firstLine="0" w:firstLineChars="0"/>
              <w:jc w:val="center"/>
              <w:textAlignment w:val="center"/>
              <w:rPr>
                <w:kern w:val="0"/>
                <w:sz w:val="21"/>
                <w:szCs w:val="21"/>
              </w:rPr>
            </w:pPr>
            <w:r>
              <w:rPr>
                <w:kern w:val="0"/>
                <w:sz w:val="21"/>
                <w:szCs w:val="21"/>
              </w:rPr>
              <w:t>1.13</w:t>
            </w: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17.38</w:t>
            </w:r>
          </w:p>
        </w:tc>
        <w:tc>
          <w:tcPr>
            <w:tcW w:w="389" w:type="pct"/>
            <w:vAlign w:val="center"/>
          </w:tcPr>
          <w:p>
            <w:pPr>
              <w:widowControl/>
              <w:spacing w:line="240" w:lineRule="exact"/>
              <w:ind w:firstLine="0" w:firstLineChars="0"/>
              <w:jc w:val="center"/>
              <w:textAlignment w:val="center"/>
              <w:rPr>
                <w:kern w:val="0"/>
                <w:sz w:val="21"/>
                <w:szCs w:val="21"/>
              </w:rPr>
            </w:pPr>
            <w:r>
              <w:rPr>
                <w:kern w:val="0"/>
                <w:sz w:val="21"/>
                <w:szCs w:val="21"/>
              </w:rPr>
              <w:t>0.08</w:t>
            </w: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7.21</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6.86</w:t>
            </w:r>
          </w:p>
        </w:tc>
        <w:tc>
          <w:tcPr>
            <w:tcW w:w="246" w:type="pct"/>
            <w:vAlign w:val="center"/>
          </w:tcPr>
          <w:p>
            <w:pPr>
              <w:widowControl/>
              <w:spacing w:line="240" w:lineRule="exact"/>
              <w:ind w:firstLine="0" w:firstLineChars="0"/>
              <w:jc w:val="center"/>
              <w:textAlignment w:val="center"/>
              <w:rPr>
                <w:kern w:val="0"/>
                <w:sz w:val="21"/>
                <w:szCs w:val="21"/>
              </w:rPr>
            </w:pPr>
            <w:r>
              <w:rPr>
                <w:kern w:val="0"/>
                <w:sz w:val="21"/>
                <w:szCs w:val="21"/>
              </w:rPr>
              <w:t>0.98</w:t>
            </w:r>
          </w:p>
        </w:tc>
        <w:tc>
          <w:tcPr>
            <w:tcW w:w="307" w:type="pct"/>
            <w:vAlign w:val="center"/>
          </w:tcPr>
          <w:p>
            <w:pPr>
              <w:tabs>
                <w:tab w:val="left" w:pos="1050"/>
              </w:tabs>
              <w:spacing w:line="240" w:lineRule="exact"/>
              <w:ind w:firstLine="0" w:firstLineChars="0"/>
              <w:jc w:val="center"/>
              <w:rPr>
                <w:sz w:val="21"/>
                <w:szCs w:val="21"/>
              </w:rPr>
            </w:pPr>
            <w:r>
              <w:rPr>
                <w:sz w:val="21"/>
                <w:szCs w:val="21"/>
              </w:rPr>
              <w:t>359.16</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Align w:val="center"/>
          </w:tcPr>
          <w:p>
            <w:pPr>
              <w:tabs>
                <w:tab w:val="left" w:pos="1050"/>
              </w:tabs>
              <w:spacing w:line="240" w:lineRule="exact"/>
              <w:ind w:firstLine="0" w:firstLineChars="0"/>
              <w:jc w:val="center"/>
              <w:rPr>
                <w:sz w:val="21"/>
                <w:szCs w:val="21"/>
              </w:rPr>
            </w:pPr>
            <w:r>
              <w:rPr>
                <w:sz w:val="21"/>
                <w:szCs w:val="21"/>
              </w:rPr>
              <w:t>道路与交通设施用地</w:t>
            </w: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1.48</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3.79</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1.89</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0.30</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0.13</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0.11</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7.70</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Align w:val="center"/>
          </w:tcPr>
          <w:p>
            <w:pPr>
              <w:tabs>
                <w:tab w:val="left" w:pos="1050"/>
              </w:tabs>
              <w:spacing w:line="240" w:lineRule="exact"/>
              <w:ind w:firstLine="0" w:firstLineChars="0"/>
              <w:jc w:val="center"/>
              <w:rPr>
                <w:sz w:val="21"/>
                <w:szCs w:val="21"/>
              </w:rPr>
            </w:pPr>
            <w:r>
              <w:rPr>
                <w:sz w:val="21"/>
                <w:szCs w:val="21"/>
              </w:rPr>
              <w:t>公用设施用地</w:t>
            </w: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1.26</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0.97</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0.51</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0.06</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0.08</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2.88</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3"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640" w:type="pct"/>
            <w:vAlign w:val="center"/>
          </w:tcPr>
          <w:p>
            <w:pPr>
              <w:tabs>
                <w:tab w:val="left" w:pos="1050"/>
              </w:tabs>
              <w:spacing w:line="240" w:lineRule="exact"/>
              <w:ind w:firstLine="0" w:firstLineChars="0"/>
              <w:jc w:val="center"/>
              <w:rPr>
                <w:sz w:val="21"/>
                <w:szCs w:val="21"/>
              </w:rPr>
            </w:pPr>
            <w:r>
              <w:rPr>
                <w:sz w:val="21"/>
                <w:szCs w:val="21"/>
              </w:rPr>
              <w:t>绿地与广场用地</w:t>
            </w:r>
          </w:p>
        </w:tc>
        <w:tc>
          <w:tcPr>
            <w:tcW w:w="302" w:type="pct"/>
            <w:vAlign w:val="center"/>
          </w:tcPr>
          <w:p>
            <w:pPr>
              <w:tabs>
                <w:tab w:val="left" w:pos="1050"/>
              </w:tabs>
              <w:spacing w:line="240" w:lineRule="exact"/>
              <w:ind w:firstLine="0" w:firstLineChars="0"/>
              <w:jc w:val="center"/>
              <w:rPr>
                <w:sz w:val="21"/>
                <w:szCs w:val="21"/>
              </w:rPr>
            </w:pPr>
            <w:r>
              <w:rPr>
                <w:sz w:val="21"/>
                <w:szCs w:val="21"/>
              </w:rPr>
              <w:t>未建区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2.91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6.03</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3.75</w:t>
            </w:r>
          </w:p>
        </w:tc>
        <w:tc>
          <w:tcPr>
            <w:tcW w:w="284"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r>
              <w:rPr>
                <w:kern w:val="0"/>
                <w:sz w:val="21"/>
                <w:szCs w:val="21"/>
              </w:rPr>
              <w:t>0.40</w:t>
            </w: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0.27</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0.52</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13.88</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1"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sz w:val="21"/>
                <w:szCs w:val="21"/>
              </w:rPr>
            </w:pPr>
            <w:r>
              <w:rPr>
                <w:sz w:val="21"/>
                <w:szCs w:val="21"/>
              </w:rPr>
              <w:t>土石方中转场*</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6.44</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2.11</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3.05</w:t>
            </w:r>
          </w:p>
        </w:tc>
        <w:tc>
          <w:tcPr>
            <w:tcW w:w="284" w:type="pct"/>
            <w:vAlign w:val="center"/>
          </w:tcPr>
          <w:p>
            <w:pPr>
              <w:widowControl/>
              <w:spacing w:line="240" w:lineRule="exact"/>
              <w:ind w:firstLine="0" w:firstLineChars="0"/>
              <w:jc w:val="center"/>
              <w:textAlignment w:val="center"/>
              <w:rPr>
                <w:kern w:val="0"/>
                <w:sz w:val="21"/>
                <w:szCs w:val="21"/>
              </w:rPr>
            </w:pPr>
            <w:r>
              <w:rPr>
                <w:kern w:val="0"/>
                <w:sz w:val="21"/>
                <w:szCs w:val="21"/>
              </w:rPr>
              <w:t>0.11</w:t>
            </w:r>
          </w:p>
        </w:tc>
        <w:tc>
          <w:tcPr>
            <w:tcW w:w="258" w:type="pct"/>
            <w:vAlign w:val="center"/>
          </w:tcPr>
          <w:p>
            <w:pPr>
              <w:widowControl/>
              <w:spacing w:line="240" w:lineRule="exact"/>
              <w:ind w:firstLine="0" w:firstLineChars="0"/>
              <w:jc w:val="center"/>
              <w:textAlignment w:val="center"/>
              <w:rPr>
                <w:kern w:val="0"/>
                <w:sz w:val="21"/>
                <w:szCs w:val="21"/>
              </w:rPr>
            </w:pPr>
          </w:p>
        </w:tc>
        <w:tc>
          <w:tcPr>
            <w:tcW w:w="252" w:type="pct"/>
            <w:vAlign w:val="center"/>
          </w:tcPr>
          <w:p>
            <w:pPr>
              <w:widowControl/>
              <w:spacing w:line="240" w:lineRule="exact"/>
              <w:ind w:firstLine="0" w:firstLineChars="0"/>
              <w:jc w:val="center"/>
              <w:textAlignment w:val="center"/>
              <w:rPr>
                <w:kern w:val="0"/>
                <w:sz w:val="21"/>
                <w:szCs w:val="21"/>
              </w:rPr>
            </w:pPr>
          </w:p>
        </w:tc>
        <w:tc>
          <w:tcPr>
            <w:tcW w:w="258" w:type="pct"/>
            <w:vAlign w:val="center"/>
          </w:tcPr>
          <w:p>
            <w:pPr>
              <w:widowControl/>
              <w:spacing w:line="240" w:lineRule="exact"/>
              <w:ind w:firstLine="0" w:firstLineChars="0"/>
              <w:jc w:val="center"/>
              <w:textAlignment w:val="center"/>
              <w:rPr>
                <w:kern w:val="0"/>
                <w:sz w:val="21"/>
                <w:szCs w:val="21"/>
              </w:rPr>
            </w:pPr>
          </w:p>
        </w:tc>
        <w:tc>
          <w:tcPr>
            <w:tcW w:w="389" w:type="pct"/>
            <w:vAlign w:val="center"/>
          </w:tcPr>
          <w:p>
            <w:pPr>
              <w:widowControl/>
              <w:spacing w:line="240" w:lineRule="exact"/>
              <w:ind w:firstLine="0" w:firstLineChars="0"/>
              <w:jc w:val="center"/>
              <w:textAlignment w:val="center"/>
              <w:rPr>
                <w:kern w:val="0"/>
                <w:sz w:val="21"/>
                <w:szCs w:val="21"/>
              </w:rPr>
            </w:pPr>
          </w:p>
        </w:tc>
        <w:tc>
          <w:tcPr>
            <w:tcW w:w="241" w:type="pct"/>
            <w:vAlign w:val="center"/>
          </w:tcPr>
          <w:p>
            <w:pPr>
              <w:widowControl/>
              <w:spacing w:line="240" w:lineRule="exact"/>
              <w:ind w:firstLine="0" w:firstLineChars="0"/>
              <w:jc w:val="center"/>
              <w:textAlignment w:val="center"/>
              <w:rPr>
                <w:kern w:val="0"/>
                <w:sz w:val="21"/>
                <w:szCs w:val="21"/>
              </w:rPr>
            </w:pPr>
          </w:p>
        </w:tc>
        <w:tc>
          <w:tcPr>
            <w:tcW w:w="277" w:type="pct"/>
            <w:vAlign w:val="center"/>
          </w:tcPr>
          <w:p>
            <w:pPr>
              <w:widowControl/>
              <w:spacing w:line="240" w:lineRule="exact"/>
              <w:ind w:firstLine="0" w:firstLineChars="0"/>
              <w:jc w:val="center"/>
              <w:textAlignment w:val="center"/>
              <w:rPr>
                <w:kern w:val="0"/>
                <w:sz w:val="21"/>
                <w:szCs w:val="21"/>
              </w:rPr>
            </w:pPr>
            <w:r>
              <w:rPr>
                <w:kern w:val="0"/>
                <w:sz w:val="21"/>
                <w:szCs w:val="21"/>
              </w:rPr>
              <w:t>0.03</w:t>
            </w:r>
          </w:p>
        </w:tc>
        <w:tc>
          <w:tcPr>
            <w:tcW w:w="309" w:type="pct"/>
            <w:vAlign w:val="center"/>
          </w:tcPr>
          <w:p>
            <w:pPr>
              <w:widowControl/>
              <w:spacing w:line="240" w:lineRule="exact"/>
              <w:ind w:firstLine="0" w:firstLineChars="0"/>
              <w:jc w:val="center"/>
              <w:textAlignment w:val="center"/>
              <w:rPr>
                <w:kern w:val="0"/>
                <w:sz w:val="21"/>
                <w:szCs w:val="21"/>
              </w:rPr>
            </w:pPr>
            <w:r>
              <w:rPr>
                <w:kern w:val="0"/>
                <w:sz w:val="21"/>
                <w:szCs w:val="21"/>
              </w:rPr>
              <w:t>0.43</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12.17</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0"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sz w:val="21"/>
                <w:szCs w:val="21"/>
              </w:rPr>
            </w:pPr>
            <w:r>
              <w:rPr>
                <w:sz w:val="21"/>
                <w:szCs w:val="21"/>
              </w:rPr>
              <w:t>表土中转场*</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7.91</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25.71</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3.16</w:t>
            </w:r>
          </w:p>
        </w:tc>
        <w:tc>
          <w:tcPr>
            <w:tcW w:w="825"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p>
        </w:tc>
        <w:tc>
          <w:tcPr>
            <w:tcW w:w="733"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r>
              <w:rPr>
                <w:kern w:val="0"/>
                <w:sz w:val="21"/>
                <w:szCs w:val="21"/>
              </w:rPr>
              <w:t>1.98</w:t>
            </w:r>
          </w:p>
        </w:tc>
        <w:tc>
          <w:tcPr>
            <w:tcW w:w="1129" w:type="dxa"/>
            <w:vAlign w:val="center"/>
          </w:tcPr>
          <w:p>
            <w:pPr>
              <w:widowControl/>
              <w:spacing w:line="240" w:lineRule="exact"/>
              <w:ind w:firstLine="0" w:firstLineChars="0"/>
              <w:jc w:val="center"/>
              <w:textAlignment w:val="center"/>
              <w:rPr>
                <w:kern w:val="0"/>
                <w:sz w:val="21"/>
                <w:szCs w:val="21"/>
              </w:rPr>
            </w:pPr>
          </w:p>
        </w:tc>
        <w:tc>
          <w:tcPr>
            <w:tcW w:w="700" w:type="dxa"/>
            <w:vAlign w:val="center"/>
          </w:tcPr>
          <w:p>
            <w:pPr>
              <w:widowControl/>
              <w:spacing w:line="240" w:lineRule="exact"/>
              <w:ind w:firstLine="0" w:firstLineChars="0"/>
              <w:jc w:val="center"/>
              <w:textAlignment w:val="center"/>
              <w:rPr>
                <w:kern w:val="0"/>
                <w:sz w:val="21"/>
                <w:szCs w:val="21"/>
              </w:rPr>
            </w:pPr>
          </w:p>
        </w:tc>
        <w:tc>
          <w:tcPr>
            <w:tcW w:w="804" w:type="dxa"/>
            <w:vAlign w:val="center"/>
          </w:tcPr>
          <w:p>
            <w:pPr>
              <w:widowControl/>
              <w:spacing w:line="240" w:lineRule="exact"/>
              <w:ind w:firstLine="0" w:firstLineChars="0"/>
              <w:jc w:val="center"/>
              <w:textAlignment w:val="center"/>
              <w:rPr>
                <w:kern w:val="0"/>
                <w:sz w:val="21"/>
                <w:szCs w:val="21"/>
              </w:rPr>
            </w:pPr>
          </w:p>
        </w:tc>
        <w:tc>
          <w:tcPr>
            <w:tcW w:w="896" w:type="dxa"/>
            <w:vAlign w:val="center"/>
          </w:tcPr>
          <w:p>
            <w:pPr>
              <w:widowControl/>
              <w:spacing w:line="240" w:lineRule="exact"/>
              <w:ind w:firstLine="0" w:firstLineChars="0"/>
              <w:jc w:val="center"/>
              <w:textAlignment w:val="center"/>
              <w:rPr>
                <w:kern w:val="0"/>
                <w:sz w:val="21"/>
                <w:szCs w:val="21"/>
              </w:rPr>
            </w:pPr>
            <w:r>
              <w:rPr>
                <w:kern w:val="0"/>
                <w:sz w:val="21"/>
                <w:szCs w:val="21"/>
              </w:rPr>
              <w:t>0.79</w:t>
            </w: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39.55</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4"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sz w:val="21"/>
                <w:szCs w:val="21"/>
              </w:rPr>
            </w:pPr>
            <w:r>
              <w:rPr>
                <w:sz w:val="21"/>
                <w:szCs w:val="21"/>
              </w:rPr>
              <w:t>施工生产生活区*</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0.56</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4.55</w:t>
            </w:r>
          </w:p>
        </w:tc>
        <w:tc>
          <w:tcPr>
            <w:tcW w:w="825" w:type="dxa"/>
            <w:vAlign w:val="center"/>
          </w:tcPr>
          <w:p>
            <w:pPr>
              <w:widowControl/>
              <w:spacing w:line="240" w:lineRule="exact"/>
              <w:ind w:firstLine="0" w:firstLineChars="0"/>
              <w:jc w:val="center"/>
              <w:textAlignment w:val="center"/>
              <w:rPr>
                <w:kern w:val="0"/>
                <w:sz w:val="21"/>
                <w:szCs w:val="21"/>
              </w:rPr>
            </w:pPr>
            <w:r>
              <w:rPr>
                <w:kern w:val="0"/>
                <w:sz w:val="21"/>
                <w:szCs w:val="21"/>
              </w:rPr>
              <w:t>1.05</w:t>
            </w:r>
          </w:p>
        </w:tc>
        <w:tc>
          <w:tcPr>
            <w:tcW w:w="825"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p>
        </w:tc>
        <w:tc>
          <w:tcPr>
            <w:tcW w:w="733" w:type="dxa"/>
            <w:vAlign w:val="center"/>
          </w:tcPr>
          <w:p>
            <w:pPr>
              <w:widowControl/>
              <w:spacing w:line="240" w:lineRule="exact"/>
              <w:ind w:firstLine="0" w:firstLineChars="0"/>
              <w:jc w:val="center"/>
              <w:textAlignment w:val="center"/>
              <w:rPr>
                <w:kern w:val="0"/>
                <w:sz w:val="21"/>
                <w:szCs w:val="21"/>
              </w:rPr>
            </w:pPr>
          </w:p>
        </w:tc>
        <w:tc>
          <w:tcPr>
            <w:tcW w:w="750" w:type="dxa"/>
            <w:vAlign w:val="center"/>
          </w:tcPr>
          <w:p>
            <w:pPr>
              <w:widowControl/>
              <w:spacing w:line="240" w:lineRule="exact"/>
              <w:ind w:firstLine="0" w:firstLineChars="0"/>
              <w:jc w:val="center"/>
              <w:textAlignment w:val="center"/>
              <w:rPr>
                <w:kern w:val="0"/>
                <w:sz w:val="21"/>
                <w:szCs w:val="21"/>
              </w:rPr>
            </w:pPr>
            <w:r>
              <w:rPr>
                <w:kern w:val="0"/>
                <w:sz w:val="21"/>
                <w:szCs w:val="21"/>
              </w:rPr>
              <w:t>0.84</w:t>
            </w:r>
          </w:p>
        </w:tc>
        <w:tc>
          <w:tcPr>
            <w:tcW w:w="1129" w:type="dxa"/>
            <w:vAlign w:val="center"/>
          </w:tcPr>
          <w:p>
            <w:pPr>
              <w:widowControl/>
              <w:spacing w:line="240" w:lineRule="exact"/>
              <w:ind w:firstLine="0" w:firstLineChars="0"/>
              <w:jc w:val="center"/>
              <w:textAlignment w:val="center"/>
              <w:rPr>
                <w:kern w:val="0"/>
                <w:sz w:val="21"/>
                <w:szCs w:val="21"/>
              </w:rPr>
            </w:pPr>
          </w:p>
        </w:tc>
        <w:tc>
          <w:tcPr>
            <w:tcW w:w="700" w:type="dxa"/>
            <w:vAlign w:val="center"/>
          </w:tcPr>
          <w:p>
            <w:pPr>
              <w:widowControl/>
              <w:spacing w:line="240" w:lineRule="exact"/>
              <w:ind w:firstLine="0" w:firstLineChars="0"/>
              <w:jc w:val="center"/>
              <w:textAlignment w:val="center"/>
              <w:rPr>
                <w:kern w:val="0"/>
                <w:sz w:val="21"/>
                <w:szCs w:val="21"/>
              </w:rPr>
            </w:pPr>
          </w:p>
        </w:tc>
        <w:tc>
          <w:tcPr>
            <w:tcW w:w="804" w:type="dxa"/>
            <w:vAlign w:val="center"/>
          </w:tcPr>
          <w:p>
            <w:pPr>
              <w:widowControl/>
              <w:spacing w:line="240" w:lineRule="exact"/>
              <w:ind w:firstLine="0" w:firstLineChars="0"/>
              <w:jc w:val="center"/>
              <w:textAlignment w:val="center"/>
              <w:rPr>
                <w:kern w:val="0"/>
                <w:sz w:val="21"/>
                <w:szCs w:val="21"/>
              </w:rPr>
            </w:pPr>
          </w:p>
        </w:tc>
        <w:tc>
          <w:tcPr>
            <w:tcW w:w="896" w:type="dxa"/>
            <w:vAlign w:val="center"/>
          </w:tcPr>
          <w:p>
            <w:pPr>
              <w:widowControl/>
              <w:spacing w:line="240" w:lineRule="exact"/>
              <w:ind w:firstLine="0" w:firstLineChars="0"/>
              <w:jc w:val="center"/>
              <w:textAlignment w:val="center"/>
              <w:rPr>
                <w:kern w:val="0"/>
                <w:sz w:val="21"/>
                <w:szCs w:val="21"/>
              </w:rPr>
            </w:pPr>
          </w:p>
        </w:tc>
        <w:tc>
          <w:tcPr>
            <w:tcW w:w="246" w:type="pct"/>
            <w:vAlign w:val="center"/>
          </w:tcPr>
          <w:p>
            <w:pPr>
              <w:widowControl/>
              <w:spacing w:line="240" w:lineRule="exact"/>
              <w:ind w:firstLine="0" w:firstLineChars="0"/>
              <w:jc w:val="center"/>
              <w:textAlignment w:val="center"/>
              <w:rPr>
                <w:kern w:val="0"/>
                <w:sz w:val="21"/>
                <w:szCs w:val="21"/>
              </w:rPr>
            </w:pPr>
          </w:p>
        </w:tc>
        <w:tc>
          <w:tcPr>
            <w:tcW w:w="307" w:type="pct"/>
            <w:vAlign w:val="center"/>
          </w:tcPr>
          <w:p>
            <w:pPr>
              <w:tabs>
                <w:tab w:val="left" w:pos="1050"/>
              </w:tabs>
              <w:spacing w:line="240" w:lineRule="exact"/>
              <w:ind w:firstLine="0" w:firstLineChars="0"/>
              <w:jc w:val="center"/>
              <w:rPr>
                <w:sz w:val="21"/>
                <w:szCs w:val="21"/>
              </w:rPr>
            </w:pPr>
            <w:r>
              <w:rPr>
                <w:sz w:val="21"/>
                <w:szCs w:val="21"/>
              </w:rPr>
              <w:t>7.0</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3" w:hRule="atLeast"/>
        </w:trPr>
        <w:tc>
          <w:tcPr>
            <w:tcW w:w="137" w:type="pct"/>
            <w:vMerge w:val="continue"/>
            <w:vAlign w:val="center"/>
          </w:tcPr>
          <w:p>
            <w:pPr>
              <w:tabs>
                <w:tab w:val="left" w:pos="1050"/>
              </w:tabs>
              <w:spacing w:line="240" w:lineRule="exact"/>
              <w:ind w:firstLine="0" w:firstLineChars="0"/>
              <w:jc w:val="center"/>
              <w:rPr>
                <w:sz w:val="21"/>
                <w:szCs w:val="21"/>
              </w:rPr>
            </w:pPr>
          </w:p>
        </w:tc>
        <w:tc>
          <w:tcPr>
            <w:tcW w:w="942" w:type="pct"/>
            <w:gridSpan w:val="2"/>
            <w:vAlign w:val="center"/>
          </w:tcPr>
          <w:p>
            <w:pPr>
              <w:tabs>
                <w:tab w:val="left" w:pos="1050"/>
              </w:tabs>
              <w:spacing w:line="240" w:lineRule="exact"/>
              <w:ind w:firstLine="0" w:firstLineChars="0"/>
              <w:jc w:val="center"/>
              <w:rPr>
                <w:b/>
                <w:bCs/>
                <w:sz w:val="21"/>
                <w:szCs w:val="21"/>
              </w:rPr>
            </w:pPr>
            <w:r>
              <w:rPr>
                <w:b/>
                <w:bCs/>
                <w:sz w:val="21"/>
                <w:szCs w:val="21"/>
              </w:rPr>
              <w:t>合计</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92.17</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132.78</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122.38</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0.70</w:t>
            </w:r>
          </w:p>
        </w:tc>
        <w:tc>
          <w:tcPr>
            <w:tcW w:w="258" w:type="pct"/>
            <w:vAlign w:val="center"/>
          </w:tcPr>
          <w:p>
            <w:pPr>
              <w:tabs>
                <w:tab w:val="left" w:pos="1050"/>
              </w:tabs>
              <w:spacing w:line="240" w:lineRule="exact"/>
              <w:ind w:firstLine="0" w:firstLineChars="0"/>
              <w:jc w:val="center"/>
              <w:rPr>
                <w:b/>
                <w:bCs/>
                <w:sz w:val="21"/>
                <w:szCs w:val="21"/>
              </w:rPr>
            </w:pPr>
            <w:r>
              <w:rPr>
                <w:b/>
                <w:bCs/>
                <w:sz w:val="21"/>
                <w:szCs w:val="21"/>
              </w:rPr>
              <w:t>0.08</w:t>
            </w:r>
          </w:p>
        </w:tc>
        <w:tc>
          <w:tcPr>
            <w:tcW w:w="252" w:type="pct"/>
            <w:vAlign w:val="center"/>
          </w:tcPr>
          <w:p>
            <w:pPr>
              <w:tabs>
                <w:tab w:val="left" w:pos="1050"/>
              </w:tabs>
              <w:spacing w:line="240" w:lineRule="exact"/>
              <w:ind w:firstLine="0" w:firstLineChars="0"/>
              <w:jc w:val="center"/>
              <w:rPr>
                <w:b/>
                <w:bCs/>
                <w:sz w:val="21"/>
                <w:szCs w:val="21"/>
              </w:rPr>
            </w:pPr>
            <w:r>
              <w:rPr>
                <w:b/>
                <w:bCs/>
                <w:sz w:val="21"/>
                <w:szCs w:val="21"/>
              </w:rPr>
              <w:t>1.13</w:t>
            </w:r>
          </w:p>
        </w:tc>
        <w:tc>
          <w:tcPr>
            <w:tcW w:w="258" w:type="pct"/>
            <w:vAlign w:val="center"/>
          </w:tcPr>
          <w:p>
            <w:pPr>
              <w:tabs>
                <w:tab w:val="left" w:pos="1050"/>
              </w:tabs>
              <w:spacing w:line="240" w:lineRule="exact"/>
              <w:ind w:firstLine="0" w:firstLineChars="0"/>
              <w:jc w:val="center"/>
              <w:rPr>
                <w:b/>
                <w:bCs/>
                <w:sz w:val="21"/>
                <w:szCs w:val="21"/>
              </w:rPr>
            </w:pPr>
            <w:r>
              <w:rPr>
                <w:b/>
                <w:bCs/>
                <w:sz w:val="21"/>
                <w:szCs w:val="21"/>
              </w:rPr>
              <w:t>18.14</w:t>
            </w:r>
          </w:p>
        </w:tc>
        <w:tc>
          <w:tcPr>
            <w:tcW w:w="389" w:type="pct"/>
            <w:vAlign w:val="center"/>
          </w:tcPr>
          <w:p>
            <w:pPr>
              <w:tabs>
                <w:tab w:val="left" w:pos="1050"/>
              </w:tabs>
              <w:spacing w:line="240" w:lineRule="exact"/>
              <w:ind w:firstLine="0" w:firstLineChars="0"/>
              <w:jc w:val="center"/>
              <w:rPr>
                <w:b/>
                <w:bCs/>
                <w:sz w:val="21"/>
                <w:szCs w:val="21"/>
              </w:rPr>
            </w:pPr>
            <w:r>
              <w:rPr>
                <w:b/>
                <w:bCs/>
                <w:sz w:val="21"/>
                <w:szCs w:val="21"/>
              </w:rPr>
              <w:t>0.08</w:t>
            </w:r>
          </w:p>
        </w:tc>
        <w:tc>
          <w:tcPr>
            <w:tcW w:w="241" w:type="pct"/>
            <w:vAlign w:val="center"/>
          </w:tcPr>
          <w:p>
            <w:pPr>
              <w:tabs>
                <w:tab w:val="left" w:pos="1050"/>
              </w:tabs>
              <w:spacing w:line="240" w:lineRule="exact"/>
              <w:ind w:firstLine="0" w:firstLineChars="0"/>
              <w:jc w:val="center"/>
              <w:rPr>
                <w:b/>
                <w:bCs/>
                <w:sz w:val="21"/>
                <w:szCs w:val="21"/>
              </w:rPr>
            </w:pPr>
          </w:p>
        </w:tc>
        <w:tc>
          <w:tcPr>
            <w:tcW w:w="277" w:type="pct"/>
            <w:vAlign w:val="center"/>
          </w:tcPr>
          <w:p>
            <w:pPr>
              <w:tabs>
                <w:tab w:val="left" w:pos="1050"/>
              </w:tabs>
              <w:spacing w:line="240" w:lineRule="exact"/>
              <w:ind w:firstLine="0" w:firstLineChars="0"/>
              <w:jc w:val="center"/>
              <w:rPr>
                <w:b/>
                <w:bCs/>
                <w:sz w:val="21"/>
                <w:szCs w:val="21"/>
              </w:rPr>
            </w:pPr>
            <w:r>
              <w:rPr>
                <w:b/>
                <w:bCs/>
                <w:sz w:val="21"/>
                <w:szCs w:val="21"/>
              </w:rPr>
              <w:t>7.61</w:t>
            </w:r>
          </w:p>
        </w:tc>
        <w:tc>
          <w:tcPr>
            <w:tcW w:w="309" w:type="pct"/>
            <w:vAlign w:val="center"/>
          </w:tcPr>
          <w:p>
            <w:pPr>
              <w:tabs>
                <w:tab w:val="left" w:pos="1050"/>
              </w:tabs>
              <w:spacing w:line="240" w:lineRule="exact"/>
              <w:ind w:firstLine="0" w:firstLineChars="0"/>
              <w:jc w:val="center"/>
              <w:rPr>
                <w:b/>
                <w:bCs/>
                <w:sz w:val="21"/>
                <w:szCs w:val="21"/>
              </w:rPr>
            </w:pPr>
            <w:r>
              <w:rPr>
                <w:b/>
                <w:bCs/>
                <w:sz w:val="21"/>
                <w:szCs w:val="21"/>
              </w:rPr>
              <w:t>7.57</w:t>
            </w:r>
          </w:p>
        </w:tc>
        <w:tc>
          <w:tcPr>
            <w:tcW w:w="246" w:type="pct"/>
            <w:vAlign w:val="center"/>
          </w:tcPr>
          <w:p>
            <w:pPr>
              <w:tabs>
                <w:tab w:val="left" w:pos="1050"/>
              </w:tabs>
              <w:spacing w:line="240" w:lineRule="exact"/>
              <w:ind w:firstLine="0" w:firstLineChars="0"/>
              <w:jc w:val="center"/>
              <w:rPr>
                <w:b/>
                <w:bCs/>
                <w:sz w:val="21"/>
                <w:szCs w:val="21"/>
              </w:rPr>
            </w:pPr>
            <w:r>
              <w:rPr>
                <w:b/>
                <w:bCs/>
                <w:sz w:val="21"/>
                <w:szCs w:val="21"/>
              </w:rPr>
              <w:t>0.98</w:t>
            </w:r>
          </w:p>
        </w:tc>
        <w:tc>
          <w:tcPr>
            <w:tcW w:w="307" w:type="pct"/>
            <w:vAlign w:val="center"/>
          </w:tcPr>
          <w:p>
            <w:pPr>
              <w:tabs>
                <w:tab w:val="left" w:pos="1050"/>
              </w:tabs>
              <w:spacing w:line="240" w:lineRule="exact"/>
              <w:ind w:firstLine="0" w:firstLineChars="0"/>
              <w:jc w:val="center"/>
              <w:rPr>
                <w:b/>
                <w:bCs/>
                <w:sz w:val="21"/>
                <w:szCs w:val="21"/>
              </w:rPr>
            </w:pPr>
            <w:r>
              <w:rPr>
                <w:b/>
                <w:bCs/>
                <w:sz w:val="21"/>
                <w:szCs w:val="21"/>
              </w:rPr>
              <w:t>383.62</w:t>
            </w:r>
          </w:p>
        </w:tc>
        <w:tc>
          <w:tcPr>
            <w:tcW w:w="239" w:type="pct"/>
            <w:vMerge w:val="continue"/>
            <w:vAlign w:val="center"/>
          </w:tcPr>
          <w:p>
            <w:pPr>
              <w:tabs>
                <w:tab w:val="left" w:pos="1050"/>
              </w:tabs>
              <w:spacing w:line="24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79" w:type="pct"/>
            <w:gridSpan w:val="3"/>
            <w:vAlign w:val="center"/>
          </w:tcPr>
          <w:p>
            <w:pPr>
              <w:tabs>
                <w:tab w:val="left" w:pos="1050"/>
              </w:tabs>
              <w:spacing w:line="240" w:lineRule="exact"/>
              <w:ind w:firstLine="0" w:firstLineChars="0"/>
              <w:jc w:val="center"/>
              <w:rPr>
                <w:b/>
                <w:bCs/>
                <w:sz w:val="21"/>
                <w:szCs w:val="21"/>
              </w:rPr>
            </w:pPr>
            <w:r>
              <w:rPr>
                <w:b/>
                <w:bCs/>
                <w:sz w:val="21"/>
                <w:szCs w:val="21"/>
              </w:rPr>
              <w:t>总计</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384.65</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183.18</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380.03</w:t>
            </w:r>
          </w:p>
        </w:tc>
        <w:tc>
          <w:tcPr>
            <w:tcW w:w="284" w:type="pct"/>
            <w:vAlign w:val="center"/>
          </w:tcPr>
          <w:p>
            <w:pPr>
              <w:tabs>
                <w:tab w:val="left" w:pos="1050"/>
              </w:tabs>
              <w:spacing w:line="240" w:lineRule="exact"/>
              <w:ind w:firstLine="0" w:firstLineChars="0"/>
              <w:jc w:val="center"/>
              <w:rPr>
                <w:b/>
                <w:bCs/>
                <w:sz w:val="21"/>
                <w:szCs w:val="21"/>
              </w:rPr>
            </w:pPr>
            <w:r>
              <w:rPr>
                <w:b/>
                <w:bCs/>
                <w:sz w:val="21"/>
                <w:szCs w:val="21"/>
              </w:rPr>
              <w:t>3.36</w:t>
            </w:r>
          </w:p>
        </w:tc>
        <w:tc>
          <w:tcPr>
            <w:tcW w:w="258" w:type="pct"/>
            <w:vAlign w:val="center"/>
          </w:tcPr>
          <w:p>
            <w:pPr>
              <w:tabs>
                <w:tab w:val="left" w:pos="1050"/>
              </w:tabs>
              <w:spacing w:line="240" w:lineRule="exact"/>
              <w:ind w:firstLine="0" w:firstLineChars="0"/>
              <w:jc w:val="center"/>
              <w:rPr>
                <w:b/>
                <w:bCs/>
                <w:sz w:val="21"/>
                <w:szCs w:val="21"/>
              </w:rPr>
            </w:pPr>
            <w:r>
              <w:rPr>
                <w:b/>
                <w:bCs/>
                <w:sz w:val="21"/>
                <w:szCs w:val="21"/>
              </w:rPr>
              <w:t>0.22</w:t>
            </w:r>
          </w:p>
        </w:tc>
        <w:tc>
          <w:tcPr>
            <w:tcW w:w="252" w:type="pct"/>
            <w:vAlign w:val="center"/>
          </w:tcPr>
          <w:p>
            <w:pPr>
              <w:tabs>
                <w:tab w:val="left" w:pos="1050"/>
              </w:tabs>
              <w:spacing w:line="240" w:lineRule="exact"/>
              <w:ind w:firstLine="0" w:firstLineChars="0"/>
              <w:jc w:val="center"/>
              <w:rPr>
                <w:b/>
                <w:bCs/>
                <w:sz w:val="21"/>
                <w:szCs w:val="21"/>
              </w:rPr>
            </w:pPr>
            <w:r>
              <w:rPr>
                <w:b/>
                <w:bCs/>
                <w:sz w:val="21"/>
                <w:szCs w:val="21"/>
              </w:rPr>
              <w:t>63.61</w:t>
            </w:r>
          </w:p>
        </w:tc>
        <w:tc>
          <w:tcPr>
            <w:tcW w:w="258" w:type="pct"/>
            <w:vAlign w:val="center"/>
          </w:tcPr>
          <w:p>
            <w:pPr>
              <w:tabs>
                <w:tab w:val="left" w:pos="1050"/>
              </w:tabs>
              <w:spacing w:line="240" w:lineRule="exact"/>
              <w:ind w:firstLine="0" w:firstLineChars="0"/>
              <w:jc w:val="center"/>
              <w:rPr>
                <w:b/>
                <w:bCs/>
                <w:sz w:val="21"/>
                <w:szCs w:val="21"/>
              </w:rPr>
            </w:pPr>
            <w:r>
              <w:rPr>
                <w:b/>
                <w:bCs/>
                <w:sz w:val="21"/>
                <w:szCs w:val="21"/>
              </w:rPr>
              <w:t>58.89</w:t>
            </w:r>
          </w:p>
        </w:tc>
        <w:tc>
          <w:tcPr>
            <w:tcW w:w="389" w:type="pct"/>
            <w:vAlign w:val="center"/>
          </w:tcPr>
          <w:p>
            <w:pPr>
              <w:tabs>
                <w:tab w:val="left" w:pos="1050"/>
              </w:tabs>
              <w:spacing w:line="240" w:lineRule="exact"/>
              <w:ind w:firstLine="0" w:firstLineChars="0"/>
              <w:jc w:val="center"/>
              <w:rPr>
                <w:b/>
                <w:bCs/>
                <w:sz w:val="21"/>
                <w:szCs w:val="21"/>
              </w:rPr>
            </w:pPr>
            <w:r>
              <w:rPr>
                <w:b/>
                <w:bCs/>
                <w:sz w:val="21"/>
                <w:szCs w:val="21"/>
              </w:rPr>
              <w:t>0.70</w:t>
            </w:r>
          </w:p>
        </w:tc>
        <w:tc>
          <w:tcPr>
            <w:tcW w:w="241" w:type="pct"/>
            <w:vAlign w:val="center"/>
          </w:tcPr>
          <w:p>
            <w:pPr>
              <w:tabs>
                <w:tab w:val="left" w:pos="1050"/>
              </w:tabs>
              <w:spacing w:line="240" w:lineRule="exact"/>
              <w:ind w:firstLine="0" w:firstLineChars="0"/>
              <w:jc w:val="center"/>
              <w:rPr>
                <w:b/>
                <w:bCs/>
                <w:sz w:val="21"/>
                <w:szCs w:val="21"/>
              </w:rPr>
            </w:pPr>
            <w:r>
              <w:rPr>
                <w:b/>
                <w:bCs/>
                <w:sz w:val="21"/>
                <w:szCs w:val="21"/>
              </w:rPr>
              <w:t>0.06</w:t>
            </w:r>
          </w:p>
        </w:tc>
        <w:tc>
          <w:tcPr>
            <w:tcW w:w="277" w:type="pct"/>
            <w:vAlign w:val="center"/>
          </w:tcPr>
          <w:p>
            <w:pPr>
              <w:tabs>
                <w:tab w:val="left" w:pos="1050"/>
              </w:tabs>
              <w:spacing w:line="240" w:lineRule="exact"/>
              <w:ind w:firstLine="0" w:firstLineChars="0"/>
              <w:jc w:val="center"/>
              <w:rPr>
                <w:b/>
                <w:bCs/>
                <w:sz w:val="21"/>
                <w:szCs w:val="21"/>
              </w:rPr>
            </w:pPr>
            <w:r>
              <w:rPr>
                <w:b/>
                <w:bCs/>
                <w:sz w:val="21"/>
                <w:szCs w:val="21"/>
              </w:rPr>
              <w:t>26.35</w:t>
            </w:r>
          </w:p>
        </w:tc>
        <w:tc>
          <w:tcPr>
            <w:tcW w:w="309" w:type="pct"/>
            <w:vAlign w:val="center"/>
          </w:tcPr>
          <w:p>
            <w:pPr>
              <w:tabs>
                <w:tab w:val="left" w:pos="1050"/>
              </w:tabs>
              <w:spacing w:line="240" w:lineRule="exact"/>
              <w:ind w:firstLine="0" w:firstLineChars="0"/>
              <w:jc w:val="center"/>
              <w:rPr>
                <w:b/>
                <w:bCs/>
                <w:sz w:val="21"/>
                <w:szCs w:val="21"/>
              </w:rPr>
            </w:pPr>
            <w:r>
              <w:rPr>
                <w:b/>
                <w:bCs/>
                <w:sz w:val="21"/>
                <w:szCs w:val="21"/>
              </w:rPr>
              <w:t>26.19</w:t>
            </w:r>
          </w:p>
        </w:tc>
        <w:tc>
          <w:tcPr>
            <w:tcW w:w="246" w:type="pct"/>
            <w:vAlign w:val="center"/>
          </w:tcPr>
          <w:p>
            <w:pPr>
              <w:tabs>
                <w:tab w:val="left" w:pos="1050"/>
              </w:tabs>
              <w:spacing w:line="240" w:lineRule="exact"/>
              <w:ind w:firstLine="0" w:firstLineChars="0"/>
              <w:jc w:val="center"/>
              <w:rPr>
                <w:b/>
                <w:bCs/>
                <w:sz w:val="21"/>
                <w:szCs w:val="21"/>
              </w:rPr>
            </w:pPr>
            <w:r>
              <w:rPr>
                <w:b/>
                <w:bCs/>
                <w:sz w:val="21"/>
                <w:szCs w:val="21"/>
              </w:rPr>
              <w:t>1.94</w:t>
            </w:r>
          </w:p>
        </w:tc>
        <w:tc>
          <w:tcPr>
            <w:tcW w:w="307" w:type="pct"/>
            <w:vAlign w:val="center"/>
          </w:tcPr>
          <w:p>
            <w:pPr>
              <w:tabs>
                <w:tab w:val="left" w:pos="1050"/>
              </w:tabs>
              <w:spacing w:line="240" w:lineRule="exact"/>
              <w:ind w:firstLine="0" w:firstLineChars="0"/>
              <w:jc w:val="center"/>
              <w:rPr>
                <w:b/>
                <w:bCs/>
                <w:sz w:val="21"/>
                <w:szCs w:val="21"/>
              </w:rPr>
            </w:pPr>
            <w:r>
              <w:rPr>
                <w:b/>
                <w:bCs/>
                <w:sz w:val="21"/>
                <w:szCs w:val="21"/>
              </w:rPr>
              <w:t>1129.18</w:t>
            </w:r>
          </w:p>
        </w:tc>
        <w:tc>
          <w:tcPr>
            <w:tcW w:w="239" w:type="pct"/>
            <w:vAlign w:val="center"/>
          </w:tcPr>
          <w:p>
            <w:pPr>
              <w:tabs>
                <w:tab w:val="left" w:pos="1050"/>
              </w:tabs>
              <w:spacing w:line="240" w:lineRule="exact"/>
              <w:ind w:firstLine="0" w:firstLineChars="0"/>
              <w:jc w:val="center"/>
              <w:rPr>
                <w:b/>
                <w:bCs/>
                <w:sz w:val="21"/>
                <w:szCs w:val="21"/>
              </w:rPr>
            </w:pPr>
          </w:p>
        </w:tc>
      </w:tr>
    </w:tbl>
    <w:p>
      <w:pPr>
        <w:spacing w:beforeLines="50"/>
        <w:ind w:firstLine="482"/>
        <w:sectPr>
          <w:pgSz w:w="16838" w:h="11905" w:orient="landscape"/>
          <w:pgMar w:top="1417" w:right="1417" w:bottom="1417" w:left="1417" w:header="850" w:footer="992" w:gutter="0"/>
          <w:cols w:space="720" w:num="1"/>
          <w:docGrid w:linePitch="312" w:charSpace="0"/>
        </w:sectPr>
      </w:pPr>
      <w:r>
        <w:rPr>
          <w:b/>
          <w:bCs/>
        </w:rPr>
        <w:t>注：表土中转场、土石方中转场、施工生产生活区均布置于园区永久占地范围，不重复计列面积。</w:t>
      </w:r>
    </w:p>
    <w:p>
      <w:pPr>
        <w:pStyle w:val="5"/>
        <w:spacing w:beforeLines="50"/>
      </w:pPr>
      <w:bookmarkStart w:id="57" w:name="_Toc29980"/>
      <w:r>
        <w:t>2.4土石方平衡</w:t>
      </w:r>
      <w:bookmarkEnd w:id="57"/>
    </w:p>
    <w:p>
      <w:pPr>
        <w:pStyle w:val="6"/>
      </w:pPr>
      <w:r>
        <w:t>2.4.1土石方平衡原则及要求</w:t>
      </w:r>
    </w:p>
    <w:p>
      <w:pPr>
        <w:ind w:firstLine="480"/>
      </w:pPr>
      <w:r>
        <w:t>土石方调运应遵循节点适宜、时序可行、运距合理的原则，土石方平衡应按最优化原则尽量移挖作填，实现开挖土石方的综合利用，尽量减少弃方。园区土石方平衡应遵循园区内土石方必须实现内部平衡不向园区以外借土、弃渣的原则。园区内生产建设项目土石方亦应尽量挖填平衡，确有借方的应优先从园区内周边同期建设的其他项目或园区规划的土石中转场外借土石方，不应设置取土（石、砂）场；存在余方的应优先通过优化设计、调整竖向设计实现本项目综合利用以减少甚至避免出现余方，确有余方无法综合利用的，应外运至周边同期建设的其他项目回填实现综合利用或外运至园区规划的土石方中转场临时堆放，不应设置永久弃土（石、渣）场。</w:t>
      </w:r>
    </w:p>
    <w:p>
      <w:pPr>
        <w:pStyle w:val="6"/>
      </w:pPr>
      <w:r>
        <w:t>2.4.2表土平衡分析</w:t>
      </w:r>
    </w:p>
    <w:p>
      <w:pPr>
        <w:pStyle w:val="7"/>
      </w:pPr>
      <w:r>
        <w:t>2.4.2.1园区表土保护情况调查</w:t>
      </w:r>
    </w:p>
    <w:p>
      <w:pPr>
        <w:widowControl/>
        <w:ind w:firstLine="480"/>
      </w:pPr>
      <w:r>
        <w:rPr>
          <w:kern w:val="0"/>
          <w:szCs w:val="24"/>
        </w:rPr>
        <w:t>根据园区内批复的水土保持方案及对园区已扰动区域进行表土保护工作的现场实地调查，园区内部分企业未进行表土剥离</w:t>
      </w:r>
      <w:r>
        <w:rPr>
          <w:rFonts w:hint="eastAsia"/>
          <w:kern w:val="0"/>
          <w:szCs w:val="24"/>
        </w:rPr>
        <w:t>或表土未进行集中堆放</w:t>
      </w:r>
      <w:r>
        <w:rPr>
          <w:kern w:val="0"/>
          <w:szCs w:val="24"/>
        </w:rPr>
        <w:t>。</w:t>
      </w:r>
      <w:r>
        <w:rPr>
          <w:rFonts w:hint="eastAsia"/>
          <w:kern w:val="0"/>
          <w:szCs w:val="24"/>
        </w:rPr>
        <w:t>根据地块场地平整施工时序不同，</w:t>
      </w:r>
      <w:r>
        <w:rPr>
          <w:rFonts w:hint="eastAsia"/>
          <w:bCs/>
          <w:lang w:eastAsia="zh-CN"/>
        </w:rPr>
        <w:t>管</w:t>
      </w:r>
      <w:r>
        <w:rPr>
          <w:rFonts w:hint="eastAsia"/>
          <w:bCs/>
        </w:rPr>
        <w:t>将</w:t>
      </w:r>
      <w:r>
        <w:rPr>
          <w:rFonts w:hint="eastAsia"/>
          <w:kern w:val="0"/>
          <w:szCs w:val="24"/>
        </w:rPr>
        <w:t>下图所示的地块作为表土临时堆存点，园区剥离的表土均临时堆放至该地块，实施绿化时再从该地块中调运。</w:t>
      </w:r>
      <w:r>
        <w:rPr>
          <w:kern w:val="0"/>
          <w:szCs w:val="24"/>
        </w:rPr>
        <w:t>目前</w:t>
      </w:r>
      <w:r>
        <w:t>已建的表土</w:t>
      </w:r>
      <w:r>
        <w:rPr>
          <w:rFonts w:hint="eastAsia"/>
        </w:rPr>
        <w:t>已作为绿化覆土回填利用完成。该地块已场平完成。</w:t>
      </w:r>
      <w:r>
        <w:rPr>
          <w:kern w:val="0"/>
          <w:szCs w:val="24"/>
        </w:rPr>
        <w:t>针对园区</w:t>
      </w:r>
      <w:r>
        <w:rPr>
          <w:rFonts w:hint="eastAsia"/>
          <w:kern w:val="0"/>
          <w:szCs w:val="24"/>
        </w:rPr>
        <w:t>在建区域</w:t>
      </w:r>
      <w:r>
        <w:rPr>
          <w:kern w:val="0"/>
          <w:szCs w:val="24"/>
        </w:rPr>
        <w:t>情况，要求根据现场实际情况</w:t>
      </w:r>
      <w:r>
        <w:rPr>
          <w:rFonts w:hint="eastAsia"/>
          <w:kern w:val="0"/>
          <w:szCs w:val="24"/>
        </w:rPr>
        <w:t>须</w:t>
      </w:r>
      <w:r>
        <w:rPr>
          <w:kern w:val="0"/>
          <w:szCs w:val="24"/>
        </w:rPr>
        <w:t>把可剥离</w:t>
      </w:r>
      <w:r>
        <w:rPr>
          <w:rFonts w:hint="eastAsia"/>
          <w:kern w:val="0"/>
          <w:szCs w:val="24"/>
        </w:rPr>
        <w:t>或已剥离</w:t>
      </w:r>
      <w:r>
        <w:rPr>
          <w:kern w:val="0"/>
          <w:szCs w:val="24"/>
        </w:rPr>
        <w:t>的表土收集集中起来用于园区绿化覆土使用，</w:t>
      </w:r>
      <w:r>
        <w:rPr>
          <w:rFonts w:hint="eastAsia"/>
          <w:kern w:val="0"/>
          <w:szCs w:val="24"/>
        </w:rPr>
        <w:t>园区在建区域将还可利用表土量为64万m</w:t>
      </w:r>
      <w:r>
        <w:rPr>
          <w:rFonts w:hint="eastAsia"/>
          <w:kern w:val="0"/>
          <w:szCs w:val="24"/>
          <w:vertAlign w:val="superscript"/>
        </w:rPr>
        <w:t>3</w:t>
      </w:r>
      <w:r>
        <w:rPr>
          <w:rFonts w:hint="eastAsia"/>
          <w:kern w:val="0"/>
          <w:szCs w:val="24"/>
        </w:rPr>
        <w:t>，本报告要求园区管</w:t>
      </w:r>
      <w:r>
        <w:rPr>
          <w:bCs/>
        </w:rPr>
        <w:t>委会</w:t>
      </w:r>
      <w:r>
        <w:rPr>
          <w:rFonts w:hint="eastAsia"/>
          <w:bCs/>
        </w:rPr>
        <w:t>组织对</w:t>
      </w:r>
      <w:r>
        <w:rPr>
          <w:rFonts w:hint="eastAsia"/>
          <w:kern w:val="0"/>
          <w:szCs w:val="24"/>
        </w:rPr>
        <w:t>还可利用表土</w:t>
      </w:r>
      <w:r>
        <w:rPr>
          <w:rFonts w:hint="eastAsia"/>
          <w:bCs/>
        </w:rPr>
        <w:t>收集后集中堆放至报告设置的表土中转场内，</w:t>
      </w:r>
      <w:r>
        <w:rPr>
          <w:kern w:val="0"/>
          <w:szCs w:val="24"/>
        </w:rPr>
        <w:t>最大程度地保护表土资源。</w:t>
      </w:r>
      <w:r>
        <w:rPr>
          <w:rFonts w:hint="eastAsia"/>
          <w:kern w:val="0"/>
          <w:szCs w:val="24"/>
        </w:rPr>
        <w:t>根据调查园区</w:t>
      </w:r>
      <w:r>
        <w:t>已建及在建区域</w:t>
      </w:r>
      <w:r>
        <w:rPr>
          <w:rFonts w:hint="eastAsia"/>
        </w:rPr>
        <w:t>可利用</w:t>
      </w:r>
      <w:r>
        <w:t>表土</w:t>
      </w:r>
      <w:r>
        <w:rPr>
          <w:rFonts w:hint="eastAsia"/>
        </w:rPr>
        <w:t>总量为83.57万m</w:t>
      </w:r>
      <w:r>
        <w:rPr>
          <w:rFonts w:hint="eastAsia"/>
          <w:vertAlign w:val="superscript"/>
        </w:rPr>
        <w:t>3</w:t>
      </w:r>
      <w:r>
        <w:rPr>
          <w:rFonts w:hint="eastAsia"/>
        </w:rPr>
        <w:t>。</w:t>
      </w:r>
      <w:r>
        <w:t>已建及在建区域表土保护调查情况详见表2.4-1。</w:t>
      </w:r>
    </w:p>
    <w:tbl>
      <w:tblPr>
        <w:tblStyle w:val="110"/>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776"/>
        <w:gridCol w:w="226"/>
        <w:gridCol w:w="428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93" w:type="pct"/>
            <w:gridSpan w:val="2"/>
            <w:vAlign w:val="center"/>
          </w:tcPr>
          <w:p>
            <w:pPr>
              <w:spacing w:line="240" w:lineRule="auto"/>
              <w:ind w:firstLine="0" w:firstLineChars="0"/>
              <w:rPr>
                <w:sz w:val="21"/>
                <w:szCs w:val="21"/>
              </w:rPr>
            </w:pPr>
            <w:r>
              <w:drawing>
                <wp:inline distT="0" distB="0" distL="114300" distR="114300">
                  <wp:extent cx="2988310" cy="1833245"/>
                  <wp:effectExtent l="0" t="0" r="2540" b="14605"/>
                  <wp:docPr id="2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1"/>
                          <pic:cNvPicPr>
                            <a:picLocks noChangeAspect="1"/>
                          </pic:cNvPicPr>
                        </pic:nvPicPr>
                        <pic:blipFill>
                          <a:blip r:embed="rId130"/>
                          <a:stretch>
                            <a:fillRect/>
                          </a:stretch>
                        </pic:blipFill>
                        <pic:spPr>
                          <a:xfrm>
                            <a:off x="0" y="0"/>
                            <a:ext cx="2988310" cy="1833245"/>
                          </a:xfrm>
                          <a:prstGeom prst="rect">
                            <a:avLst/>
                          </a:prstGeom>
                          <a:noFill/>
                          <a:ln>
                            <a:noFill/>
                          </a:ln>
                        </pic:spPr>
                      </pic:pic>
                    </a:graphicData>
                  </a:graphic>
                </wp:inline>
              </w:drawing>
            </w:r>
          </w:p>
        </w:tc>
        <w:tc>
          <w:tcPr>
            <w:tcW w:w="2306" w:type="pct"/>
            <w:vAlign w:val="center"/>
          </w:tcPr>
          <w:p>
            <w:pPr>
              <w:spacing w:line="240" w:lineRule="auto"/>
              <w:ind w:firstLine="0" w:firstLineChars="0"/>
              <w:rPr>
                <w:sz w:val="21"/>
                <w:szCs w:val="21"/>
              </w:rPr>
            </w:pPr>
            <w:r>
              <w:rPr>
                <w:rFonts w:hint="eastAsia"/>
                <w:sz w:val="21"/>
                <w:szCs w:val="21"/>
              </w:rPr>
              <w:drawing>
                <wp:inline distT="0" distB="0" distL="114300" distR="114300">
                  <wp:extent cx="2682875" cy="1788795"/>
                  <wp:effectExtent l="0" t="0" r="3175" b="1905"/>
                  <wp:docPr id="34" name="图片 34" descr="DJI_0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DJI_0972"/>
                          <pic:cNvPicPr>
                            <a:picLocks noChangeAspect="1"/>
                          </pic:cNvPicPr>
                        </pic:nvPicPr>
                        <pic:blipFill>
                          <a:blip r:embed="rId131"/>
                          <a:stretch>
                            <a:fillRect/>
                          </a:stretch>
                        </pic:blipFill>
                        <pic:spPr>
                          <a:xfrm>
                            <a:off x="0" y="0"/>
                            <a:ext cx="2682875" cy="178879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5000" w:type="pct"/>
            <w:gridSpan w:val="3"/>
            <w:vAlign w:val="center"/>
          </w:tcPr>
          <w:p>
            <w:pPr>
              <w:spacing w:line="240" w:lineRule="auto"/>
              <w:ind w:firstLine="0" w:firstLineChars="0"/>
              <w:jc w:val="center"/>
              <w:rPr>
                <w:sz w:val="21"/>
                <w:szCs w:val="21"/>
              </w:rPr>
            </w:pPr>
            <w:r>
              <w:rPr>
                <w:rFonts w:hint="eastAsia"/>
                <w:b/>
                <w:bCs/>
                <w:sz w:val="21"/>
                <w:szCs w:val="21"/>
              </w:rPr>
              <w:t>图2.4-1</w:t>
            </w:r>
            <w:r>
              <w:rPr>
                <w:b/>
                <w:bCs/>
                <w:sz w:val="21"/>
                <w:szCs w:val="21"/>
              </w:rPr>
              <w:t>表土临时</w:t>
            </w:r>
            <w:r>
              <w:rPr>
                <w:rFonts w:hint="eastAsia"/>
                <w:b/>
                <w:bCs/>
                <w:sz w:val="21"/>
                <w:szCs w:val="21"/>
              </w:rPr>
              <w:t>堆放点</w:t>
            </w:r>
            <w:r>
              <w:rPr>
                <w:b/>
                <w:bCs/>
                <w:sz w:val="21"/>
                <w:szCs w:val="21"/>
              </w:rPr>
              <w:t>在园区中的位置</w:t>
            </w:r>
            <w:r>
              <w:rPr>
                <w:rFonts w:hint="eastAsia"/>
                <w:b/>
                <w:bCs/>
                <w:sz w:val="21"/>
                <w:szCs w:val="21"/>
              </w:rPr>
              <w:t>-2022年5月拍摄</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5000" w:type="pct"/>
            <w:gridSpan w:val="3"/>
            <w:vAlign w:val="center"/>
          </w:tcPr>
          <w:p>
            <w:pPr>
              <w:spacing w:line="240" w:lineRule="auto"/>
              <w:ind w:firstLine="0" w:firstLineChars="0"/>
              <w:rPr>
                <w:sz w:val="21"/>
                <w:szCs w:val="21"/>
              </w:rPr>
            </w:pPr>
            <w:r>
              <w:rPr>
                <w:sz w:val="21"/>
                <w:szCs w:val="21"/>
              </w:rPr>
              <w:drawing>
                <wp:inline distT="0" distB="0" distL="114300" distR="114300">
                  <wp:extent cx="5698490" cy="3799205"/>
                  <wp:effectExtent l="0" t="0" r="16510" b="10795"/>
                  <wp:docPr id="45" name="图片 45" descr="DJI_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DJI_0262"/>
                          <pic:cNvPicPr>
                            <a:picLocks noChangeAspect="1"/>
                          </pic:cNvPicPr>
                        </pic:nvPicPr>
                        <pic:blipFill>
                          <a:blip r:embed="rId132"/>
                          <a:stretch>
                            <a:fillRect/>
                          </a:stretch>
                        </pic:blipFill>
                        <pic:spPr>
                          <a:xfrm>
                            <a:off x="0" y="0"/>
                            <a:ext cx="5698490" cy="3799205"/>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5000" w:type="pct"/>
            <w:gridSpan w:val="3"/>
            <w:vAlign w:val="center"/>
          </w:tcPr>
          <w:p>
            <w:pPr>
              <w:spacing w:line="240" w:lineRule="auto"/>
              <w:ind w:firstLine="0" w:firstLineChars="0"/>
              <w:jc w:val="center"/>
              <w:rPr>
                <w:sz w:val="21"/>
                <w:szCs w:val="21"/>
              </w:rPr>
            </w:pPr>
            <w:r>
              <w:rPr>
                <w:rFonts w:hint="eastAsia"/>
                <w:b/>
                <w:bCs/>
                <w:sz w:val="21"/>
                <w:szCs w:val="21"/>
              </w:rPr>
              <w:t>图2.4-2</w:t>
            </w:r>
            <w:r>
              <w:rPr>
                <w:b/>
                <w:bCs/>
                <w:sz w:val="21"/>
                <w:szCs w:val="21"/>
              </w:rPr>
              <w:t>表土临时</w:t>
            </w:r>
            <w:r>
              <w:rPr>
                <w:rFonts w:hint="eastAsia"/>
                <w:b/>
                <w:bCs/>
                <w:sz w:val="21"/>
                <w:szCs w:val="21"/>
              </w:rPr>
              <w:t>堆放点（该地块已场平完成）-2022年11月拍摄</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570" w:type="pct"/>
            <w:vAlign w:val="center"/>
          </w:tcPr>
          <w:p>
            <w:pPr>
              <w:spacing w:line="240" w:lineRule="auto"/>
              <w:ind w:firstLine="0" w:firstLineChars="0"/>
              <w:rPr>
                <w:b/>
                <w:bCs/>
                <w:sz w:val="21"/>
                <w:szCs w:val="21"/>
              </w:rPr>
            </w:pPr>
            <w:r>
              <w:drawing>
                <wp:inline distT="0" distB="0" distL="114300" distR="114300">
                  <wp:extent cx="2993390" cy="2030095"/>
                  <wp:effectExtent l="0" t="0" r="16510" b="8255"/>
                  <wp:docPr id="9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50"/>
                          <pic:cNvPicPr>
                            <a:picLocks noChangeAspect="1"/>
                          </pic:cNvPicPr>
                        </pic:nvPicPr>
                        <pic:blipFill>
                          <a:blip r:embed="rId133"/>
                          <a:stretch>
                            <a:fillRect/>
                          </a:stretch>
                        </pic:blipFill>
                        <pic:spPr>
                          <a:xfrm>
                            <a:off x="0" y="0"/>
                            <a:ext cx="2993390" cy="2030095"/>
                          </a:xfrm>
                          <a:prstGeom prst="rect">
                            <a:avLst/>
                          </a:prstGeom>
                          <a:noFill/>
                          <a:ln>
                            <a:noFill/>
                          </a:ln>
                        </pic:spPr>
                      </pic:pic>
                    </a:graphicData>
                  </a:graphic>
                </wp:inline>
              </w:drawing>
            </w:r>
          </w:p>
        </w:tc>
        <w:tc>
          <w:tcPr>
            <w:tcW w:w="2429" w:type="pct"/>
            <w:gridSpan w:val="2"/>
            <w:vAlign w:val="center"/>
          </w:tcPr>
          <w:p>
            <w:pPr>
              <w:spacing w:line="240" w:lineRule="auto"/>
              <w:ind w:firstLine="0" w:firstLineChars="0"/>
              <w:rPr>
                <w:b/>
                <w:bCs/>
                <w:sz w:val="21"/>
                <w:szCs w:val="21"/>
              </w:rPr>
            </w:pPr>
            <w:r>
              <w:rPr>
                <w:rFonts w:hint="eastAsia"/>
                <w:b/>
                <w:bCs/>
                <w:sz w:val="21"/>
                <w:szCs w:val="21"/>
              </w:rPr>
              <w:drawing>
                <wp:inline distT="0" distB="0" distL="114300" distR="114300">
                  <wp:extent cx="2794000" cy="2095500"/>
                  <wp:effectExtent l="0" t="0" r="6350" b="0"/>
                  <wp:docPr id="54" name="图片 54" descr="IMG_20220920_14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IMG_20220920_142752"/>
                          <pic:cNvPicPr>
                            <a:picLocks noChangeAspect="1"/>
                          </pic:cNvPicPr>
                        </pic:nvPicPr>
                        <pic:blipFill>
                          <a:blip r:embed="rId134"/>
                          <a:stretch>
                            <a:fillRect/>
                          </a:stretch>
                        </pic:blipFill>
                        <pic:spPr>
                          <a:xfrm>
                            <a:off x="0" y="0"/>
                            <a:ext cx="2794000" cy="2095500"/>
                          </a:xfrm>
                          <a:prstGeom prst="rect">
                            <a:avLst/>
                          </a:prstGeom>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570" w:type="pct"/>
            <w:vAlign w:val="center"/>
          </w:tcPr>
          <w:p>
            <w:pPr>
              <w:spacing w:line="240" w:lineRule="auto"/>
              <w:ind w:firstLine="0" w:firstLineChars="0"/>
              <w:rPr>
                <w:b/>
                <w:bCs/>
                <w:sz w:val="21"/>
                <w:szCs w:val="21"/>
              </w:rPr>
            </w:pPr>
            <w:r>
              <w:drawing>
                <wp:inline distT="0" distB="0" distL="114300" distR="114300">
                  <wp:extent cx="2966085" cy="2054225"/>
                  <wp:effectExtent l="0" t="0" r="5715" b="3175"/>
                  <wp:docPr id="9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51"/>
                          <pic:cNvPicPr>
                            <a:picLocks noChangeAspect="1"/>
                          </pic:cNvPicPr>
                        </pic:nvPicPr>
                        <pic:blipFill>
                          <a:blip r:embed="rId135"/>
                          <a:stretch>
                            <a:fillRect/>
                          </a:stretch>
                        </pic:blipFill>
                        <pic:spPr>
                          <a:xfrm>
                            <a:off x="0" y="0"/>
                            <a:ext cx="2966085" cy="2054225"/>
                          </a:xfrm>
                          <a:prstGeom prst="rect">
                            <a:avLst/>
                          </a:prstGeom>
                          <a:noFill/>
                          <a:ln>
                            <a:noFill/>
                          </a:ln>
                        </pic:spPr>
                      </pic:pic>
                    </a:graphicData>
                  </a:graphic>
                </wp:inline>
              </w:drawing>
            </w:r>
          </w:p>
        </w:tc>
        <w:tc>
          <w:tcPr>
            <w:tcW w:w="2429" w:type="pct"/>
            <w:gridSpan w:val="2"/>
            <w:vAlign w:val="center"/>
          </w:tcPr>
          <w:p>
            <w:pPr>
              <w:spacing w:line="240" w:lineRule="auto"/>
              <w:ind w:firstLine="0" w:firstLineChars="0"/>
              <w:rPr>
                <w:b/>
                <w:bCs/>
                <w:sz w:val="21"/>
                <w:szCs w:val="21"/>
              </w:rPr>
            </w:pPr>
            <w:r>
              <w:drawing>
                <wp:inline distT="0" distB="0" distL="114300" distR="114300">
                  <wp:extent cx="2814955" cy="1994535"/>
                  <wp:effectExtent l="0" t="0" r="4445" b="5715"/>
                  <wp:docPr id="96"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52"/>
                          <pic:cNvPicPr>
                            <a:picLocks noChangeAspect="1"/>
                          </pic:cNvPicPr>
                        </pic:nvPicPr>
                        <pic:blipFill>
                          <a:blip r:embed="rId136"/>
                          <a:stretch>
                            <a:fillRect/>
                          </a:stretch>
                        </pic:blipFill>
                        <pic:spPr>
                          <a:xfrm>
                            <a:off x="0" y="0"/>
                            <a:ext cx="2814955" cy="1994535"/>
                          </a:xfrm>
                          <a:prstGeom prst="rect">
                            <a:avLst/>
                          </a:prstGeom>
                          <a:noFill/>
                          <a:ln>
                            <a:noFill/>
                          </a:ln>
                        </pic:spPr>
                      </pic:pic>
                    </a:graphicData>
                  </a:graphic>
                </wp:inline>
              </w:drawing>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5000" w:type="pct"/>
            <w:gridSpan w:val="3"/>
            <w:vAlign w:val="center"/>
          </w:tcPr>
          <w:p>
            <w:pPr>
              <w:spacing w:line="240" w:lineRule="auto"/>
              <w:ind w:firstLine="0" w:firstLineChars="0"/>
              <w:jc w:val="center"/>
            </w:pPr>
            <w:r>
              <w:rPr>
                <w:rFonts w:hint="eastAsia"/>
                <w:b/>
                <w:bCs/>
                <w:sz w:val="21"/>
                <w:szCs w:val="21"/>
              </w:rPr>
              <w:t>图2.4-3</w:t>
            </w:r>
            <w:r>
              <w:rPr>
                <w:b/>
                <w:bCs/>
              </w:rPr>
              <w:t>在建区域</w:t>
            </w:r>
            <w:r>
              <w:rPr>
                <w:rFonts w:hint="eastAsia"/>
                <w:b/>
                <w:bCs/>
              </w:rPr>
              <w:t>可利用</w:t>
            </w:r>
            <w:r>
              <w:rPr>
                <w:b/>
                <w:bCs/>
              </w:rPr>
              <w:t>表土</w:t>
            </w:r>
            <w:r>
              <w:rPr>
                <w:rFonts w:hint="eastAsia"/>
                <w:b/>
                <w:bCs/>
              </w:rPr>
              <w:t>区域</w:t>
            </w:r>
          </w:p>
        </w:tc>
      </w:tr>
    </w:tbl>
    <w:p>
      <w:pPr>
        <w:widowControl/>
        <w:ind w:firstLine="0" w:firstLineChars="0"/>
        <w:jc w:val="center"/>
        <w:rPr>
          <w:b/>
          <w:bCs/>
        </w:rPr>
        <w:sectPr>
          <w:pgSz w:w="11905" w:h="16838"/>
          <w:pgMar w:top="1417" w:right="1417" w:bottom="1417" w:left="1417" w:header="850" w:footer="992" w:gutter="0"/>
          <w:cols w:space="720" w:num="1"/>
          <w:docGrid w:linePitch="312" w:charSpace="0"/>
        </w:sectPr>
      </w:pPr>
    </w:p>
    <w:p>
      <w:pPr>
        <w:widowControl/>
        <w:ind w:firstLine="0" w:firstLineChars="0"/>
        <w:jc w:val="center"/>
        <w:rPr>
          <w:b/>
          <w:bCs/>
        </w:rPr>
      </w:pPr>
      <w:r>
        <w:rPr>
          <w:b/>
          <w:bCs/>
        </w:rPr>
        <w:t>表2.4-1已建及在建区域表土保护调查情况一览表</w:t>
      </w:r>
    </w:p>
    <w:tbl>
      <w:tblPr>
        <w:tblStyle w:val="110"/>
        <w:tblW w:w="5105"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754"/>
        <w:gridCol w:w="671"/>
        <w:gridCol w:w="2523"/>
        <w:gridCol w:w="1301"/>
        <w:gridCol w:w="1542"/>
        <w:gridCol w:w="1856"/>
        <w:gridCol w:w="1702"/>
        <w:gridCol w:w="417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360" w:type="pct"/>
            <w:gridSpan w:val="3"/>
            <w:vAlign w:val="center"/>
          </w:tcPr>
          <w:p>
            <w:pPr>
              <w:widowControl/>
              <w:spacing w:line="240" w:lineRule="atLeast"/>
              <w:ind w:firstLine="0" w:firstLineChars="0"/>
              <w:jc w:val="center"/>
              <w:rPr>
                <w:b/>
                <w:bCs/>
                <w:sz w:val="21"/>
                <w:szCs w:val="21"/>
              </w:rPr>
            </w:pPr>
            <w:r>
              <w:rPr>
                <w:b/>
                <w:bCs/>
                <w:sz w:val="21"/>
                <w:szCs w:val="21"/>
              </w:rPr>
              <w:t>项目名称</w:t>
            </w:r>
          </w:p>
        </w:tc>
        <w:tc>
          <w:tcPr>
            <w:tcW w:w="448" w:type="pct"/>
            <w:vAlign w:val="center"/>
          </w:tcPr>
          <w:p>
            <w:pPr>
              <w:widowControl/>
              <w:spacing w:line="240" w:lineRule="atLeast"/>
              <w:ind w:firstLine="0" w:firstLineChars="0"/>
              <w:jc w:val="center"/>
              <w:rPr>
                <w:b/>
                <w:bCs/>
                <w:sz w:val="21"/>
                <w:szCs w:val="21"/>
              </w:rPr>
            </w:pPr>
            <w:r>
              <w:rPr>
                <w:b/>
                <w:bCs/>
                <w:sz w:val="21"/>
                <w:szCs w:val="21"/>
              </w:rPr>
              <w:t>表土剥离量（万m</w:t>
            </w:r>
            <w:r>
              <w:rPr>
                <w:b/>
                <w:bCs/>
                <w:sz w:val="21"/>
                <w:szCs w:val="21"/>
                <w:vertAlign w:val="superscript"/>
              </w:rPr>
              <w:t>3</w:t>
            </w:r>
            <w:r>
              <w:rPr>
                <w:b/>
                <w:bCs/>
                <w:sz w:val="21"/>
                <w:szCs w:val="21"/>
              </w:rPr>
              <w:t>）</w:t>
            </w:r>
          </w:p>
        </w:tc>
        <w:tc>
          <w:tcPr>
            <w:tcW w:w="531" w:type="pct"/>
            <w:vAlign w:val="center"/>
          </w:tcPr>
          <w:p>
            <w:pPr>
              <w:widowControl/>
              <w:spacing w:line="240" w:lineRule="atLeast"/>
              <w:ind w:firstLine="0" w:firstLineChars="0"/>
              <w:jc w:val="center"/>
              <w:rPr>
                <w:b/>
                <w:bCs/>
                <w:sz w:val="21"/>
                <w:szCs w:val="21"/>
              </w:rPr>
            </w:pPr>
            <w:r>
              <w:rPr>
                <w:b/>
                <w:bCs/>
                <w:sz w:val="21"/>
                <w:szCs w:val="21"/>
              </w:rPr>
              <w:t>表土回覆量（万m</w:t>
            </w:r>
            <w:r>
              <w:rPr>
                <w:b/>
                <w:bCs/>
                <w:sz w:val="21"/>
                <w:szCs w:val="21"/>
                <w:vertAlign w:val="superscript"/>
              </w:rPr>
              <w:t>3</w:t>
            </w:r>
            <w:r>
              <w:rPr>
                <w:b/>
                <w:bCs/>
                <w:sz w:val="21"/>
                <w:szCs w:val="21"/>
              </w:rPr>
              <w:t>）</w:t>
            </w:r>
          </w:p>
        </w:tc>
        <w:tc>
          <w:tcPr>
            <w:tcW w:w="639" w:type="pct"/>
            <w:vAlign w:val="center"/>
          </w:tcPr>
          <w:p>
            <w:pPr>
              <w:widowControl/>
              <w:spacing w:line="240" w:lineRule="atLeast"/>
              <w:ind w:firstLine="0" w:firstLineChars="0"/>
              <w:jc w:val="center"/>
              <w:rPr>
                <w:b/>
                <w:bCs/>
                <w:sz w:val="21"/>
                <w:szCs w:val="21"/>
              </w:rPr>
            </w:pPr>
            <w:r>
              <w:rPr>
                <w:b/>
                <w:bCs/>
                <w:sz w:val="21"/>
                <w:szCs w:val="21"/>
              </w:rPr>
              <w:t>调入（万m</w:t>
            </w:r>
            <w:r>
              <w:rPr>
                <w:b/>
                <w:bCs/>
                <w:sz w:val="21"/>
                <w:szCs w:val="21"/>
                <w:vertAlign w:val="superscript"/>
              </w:rPr>
              <w:t>3</w:t>
            </w:r>
            <w:r>
              <w:rPr>
                <w:b/>
                <w:bCs/>
                <w:sz w:val="21"/>
                <w:szCs w:val="21"/>
              </w:rPr>
              <w:t>）</w:t>
            </w:r>
          </w:p>
        </w:tc>
        <w:tc>
          <w:tcPr>
            <w:tcW w:w="586" w:type="pct"/>
            <w:vAlign w:val="center"/>
          </w:tcPr>
          <w:p>
            <w:pPr>
              <w:widowControl/>
              <w:spacing w:line="240" w:lineRule="atLeast"/>
              <w:ind w:firstLine="0" w:firstLineChars="0"/>
              <w:jc w:val="center"/>
              <w:rPr>
                <w:b/>
                <w:bCs/>
                <w:sz w:val="21"/>
                <w:szCs w:val="21"/>
              </w:rPr>
            </w:pPr>
            <w:r>
              <w:rPr>
                <w:b/>
                <w:bCs/>
                <w:sz w:val="21"/>
                <w:szCs w:val="21"/>
              </w:rPr>
              <w:t>调出（万m</w:t>
            </w:r>
            <w:r>
              <w:rPr>
                <w:b/>
                <w:bCs/>
                <w:sz w:val="21"/>
                <w:szCs w:val="21"/>
                <w:vertAlign w:val="superscript"/>
              </w:rPr>
              <w:t>3</w:t>
            </w:r>
            <w:r>
              <w:rPr>
                <w:b/>
                <w:bCs/>
                <w:sz w:val="21"/>
                <w:szCs w:val="21"/>
              </w:rPr>
              <w:t>）</w:t>
            </w:r>
          </w:p>
        </w:tc>
        <w:tc>
          <w:tcPr>
            <w:tcW w:w="1435" w:type="pct"/>
            <w:vAlign w:val="center"/>
          </w:tcPr>
          <w:p>
            <w:pPr>
              <w:widowControl/>
              <w:spacing w:line="240" w:lineRule="atLeast"/>
              <w:ind w:firstLine="0" w:firstLineChars="0"/>
              <w:jc w:val="center"/>
              <w:rPr>
                <w:b/>
                <w:bCs/>
                <w:sz w:val="21"/>
                <w:szCs w:val="21"/>
              </w:rPr>
            </w:pPr>
            <w:r>
              <w:rPr>
                <w:b/>
                <w:bCs/>
                <w:sz w:val="21"/>
                <w:szCs w:val="21"/>
              </w:rPr>
              <w:t>数据来源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restart"/>
            <w:vAlign w:val="center"/>
          </w:tcPr>
          <w:p>
            <w:pPr>
              <w:widowControl/>
              <w:spacing w:line="240" w:lineRule="atLeast"/>
              <w:ind w:firstLine="0" w:firstLineChars="0"/>
              <w:jc w:val="center"/>
              <w:rPr>
                <w:sz w:val="21"/>
                <w:szCs w:val="21"/>
              </w:rPr>
            </w:pPr>
            <w:r>
              <w:rPr>
                <w:sz w:val="21"/>
                <w:szCs w:val="21"/>
              </w:rPr>
              <w:t>工业用地</w:t>
            </w:r>
          </w:p>
        </w:tc>
        <w:tc>
          <w:tcPr>
            <w:tcW w:w="231" w:type="pct"/>
            <w:tcBorders>
              <w:bottom w:val="single" w:color="auto" w:sz="4" w:space="0"/>
            </w:tcBorders>
            <w:vAlign w:val="center"/>
          </w:tcPr>
          <w:p>
            <w:pPr>
              <w:widowControl/>
              <w:spacing w:line="240" w:lineRule="atLeast"/>
              <w:ind w:firstLine="0" w:firstLineChars="0"/>
              <w:jc w:val="center"/>
              <w:rPr>
                <w:sz w:val="21"/>
                <w:szCs w:val="21"/>
              </w:rPr>
            </w:pPr>
            <w:r>
              <w:rPr>
                <w:sz w:val="21"/>
                <w:szCs w:val="21"/>
              </w:rPr>
              <w:t>已建</w:t>
            </w:r>
          </w:p>
        </w:tc>
        <w:tc>
          <w:tcPr>
            <w:tcW w:w="868" w:type="pct"/>
            <w:tcBorders>
              <w:bottom w:val="single" w:color="auto" w:sz="4" w:space="0"/>
            </w:tcBorders>
            <w:vAlign w:val="center"/>
          </w:tcPr>
          <w:p>
            <w:pPr>
              <w:widowControl/>
              <w:spacing w:line="240" w:lineRule="atLeast"/>
              <w:ind w:firstLine="0" w:firstLineChars="0"/>
              <w:jc w:val="center"/>
              <w:rPr>
                <w:sz w:val="21"/>
                <w:szCs w:val="21"/>
              </w:rPr>
            </w:pPr>
            <w:r>
              <w:rPr>
                <w:sz w:val="21"/>
                <w:szCs w:val="21"/>
              </w:rPr>
              <w:t>2.5万吨高纯晶硅项目</w:t>
            </w:r>
          </w:p>
        </w:tc>
        <w:tc>
          <w:tcPr>
            <w:tcW w:w="448" w:type="pct"/>
            <w:vAlign w:val="center"/>
          </w:tcPr>
          <w:p>
            <w:pPr>
              <w:widowControl/>
              <w:spacing w:line="240" w:lineRule="atLeast"/>
              <w:ind w:firstLine="0" w:firstLineChars="0"/>
              <w:jc w:val="center"/>
              <w:rPr>
                <w:sz w:val="21"/>
                <w:szCs w:val="21"/>
              </w:rPr>
            </w:pPr>
            <w:r>
              <w:rPr>
                <w:sz w:val="21"/>
                <w:szCs w:val="21"/>
              </w:rPr>
              <w:t>3.94</w:t>
            </w:r>
          </w:p>
        </w:tc>
        <w:tc>
          <w:tcPr>
            <w:tcW w:w="531" w:type="pct"/>
            <w:vAlign w:val="center"/>
          </w:tcPr>
          <w:p>
            <w:pPr>
              <w:widowControl/>
              <w:spacing w:line="240" w:lineRule="atLeast"/>
              <w:ind w:firstLine="0" w:firstLineChars="0"/>
              <w:jc w:val="center"/>
              <w:rPr>
                <w:sz w:val="21"/>
                <w:szCs w:val="21"/>
              </w:rPr>
            </w:pPr>
            <w:r>
              <w:rPr>
                <w:sz w:val="21"/>
                <w:szCs w:val="21"/>
              </w:rPr>
              <w:t>3.94</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引用报备的水保验收报告数据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restart"/>
            <w:tcBorders>
              <w:top w:val="single" w:color="auto" w:sz="4" w:space="0"/>
            </w:tcBorders>
            <w:vAlign w:val="center"/>
          </w:tcPr>
          <w:p>
            <w:pPr>
              <w:pStyle w:val="99"/>
              <w:spacing w:line="240" w:lineRule="atLeast"/>
              <w:jc w:val="center"/>
              <w:rPr>
                <w:sz w:val="21"/>
                <w:szCs w:val="21"/>
              </w:rPr>
            </w:pPr>
            <w:r>
              <w:rPr>
                <w:sz w:val="21"/>
                <w:szCs w:val="21"/>
              </w:rPr>
              <w:t>在建</w:t>
            </w:r>
          </w:p>
        </w:tc>
        <w:tc>
          <w:tcPr>
            <w:tcW w:w="868" w:type="pct"/>
            <w:tcBorders>
              <w:top w:val="single" w:color="auto" w:sz="4" w:space="0"/>
            </w:tcBorders>
            <w:vAlign w:val="center"/>
          </w:tcPr>
          <w:p>
            <w:pPr>
              <w:pStyle w:val="99"/>
              <w:spacing w:line="240" w:lineRule="atLeast"/>
              <w:jc w:val="center"/>
              <w:rPr>
                <w:sz w:val="21"/>
                <w:szCs w:val="21"/>
              </w:rPr>
            </w:pPr>
            <w:r>
              <w:rPr>
                <w:sz w:val="21"/>
                <w:szCs w:val="21"/>
              </w:rPr>
              <w:t>光伏硅材料制造技改项目（二期4.5万吨高纯晶硅）</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2.65</w:t>
            </w:r>
          </w:p>
        </w:tc>
        <w:tc>
          <w:tcPr>
            <w:tcW w:w="639" w:type="pct"/>
            <w:vAlign w:val="center"/>
          </w:tcPr>
          <w:p>
            <w:pPr>
              <w:widowControl/>
              <w:spacing w:line="240" w:lineRule="atLeast"/>
              <w:ind w:firstLine="0" w:firstLineChars="0"/>
              <w:jc w:val="center"/>
              <w:rPr>
                <w:sz w:val="21"/>
                <w:szCs w:val="21"/>
              </w:rPr>
            </w:pPr>
            <w:r>
              <w:rPr>
                <w:sz w:val="21"/>
                <w:szCs w:val="21"/>
              </w:rPr>
              <w:t>2.65来源于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回覆时间2022.5</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pStyle w:val="99"/>
              <w:spacing w:line="240" w:lineRule="atLeast"/>
              <w:jc w:val="center"/>
              <w:rPr>
                <w:sz w:val="21"/>
                <w:szCs w:val="21"/>
              </w:rPr>
            </w:pPr>
            <w:r>
              <w:rPr>
                <w:sz w:val="21"/>
                <w:szCs w:val="21"/>
              </w:rPr>
              <w:t>乐山协鑫新能源新建10万吨颗粒硅项目</w:t>
            </w:r>
          </w:p>
        </w:tc>
        <w:tc>
          <w:tcPr>
            <w:tcW w:w="448" w:type="pct"/>
            <w:vAlign w:val="center"/>
          </w:tcPr>
          <w:p>
            <w:pPr>
              <w:widowControl/>
              <w:spacing w:line="240" w:lineRule="atLeast"/>
              <w:ind w:firstLine="0" w:firstLineChars="0"/>
              <w:jc w:val="center"/>
              <w:rPr>
                <w:sz w:val="21"/>
                <w:szCs w:val="21"/>
              </w:rPr>
            </w:pPr>
            <w:r>
              <w:rPr>
                <w:sz w:val="21"/>
                <w:szCs w:val="21"/>
              </w:rPr>
              <w:t>11.10</w:t>
            </w:r>
          </w:p>
        </w:tc>
        <w:tc>
          <w:tcPr>
            <w:tcW w:w="531" w:type="pct"/>
            <w:vAlign w:val="center"/>
          </w:tcPr>
          <w:p>
            <w:pPr>
              <w:widowControl/>
              <w:spacing w:line="240" w:lineRule="atLeast"/>
              <w:ind w:firstLine="0" w:firstLineChars="0"/>
              <w:jc w:val="center"/>
              <w:rPr>
                <w:sz w:val="21"/>
                <w:szCs w:val="21"/>
              </w:rPr>
            </w:pPr>
            <w:r>
              <w:rPr>
                <w:sz w:val="21"/>
                <w:szCs w:val="21"/>
              </w:rPr>
              <w:t>2.52</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r>
              <w:rPr>
                <w:sz w:val="21"/>
                <w:szCs w:val="21"/>
              </w:rPr>
              <w:t>8.58堆存至</w:t>
            </w:r>
            <w:r>
              <w:rPr>
                <w:rFonts w:hint="eastAsia"/>
                <w:sz w:val="21"/>
                <w:szCs w:val="21"/>
              </w:rPr>
              <w:t>表土临时堆存点</w:t>
            </w:r>
            <w:r>
              <w:rPr>
                <w:sz w:val="21"/>
                <w:szCs w:val="21"/>
              </w:rPr>
              <w:t>-剥离时间2021.3</w:t>
            </w: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pStyle w:val="99"/>
              <w:spacing w:line="240" w:lineRule="atLeast"/>
              <w:jc w:val="center"/>
              <w:rPr>
                <w:sz w:val="21"/>
                <w:szCs w:val="21"/>
              </w:rPr>
            </w:pPr>
            <w:r>
              <w:rPr>
                <w:sz w:val="21"/>
                <w:szCs w:val="21"/>
              </w:rPr>
              <w:t>四川永祥能源科技有限公司一期高纯晶硅项目</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pStyle w:val="99"/>
              <w:spacing w:line="240" w:lineRule="atLeast"/>
              <w:jc w:val="center"/>
              <w:rPr>
                <w:sz w:val="21"/>
                <w:szCs w:val="21"/>
              </w:rPr>
            </w:pPr>
            <w:r>
              <w:rPr>
                <w:sz w:val="21"/>
                <w:szCs w:val="21"/>
              </w:rPr>
              <w:t>15GW单晶拉棒切方项目</w:t>
            </w:r>
          </w:p>
        </w:tc>
        <w:tc>
          <w:tcPr>
            <w:tcW w:w="448" w:type="pct"/>
            <w:vAlign w:val="center"/>
          </w:tcPr>
          <w:p>
            <w:pPr>
              <w:widowControl/>
              <w:spacing w:line="240" w:lineRule="atLeast"/>
              <w:ind w:firstLine="0" w:firstLineChars="0"/>
              <w:jc w:val="center"/>
              <w:rPr>
                <w:sz w:val="21"/>
                <w:szCs w:val="21"/>
              </w:rPr>
            </w:pPr>
            <w:r>
              <w:rPr>
                <w:sz w:val="21"/>
                <w:szCs w:val="21"/>
              </w:rPr>
              <w:t>0.40</w:t>
            </w:r>
          </w:p>
        </w:tc>
        <w:tc>
          <w:tcPr>
            <w:tcW w:w="531" w:type="pct"/>
            <w:vAlign w:val="center"/>
          </w:tcPr>
          <w:p>
            <w:pPr>
              <w:widowControl/>
              <w:spacing w:line="240" w:lineRule="atLeast"/>
              <w:ind w:firstLine="0" w:firstLineChars="0"/>
              <w:jc w:val="center"/>
              <w:rPr>
                <w:sz w:val="21"/>
                <w:szCs w:val="21"/>
              </w:rPr>
            </w:pPr>
            <w:r>
              <w:rPr>
                <w:sz w:val="21"/>
                <w:szCs w:val="21"/>
              </w:rPr>
              <w:t>2.51</w:t>
            </w:r>
          </w:p>
        </w:tc>
        <w:tc>
          <w:tcPr>
            <w:tcW w:w="639" w:type="pct"/>
            <w:vAlign w:val="center"/>
          </w:tcPr>
          <w:p>
            <w:pPr>
              <w:widowControl/>
              <w:spacing w:line="240" w:lineRule="atLeast"/>
              <w:ind w:firstLine="0" w:firstLineChars="0"/>
              <w:jc w:val="center"/>
              <w:rPr>
                <w:sz w:val="21"/>
                <w:szCs w:val="21"/>
              </w:rPr>
            </w:pPr>
            <w:r>
              <w:rPr>
                <w:sz w:val="21"/>
                <w:szCs w:val="21"/>
              </w:rPr>
              <w:t>2.11来源于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回覆时间2022.7</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pStyle w:val="99"/>
              <w:spacing w:line="240" w:lineRule="atLeast"/>
              <w:jc w:val="center"/>
              <w:rPr>
                <w:sz w:val="21"/>
                <w:szCs w:val="21"/>
              </w:rPr>
            </w:pPr>
            <w:r>
              <w:rPr>
                <w:sz w:val="21"/>
                <w:szCs w:val="21"/>
              </w:rPr>
              <w:t>锐丰稀土</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pStyle w:val="99"/>
              <w:spacing w:line="240" w:lineRule="atLeast"/>
              <w:jc w:val="center"/>
              <w:rPr>
                <w:sz w:val="21"/>
                <w:szCs w:val="21"/>
              </w:rPr>
            </w:pPr>
            <w:r>
              <w:rPr>
                <w:sz w:val="21"/>
                <w:szCs w:val="21"/>
              </w:rPr>
              <w:t>小企业园场平区域</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pStyle w:val="99"/>
              <w:spacing w:line="240" w:lineRule="atLeast"/>
              <w:jc w:val="center"/>
              <w:rPr>
                <w:sz w:val="21"/>
                <w:szCs w:val="21"/>
              </w:rPr>
            </w:pPr>
            <w:r>
              <w:rPr>
                <w:sz w:val="21"/>
                <w:szCs w:val="21"/>
              </w:rPr>
              <w:t>入驻新能源、新材料项目区域</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restart"/>
            <w:vAlign w:val="center"/>
          </w:tcPr>
          <w:p>
            <w:pPr>
              <w:pStyle w:val="99"/>
              <w:spacing w:line="240" w:lineRule="atLeast"/>
              <w:jc w:val="center"/>
              <w:rPr>
                <w:sz w:val="21"/>
                <w:szCs w:val="21"/>
              </w:rPr>
            </w:pPr>
            <w:r>
              <w:rPr>
                <w:sz w:val="21"/>
                <w:szCs w:val="21"/>
              </w:rPr>
              <w:t>道路与交通设施用地</w:t>
            </w:r>
          </w:p>
        </w:tc>
        <w:tc>
          <w:tcPr>
            <w:tcW w:w="231" w:type="pct"/>
            <w:vMerge w:val="restart"/>
            <w:vAlign w:val="center"/>
          </w:tcPr>
          <w:p>
            <w:pPr>
              <w:pStyle w:val="99"/>
              <w:spacing w:line="240" w:lineRule="atLeast"/>
              <w:jc w:val="center"/>
              <w:rPr>
                <w:sz w:val="21"/>
                <w:szCs w:val="21"/>
              </w:rPr>
            </w:pPr>
            <w:r>
              <w:rPr>
                <w:sz w:val="21"/>
                <w:szCs w:val="21"/>
              </w:rPr>
              <w:t>已建</w:t>
            </w:r>
          </w:p>
        </w:tc>
        <w:tc>
          <w:tcPr>
            <w:tcW w:w="868" w:type="pct"/>
            <w:vAlign w:val="center"/>
          </w:tcPr>
          <w:p>
            <w:pPr>
              <w:spacing w:line="240" w:lineRule="atLeast"/>
              <w:ind w:firstLine="0" w:firstLineChars="0"/>
              <w:jc w:val="center"/>
              <w:rPr>
                <w:sz w:val="21"/>
                <w:szCs w:val="21"/>
              </w:rPr>
            </w:pPr>
            <w:r>
              <w:rPr>
                <w:sz w:val="21"/>
                <w:szCs w:val="21"/>
              </w:rPr>
              <w:t>北二路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1.38</w:t>
            </w:r>
          </w:p>
        </w:tc>
        <w:tc>
          <w:tcPr>
            <w:tcW w:w="639" w:type="pct"/>
            <w:vAlign w:val="center"/>
          </w:tcPr>
          <w:p>
            <w:pPr>
              <w:widowControl/>
              <w:spacing w:line="240" w:lineRule="atLeast"/>
              <w:ind w:firstLine="0" w:firstLineChars="0"/>
              <w:jc w:val="center"/>
              <w:rPr>
                <w:sz w:val="21"/>
                <w:szCs w:val="21"/>
              </w:rPr>
            </w:pPr>
            <w:r>
              <w:rPr>
                <w:sz w:val="21"/>
                <w:szCs w:val="21"/>
              </w:rPr>
              <w:t>1.38来源于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回覆时间2022.6</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现场调查，已建成段590m，绿化形式为行道树绿化+道路两侧绿化带绿化。其中已栽植行道树148株（8m/株），树池规格1.2×1.2m，覆土深度1.2m，覆土量为0.03万m</w:t>
            </w:r>
            <w:r>
              <w:rPr>
                <w:sz w:val="21"/>
                <w:szCs w:val="21"/>
                <w:vertAlign w:val="superscript"/>
              </w:rPr>
              <w:t>3</w:t>
            </w:r>
            <w:r>
              <w:rPr>
                <w:sz w:val="21"/>
                <w:szCs w:val="21"/>
              </w:rPr>
              <w:t>；道路两侧绿化带各宽10m，覆土厚度1.0~1.20m，绿化带覆土量1.18万m</w:t>
            </w:r>
            <w:r>
              <w:rPr>
                <w:sz w:val="21"/>
                <w:szCs w:val="21"/>
                <w:vertAlign w:val="superscript"/>
              </w:rPr>
              <w:t>3</w:t>
            </w:r>
            <w:r>
              <w:rPr>
                <w:sz w:val="21"/>
                <w:szCs w:val="21"/>
              </w:rPr>
              <w:t>。已建段道路绿化总覆土量1.38万m</w:t>
            </w:r>
            <w:r>
              <w:rPr>
                <w:sz w:val="21"/>
                <w:szCs w:val="21"/>
                <w:vertAlign w:val="superscript"/>
              </w:rPr>
              <w:t>3</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西二路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1.01</w:t>
            </w:r>
          </w:p>
        </w:tc>
        <w:tc>
          <w:tcPr>
            <w:tcW w:w="639" w:type="pct"/>
            <w:vAlign w:val="center"/>
          </w:tcPr>
          <w:p>
            <w:pPr>
              <w:widowControl/>
              <w:spacing w:line="240" w:lineRule="atLeast"/>
              <w:ind w:firstLine="0" w:firstLineChars="0"/>
              <w:jc w:val="center"/>
              <w:rPr>
                <w:sz w:val="21"/>
                <w:szCs w:val="21"/>
              </w:rPr>
            </w:pPr>
            <w:r>
              <w:rPr>
                <w:sz w:val="21"/>
                <w:szCs w:val="21"/>
              </w:rPr>
              <w:t>1.01来源于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回覆时间2022.7</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现场调查，道路长度852m已全部建成，绿化形式为行道树绿化+道路两侧绿化带绿化。其中已栽植行道树214株（8m/株），树池规格1.2×1.2m，覆土深度1.2m，覆土量为0.04万m</w:t>
            </w:r>
            <w:r>
              <w:rPr>
                <w:sz w:val="21"/>
                <w:szCs w:val="21"/>
                <w:vertAlign w:val="superscript"/>
              </w:rPr>
              <w:t>3</w:t>
            </w:r>
            <w:r>
              <w:rPr>
                <w:sz w:val="21"/>
                <w:szCs w:val="21"/>
              </w:rPr>
              <w:t>；道路两侧绿化带各宽5m，覆土厚度1.0~1.20m，绿化带覆土量0.97万m</w:t>
            </w:r>
            <w:r>
              <w:rPr>
                <w:sz w:val="21"/>
                <w:szCs w:val="21"/>
                <w:vertAlign w:val="superscript"/>
              </w:rPr>
              <w:t>3</w:t>
            </w:r>
            <w:r>
              <w:rPr>
                <w:sz w:val="21"/>
                <w:szCs w:val="21"/>
              </w:rPr>
              <w:t>。已建段道路绿化总覆土量1.01万m</w:t>
            </w:r>
            <w:r>
              <w:rPr>
                <w:sz w:val="21"/>
                <w:szCs w:val="21"/>
                <w:vertAlign w:val="superscript"/>
              </w:rPr>
              <w:t>3</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北永路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0.01</w:t>
            </w:r>
          </w:p>
        </w:tc>
        <w:tc>
          <w:tcPr>
            <w:tcW w:w="639" w:type="pct"/>
            <w:vAlign w:val="center"/>
          </w:tcPr>
          <w:p>
            <w:pPr>
              <w:widowControl/>
              <w:spacing w:line="240" w:lineRule="atLeast"/>
              <w:ind w:firstLine="0" w:firstLineChars="0"/>
              <w:jc w:val="center"/>
              <w:rPr>
                <w:sz w:val="21"/>
                <w:szCs w:val="21"/>
              </w:rPr>
            </w:pPr>
            <w:r>
              <w:rPr>
                <w:sz w:val="21"/>
                <w:szCs w:val="21"/>
              </w:rPr>
              <w:t>0.01来源于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回覆时间2022.6</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现场调查，道路长度360m已全部建成，绿化形式为行道树绿化。其中已栽植行道树73株（10m/株），树池规格1.2×1.2m，覆土深度1.2m，覆土量为0.01万m</w:t>
            </w:r>
            <w:r>
              <w:rPr>
                <w:sz w:val="21"/>
                <w:szCs w:val="21"/>
                <w:vertAlign w:val="superscript"/>
              </w:rPr>
              <w:t>3</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tcBorders>
              <w:bottom w:val="single" w:color="auto" w:sz="4" w:space="0"/>
            </w:tcBorders>
            <w:vAlign w:val="center"/>
          </w:tcPr>
          <w:p>
            <w:pPr>
              <w:pStyle w:val="99"/>
              <w:spacing w:line="240" w:lineRule="atLeast"/>
              <w:jc w:val="center"/>
              <w:rPr>
                <w:sz w:val="21"/>
                <w:szCs w:val="21"/>
              </w:rPr>
            </w:pPr>
          </w:p>
        </w:tc>
        <w:tc>
          <w:tcPr>
            <w:tcW w:w="868" w:type="pct"/>
            <w:tcBorders>
              <w:bottom w:val="single" w:color="auto" w:sz="4" w:space="0"/>
            </w:tcBorders>
            <w:vAlign w:val="center"/>
          </w:tcPr>
          <w:p>
            <w:pPr>
              <w:spacing w:line="240" w:lineRule="atLeast"/>
              <w:ind w:firstLine="0" w:firstLineChars="0"/>
              <w:jc w:val="center"/>
              <w:rPr>
                <w:sz w:val="21"/>
                <w:szCs w:val="21"/>
              </w:rPr>
            </w:pPr>
            <w:r>
              <w:rPr>
                <w:sz w:val="21"/>
                <w:szCs w:val="21"/>
              </w:rPr>
              <w:t>永祥物流通道</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0.01</w:t>
            </w:r>
          </w:p>
        </w:tc>
        <w:tc>
          <w:tcPr>
            <w:tcW w:w="639" w:type="pct"/>
            <w:vAlign w:val="center"/>
          </w:tcPr>
          <w:p>
            <w:pPr>
              <w:widowControl/>
              <w:spacing w:line="240" w:lineRule="atLeast"/>
              <w:ind w:firstLine="0" w:firstLineChars="0"/>
              <w:jc w:val="center"/>
              <w:rPr>
                <w:sz w:val="21"/>
                <w:szCs w:val="21"/>
              </w:rPr>
            </w:pPr>
            <w:r>
              <w:rPr>
                <w:sz w:val="21"/>
                <w:szCs w:val="21"/>
              </w:rPr>
              <w:t>0.01来源于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回覆时间2021.5</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现场调查，道路长度400m已全部建成，绿化形式为行道树绿化。其中已栽植行道树81株（10m/株），树池规格1.2×1.2m，覆土深度1.2m，覆土量为0.01万m</w:t>
            </w:r>
            <w:r>
              <w:rPr>
                <w:sz w:val="21"/>
                <w:szCs w:val="21"/>
                <w:vertAlign w:val="superscript"/>
              </w:rPr>
              <w:t>3</w:t>
            </w:r>
            <w:r>
              <w:rPr>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restart"/>
            <w:tcBorders>
              <w:top w:val="single" w:color="auto" w:sz="4" w:space="0"/>
            </w:tcBorders>
            <w:vAlign w:val="center"/>
          </w:tcPr>
          <w:p>
            <w:pPr>
              <w:pStyle w:val="99"/>
              <w:spacing w:line="240" w:lineRule="atLeast"/>
              <w:jc w:val="center"/>
              <w:rPr>
                <w:sz w:val="21"/>
                <w:szCs w:val="21"/>
              </w:rPr>
            </w:pPr>
            <w:r>
              <w:rPr>
                <w:sz w:val="21"/>
                <w:szCs w:val="21"/>
              </w:rPr>
              <w:t>在建</w:t>
            </w:r>
          </w:p>
        </w:tc>
        <w:tc>
          <w:tcPr>
            <w:tcW w:w="868" w:type="pct"/>
            <w:tcBorders>
              <w:top w:val="single" w:color="auto" w:sz="4" w:space="0"/>
            </w:tcBorders>
            <w:vAlign w:val="center"/>
          </w:tcPr>
          <w:p>
            <w:pPr>
              <w:spacing w:line="240" w:lineRule="atLeast"/>
              <w:ind w:firstLine="0" w:firstLineChars="0"/>
              <w:jc w:val="center"/>
              <w:rPr>
                <w:sz w:val="21"/>
                <w:szCs w:val="21"/>
              </w:rPr>
            </w:pPr>
            <w:r>
              <w:rPr>
                <w:sz w:val="21"/>
                <w:szCs w:val="21"/>
              </w:rPr>
              <w:t>凤翔路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北一路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东三路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龙翔路</w:t>
            </w:r>
          </w:p>
        </w:tc>
        <w:tc>
          <w:tcPr>
            <w:tcW w:w="448" w:type="pct"/>
            <w:vAlign w:val="center"/>
          </w:tcPr>
          <w:p>
            <w:pPr>
              <w:widowControl/>
              <w:spacing w:line="240" w:lineRule="atLeast"/>
              <w:ind w:firstLine="0" w:firstLineChars="0"/>
              <w:jc w:val="center"/>
              <w:rPr>
                <w:sz w:val="21"/>
                <w:szCs w:val="21"/>
              </w:rPr>
            </w:pPr>
            <w:r>
              <w:rPr>
                <w:sz w:val="21"/>
                <w:szCs w:val="21"/>
              </w:rPr>
              <w:t>3.52</w:t>
            </w:r>
          </w:p>
        </w:tc>
        <w:tc>
          <w:tcPr>
            <w:tcW w:w="531" w:type="pct"/>
            <w:vAlign w:val="center"/>
          </w:tcPr>
          <w:p>
            <w:pPr>
              <w:widowControl/>
              <w:spacing w:line="240" w:lineRule="atLeast"/>
              <w:ind w:firstLine="0" w:firstLineChars="0"/>
              <w:jc w:val="center"/>
              <w:rPr>
                <w:sz w:val="21"/>
                <w:szCs w:val="21"/>
              </w:rPr>
            </w:pPr>
            <w:r>
              <w:rPr>
                <w:sz w:val="21"/>
                <w:szCs w:val="21"/>
              </w:rPr>
              <w:t>3.52</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会云路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龙东路</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园区危险化学品停车场</w:t>
            </w:r>
          </w:p>
        </w:tc>
        <w:tc>
          <w:tcPr>
            <w:tcW w:w="448" w:type="pct"/>
            <w:vAlign w:val="center"/>
          </w:tcPr>
          <w:p>
            <w:pPr>
              <w:widowControl/>
              <w:spacing w:line="240" w:lineRule="atLeast"/>
              <w:ind w:firstLine="0" w:firstLineChars="0"/>
              <w:jc w:val="center"/>
              <w:rPr>
                <w:sz w:val="21"/>
                <w:szCs w:val="21"/>
              </w:rPr>
            </w:pPr>
            <w:r>
              <w:rPr>
                <w:sz w:val="21"/>
                <w:szCs w:val="21"/>
              </w:rPr>
              <w:t>0.42</w:t>
            </w:r>
          </w:p>
        </w:tc>
        <w:tc>
          <w:tcPr>
            <w:tcW w:w="531" w:type="pct"/>
            <w:vAlign w:val="center"/>
          </w:tcPr>
          <w:p>
            <w:pPr>
              <w:widowControl/>
              <w:spacing w:line="240" w:lineRule="atLeast"/>
              <w:ind w:firstLine="0" w:firstLineChars="0"/>
              <w:jc w:val="center"/>
              <w:rPr>
                <w:sz w:val="21"/>
                <w:szCs w:val="21"/>
              </w:rPr>
            </w:pPr>
            <w:r>
              <w:rPr>
                <w:sz w:val="21"/>
                <w:szCs w:val="21"/>
              </w:rPr>
              <w:t>0.42</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restart"/>
            <w:vAlign w:val="center"/>
          </w:tcPr>
          <w:p>
            <w:pPr>
              <w:pStyle w:val="99"/>
              <w:spacing w:line="240" w:lineRule="atLeast"/>
              <w:jc w:val="center"/>
              <w:rPr>
                <w:sz w:val="21"/>
                <w:szCs w:val="21"/>
              </w:rPr>
            </w:pPr>
            <w:r>
              <w:rPr>
                <w:sz w:val="21"/>
                <w:szCs w:val="21"/>
              </w:rPr>
              <w:t>公用设施用地</w:t>
            </w:r>
          </w:p>
        </w:tc>
        <w:tc>
          <w:tcPr>
            <w:tcW w:w="231" w:type="pct"/>
            <w:vMerge w:val="restart"/>
            <w:vAlign w:val="center"/>
          </w:tcPr>
          <w:p>
            <w:pPr>
              <w:pStyle w:val="99"/>
              <w:spacing w:line="240" w:lineRule="atLeast"/>
              <w:jc w:val="center"/>
              <w:rPr>
                <w:sz w:val="21"/>
                <w:szCs w:val="21"/>
              </w:rPr>
            </w:pPr>
            <w:r>
              <w:rPr>
                <w:sz w:val="21"/>
                <w:szCs w:val="21"/>
              </w:rPr>
              <w:t>在建</w:t>
            </w:r>
          </w:p>
        </w:tc>
        <w:tc>
          <w:tcPr>
            <w:tcW w:w="868" w:type="pct"/>
            <w:vAlign w:val="center"/>
          </w:tcPr>
          <w:p>
            <w:pPr>
              <w:spacing w:line="240" w:lineRule="atLeast"/>
              <w:ind w:firstLine="0" w:firstLineChars="0"/>
              <w:jc w:val="center"/>
              <w:rPr>
                <w:sz w:val="21"/>
                <w:szCs w:val="21"/>
              </w:rPr>
            </w:pPr>
            <w:r>
              <w:rPr>
                <w:sz w:val="21"/>
                <w:szCs w:val="21"/>
              </w:rPr>
              <w:t>工业污水处理厂</w:t>
            </w:r>
          </w:p>
        </w:tc>
        <w:tc>
          <w:tcPr>
            <w:tcW w:w="448" w:type="pct"/>
            <w:vAlign w:val="center"/>
          </w:tcPr>
          <w:p>
            <w:pPr>
              <w:widowControl/>
              <w:spacing w:line="240" w:lineRule="atLeast"/>
              <w:ind w:firstLine="0" w:firstLineChars="0"/>
              <w:jc w:val="center"/>
              <w:rPr>
                <w:sz w:val="21"/>
                <w:szCs w:val="21"/>
              </w:rPr>
            </w:pPr>
            <w:r>
              <w:rPr>
                <w:sz w:val="21"/>
                <w:szCs w:val="21"/>
              </w:rPr>
              <w:t>0.32</w:t>
            </w:r>
          </w:p>
        </w:tc>
        <w:tc>
          <w:tcPr>
            <w:tcW w:w="531" w:type="pct"/>
            <w:vAlign w:val="center"/>
          </w:tcPr>
          <w:p>
            <w:pPr>
              <w:widowControl/>
              <w:spacing w:line="240" w:lineRule="atLeast"/>
              <w:ind w:firstLine="0" w:firstLineChars="0"/>
              <w:jc w:val="center"/>
              <w:rPr>
                <w:sz w:val="21"/>
                <w:szCs w:val="21"/>
              </w:rPr>
            </w:pPr>
            <w:r>
              <w:rPr>
                <w:sz w:val="21"/>
                <w:szCs w:val="21"/>
              </w:rPr>
              <w:t>0.32</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会云220kV变电站</w:t>
            </w:r>
          </w:p>
        </w:tc>
        <w:tc>
          <w:tcPr>
            <w:tcW w:w="448" w:type="pct"/>
            <w:vAlign w:val="center"/>
          </w:tcPr>
          <w:p>
            <w:pPr>
              <w:widowControl/>
              <w:spacing w:line="240" w:lineRule="atLeast"/>
              <w:ind w:firstLine="0" w:firstLineChars="0"/>
              <w:jc w:val="center"/>
              <w:rPr>
                <w:sz w:val="21"/>
                <w:szCs w:val="21"/>
              </w:rPr>
            </w:pPr>
            <w:r>
              <w:rPr>
                <w:sz w:val="21"/>
                <w:szCs w:val="21"/>
              </w:rPr>
              <w:t>0.39</w:t>
            </w:r>
          </w:p>
        </w:tc>
        <w:tc>
          <w:tcPr>
            <w:tcW w:w="531" w:type="pct"/>
            <w:vAlign w:val="center"/>
          </w:tcPr>
          <w:p>
            <w:pPr>
              <w:widowControl/>
              <w:spacing w:line="240" w:lineRule="atLeast"/>
              <w:ind w:firstLine="0" w:firstLineChars="0"/>
              <w:jc w:val="center"/>
              <w:rPr>
                <w:sz w:val="21"/>
                <w:szCs w:val="21"/>
              </w:rPr>
            </w:pPr>
            <w:r>
              <w:rPr>
                <w:sz w:val="21"/>
                <w:szCs w:val="21"/>
              </w:rPr>
              <w:t>0.39（用于线路塔基回填）</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服务中心和停车场配套工程</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引用批复的水保方案数据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vMerge w:val="continue"/>
            <w:vAlign w:val="center"/>
          </w:tcPr>
          <w:p>
            <w:pPr>
              <w:pStyle w:val="99"/>
              <w:spacing w:line="240" w:lineRule="atLeast"/>
              <w:jc w:val="center"/>
              <w:rPr>
                <w:sz w:val="21"/>
                <w:szCs w:val="21"/>
              </w:rPr>
            </w:pPr>
          </w:p>
        </w:tc>
        <w:tc>
          <w:tcPr>
            <w:tcW w:w="231" w:type="pct"/>
            <w:vMerge w:val="continue"/>
            <w:vAlign w:val="center"/>
          </w:tcPr>
          <w:p>
            <w:pPr>
              <w:pStyle w:val="99"/>
              <w:spacing w:line="240" w:lineRule="atLeast"/>
              <w:jc w:val="center"/>
              <w:rPr>
                <w:sz w:val="21"/>
                <w:szCs w:val="21"/>
              </w:rPr>
            </w:pPr>
          </w:p>
        </w:tc>
        <w:tc>
          <w:tcPr>
            <w:tcW w:w="868" w:type="pct"/>
            <w:vAlign w:val="center"/>
          </w:tcPr>
          <w:p>
            <w:pPr>
              <w:spacing w:line="240" w:lineRule="atLeast"/>
              <w:ind w:firstLine="0" w:firstLineChars="0"/>
              <w:jc w:val="center"/>
              <w:rPr>
                <w:sz w:val="21"/>
                <w:szCs w:val="21"/>
              </w:rPr>
            </w:pPr>
            <w:r>
              <w:rPr>
                <w:sz w:val="21"/>
                <w:szCs w:val="21"/>
              </w:rPr>
              <w:t>配气站</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0</w:t>
            </w:r>
          </w:p>
        </w:tc>
        <w:tc>
          <w:tcPr>
            <w:tcW w:w="639" w:type="pct"/>
            <w:vAlign w:val="center"/>
          </w:tcPr>
          <w:p>
            <w:pPr>
              <w:widowControl/>
              <w:spacing w:line="240" w:lineRule="atLeast"/>
              <w:ind w:firstLine="0" w:firstLineChars="0"/>
              <w:jc w:val="center"/>
              <w:rPr>
                <w:sz w:val="21"/>
                <w:szCs w:val="21"/>
              </w:rPr>
            </w:pP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260" w:type="pct"/>
            <w:tcBorders>
              <w:right w:val="single" w:color="auto" w:sz="4" w:space="0"/>
            </w:tcBorders>
            <w:vAlign w:val="center"/>
          </w:tcPr>
          <w:p>
            <w:pPr>
              <w:spacing w:line="240" w:lineRule="atLeast"/>
              <w:ind w:firstLine="0" w:firstLineChars="0"/>
              <w:jc w:val="center"/>
              <w:rPr>
                <w:sz w:val="21"/>
                <w:szCs w:val="21"/>
              </w:rPr>
            </w:pPr>
            <w:r>
              <w:rPr>
                <w:sz w:val="21"/>
                <w:szCs w:val="21"/>
              </w:rPr>
              <w:t>绿地与广场用地</w:t>
            </w:r>
          </w:p>
        </w:tc>
        <w:tc>
          <w:tcPr>
            <w:tcW w:w="231" w:type="pct"/>
            <w:tcBorders>
              <w:left w:val="single" w:color="auto" w:sz="4" w:space="0"/>
            </w:tcBorders>
            <w:vAlign w:val="center"/>
          </w:tcPr>
          <w:p>
            <w:pPr>
              <w:spacing w:line="240" w:lineRule="atLeast"/>
              <w:ind w:firstLine="0" w:firstLineChars="0"/>
              <w:jc w:val="center"/>
              <w:rPr>
                <w:sz w:val="21"/>
                <w:szCs w:val="21"/>
              </w:rPr>
            </w:pPr>
            <w:r>
              <w:rPr>
                <w:sz w:val="21"/>
                <w:szCs w:val="21"/>
              </w:rPr>
              <w:t>在建</w:t>
            </w:r>
          </w:p>
        </w:tc>
        <w:tc>
          <w:tcPr>
            <w:tcW w:w="868" w:type="pct"/>
            <w:tcBorders>
              <w:left w:val="single" w:color="auto" w:sz="4" w:space="0"/>
            </w:tcBorders>
            <w:vAlign w:val="center"/>
          </w:tcPr>
          <w:p>
            <w:pPr>
              <w:spacing w:line="240" w:lineRule="atLeast"/>
              <w:ind w:firstLine="0" w:firstLineChars="0"/>
              <w:jc w:val="center"/>
              <w:rPr>
                <w:sz w:val="21"/>
                <w:szCs w:val="21"/>
              </w:rPr>
            </w:pPr>
            <w:r>
              <w:rPr>
                <w:sz w:val="21"/>
                <w:szCs w:val="21"/>
              </w:rPr>
              <w:t>公共绿化</w:t>
            </w:r>
          </w:p>
        </w:tc>
        <w:tc>
          <w:tcPr>
            <w:tcW w:w="448" w:type="pct"/>
            <w:vAlign w:val="center"/>
          </w:tcPr>
          <w:p>
            <w:pPr>
              <w:widowControl/>
              <w:spacing w:line="240" w:lineRule="atLeast"/>
              <w:ind w:firstLine="0" w:firstLineChars="0"/>
              <w:jc w:val="center"/>
              <w:rPr>
                <w:sz w:val="21"/>
                <w:szCs w:val="21"/>
              </w:rPr>
            </w:pPr>
            <w:r>
              <w:rPr>
                <w:sz w:val="21"/>
                <w:szCs w:val="21"/>
              </w:rPr>
              <w:t>0</w:t>
            </w:r>
          </w:p>
        </w:tc>
        <w:tc>
          <w:tcPr>
            <w:tcW w:w="531" w:type="pct"/>
            <w:vAlign w:val="center"/>
          </w:tcPr>
          <w:p>
            <w:pPr>
              <w:widowControl/>
              <w:spacing w:line="240" w:lineRule="atLeast"/>
              <w:ind w:firstLine="0" w:firstLineChars="0"/>
              <w:jc w:val="center"/>
              <w:rPr>
                <w:sz w:val="21"/>
                <w:szCs w:val="21"/>
              </w:rPr>
            </w:pPr>
            <w:r>
              <w:rPr>
                <w:sz w:val="21"/>
                <w:szCs w:val="21"/>
              </w:rPr>
              <w:t>1.41</w:t>
            </w:r>
          </w:p>
        </w:tc>
        <w:tc>
          <w:tcPr>
            <w:tcW w:w="639" w:type="pct"/>
            <w:vAlign w:val="center"/>
          </w:tcPr>
          <w:p>
            <w:pPr>
              <w:widowControl/>
              <w:spacing w:line="240" w:lineRule="atLeast"/>
              <w:ind w:firstLine="0" w:firstLineChars="0"/>
              <w:jc w:val="center"/>
              <w:rPr>
                <w:sz w:val="21"/>
                <w:szCs w:val="21"/>
              </w:rPr>
            </w:pPr>
            <w:r>
              <w:rPr>
                <w:sz w:val="21"/>
                <w:szCs w:val="21"/>
              </w:rPr>
              <w:t>1.41来源于</w:t>
            </w:r>
            <w:r>
              <w:rPr>
                <w:rFonts w:hint="eastAsia"/>
                <w:sz w:val="21"/>
                <w:szCs w:val="21"/>
              </w:rPr>
              <w:t>表土临时堆存点</w:t>
            </w:r>
            <w:r>
              <w:rPr>
                <w:sz w:val="21"/>
                <w:szCs w:val="21"/>
              </w:rPr>
              <w:t>-</w:t>
            </w:r>
          </w:p>
          <w:p>
            <w:pPr>
              <w:widowControl/>
              <w:spacing w:line="240" w:lineRule="atLeast"/>
              <w:ind w:firstLine="0" w:firstLineChars="0"/>
              <w:jc w:val="center"/>
              <w:rPr>
                <w:sz w:val="21"/>
                <w:szCs w:val="21"/>
              </w:rPr>
            </w:pPr>
            <w:r>
              <w:rPr>
                <w:sz w:val="21"/>
                <w:szCs w:val="21"/>
              </w:rPr>
              <w:t>回覆时间2022.5</w:t>
            </w:r>
          </w:p>
        </w:tc>
        <w:tc>
          <w:tcPr>
            <w:tcW w:w="586" w:type="pct"/>
            <w:vAlign w:val="center"/>
          </w:tcPr>
          <w:p>
            <w:pPr>
              <w:widowControl/>
              <w:spacing w:line="240" w:lineRule="atLeast"/>
              <w:ind w:firstLine="0" w:firstLineChars="0"/>
              <w:jc w:val="center"/>
              <w:rPr>
                <w:sz w:val="21"/>
                <w:szCs w:val="21"/>
              </w:rPr>
            </w:pPr>
          </w:p>
        </w:tc>
        <w:tc>
          <w:tcPr>
            <w:tcW w:w="1435" w:type="pct"/>
            <w:vAlign w:val="center"/>
          </w:tcPr>
          <w:p>
            <w:pPr>
              <w:widowControl/>
              <w:spacing w:line="240" w:lineRule="atLeast"/>
              <w:ind w:firstLine="0" w:firstLineChars="0"/>
              <w:jc w:val="center"/>
              <w:rPr>
                <w:sz w:val="21"/>
                <w:szCs w:val="21"/>
              </w:rPr>
            </w:pPr>
            <w:r>
              <w:rPr>
                <w:sz w:val="21"/>
                <w:szCs w:val="21"/>
              </w:rPr>
              <w:t>现场调查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360" w:type="pct"/>
            <w:gridSpan w:val="3"/>
            <w:vAlign w:val="center"/>
          </w:tcPr>
          <w:p>
            <w:pPr>
              <w:spacing w:line="240" w:lineRule="atLeast"/>
              <w:ind w:firstLine="0" w:firstLineChars="0"/>
              <w:jc w:val="center"/>
              <w:rPr>
                <w:b/>
                <w:bCs/>
                <w:sz w:val="21"/>
                <w:szCs w:val="21"/>
              </w:rPr>
            </w:pPr>
            <w:r>
              <w:rPr>
                <w:rFonts w:hint="eastAsia"/>
                <w:b/>
                <w:bCs/>
                <w:sz w:val="21"/>
                <w:szCs w:val="21"/>
              </w:rPr>
              <w:t>小计</w:t>
            </w:r>
          </w:p>
        </w:tc>
        <w:tc>
          <w:tcPr>
            <w:tcW w:w="448" w:type="pct"/>
            <w:vAlign w:val="center"/>
          </w:tcPr>
          <w:p>
            <w:pPr>
              <w:widowControl/>
              <w:spacing w:line="240" w:lineRule="atLeast"/>
              <w:ind w:firstLine="0" w:firstLineChars="0"/>
              <w:jc w:val="center"/>
              <w:rPr>
                <w:b/>
                <w:bCs/>
                <w:sz w:val="21"/>
                <w:szCs w:val="21"/>
              </w:rPr>
            </w:pPr>
            <w:r>
              <w:rPr>
                <w:b/>
                <w:bCs/>
                <w:sz w:val="21"/>
                <w:szCs w:val="21"/>
              </w:rPr>
              <w:t>20.09</w:t>
            </w:r>
          </w:p>
        </w:tc>
        <w:tc>
          <w:tcPr>
            <w:tcW w:w="531" w:type="pct"/>
            <w:vAlign w:val="center"/>
          </w:tcPr>
          <w:p>
            <w:pPr>
              <w:widowControl/>
              <w:spacing w:line="240" w:lineRule="atLeast"/>
              <w:ind w:firstLine="0" w:firstLineChars="0"/>
              <w:jc w:val="center"/>
              <w:rPr>
                <w:b/>
                <w:bCs/>
                <w:sz w:val="21"/>
                <w:szCs w:val="21"/>
              </w:rPr>
            </w:pPr>
            <w:r>
              <w:rPr>
                <w:b/>
                <w:bCs/>
                <w:sz w:val="21"/>
                <w:szCs w:val="21"/>
              </w:rPr>
              <w:t>20.09</w:t>
            </w:r>
          </w:p>
        </w:tc>
        <w:tc>
          <w:tcPr>
            <w:tcW w:w="639" w:type="pct"/>
            <w:vAlign w:val="center"/>
          </w:tcPr>
          <w:p>
            <w:pPr>
              <w:widowControl/>
              <w:spacing w:line="240" w:lineRule="atLeast"/>
              <w:ind w:firstLine="0" w:firstLineChars="0"/>
              <w:jc w:val="center"/>
              <w:rPr>
                <w:b/>
                <w:bCs/>
                <w:sz w:val="21"/>
                <w:szCs w:val="21"/>
              </w:rPr>
            </w:pPr>
            <w:r>
              <w:rPr>
                <w:b/>
                <w:bCs/>
                <w:sz w:val="21"/>
                <w:szCs w:val="21"/>
              </w:rPr>
              <w:t>8.58</w:t>
            </w:r>
          </w:p>
        </w:tc>
        <w:tc>
          <w:tcPr>
            <w:tcW w:w="586" w:type="pct"/>
            <w:vAlign w:val="center"/>
          </w:tcPr>
          <w:p>
            <w:pPr>
              <w:widowControl/>
              <w:spacing w:line="240" w:lineRule="atLeast"/>
              <w:ind w:firstLine="0" w:firstLineChars="0"/>
              <w:jc w:val="center"/>
              <w:rPr>
                <w:b/>
                <w:bCs/>
                <w:sz w:val="21"/>
                <w:szCs w:val="21"/>
              </w:rPr>
            </w:pPr>
            <w:r>
              <w:rPr>
                <w:b/>
                <w:bCs/>
                <w:sz w:val="21"/>
                <w:szCs w:val="21"/>
              </w:rPr>
              <w:t>8.58</w:t>
            </w:r>
          </w:p>
        </w:tc>
        <w:tc>
          <w:tcPr>
            <w:tcW w:w="1435" w:type="pct"/>
            <w:vAlign w:val="center"/>
          </w:tcPr>
          <w:p>
            <w:pPr>
              <w:widowControl/>
              <w:spacing w:line="240" w:lineRule="atLeas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5000" w:type="pct"/>
            <w:gridSpan w:val="8"/>
            <w:vAlign w:val="center"/>
          </w:tcPr>
          <w:p>
            <w:pPr>
              <w:widowControl/>
              <w:spacing w:line="240" w:lineRule="atLeast"/>
              <w:ind w:firstLine="0" w:firstLineChars="0"/>
              <w:jc w:val="center"/>
              <w:rPr>
                <w:sz w:val="21"/>
                <w:szCs w:val="21"/>
              </w:rPr>
            </w:pPr>
            <w:r>
              <w:rPr>
                <w:rFonts w:hint="eastAsia"/>
                <w:b/>
                <w:bCs/>
                <w:sz w:val="21"/>
                <w:szCs w:val="21"/>
              </w:rPr>
              <w:t>根据调查</w:t>
            </w:r>
            <w:r>
              <w:rPr>
                <w:b/>
                <w:bCs/>
                <w:sz w:val="21"/>
                <w:szCs w:val="21"/>
              </w:rPr>
              <w:t>在建区域</w:t>
            </w:r>
            <w:r>
              <w:rPr>
                <w:rFonts w:hint="eastAsia"/>
                <w:b/>
                <w:bCs/>
                <w:sz w:val="21"/>
                <w:szCs w:val="21"/>
              </w:rPr>
              <w:t>还</w:t>
            </w:r>
            <w:r>
              <w:rPr>
                <w:b/>
                <w:bCs/>
                <w:sz w:val="21"/>
                <w:szCs w:val="21"/>
              </w:rPr>
              <w:t>可利用表土</w:t>
            </w:r>
            <w:r>
              <w:rPr>
                <w:rFonts w:hint="eastAsia"/>
                <w:b/>
                <w:bCs/>
                <w:sz w:val="21"/>
                <w:szCs w:val="21"/>
              </w:rPr>
              <w:t>量为64万m</w:t>
            </w:r>
            <w:r>
              <w:rPr>
                <w:rFonts w:hint="eastAsia"/>
                <w:b/>
                <w:bCs/>
                <w:sz w:val="21"/>
                <w:szCs w:val="21"/>
                <w:vertAlign w:val="superscript"/>
              </w:rPr>
              <w:t>3</w:t>
            </w:r>
            <w:r>
              <w:rPr>
                <w:rFonts w:hint="eastAsia"/>
                <w:b/>
                <w:bCs/>
                <w:sz w:val="21"/>
                <w:szCs w:val="21"/>
              </w:rPr>
              <w:t>，结合已利用的表土量20.09万m</w:t>
            </w:r>
            <w:r>
              <w:rPr>
                <w:rFonts w:hint="eastAsia"/>
                <w:b/>
                <w:bCs/>
                <w:sz w:val="21"/>
                <w:szCs w:val="21"/>
                <w:vertAlign w:val="superscript"/>
              </w:rPr>
              <w:t>3</w:t>
            </w:r>
            <w:r>
              <w:rPr>
                <w:rFonts w:hint="eastAsia"/>
                <w:b/>
                <w:bCs/>
                <w:sz w:val="21"/>
                <w:szCs w:val="21"/>
              </w:rPr>
              <w:t>，园区已建及在建区域可利用表土量总计84.09万m</w:t>
            </w:r>
            <w:r>
              <w:rPr>
                <w:rFonts w:hint="eastAsia"/>
                <w:b/>
                <w:bCs/>
                <w:sz w:val="21"/>
                <w:szCs w:val="21"/>
                <w:vertAlign w:val="superscript"/>
              </w:rPr>
              <w:t>3</w:t>
            </w:r>
            <w:r>
              <w:rPr>
                <w:rFonts w:hint="eastAsia"/>
                <w:b/>
                <w:bCs/>
                <w:sz w:val="21"/>
                <w:szCs w:val="21"/>
              </w:rPr>
              <w:t>。</w:t>
            </w:r>
            <w:r>
              <w:rPr>
                <w:rFonts w:hint="eastAsia"/>
                <w:kern w:val="0"/>
                <w:szCs w:val="24"/>
              </w:rPr>
              <w:t>本报告要求园区管</w:t>
            </w:r>
            <w:r>
              <w:rPr>
                <w:bCs/>
              </w:rPr>
              <w:t>委会</w:t>
            </w:r>
            <w:r>
              <w:rPr>
                <w:rFonts w:hint="eastAsia"/>
                <w:bCs/>
              </w:rPr>
              <w:t>组织对</w:t>
            </w:r>
            <w:r>
              <w:rPr>
                <w:rFonts w:hint="eastAsia"/>
                <w:kern w:val="0"/>
                <w:szCs w:val="24"/>
              </w:rPr>
              <w:t>还可利用表土</w:t>
            </w:r>
            <w:r>
              <w:rPr>
                <w:rFonts w:hint="eastAsia"/>
                <w:bCs/>
              </w:rPr>
              <w:t>收集后集中堆放至报告设置的表土中转场内，</w:t>
            </w:r>
            <w:r>
              <w:rPr>
                <w:kern w:val="0"/>
                <w:szCs w:val="24"/>
              </w:rPr>
              <w:t>最大程度地保护表土资源。</w:t>
            </w:r>
          </w:p>
        </w:tc>
      </w:tr>
    </w:tbl>
    <w:p>
      <w:pPr>
        <w:pStyle w:val="8"/>
        <w:rPr>
          <w:rFonts w:eastAsia="仿宋_GB2312"/>
        </w:rPr>
        <w:sectPr>
          <w:pgSz w:w="16838" w:h="11905" w:orient="landscape"/>
          <w:pgMar w:top="1417" w:right="1417" w:bottom="1417" w:left="1417" w:header="850" w:footer="992" w:gutter="0"/>
          <w:cols w:space="720" w:num="1"/>
          <w:docGrid w:linePitch="312" w:charSpace="0"/>
        </w:sectPr>
      </w:pPr>
    </w:p>
    <w:p>
      <w:pPr>
        <w:pStyle w:val="7"/>
      </w:pPr>
      <w:r>
        <w:t>2.4.2.2园区近期建设区域可剥离表土平衡分析</w:t>
      </w:r>
    </w:p>
    <w:p>
      <w:pPr>
        <w:ind w:firstLine="480"/>
      </w:pPr>
      <w:r>
        <w:t>由于表土富含种子库，且土壤肥力较高，表土剥离能有效保护土壤资源，因此对园区剥离的表土资源进行全部利用，表土回填利用原则上就地利用，不进行远距离运输，片区内确有富裕表土的，可通过区间调配，实现综合利用。园区内公共基础设施区的公共绿化区等绿化造景区域为园区主要表土消纳区域，剩余表土则根据入驻企业规划建设情况，分批逐步作为入驻企业建设的绿化覆土，并实现区域内的表土剥离与覆土之间的平衡，最大限度利用区域内的表土资源。</w:t>
      </w:r>
    </w:p>
    <w:p>
      <w:pPr>
        <w:widowControl/>
        <w:ind w:firstLine="480"/>
      </w:pPr>
      <w:r>
        <w:rPr>
          <w:kern w:val="0"/>
          <w:szCs w:val="24"/>
        </w:rPr>
        <w:t>园区</w:t>
      </w:r>
      <w:r>
        <w:t>近期区域</w:t>
      </w:r>
      <w:r>
        <w:rPr>
          <w:kern w:val="0"/>
          <w:szCs w:val="24"/>
        </w:rPr>
        <w:t>可剥离表土区域主要为</w:t>
      </w:r>
      <w:r>
        <w:rPr>
          <w:rFonts w:hint="eastAsia"/>
          <w:kern w:val="0"/>
          <w:szCs w:val="24"/>
        </w:rPr>
        <w:t>占地范围</w:t>
      </w:r>
      <w:r>
        <w:rPr>
          <w:kern w:val="0"/>
          <w:szCs w:val="24"/>
        </w:rPr>
        <w:t>内的耕地、园地、林地和草地</w:t>
      </w:r>
      <w:r>
        <w:t>，</w:t>
      </w:r>
      <w:r>
        <w:rPr>
          <w:rFonts w:hint="eastAsia"/>
          <w:kern w:val="0"/>
          <w:szCs w:val="24"/>
        </w:rPr>
        <w:t>按</w:t>
      </w:r>
      <w:r>
        <w:rPr>
          <w:kern w:val="0"/>
          <w:szCs w:val="24"/>
        </w:rPr>
        <w:t>三调数据图斑中耕地、园地、林地和草地分布情况，计算园区</w:t>
      </w:r>
      <w:r>
        <w:t>近期建设区</w:t>
      </w:r>
      <w:r>
        <w:rPr>
          <w:kern w:val="0"/>
          <w:szCs w:val="24"/>
        </w:rPr>
        <w:t>内可剥离表土面积为</w:t>
      </w:r>
      <w:r>
        <w:rPr>
          <w:rFonts w:hint="eastAsia"/>
        </w:rPr>
        <w:t>603.19</w:t>
      </w:r>
      <w:r>
        <w:t>hm</w:t>
      </w:r>
      <w:r>
        <w:rPr>
          <w:vertAlign w:val="superscript"/>
        </w:rPr>
        <w:t>2</w:t>
      </w:r>
      <w:r>
        <w:t>。表土剥离厚度范围在0.20~0.40m之间，可剥离表土</w:t>
      </w:r>
      <w:r>
        <w:rPr>
          <w:rFonts w:hint="eastAsia"/>
        </w:rPr>
        <w:t>量</w:t>
      </w:r>
      <w:r>
        <w:t>为</w:t>
      </w:r>
      <w:r>
        <w:rPr>
          <w:rFonts w:hint="eastAsia"/>
        </w:rPr>
        <w:t>179.13</w:t>
      </w:r>
      <w:r>
        <w:t>万m</w:t>
      </w:r>
      <w:r>
        <w:rPr>
          <w:vertAlign w:val="superscript"/>
        </w:rPr>
        <w:t>3</w:t>
      </w:r>
      <w:r>
        <w:t>。</w:t>
      </w:r>
      <w:r>
        <w:rPr>
          <w:rFonts w:hint="eastAsia"/>
        </w:rPr>
        <w:t>根据现状调查，除已建企业和在建企业无法剥离表土面积部分，本园区近期建设区现状可</w:t>
      </w:r>
      <w:r>
        <w:rPr>
          <w:kern w:val="0"/>
          <w:szCs w:val="24"/>
        </w:rPr>
        <w:t>剥离表土面积为562.61</w:t>
      </w:r>
      <w:r>
        <w:t>hm</w:t>
      </w:r>
      <w:r>
        <w:rPr>
          <w:vertAlign w:val="superscript"/>
        </w:rPr>
        <w:t>2</w:t>
      </w:r>
      <w:r>
        <w:rPr>
          <w:rFonts w:hint="eastAsia"/>
        </w:rPr>
        <w:t>。</w:t>
      </w:r>
      <w:r>
        <w:t>园区近期建设区域可剥离表土量计算</w:t>
      </w:r>
      <w:r>
        <w:rPr>
          <w:rFonts w:hint="eastAsia"/>
        </w:rPr>
        <w:t>表详见表2.4-2，</w:t>
      </w:r>
      <w:r>
        <w:t>入驻企业绿化率调查情况详见表2.4-</w:t>
      </w:r>
      <w:r>
        <w:rPr>
          <w:rFonts w:hint="eastAsia"/>
        </w:rPr>
        <w:t>3</w:t>
      </w:r>
      <w:r>
        <w:t>。</w:t>
      </w:r>
      <w:r>
        <w:rPr>
          <w:rFonts w:hint="eastAsia"/>
        </w:rPr>
        <w:t>现状</w:t>
      </w:r>
      <w:r>
        <w:t>可剥离表土区域分布图详见图2.4-</w:t>
      </w:r>
      <w:r>
        <w:rPr>
          <w:rFonts w:hint="eastAsia"/>
        </w:rPr>
        <w:t>4</w:t>
      </w:r>
      <w:r>
        <w:t>。</w:t>
      </w:r>
    </w:p>
    <w:p>
      <w:pPr>
        <w:ind w:firstLine="0" w:firstLineChars="0"/>
        <w:jc w:val="center"/>
        <w:rPr>
          <w:b/>
          <w:bCs/>
        </w:rPr>
      </w:pPr>
      <w:r>
        <w:rPr>
          <w:rFonts w:hint="eastAsia"/>
          <w:b/>
          <w:bCs/>
        </w:rPr>
        <w:t>表2.4-2</w:t>
      </w:r>
      <w:r>
        <w:rPr>
          <w:b/>
          <w:bCs/>
        </w:rPr>
        <w:t>园区近期建设区域可剥离表土</w:t>
      </w:r>
      <w:r>
        <w:rPr>
          <w:rFonts w:hint="eastAsia"/>
          <w:b/>
          <w:bCs/>
        </w:rPr>
        <w:t>量计算</w:t>
      </w:r>
      <w:r>
        <w:rPr>
          <w:b/>
          <w:bCs/>
        </w:rPr>
        <w:t>表</w:t>
      </w:r>
      <w:r>
        <w:rPr>
          <w:rFonts w:hint="eastAsia"/>
          <w:b/>
          <w:bCs/>
        </w:rPr>
        <w:t>（按三调数据计算）</w:t>
      </w:r>
    </w:p>
    <w:tbl>
      <w:tblPr>
        <w:tblStyle w:val="110"/>
        <w:tblW w:w="4996"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840"/>
        <w:gridCol w:w="1146"/>
        <w:gridCol w:w="2169"/>
        <w:gridCol w:w="1977"/>
        <w:gridCol w:w="214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991" w:type="pct"/>
            <w:vAlign w:val="center"/>
          </w:tcPr>
          <w:p>
            <w:pPr>
              <w:tabs>
                <w:tab w:val="left" w:pos="1008"/>
              </w:tabs>
              <w:spacing w:line="260" w:lineRule="exact"/>
              <w:ind w:firstLine="0" w:firstLineChars="0"/>
              <w:jc w:val="center"/>
              <w:rPr>
                <w:b/>
                <w:bCs/>
                <w:sz w:val="21"/>
                <w:szCs w:val="21"/>
              </w:rPr>
            </w:pPr>
            <w:r>
              <w:rPr>
                <w:rFonts w:hint="eastAsia"/>
                <w:b/>
                <w:bCs/>
                <w:sz w:val="21"/>
                <w:szCs w:val="21"/>
              </w:rPr>
              <w:t>区域</w:t>
            </w:r>
          </w:p>
        </w:tc>
        <w:tc>
          <w:tcPr>
            <w:tcW w:w="617" w:type="pct"/>
            <w:vAlign w:val="center"/>
          </w:tcPr>
          <w:p>
            <w:pPr>
              <w:tabs>
                <w:tab w:val="left" w:pos="1008"/>
              </w:tabs>
              <w:spacing w:line="260" w:lineRule="exact"/>
              <w:ind w:firstLine="0" w:firstLineChars="0"/>
              <w:jc w:val="center"/>
              <w:rPr>
                <w:b/>
                <w:bCs/>
                <w:sz w:val="21"/>
                <w:szCs w:val="21"/>
              </w:rPr>
            </w:pPr>
            <w:r>
              <w:rPr>
                <w:b/>
                <w:bCs/>
                <w:sz w:val="21"/>
                <w:szCs w:val="21"/>
              </w:rPr>
              <w:t>占地类型</w:t>
            </w:r>
          </w:p>
        </w:tc>
        <w:tc>
          <w:tcPr>
            <w:tcW w:w="1168" w:type="pct"/>
            <w:vAlign w:val="center"/>
          </w:tcPr>
          <w:p>
            <w:pPr>
              <w:tabs>
                <w:tab w:val="left" w:pos="1008"/>
              </w:tabs>
              <w:spacing w:line="260" w:lineRule="exact"/>
              <w:ind w:firstLine="0" w:firstLineChars="0"/>
              <w:jc w:val="center"/>
              <w:rPr>
                <w:b/>
                <w:bCs/>
                <w:sz w:val="21"/>
                <w:szCs w:val="21"/>
              </w:rPr>
            </w:pPr>
            <w:r>
              <w:rPr>
                <w:b/>
                <w:bCs/>
                <w:sz w:val="21"/>
                <w:szCs w:val="21"/>
              </w:rPr>
              <w:t>可剥离面积（hm</w:t>
            </w:r>
            <w:r>
              <w:rPr>
                <w:b/>
                <w:bCs/>
                <w:sz w:val="21"/>
                <w:szCs w:val="21"/>
                <w:vertAlign w:val="superscript"/>
              </w:rPr>
              <w:t>2</w:t>
            </w:r>
            <w:r>
              <w:rPr>
                <w:b/>
                <w:bCs/>
                <w:sz w:val="21"/>
                <w:szCs w:val="21"/>
              </w:rPr>
              <w:t>）</w:t>
            </w:r>
          </w:p>
        </w:tc>
        <w:tc>
          <w:tcPr>
            <w:tcW w:w="1065" w:type="pct"/>
            <w:vAlign w:val="center"/>
          </w:tcPr>
          <w:p>
            <w:pPr>
              <w:tabs>
                <w:tab w:val="left" w:pos="1008"/>
              </w:tabs>
              <w:spacing w:line="260" w:lineRule="exact"/>
              <w:ind w:firstLine="0" w:firstLineChars="0"/>
              <w:jc w:val="center"/>
              <w:rPr>
                <w:b/>
                <w:bCs/>
                <w:sz w:val="21"/>
                <w:szCs w:val="21"/>
              </w:rPr>
            </w:pPr>
            <w:r>
              <w:rPr>
                <w:b/>
                <w:bCs/>
                <w:sz w:val="21"/>
                <w:szCs w:val="21"/>
              </w:rPr>
              <w:t>可剥离厚度（m）</w:t>
            </w:r>
          </w:p>
        </w:tc>
        <w:tc>
          <w:tcPr>
            <w:tcW w:w="1157" w:type="pct"/>
            <w:vAlign w:val="center"/>
          </w:tcPr>
          <w:p>
            <w:pPr>
              <w:tabs>
                <w:tab w:val="left" w:pos="1008"/>
              </w:tabs>
              <w:spacing w:line="260" w:lineRule="exact"/>
              <w:ind w:firstLine="0" w:firstLineChars="0"/>
              <w:jc w:val="center"/>
              <w:rPr>
                <w:b/>
                <w:bCs/>
                <w:sz w:val="21"/>
                <w:szCs w:val="21"/>
              </w:rPr>
            </w:pPr>
            <w:r>
              <w:rPr>
                <w:b/>
                <w:bCs/>
                <w:sz w:val="21"/>
                <w:szCs w:val="21"/>
              </w:rPr>
              <w:t>可剥离量（万m</w:t>
            </w:r>
            <w:r>
              <w:rPr>
                <w:b/>
                <w:bCs/>
                <w:sz w:val="21"/>
                <w:szCs w:val="21"/>
                <w:vertAlign w:val="superscript"/>
              </w:rPr>
              <w:t>3</w:t>
            </w:r>
            <w:r>
              <w:rPr>
                <w:b/>
                <w:bCs/>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991" w:type="pct"/>
            <w:vMerge w:val="restart"/>
            <w:vAlign w:val="center"/>
          </w:tcPr>
          <w:p>
            <w:pPr>
              <w:tabs>
                <w:tab w:val="left" w:pos="1008"/>
              </w:tabs>
              <w:spacing w:line="260" w:lineRule="exact"/>
              <w:ind w:firstLine="0" w:firstLineChars="0"/>
              <w:jc w:val="center"/>
              <w:rPr>
                <w:b/>
                <w:bCs/>
                <w:sz w:val="21"/>
                <w:szCs w:val="21"/>
              </w:rPr>
            </w:pPr>
            <w:r>
              <w:rPr>
                <w:sz w:val="21"/>
                <w:szCs w:val="21"/>
              </w:rPr>
              <w:t>园区近期建设区域</w:t>
            </w:r>
          </w:p>
        </w:tc>
        <w:tc>
          <w:tcPr>
            <w:tcW w:w="1146" w:type="dxa"/>
            <w:vAlign w:val="center"/>
          </w:tcPr>
          <w:p>
            <w:pPr>
              <w:pStyle w:val="99"/>
              <w:spacing w:line="260" w:lineRule="exact"/>
              <w:jc w:val="center"/>
              <w:rPr>
                <w:b/>
                <w:bCs/>
                <w:sz w:val="21"/>
                <w:szCs w:val="21"/>
              </w:rPr>
            </w:pPr>
            <w:r>
              <w:rPr>
                <w:sz w:val="21"/>
                <w:szCs w:val="21"/>
              </w:rPr>
              <w:t>耕地</w:t>
            </w:r>
          </w:p>
        </w:tc>
        <w:tc>
          <w:tcPr>
            <w:tcW w:w="1168" w:type="pct"/>
            <w:vAlign w:val="center"/>
          </w:tcPr>
          <w:p>
            <w:pPr>
              <w:tabs>
                <w:tab w:val="left" w:pos="1008"/>
              </w:tabs>
              <w:spacing w:line="260" w:lineRule="exact"/>
              <w:ind w:firstLine="0" w:firstLineChars="0"/>
              <w:jc w:val="center"/>
              <w:rPr>
                <w:sz w:val="21"/>
                <w:szCs w:val="21"/>
              </w:rPr>
            </w:pPr>
            <w:r>
              <w:rPr>
                <w:sz w:val="21"/>
                <w:szCs w:val="21"/>
              </w:rPr>
              <w:t>292.48</w:t>
            </w:r>
          </w:p>
        </w:tc>
        <w:tc>
          <w:tcPr>
            <w:tcW w:w="1065" w:type="pct"/>
            <w:vAlign w:val="center"/>
          </w:tcPr>
          <w:p>
            <w:pPr>
              <w:tabs>
                <w:tab w:val="left" w:pos="1008"/>
              </w:tabs>
              <w:spacing w:line="260" w:lineRule="exact"/>
              <w:ind w:firstLine="0" w:firstLineChars="0"/>
              <w:jc w:val="center"/>
              <w:rPr>
                <w:sz w:val="21"/>
                <w:szCs w:val="21"/>
              </w:rPr>
            </w:pPr>
            <w:r>
              <w:rPr>
                <w:rFonts w:hint="eastAsia"/>
                <w:sz w:val="21"/>
                <w:szCs w:val="21"/>
              </w:rPr>
              <w:t>0.4</w:t>
            </w:r>
          </w:p>
        </w:tc>
        <w:tc>
          <w:tcPr>
            <w:tcW w:w="2148" w:type="dxa"/>
            <w:vAlign w:val="center"/>
          </w:tcPr>
          <w:p>
            <w:pPr>
              <w:tabs>
                <w:tab w:val="left" w:pos="1008"/>
              </w:tabs>
              <w:spacing w:line="260" w:lineRule="exact"/>
              <w:ind w:firstLine="0" w:firstLineChars="0"/>
              <w:jc w:val="center"/>
              <w:rPr>
                <w:sz w:val="21"/>
                <w:szCs w:val="21"/>
              </w:rPr>
            </w:pPr>
            <w:r>
              <w:rPr>
                <w:rFonts w:hint="eastAsia"/>
                <w:sz w:val="21"/>
                <w:szCs w:val="21"/>
              </w:rPr>
              <w:t>116.99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991" w:type="pct"/>
            <w:vMerge w:val="continue"/>
            <w:vAlign w:val="center"/>
          </w:tcPr>
          <w:p>
            <w:pPr>
              <w:tabs>
                <w:tab w:val="left" w:pos="1008"/>
              </w:tabs>
              <w:spacing w:line="260" w:lineRule="exact"/>
              <w:ind w:firstLine="0" w:firstLineChars="0"/>
              <w:jc w:val="center"/>
              <w:rPr>
                <w:b/>
                <w:bCs/>
                <w:sz w:val="21"/>
                <w:szCs w:val="21"/>
              </w:rPr>
            </w:pPr>
          </w:p>
        </w:tc>
        <w:tc>
          <w:tcPr>
            <w:tcW w:w="1146" w:type="dxa"/>
            <w:vAlign w:val="center"/>
          </w:tcPr>
          <w:p>
            <w:pPr>
              <w:pStyle w:val="99"/>
              <w:spacing w:line="260" w:lineRule="exact"/>
              <w:jc w:val="center"/>
              <w:rPr>
                <w:b/>
                <w:bCs/>
                <w:sz w:val="21"/>
                <w:szCs w:val="21"/>
              </w:rPr>
            </w:pPr>
            <w:r>
              <w:rPr>
                <w:sz w:val="21"/>
                <w:szCs w:val="21"/>
              </w:rPr>
              <w:t>园地</w:t>
            </w:r>
          </w:p>
        </w:tc>
        <w:tc>
          <w:tcPr>
            <w:tcW w:w="1168" w:type="pct"/>
            <w:vAlign w:val="center"/>
          </w:tcPr>
          <w:p>
            <w:pPr>
              <w:tabs>
                <w:tab w:val="left" w:pos="1008"/>
              </w:tabs>
              <w:spacing w:line="260" w:lineRule="exact"/>
              <w:ind w:firstLine="0" w:firstLineChars="0"/>
              <w:jc w:val="center"/>
              <w:rPr>
                <w:sz w:val="21"/>
                <w:szCs w:val="21"/>
              </w:rPr>
            </w:pPr>
            <w:r>
              <w:rPr>
                <w:rFonts w:hint="eastAsia"/>
                <w:sz w:val="21"/>
                <w:szCs w:val="21"/>
              </w:rPr>
              <w:t>50.40</w:t>
            </w:r>
          </w:p>
        </w:tc>
        <w:tc>
          <w:tcPr>
            <w:tcW w:w="1065" w:type="pct"/>
            <w:vAlign w:val="center"/>
          </w:tcPr>
          <w:p>
            <w:pPr>
              <w:tabs>
                <w:tab w:val="left" w:pos="1008"/>
              </w:tabs>
              <w:spacing w:line="260" w:lineRule="exact"/>
              <w:ind w:firstLine="0" w:firstLineChars="0"/>
              <w:jc w:val="center"/>
              <w:rPr>
                <w:sz w:val="21"/>
                <w:szCs w:val="21"/>
              </w:rPr>
            </w:pPr>
            <w:r>
              <w:rPr>
                <w:rFonts w:hint="eastAsia"/>
                <w:sz w:val="21"/>
                <w:szCs w:val="21"/>
              </w:rPr>
              <w:t>0.2</w:t>
            </w:r>
          </w:p>
        </w:tc>
        <w:tc>
          <w:tcPr>
            <w:tcW w:w="2148" w:type="dxa"/>
            <w:vAlign w:val="center"/>
          </w:tcPr>
          <w:p>
            <w:pPr>
              <w:tabs>
                <w:tab w:val="left" w:pos="1008"/>
              </w:tabs>
              <w:spacing w:line="260" w:lineRule="exact"/>
              <w:ind w:firstLine="0" w:firstLineChars="0"/>
              <w:jc w:val="center"/>
              <w:rPr>
                <w:sz w:val="21"/>
                <w:szCs w:val="21"/>
              </w:rPr>
            </w:pPr>
            <w:r>
              <w:rPr>
                <w:rFonts w:hint="eastAsia"/>
                <w:sz w:val="21"/>
                <w:szCs w:val="21"/>
              </w:rPr>
              <w:t>10.08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6" w:hRule="atLeast"/>
          <w:jc w:val="center"/>
        </w:trPr>
        <w:tc>
          <w:tcPr>
            <w:tcW w:w="991" w:type="pct"/>
            <w:vMerge w:val="continue"/>
            <w:vAlign w:val="center"/>
          </w:tcPr>
          <w:p>
            <w:pPr>
              <w:tabs>
                <w:tab w:val="left" w:pos="1008"/>
              </w:tabs>
              <w:spacing w:line="260" w:lineRule="exact"/>
              <w:ind w:firstLine="0" w:firstLineChars="0"/>
              <w:jc w:val="center"/>
              <w:rPr>
                <w:b/>
                <w:bCs/>
                <w:sz w:val="21"/>
                <w:szCs w:val="21"/>
              </w:rPr>
            </w:pPr>
          </w:p>
        </w:tc>
        <w:tc>
          <w:tcPr>
            <w:tcW w:w="1146" w:type="dxa"/>
            <w:tcBorders>
              <w:bottom w:val="single" w:color="auto" w:sz="4" w:space="0"/>
            </w:tcBorders>
            <w:vAlign w:val="center"/>
          </w:tcPr>
          <w:p>
            <w:pPr>
              <w:pStyle w:val="99"/>
              <w:spacing w:line="260" w:lineRule="exact"/>
              <w:jc w:val="center"/>
              <w:rPr>
                <w:b/>
                <w:bCs/>
                <w:sz w:val="21"/>
                <w:szCs w:val="21"/>
              </w:rPr>
            </w:pPr>
            <w:r>
              <w:rPr>
                <w:sz w:val="21"/>
                <w:szCs w:val="21"/>
              </w:rPr>
              <w:t>林地</w:t>
            </w:r>
          </w:p>
        </w:tc>
        <w:tc>
          <w:tcPr>
            <w:tcW w:w="1168" w:type="pct"/>
            <w:tcBorders>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257.65</w:t>
            </w:r>
          </w:p>
        </w:tc>
        <w:tc>
          <w:tcPr>
            <w:tcW w:w="1065" w:type="pct"/>
            <w:tcBorders>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0.2</w:t>
            </w:r>
          </w:p>
        </w:tc>
        <w:tc>
          <w:tcPr>
            <w:tcW w:w="2148" w:type="dxa"/>
            <w:tcBorders>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51.53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3" w:hRule="atLeast"/>
          <w:jc w:val="center"/>
        </w:trPr>
        <w:tc>
          <w:tcPr>
            <w:tcW w:w="991" w:type="pct"/>
            <w:vMerge w:val="continue"/>
            <w:vAlign w:val="center"/>
          </w:tcPr>
          <w:p>
            <w:pPr>
              <w:tabs>
                <w:tab w:val="left" w:pos="1008"/>
              </w:tabs>
              <w:spacing w:line="260" w:lineRule="exact"/>
              <w:ind w:firstLine="0" w:firstLineChars="0"/>
              <w:jc w:val="center"/>
              <w:rPr>
                <w:b/>
                <w:bCs/>
                <w:sz w:val="21"/>
                <w:szCs w:val="21"/>
              </w:rPr>
            </w:pPr>
          </w:p>
        </w:tc>
        <w:tc>
          <w:tcPr>
            <w:tcW w:w="1146" w:type="dxa"/>
            <w:tcBorders>
              <w:top w:val="single" w:color="auto" w:sz="4" w:space="0"/>
              <w:bottom w:val="single" w:color="auto" w:sz="4" w:space="0"/>
            </w:tcBorders>
            <w:vAlign w:val="center"/>
          </w:tcPr>
          <w:p>
            <w:pPr>
              <w:pStyle w:val="99"/>
              <w:spacing w:line="260" w:lineRule="exact"/>
              <w:jc w:val="center"/>
              <w:rPr>
                <w:b/>
                <w:bCs/>
                <w:sz w:val="21"/>
                <w:szCs w:val="21"/>
              </w:rPr>
            </w:pPr>
            <w:r>
              <w:rPr>
                <w:sz w:val="21"/>
                <w:szCs w:val="21"/>
              </w:rPr>
              <w:t>草地</w:t>
            </w:r>
          </w:p>
        </w:tc>
        <w:tc>
          <w:tcPr>
            <w:tcW w:w="1168" w:type="pct"/>
            <w:tcBorders>
              <w:top w:val="single" w:color="auto" w:sz="4" w:space="0"/>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2.66</w:t>
            </w:r>
          </w:p>
        </w:tc>
        <w:tc>
          <w:tcPr>
            <w:tcW w:w="1065" w:type="pct"/>
            <w:tcBorders>
              <w:top w:val="single" w:color="auto" w:sz="4" w:space="0"/>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0.2</w:t>
            </w:r>
          </w:p>
        </w:tc>
        <w:tc>
          <w:tcPr>
            <w:tcW w:w="2148" w:type="dxa"/>
            <w:tcBorders>
              <w:top w:val="single" w:color="auto" w:sz="4" w:space="0"/>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0.53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7" w:hRule="atLeast"/>
          <w:jc w:val="center"/>
        </w:trPr>
        <w:tc>
          <w:tcPr>
            <w:tcW w:w="991" w:type="pct"/>
            <w:vMerge w:val="continue"/>
            <w:vAlign w:val="center"/>
          </w:tcPr>
          <w:p>
            <w:pPr>
              <w:tabs>
                <w:tab w:val="left" w:pos="1008"/>
              </w:tabs>
              <w:spacing w:line="260" w:lineRule="exact"/>
              <w:ind w:firstLine="0" w:firstLineChars="0"/>
              <w:jc w:val="center"/>
              <w:rPr>
                <w:b/>
                <w:bCs/>
                <w:sz w:val="21"/>
                <w:szCs w:val="21"/>
              </w:rPr>
            </w:pPr>
          </w:p>
        </w:tc>
        <w:tc>
          <w:tcPr>
            <w:tcW w:w="617" w:type="pct"/>
            <w:tcBorders>
              <w:top w:val="single" w:color="auto" w:sz="4" w:space="0"/>
            </w:tcBorders>
            <w:vAlign w:val="center"/>
          </w:tcPr>
          <w:p>
            <w:pPr>
              <w:tabs>
                <w:tab w:val="left" w:pos="1008"/>
              </w:tabs>
              <w:spacing w:line="260" w:lineRule="exact"/>
              <w:ind w:firstLine="0" w:firstLineChars="0"/>
              <w:jc w:val="center"/>
              <w:rPr>
                <w:b/>
                <w:bCs/>
                <w:sz w:val="21"/>
                <w:szCs w:val="21"/>
              </w:rPr>
            </w:pPr>
            <w:r>
              <w:rPr>
                <w:rFonts w:hint="eastAsia"/>
                <w:b/>
                <w:bCs/>
                <w:sz w:val="21"/>
                <w:szCs w:val="21"/>
              </w:rPr>
              <w:t>合计</w:t>
            </w:r>
          </w:p>
        </w:tc>
        <w:tc>
          <w:tcPr>
            <w:tcW w:w="1168" w:type="pct"/>
            <w:tcBorders>
              <w:top w:val="single" w:color="auto" w:sz="4" w:space="0"/>
            </w:tcBorders>
            <w:vAlign w:val="center"/>
          </w:tcPr>
          <w:p>
            <w:pPr>
              <w:tabs>
                <w:tab w:val="left" w:pos="1008"/>
              </w:tabs>
              <w:spacing w:line="260" w:lineRule="exact"/>
              <w:ind w:firstLine="0" w:firstLineChars="0"/>
              <w:jc w:val="center"/>
              <w:rPr>
                <w:b/>
                <w:bCs/>
                <w:sz w:val="21"/>
                <w:szCs w:val="21"/>
              </w:rPr>
            </w:pPr>
            <w:r>
              <w:rPr>
                <w:rFonts w:hint="eastAsia"/>
                <w:b/>
                <w:bCs/>
                <w:sz w:val="21"/>
                <w:szCs w:val="21"/>
              </w:rPr>
              <w:t>603.19</w:t>
            </w:r>
          </w:p>
        </w:tc>
        <w:tc>
          <w:tcPr>
            <w:tcW w:w="1065" w:type="pct"/>
            <w:tcBorders>
              <w:top w:val="single" w:color="auto" w:sz="4" w:space="0"/>
            </w:tcBorders>
            <w:vAlign w:val="center"/>
          </w:tcPr>
          <w:p>
            <w:pPr>
              <w:tabs>
                <w:tab w:val="left" w:pos="1008"/>
              </w:tabs>
              <w:spacing w:line="260" w:lineRule="exact"/>
              <w:ind w:firstLine="0" w:firstLineChars="0"/>
              <w:jc w:val="center"/>
              <w:rPr>
                <w:b/>
                <w:bCs/>
                <w:sz w:val="21"/>
                <w:szCs w:val="21"/>
              </w:rPr>
            </w:pPr>
          </w:p>
        </w:tc>
        <w:tc>
          <w:tcPr>
            <w:tcW w:w="2148" w:type="dxa"/>
            <w:tcBorders>
              <w:top w:val="single" w:color="auto" w:sz="4" w:space="0"/>
            </w:tcBorders>
            <w:vAlign w:val="center"/>
          </w:tcPr>
          <w:p>
            <w:pPr>
              <w:tabs>
                <w:tab w:val="left" w:pos="1008"/>
              </w:tabs>
              <w:spacing w:line="260" w:lineRule="exact"/>
              <w:ind w:firstLine="0" w:firstLineChars="0"/>
              <w:jc w:val="center"/>
              <w:rPr>
                <w:sz w:val="21"/>
                <w:szCs w:val="21"/>
              </w:rPr>
            </w:pPr>
            <w:r>
              <w:rPr>
                <w:rFonts w:hint="eastAsia"/>
                <w:b/>
                <w:bCs/>
                <w:sz w:val="21"/>
                <w:szCs w:val="21"/>
              </w:rPr>
              <w:t>179.13</w:t>
            </w:r>
          </w:p>
        </w:tc>
      </w:tr>
    </w:tbl>
    <w:p>
      <w:pPr>
        <w:spacing w:beforeLines="50"/>
        <w:ind w:firstLine="0" w:firstLineChars="0"/>
        <w:jc w:val="center"/>
        <w:rPr>
          <w:b/>
          <w:bCs/>
        </w:rPr>
      </w:pPr>
      <w:r>
        <w:rPr>
          <w:b/>
          <w:bCs/>
        </w:rPr>
        <w:t>表2.4-</w:t>
      </w:r>
      <w:r>
        <w:rPr>
          <w:rFonts w:hint="eastAsia"/>
          <w:b/>
          <w:bCs/>
        </w:rPr>
        <w:t>3</w:t>
      </w:r>
      <w:r>
        <w:rPr>
          <w:b/>
          <w:bCs/>
        </w:rPr>
        <w:t>入驻企业绿化率调查情况统计表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763"/>
        <w:gridCol w:w="1574"/>
        <w:gridCol w:w="1305"/>
        <w:gridCol w:w="1156"/>
        <w:gridCol w:w="1156"/>
        <w:gridCol w:w="1156"/>
        <w:gridCol w:w="117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0" w:type="pct"/>
            <w:vAlign w:val="center"/>
          </w:tcPr>
          <w:p>
            <w:pPr>
              <w:pStyle w:val="99"/>
              <w:spacing w:line="240" w:lineRule="auto"/>
              <w:rPr>
                <w:b/>
                <w:bCs/>
                <w:sz w:val="21"/>
                <w:szCs w:val="21"/>
              </w:rPr>
            </w:pPr>
            <w:r>
              <w:rPr>
                <w:b/>
                <w:bCs/>
                <w:sz w:val="21"/>
                <w:szCs w:val="21"/>
              </w:rPr>
              <w:t>项目名称</w:t>
            </w:r>
          </w:p>
        </w:tc>
        <w:tc>
          <w:tcPr>
            <w:tcW w:w="847" w:type="pct"/>
            <w:vAlign w:val="center"/>
          </w:tcPr>
          <w:p>
            <w:pPr>
              <w:pStyle w:val="99"/>
              <w:spacing w:line="240" w:lineRule="auto"/>
              <w:rPr>
                <w:b/>
                <w:bCs/>
                <w:sz w:val="21"/>
                <w:szCs w:val="21"/>
              </w:rPr>
            </w:pPr>
            <w:r>
              <w:rPr>
                <w:b/>
                <w:bCs/>
                <w:sz w:val="21"/>
                <w:szCs w:val="21"/>
              </w:rPr>
              <w:t>公司名称</w:t>
            </w:r>
          </w:p>
        </w:tc>
        <w:tc>
          <w:tcPr>
            <w:tcW w:w="703" w:type="pct"/>
            <w:vAlign w:val="center"/>
          </w:tcPr>
          <w:p>
            <w:pPr>
              <w:pStyle w:val="99"/>
              <w:spacing w:line="240" w:lineRule="auto"/>
              <w:rPr>
                <w:b/>
                <w:bCs/>
                <w:sz w:val="21"/>
                <w:szCs w:val="21"/>
              </w:rPr>
            </w:pPr>
            <w:r>
              <w:rPr>
                <w:b/>
                <w:bCs/>
                <w:sz w:val="21"/>
                <w:szCs w:val="21"/>
              </w:rPr>
              <w:t>占地面积（hm</w:t>
            </w:r>
            <w:r>
              <w:rPr>
                <w:b/>
                <w:bCs/>
                <w:sz w:val="21"/>
                <w:szCs w:val="21"/>
                <w:vertAlign w:val="superscript"/>
              </w:rPr>
              <w:t>2</w:t>
            </w:r>
            <w:r>
              <w:rPr>
                <w:b/>
                <w:bCs/>
                <w:sz w:val="21"/>
                <w:szCs w:val="21"/>
              </w:rPr>
              <w:t>）</w:t>
            </w:r>
          </w:p>
        </w:tc>
        <w:tc>
          <w:tcPr>
            <w:tcW w:w="623" w:type="pct"/>
            <w:vAlign w:val="center"/>
          </w:tcPr>
          <w:p>
            <w:pPr>
              <w:pStyle w:val="99"/>
              <w:spacing w:line="240" w:lineRule="auto"/>
              <w:rPr>
                <w:b/>
                <w:bCs/>
                <w:sz w:val="21"/>
                <w:szCs w:val="21"/>
              </w:rPr>
            </w:pPr>
            <w:r>
              <w:rPr>
                <w:b/>
                <w:bCs/>
                <w:sz w:val="21"/>
                <w:szCs w:val="21"/>
              </w:rPr>
              <w:t>绿化面积（hm</w:t>
            </w:r>
            <w:r>
              <w:rPr>
                <w:b/>
                <w:bCs/>
                <w:sz w:val="21"/>
                <w:szCs w:val="21"/>
                <w:vertAlign w:val="superscript"/>
              </w:rPr>
              <w:t>2</w:t>
            </w:r>
            <w:r>
              <w:rPr>
                <w:b/>
                <w:bCs/>
                <w:sz w:val="21"/>
                <w:szCs w:val="21"/>
              </w:rPr>
              <w:t>）</w:t>
            </w:r>
          </w:p>
        </w:tc>
        <w:tc>
          <w:tcPr>
            <w:tcW w:w="623" w:type="pct"/>
            <w:vAlign w:val="center"/>
          </w:tcPr>
          <w:p>
            <w:pPr>
              <w:tabs>
                <w:tab w:val="left" w:pos="1008"/>
              </w:tabs>
              <w:spacing w:line="240" w:lineRule="auto"/>
              <w:ind w:firstLine="0" w:firstLineChars="0"/>
              <w:rPr>
                <w:b/>
                <w:bCs/>
                <w:sz w:val="21"/>
                <w:szCs w:val="21"/>
              </w:rPr>
            </w:pPr>
            <w:r>
              <w:rPr>
                <w:b/>
                <w:bCs/>
                <w:sz w:val="21"/>
                <w:szCs w:val="21"/>
              </w:rPr>
              <w:t>覆土厚度（m）</w:t>
            </w:r>
          </w:p>
        </w:tc>
        <w:tc>
          <w:tcPr>
            <w:tcW w:w="623" w:type="pct"/>
            <w:vAlign w:val="center"/>
          </w:tcPr>
          <w:p>
            <w:pPr>
              <w:tabs>
                <w:tab w:val="left" w:pos="1008"/>
              </w:tabs>
              <w:spacing w:line="240" w:lineRule="auto"/>
              <w:ind w:firstLine="0" w:firstLineChars="0"/>
              <w:rPr>
                <w:b/>
                <w:bCs/>
                <w:sz w:val="21"/>
                <w:szCs w:val="21"/>
              </w:rPr>
            </w:pPr>
            <w:r>
              <w:rPr>
                <w:b/>
                <w:bCs/>
                <w:sz w:val="21"/>
                <w:szCs w:val="21"/>
              </w:rPr>
              <w:t>覆土量</w:t>
            </w:r>
          </w:p>
          <w:p>
            <w:pPr>
              <w:tabs>
                <w:tab w:val="left" w:pos="1008"/>
              </w:tabs>
              <w:spacing w:line="240" w:lineRule="auto"/>
              <w:ind w:firstLine="0" w:firstLineChars="0"/>
              <w:rPr>
                <w:b/>
                <w:bCs/>
                <w:sz w:val="21"/>
                <w:szCs w:val="21"/>
              </w:rPr>
            </w:pPr>
            <w:r>
              <w:rPr>
                <w:b/>
                <w:bCs/>
                <w:sz w:val="21"/>
                <w:szCs w:val="21"/>
              </w:rPr>
              <w:t>（万m</w:t>
            </w:r>
            <w:r>
              <w:rPr>
                <w:b/>
                <w:bCs/>
                <w:sz w:val="21"/>
                <w:szCs w:val="21"/>
                <w:vertAlign w:val="superscript"/>
              </w:rPr>
              <w:t>3</w:t>
            </w:r>
            <w:r>
              <w:rPr>
                <w:b/>
                <w:bCs/>
                <w:sz w:val="21"/>
                <w:szCs w:val="21"/>
              </w:rPr>
              <w:t>）</w:t>
            </w:r>
          </w:p>
        </w:tc>
        <w:tc>
          <w:tcPr>
            <w:tcW w:w="626" w:type="pct"/>
            <w:vAlign w:val="center"/>
          </w:tcPr>
          <w:p>
            <w:pPr>
              <w:pStyle w:val="99"/>
              <w:spacing w:line="240" w:lineRule="auto"/>
              <w:rPr>
                <w:b/>
                <w:bCs/>
                <w:sz w:val="21"/>
                <w:szCs w:val="21"/>
              </w:rPr>
            </w:pPr>
            <w:r>
              <w:rPr>
                <w:b/>
                <w:bCs/>
                <w:sz w:val="21"/>
                <w:szCs w:val="21"/>
              </w:rPr>
              <w:t>绿化率（%）</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0" w:type="pct"/>
            <w:vAlign w:val="center"/>
          </w:tcPr>
          <w:p>
            <w:pPr>
              <w:pStyle w:val="99"/>
              <w:spacing w:line="240" w:lineRule="auto"/>
              <w:rPr>
                <w:sz w:val="21"/>
                <w:szCs w:val="21"/>
              </w:rPr>
            </w:pPr>
            <w:r>
              <w:rPr>
                <w:sz w:val="21"/>
                <w:szCs w:val="21"/>
              </w:rPr>
              <w:t>2.5万吨高纯晶硅项目</w:t>
            </w:r>
          </w:p>
        </w:tc>
        <w:tc>
          <w:tcPr>
            <w:tcW w:w="847" w:type="pct"/>
            <w:vAlign w:val="center"/>
          </w:tcPr>
          <w:p>
            <w:pPr>
              <w:pStyle w:val="99"/>
              <w:spacing w:line="240" w:lineRule="auto"/>
              <w:rPr>
                <w:sz w:val="21"/>
                <w:szCs w:val="21"/>
              </w:rPr>
            </w:pPr>
            <w:r>
              <w:rPr>
                <w:sz w:val="21"/>
                <w:szCs w:val="21"/>
              </w:rPr>
              <w:t>四川永祥新能源有限公司</w:t>
            </w:r>
          </w:p>
        </w:tc>
        <w:tc>
          <w:tcPr>
            <w:tcW w:w="703" w:type="pct"/>
            <w:vAlign w:val="center"/>
          </w:tcPr>
          <w:p>
            <w:pPr>
              <w:pStyle w:val="99"/>
              <w:spacing w:line="240" w:lineRule="auto"/>
              <w:rPr>
                <w:sz w:val="21"/>
                <w:szCs w:val="21"/>
              </w:rPr>
            </w:pPr>
            <w:r>
              <w:rPr>
                <w:sz w:val="21"/>
                <w:szCs w:val="21"/>
              </w:rPr>
              <w:t>52.71</w:t>
            </w:r>
          </w:p>
        </w:tc>
        <w:tc>
          <w:tcPr>
            <w:tcW w:w="623" w:type="pct"/>
            <w:vAlign w:val="center"/>
          </w:tcPr>
          <w:p>
            <w:pPr>
              <w:pStyle w:val="99"/>
              <w:spacing w:line="240" w:lineRule="auto"/>
              <w:rPr>
                <w:sz w:val="21"/>
                <w:szCs w:val="21"/>
              </w:rPr>
            </w:pPr>
            <w:r>
              <w:rPr>
                <w:sz w:val="21"/>
                <w:szCs w:val="21"/>
              </w:rPr>
              <w:t>10.67</w:t>
            </w:r>
          </w:p>
        </w:tc>
        <w:tc>
          <w:tcPr>
            <w:tcW w:w="623" w:type="pct"/>
            <w:vAlign w:val="center"/>
          </w:tcPr>
          <w:p>
            <w:pPr>
              <w:pStyle w:val="99"/>
              <w:spacing w:line="240" w:lineRule="auto"/>
              <w:rPr>
                <w:sz w:val="21"/>
                <w:szCs w:val="21"/>
              </w:rPr>
            </w:pPr>
            <w:r>
              <w:rPr>
                <w:sz w:val="21"/>
                <w:szCs w:val="21"/>
              </w:rPr>
              <w:t>0.3</w:t>
            </w:r>
          </w:p>
        </w:tc>
        <w:tc>
          <w:tcPr>
            <w:tcW w:w="623" w:type="pct"/>
            <w:vAlign w:val="center"/>
          </w:tcPr>
          <w:p>
            <w:pPr>
              <w:pStyle w:val="99"/>
              <w:spacing w:line="240" w:lineRule="auto"/>
              <w:rPr>
                <w:sz w:val="21"/>
                <w:szCs w:val="21"/>
              </w:rPr>
            </w:pPr>
            <w:r>
              <w:rPr>
                <w:sz w:val="21"/>
                <w:szCs w:val="21"/>
              </w:rPr>
              <w:t>3.20</w:t>
            </w:r>
          </w:p>
        </w:tc>
        <w:tc>
          <w:tcPr>
            <w:tcW w:w="626" w:type="pct"/>
            <w:vAlign w:val="center"/>
          </w:tcPr>
          <w:p>
            <w:pPr>
              <w:pStyle w:val="99"/>
              <w:spacing w:line="240" w:lineRule="auto"/>
              <w:rPr>
                <w:sz w:val="21"/>
                <w:szCs w:val="21"/>
              </w:rPr>
            </w:pPr>
            <w:r>
              <w:rPr>
                <w:sz w:val="21"/>
                <w:szCs w:val="21"/>
              </w:rPr>
              <w:t>20.24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0" w:type="pct"/>
            <w:vAlign w:val="center"/>
          </w:tcPr>
          <w:p>
            <w:pPr>
              <w:pStyle w:val="99"/>
              <w:spacing w:line="240" w:lineRule="auto"/>
              <w:rPr>
                <w:sz w:val="21"/>
                <w:szCs w:val="21"/>
              </w:rPr>
            </w:pPr>
            <w:r>
              <w:rPr>
                <w:sz w:val="21"/>
                <w:szCs w:val="21"/>
              </w:rPr>
              <w:t>光伏硅材料制造技改项目（二期4.5万吨高纯晶硅）</w:t>
            </w:r>
          </w:p>
        </w:tc>
        <w:tc>
          <w:tcPr>
            <w:tcW w:w="847" w:type="pct"/>
            <w:vAlign w:val="center"/>
          </w:tcPr>
          <w:p>
            <w:pPr>
              <w:pStyle w:val="99"/>
              <w:spacing w:line="240" w:lineRule="auto"/>
              <w:rPr>
                <w:sz w:val="21"/>
                <w:szCs w:val="21"/>
              </w:rPr>
            </w:pPr>
            <w:r>
              <w:rPr>
                <w:sz w:val="21"/>
                <w:szCs w:val="21"/>
              </w:rPr>
              <w:t>四川永祥新能源有限公司</w:t>
            </w:r>
          </w:p>
        </w:tc>
        <w:tc>
          <w:tcPr>
            <w:tcW w:w="703" w:type="pct"/>
            <w:vAlign w:val="center"/>
          </w:tcPr>
          <w:p>
            <w:pPr>
              <w:pStyle w:val="99"/>
              <w:spacing w:line="240" w:lineRule="auto"/>
              <w:rPr>
                <w:sz w:val="21"/>
                <w:szCs w:val="21"/>
              </w:rPr>
            </w:pPr>
            <w:r>
              <w:rPr>
                <w:sz w:val="21"/>
                <w:szCs w:val="21"/>
              </w:rPr>
              <w:t>41.07</w:t>
            </w:r>
          </w:p>
        </w:tc>
        <w:tc>
          <w:tcPr>
            <w:tcW w:w="623" w:type="pct"/>
            <w:vAlign w:val="center"/>
          </w:tcPr>
          <w:p>
            <w:pPr>
              <w:pStyle w:val="99"/>
              <w:spacing w:line="240" w:lineRule="auto"/>
              <w:rPr>
                <w:sz w:val="21"/>
                <w:szCs w:val="21"/>
              </w:rPr>
            </w:pPr>
            <w:r>
              <w:rPr>
                <w:sz w:val="21"/>
                <w:szCs w:val="21"/>
              </w:rPr>
              <w:t>6.57</w:t>
            </w:r>
          </w:p>
        </w:tc>
        <w:tc>
          <w:tcPr>
            <w:tcW w:w="623" w:type="pct"/>
            <w:vAlign w:val="center"/>
          </w:tcPr>
          <w:p>
            <w:pPr>
              <w:pStyle w:val="99"/>
              <w:spacing w:line="240" w:lineRule="auto"/>
              <w:rPr>
                <w:sz w:val="21"/>
                <w:szCs w:val="21"/>
              </w:rPr>
            </w:pPr>
            <w:r>
              <w:rPr>
                <w:sz w:val="21"/>
                <w:szCs w:val="21"/>
              </w:rPr>
              <w:t>0.3~0.8</w:t>
            </w:r>
          </w:p>
        </w:tc>
        <w:tc>
          <w:tcPr>
            <w:tcW w:w="623" w:type="pct"/>
            <w:vAlign w:val="center"/>
          </w:tcPr>
          <w:p>
            <w:pPr>
              <w:pStyle w:val="99"/>
              <w:spacing w:line="240" w:lineRule="auto"/>
              <w:rPr>
                <w:sz w:val="21"/>
                <w:szCs w:val="21"/>
              </w:rPr>
            </w:pPr>
            <w:r>
              <w:rPr>
                <w:sz w:val="21"/>
                <w:szCs w:val="21"/>
              </w:rPr>
              <w:t>2.65</w:t>
            </w:r>
          </w:p>
        </w:tc>
        <w:tc>
          <w:tcPr>
            <w:tcW w:w="626" w:type="pct"/>
            <w:vAlign w:val="center"/>
          </w:tcPr>
          <w:p>
            <w:pPr>
              <w:pStyle w:val="99"/>
              <w:spacing w:line="240" w:lineRule="auto"/>
              <w:rPr>
                <w:sz w:val="21"/>
                <w:szCs w:val="21"/>
              </w:rPr>
            </w:pPr>
            <w:r>
              <w:rPr>
                <w:sz w:val="21"/>
                <w:szCs w:val="21"/>
              </w:rPr>
              <w:t>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0" w:type="pct"/>
            <w:vAlign w:val="center"/>
          </w:tcPr>
          <w:p>
            <w:pPr>
              <w:pStyle w:val="99"/>
              <w:spacing w:line="240" w:lineRule="auto"/>
              <w:rPr>
                <w:sz w:val="21"/>
                <w:szCs w:val="21"/>
              </w:rPr>
            </w:pPr>
            <w:r>
              <w:rPr>
                <w:sz w:val="21"/>
                <w:szCs w:val="21"/>
              </w:rPr>
              <w:t>乐山协鑫新能源新建10万吨颗粒硅项目</w:t>
            </w:r>
          </w:p>
        </w:tc>
        <w:tc>
          <w:tcPr>
            <w:tcW w:w="847" w:type="pct"/>
            <w:vAlign w:val="center"/>
          </w:tcPr>
          <w:p>
            <w:pPr>
              <w:pStyle w:val="99"/>
              <w:spacing w:line="240" w:lineRule="auto"/>
              <w:rPr>
                <w:sz w:val="21"/>
                <w:szCs w:val="21"/>
              </w:rPr>
            </w:pPr>
            <w:r>
              <w:rPr>
                <w:sz w:val="21"/>
                <w:szCs w:val="21"/>
              </w:rPr>
              <w:t>乐山协鑫新能源科技发展有限公司</w:t>
            </w:r>
          </w:p>
        </w:tc>
        <w:tc>
          <w:tcPr>
            <w:tcW w:w="703" w:type="pct"/>
            <w:vAlign w:val="center"/>
          </w:tcPr>
          <w:p>
            <w:pPr>
              <w:pStyle w:val="99"/>
              <w:spacing w:line="240" w:lineRule="auto"/>
              <w:rPr>
                <w:sz w:val="21"/>
                <w:szCs w:val="21"/>
              </w:rPr>
            </w:pPr>
            <w:r>
              <w:rPr>
                <w:sz w:val="21"/>
                <w:szCs w:val="21"/>
              </w:rPr>
              <w:t>69.90</w:t>
            </w:r>
          </w:p>
        </w:tc>
        <w:tc>
          <w:tcPr>
            <w:tcW w:w="623" w:type="pct"/>
            <w:vAlign w:val="center"/>
          </w:tcPr>
          <w:p>
            <w:pPr>
              <w:pStyle w:val="99"/>
              <w:spacing w:line="240" w:lineRule="auto"/>
              <w:rPr>
                <w:sz w:val="21"/>
                <w:szCs w:val="21"/>
              </w:rPr>
            </w:pPr>
            <w:r>
              <w:rPr>
                <w:sz w:val="21"/>
                <w:szCs w:val="21"/>
              </w:rPr>
              <w:t>8.41</w:t>
            </w:r>
          </w:p>
        </w:tc>
        <w:tc>
          <w:tcPr>
            <w:tcW w:w="623" w:type="pct"/>
            <w:vAlign w:val="center"/>
          </w:tcPr>
          <w:p>
            <w:pPr>
              <w:pStyle w:val="99"/>
              <w:spacing w:line="240" w:lineRule="auto"/>
              <w:rPr>
                <w:sz w:val="21"/>
                <w:szCs w:val="21"/>
              </w:rPr>
            </w:pPr>
            <w:r>
              <w:rPr>
                <w:sz w:val="21"/>
                <w:szCs w:val="21"/>
              </w:rPr>
              <w:t>0.3</w:t>
            </w:r>
          </w:p>
        </w:tc>
        <w:tc>
          <w:tcPr>
            <w:tcW w:w="623" w:type="pct"/>
            <w:vAlign w:val="center"/>
          </w:tcPr>
          <w:p>
            <w:pPr>
              <w:pStyle w:val="99"/>
              <w:spacing w:line="240" w:lineRule="auto"/>
              <w:rPr>
                <w:sz w:val="21"/>
                <w:szCs w:val="21"/>
              </w:rPr>
            </w:pPr>
            <w:r>
              <w:rPr>
                <w:sz w:val="21"/>
                <w:szCs w:val="21"/>
              </w:rPr>
              <w:t>2.52</w:t>
            </w:r>
          </w:p>
        </w:tc>
        <w:tc>
          <w:tcPr>
            <w:tcW w:w="626" w:type="pct"/>
            <w:vAlign w:val="center"/>
          </w:tcPr>
          <w:p>
            <w:pPr>
              <w:pStyle w:val="99"/>
              <w:spacing w:line="240" w:lineRule="auto"/>
              <w:rPr>
                <w:sz w:val="21"/>
                <w:szCs w:val="21"/>
              </w:rPr>
            </w:pPr>
            <w:r>
              <w:rPr>
                <w:sz w:val="21"/>
                <w:szCs w:val="21"/>
              </w:rPr>
              <w:t>12.03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798" w:type="pct"/>
            <w:gridSpan w:val="2"/>
            <w:vAlign w:val="center"/>
          </w:tcPr>
          <w:p>
            <w:pPr>
              <w:pStyle w:val="99"/>
              <w:spacing w:line="240" w:lineRule="auto"/>
              <w:rPr>
                <w:b/>
                <w:bCs/>
                <w:sz w:val="21"/>
                <w:szCs w:val="21"/>
              </w:rPr>
            </w:pPr>
            <w:r>
              <w:rPr>
                <w:b/>
                <w:bCs/>
                <w:sz w:val="21"/>
                <w:szCs w:val="21"/>
              </w:rPr>
              <w:t>合计</w:t>
            </w:r>
          </w:p>
        </w:tc>
        <w:tc>
          <w:tcPr>
            <w:tcW w:w="703" w:type="pct"/>
            <w:vAlign w:val="center"/>
          </w:tcPr>
          <w:p>
            <w:pPr>
              <w:pStyle w:val="99"/>
              <w:spacing w:line="240" w:lineRule="auto"/>
              <w:rPr>
                <w:b/>
                <w:bCs/>
                <w:sz w:val="21"/>
                <w:szCs w:val="21"/>
              </w:rPr>
            </w:pPr>
            <w:r>
              <w:rPr>
                <w:b/>
                <w:bCs/>
                <w:sz w:val="21"/>
                <w:szCs w:val="21"/>
              </w:rPr>
              <w:t>163.68</w:t>
            </w:r>
          </w:p>
        </w:tc>
        <w:tc>
          <w:tcPr>
            <w:tcW w:w="623" w:type="pct"/>
            <w:vAlign w:val="center"/>
          </w:tcPr>
          <w:p>
            <w:pPr>
              <w:pStyle w:val="99"/>
              <w:spacing w:line="240" w:lineRule="auto"/>
              <w:rPr>
                <w:b/>
                <w:bCs/>
                <w:sz w:val="21"/>
                <w:szCs w:val="21"/>
              </w:rPr>
            </w:pPr>
            <w:r>
              <w:rPr>
                <w:b/>
                <w:bCs/>
                <w:sz w:val="21"/>
                <w:szCs w:val="21"/>
              </w:rPr>
              <w:t>25.65</w:t>
            </w:r>
          </w:p>
        </w:tc>
        <w:tc>
          <w:tcPr>
            <w:tcW w:w="623" w:type="pct"/>
            <w:vAlign w:val="center"/>
          </w:tcPr>
          <w:p>
            <w:pPr>
              <w:pStyle w:val="99"/>
              <w:spacing w:line="240" w:lineRule="auto"/>
              <w:rPr>
                <w:b/>
                <w:bCs/>
                <w:sz w:val="21"/>
                <w:szCs w:val="21"/>
              </w:rPr>
            </w:pPr>
          </w:p>
        </w:tc>
        <w:tc>
          <w:tcPr>
            <w:tcW w:w="623" w:type="pct"/>
            <w:vAlign w:val="center"/>
          </w:tcPr>
          <w:p>
            <w:pPr>
              <w:pStyle w:val="99"/>
              <w:spacing w:line="240" w:lineRule="auto"/>
              <w:rPr>
                <w:b/>
                <w:bCs/>
                <w:sz w:val="21"/>
                <w:szCs w:val="21"/>
              </w:rPr>
            </w:pPr>
            <w:r>
              <w:rPr>
                <w:b/>
                <w:bCs/>
                <w:sz w:val="21"/>
                <w:szCs w:val="21"/>
              </w:rPr>
              <w:t>8.37</w:t>
            </w:r>
          </w:p>
        </w:tc>
        <w:tc>
          <w:tcPr>
            <w:tcW w:w="626" w:type="pct"/>
            <w:vAlign w:val="center"/>
          </w:tcPr>
          <w:p>
            <w:pPr>
              <w:pStyle w:val="99"/>
              <w:spacing w:line="240" w:lineRule="auto"/>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000" w:type="pct"/>
            <w:gridSpan w:val="7"/>
            <w:vAlign w:val="center"/>
          </w:tcPr>
          <w:p>
            <w:pPr>
              <w:pStyle w:val="99"/>
              <w:spacing w:line="240" w:lineRule="auto"/>
              <w:rPr>
                <w:sz w:val="21"/>
                <w:szCs w:val="21"/>
              </w:rPr>
            </w:pPr>
            <w:r>
              <w:rPr>
                <w:sz w:val="21"/>
                <w:szCs w:val="21"/>
              </w:rPr>
              <w:t>根据上述调查数据，本报告按16%的绿化率考虑工业用地内</w:t>
            </w:r>
            <w:r>
              <w:rPr>
                <w:rFonts w:hint="eastAsia"/>
                <w:sz w:val="21"/>
                <w:szCs w:val="21"/>
              </w:rPr>
              <w:t>已建企业</w:t>
            </w:r>
            <w:r>
              <w:rPr>
                <w:sz w:val="21"/>
                <w:szCs w:val="21"/>
              </w:rPr>
              <w:t>可绿化覆土面积。</w:t>
            </w:r>
          </w:p>
        </w:tc>
      </w:tr>
    </w:tbl>
    <w:p>
      <w:pPr>
        <w:ind w:firstLine="480"/>
      </w:pP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63" w:hRule="atLeast"/>
        </w:trPr>
        <w:tc>
          <w:tcPr>
            <w:tcW w:w="9287" w:type="dxa"/>
          </w:tcPr>
          <w:p>
            <w:pPr>
              <w:spacing w:line="240" w:lineRule="auto"/>
              <w:ind w:firstLine="0" w:firstLineChars="0"/>
              <w:jc w:val="center"/>
              <w:rPr>
                <w:b/>
                <w:bCs/>
                <w:sz w:val="21"/>
                <w:szCs w:val="21"/>
              </w:rPr>
            </w:pPr>
            <w:r>
              <w:drawing>
                <wp:inline distT="0" distB="0" distL="114300" distR="114300">
                  <wp:extent cx="5753735" cy="3771265"/>
                  <wp:effectExtent l="0" t="0" r="18415" b="635"/>
                  <wp:docPr id="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1"/>
                          <pic:cNvPicPr>
                            <a:picLocks noChangeAspect="1"/>
                          </pic:cNvPicPr>
                        </pic:nvPicPr>
                        <pic:blipFill>
                          <a:blip r:embed="rId137"/>
                          <a:stretch>
                            <a:fillRect/>
                          </a:stretch>
                        </pic:blipFill>
                        <pic:spPr>
                          <a:xfrm>
                            <a:off x="0" y="0"/>
                            <a:ext cx="5753735" cy="377126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rPr>
              <w:t>图2.4-</w:t>
            </w:r>
            <w:r>
              <w:rPr>
                <w:rFonts w:hint="eastAsia"/>
                <w:b/>
                <w:bCs/>
              </w:rPr>
              <w:t>4</w:t>
            </w:r>
            <w:r>
              <w:rPr>
                <w:b/>
                <w:bCs/>
              </w:rPr>
              <w:t>可剥离表土区域分布图</w:t>
            </w:r>
          </w:p>
        </w:tc>
      </w:tr>
    </w:tbl>
    <w:p>
      <w:pPr>
        <w:pStyle w:val="7"/>
        <w:spacing w:beforeLines="50"/>
      </w:pPr>
      <w:r>
        <w:t>2.4.2.3表土平衡分析汇总</w:t>
      </w:r>
    </w:p>
    <w:p>
      <w:pPr>
        <w:ind w:firstLine="480"/>
        <w:sectPr>
          <w:pgSz w:w="11905" w:h="16838"/>
          <w:pgMar w:top="1417" w:right="1417" w:bottom="1417" w:left="1417" w:header="850" w:footer="992" w:gutter="0"/>
          <w:cols w:space="720" w:num="1"/>
          <w:docGrid w:linePitch="312" w:charSpace="0"/>
        </w:sectPr>
      </w:pPr>
      <w:r>
        <w:t>根据对园区表土保护情况的调查及园区近期建设区域可剥离表土的平衡分析结果，园区近期建设区域剥离表土总量为</w:t>
      </w:r>
      <w:r>
        <w:rPr>
          <w:rFonts w:hint="eastAsia"/>
        </w:rPr>
        <w:t>165.35</w:t>
      </w:r>
      <w:r>
        <w:t>万m</w:t>
      </w:r>
      <w:r>
        <w:rPr>
          <w:vertAlign w:val="superscript"/>
        </w:rPr>
        <w:t>3</w:t>
      </w:r>
      <w:r>
        <w:rPr>
          <w:rFonts w:hint="eastAsia"/>
        </w:rPr>
        <w:t>，可利用保护</w:t>
      </w:r>
      <w:r>
        <w:t>表土量为</w:t>
      </w:r>
      <w:r>
        <w:rPr>
          <w:rFonts w:hint="eastAsia"/>
        </w:rPr>
        <w:t>165.35</w:t>
      </w:r>
      <w:r>
        <w:t>万m</w:t>
      </w:r>
      <w:r>
        <w:rPr>
          <w:vertAlign w:val="superscript"/>
        </w:rPr>
        <w:t>3</w:t>
      </w:r>
      <w:r>
        <w:t>。园区表土剥离及回覆平衡分析详见表2.4-</w:t>
      </w:r>
      <w:r>
        <w:rPr>
          <w:rFonts w:hint="eastAsia"/>
        </w:rPr>
        <w:t>4</w:t>
      </w:r>
      <w:r>
        <w:t>。</w:t>
      </w:r>
    </w:p>
    <w:p>
      <w:pPr>
        <w:ind w:firstLine="0" w:firstLineChars="0"/>
        <w:jc w:val="center"/>
        <w:rPr>
          <w:b/>
          <w:bCs/>
        </w:rPr>
      </w:pPr>
      <w:r>
        <w:rPr>
          <w:b/>
          <w:bCs/>
        </w:rPr>
        <w:t>表2.4-</w:t>
      </w:r>
      <w:r>
        <w:rPr>
          <w:rFonts w:hint="eastAsia"/>
          <w:b/>
          <w:bCs/>
        </w:rPr>
        <w:t>4</w:t>
      </w:r>
      <w:r>
        <w:rPr>
          <w:b/>
          <w:bCs/>
        </w:rPr>
        <w:t>园区近期建设区域</w:t>
      </w:r>
      <w:r>
        <w:rPr>
          <w:rFonts w:hint="eastAsia"/>
          <w:b/>
          <w:bCs/>
        </w:rPr>
        <w:t>现状</w:t>
      </w:r>
      <w:r>
        <w:rPr>
          <w:b/>
          <w:bCs/>
        </w:rPr>
        <w:t>表土平衡分析表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928"/>
        <w:gridCol w:w="549"/>
        <w:gridCol w:w="509"/>
        <w:gridCol w:w="1828"/>
        <w:gridCol w:w="1188"/>
        <w:gridCol w:w="1262"/>
        <w:gridCol w:w="1413"/>
        <w:gridCol w:w="1450"/>
        <w:gridCol w:w="1350"/>
        <w:gridCol w:w="1222"/>
        <w:gridCol w:w="1305"/>
        <w:gridCol w:w="120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2" w:type="pct"/>
            <w:gridSpan w:val="4"/>
            <w:vAlign w:val="center"/>
          </w:tcPr>
          <w:p>
            <w:pPr>
              <w:tabs>
                <w:tab w:val="left" w:pos="1008"/>
              </w:tabs>
              <w:spacing w:line="260" w:lineRule="exact"/>
              <w:ind w:firstLine="0" w:firstLineChars="0"/>
              <w:jc w:val="center"/>
              <w:rPr>
                <w:b/>
                <w:bCs/>
                <w:sz w:val="21"/>
                <w:szCs w:val="21"/>
              </w:rPr>
            </w:pPr>
            <w:r>
              <w:rPr>
                <w:b/>
                <w:bCs/>
                <w:sz w:val="21"/>
                <w:szCs w:val="21"/>
              </w:rPr>
              <w:t>项目组成</w:t>
            </w:r>
          </w:p>
        </w:tc>
        <w:tc>
          <w:tcPr>
            <w:tcW w:w="418" w:type="pct"/>
            <w:vAlign w:val="center"/>
          </w:tcPr>
          <w:p>
            <w:pPr>
              <w:tabs>
                <w:tab w:val="left" w:pos="1008"/>
              </w:tabs>
              <w:spacing w:line="260" w:lineRule="exact"/>
              <w:ind w:firstLine="0" w:firstLineChars="0"/>
              <w:jc w:val="center"/>
              <w:rPr>
                <w:b/>
                <w:bCs/>
                <w:sz w:val="21"/>
                <w:szCs w:val="21"/>
              </w:rPr>
            </w:pPr>
            <w:r>
              <w:rPr>
                <w:b/>
                <w:bCs/>
                <w:sz w:val="21"/>
                <w:szCs w:val="21"/>
              </w:rPr>
              <w:t>占地类型</w:t>
            </w:r>
          </w:p>
        </w:tc>
        <w:tc>
          <w:tcPr>
            <w:tcW w:w="444" w:type="pct"/>
            <w:vAlign w:val="center"/>
          </w:tcPr>
          <w:p>
            <w:pPr>
              <w:tabs>
                <w:tab w:val="left" w:pos="1008"/>
              </w:tabs>
              <w:spacing w:line="260" w:lineRule="exact"/>
              <w:ind w:firstLine="0" w:firstLineChars="0"/>
              <w:jc w:val="center"/>
              <w:rPr>
                <w:b/>
                <w:bCs/>
                <w:sz w:val="21"/>
                <w:szCs w:val="21"/>
              </w:rPr>
            </w:pPr>
            <w:r>
              <w:rPr>
                <w:b/>
                <w:bCs/>
                <w:sz w:val="21"/>
                <w:szCs w:val="21"/>
              </w:rPr>
              <w:t>剥离面积（hm</w:t>
            </w:r>
            <w:r>
              <w:rPr>
                <w:b/>
                <w:bCs/>
                <w:sz w:val="21"/>
                <w:szCs w:val="21"/>
                <w:vertAlign w:val="superscript"/>
              </w:rPr>
              <w:t>2</w:t>
            </w:r>
            <w:r>
              <w:rPr>
                <w:b/>
                <w:bCs/>
                <w:sz w:val="21"/>
                <w:szCs w:val="21"/>
              </w:rPr>
              <w:t>）</w:t>
            </w:r>
          </w:p>
        </w:tc>
        <w:tc>
          <w:tcPr>
            <w:tcW w:w="497" w:type="pct"/>
            <w:vAlign w:val="center"/>
          </w:tcPr>
          <w:p>
            <w:pPr>
              <w:tabs>
                <w:tab w:val="left" w:pos="1008"/>
              </w:tabs>
              <w:spacing w:line="260" w:lineRule="exact"/>
              <w:ind w:firstLine="0" w:firstLineChars="0"/>
              <w:jc w:val="center"/>
              <w:rPr>
                <w:b/>
                <w:bCs/>
                <w:sz w:val="21"/>
                <w:szCs w:val="21"/>
              </w:rPr>
            </w:pPr>
            <w:r>
              <w:rPr>
                <w:b/>
                <w:bCs/>
                <w:sz w:val="21"/>
                <w:szCs w:val="21"/>
              </w:rPr>
              <w:t>剥离厚度（m）</w:t>
            </w:r>
          </w:p>
        </w:tc>
        <w:tc>
          <w:tcPr>
            <w:tcW w:w="510" w:type="pct"/>
            <w:vAlign w:val="center"/>
          </w:tcPr>
          <w:p>
            <w:pPr>
              <w:tabs>
                <w:tab w:val="left" w:pos="1008"/>
              </w:tabs>
              <w:spacing w:line="260" w:lineRule="exact"/>
              <w:ind w:firstLine="0" w:firstLineChars="0"/>
              <w:jc w:val="center"/>
              <w:rPr>
                <w:b/>
                <w:bCs/>
                <w:sz w:val="21"/>
                <w:szCs w:val="21"/>
              </w:rPr>
            </w:pPr>
            <w:r>
              <w:rPr>
                <w:b/>
                <w:bCs/>
                <w:sz w:val="21"/>
                <w:szCs w:val="21"/>
              </w:rPr>
              <w:t>剥离量</w:t>
            </w:r>
          </w:p>
          <w:p>
            <w:pPr>
              <w:tabs>
                <w:tab w:val="left" w:pos="1008"/>
              </w:tabs>
              <w:spacing w:line="260" w:lineRule="exact"/>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475" w:type="pct"/>
            <w:vAlign w:val="center"/>
          </w:tcPr>
          <w:p>
            <w:pPr>
              <w:tabs>
                <w:tab w:val="left" w:pos="1008"/>
              </w:tabs>
              <w:spacing w:line="260" w:lineRule="exact"/>
              <w:ind w:firstLine="0" w:firstLineChars="0"/>
              <w:jc w:val="center"/>
              <w:rPr>
                <w:b/>
                <w:bCs/>
                <w:sz w:val="21"/>
                <w:szCs w:val="21"/>
              </w:rPr>
            </w:pPr>
            <w:r>
              <w:rPr>
                <w:b/>
                <w:bCs/>
                <w:sz w:val="21"/>
                <w:szCs w:val="21"/>
              </w:rPr>
              <w:t>覆土面积（hm</w:t>
            </w:r>
            <w:r>
              <w:rPr>
                <w:b/>
                <w:bCs/>
                <w:sz w:val="21"/>
                <w:szCs w:val="21"/>
                <w:vertAlign w:val="superscript"/>
              </w:rPr>
              <w:t>2</w:t>
            </w:r>
            <w:r>
              <w:rPr>
                <w:b/>
                <w:bCs/>
                <w:sz w:val="21"/>
                <w:szCs w:val="21"/>
              </w:rPr>
              <w:t>）</w:t>
            </w:r>
          </w:p>
        </w:tc>
        <w:tc>
          <w:tcPr>
            <w:tcW w:w="430" w:type="pct"/>
            <w:vAlign w:val="center"/>
          </w:tcPr>
          <w:p>
            <w:pPr>
              <w:tabs>
                <w:tab w:val="left" w:pos="1008"/>
              </w:tabs>
              <w:spacing w:line="260" w:lineRule="exact"/>
              <w:ind w:firstLine="0" w:firstLineChars="0"/>
              <w:jc w:val="center"/>
              <w:rPr>
                <w:b/>
                <w:bCs/>
                <w:sz w:val="21"/>
                <w:szCs w:val="21"/>
              </w:rPr>
            </w:pPr>
            <w:r>
              <w:rPr>
                <w:b/>
                <w:bCs/>
                <w:sz w:val="21"/>
                <w:szCs w:val="21"/>
              </w:rPr>
              <w:t>覆土厚度（m）</w:t>
            </w:r>
          </w:p>
        </w:tc>
        <w:tc>
          <w:tcPr>
            <w:tcW w:w="459" w:type="pct"/>
            <w:vAlign w:val="center"/>
          </w:tcPr>
          <w:p>
            <w:pPr>
              <w:tabs>
                <w:tab w:val="left" w:pos="1008"/>
              </w:tabs>
              <w:spacing w:line="260" w:lineRule="exact"/>
              <w:ind w:firstLine="0" w:firstLineChars="0"/>
              <w:jc w:val="center"/>
              <w:rPr>
                <w:b/>
                <w:bCs/>
                <w:sz w:val="21"/>
                <w:szCs w:val="21"/>
              </w:rPr>
            </w:pPr>
            <w:r>
              <w:rPr>
                <w:b/>
                <w:bCs/>
                <w:sz w:val="21"/>
                <w:szCs w:val="21"/>
              </w:rPr>
              <w:t>覆土量</w:t>
            </w:r>
          </w:p>
          <w:p>
            <w:pPr>
              <w:tabs>
                <w:tab w:val="left" w:pos="1008"/>
              </w:tabs>
              <w:spacing w:line="260" w:lineRule="exact"/>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424" w:type="pct"/>
            <w:vAlign w:val="center"/>
          </w:tcPr>
          <w:p>
            <w:pPr>
              <w:tabs>
                <w:tab w:val="left" w:pos="1008"/>
              </w:tabs>
              <w:spacing w:line="260" w:lineRule="exact"/>
              <w:ind w:firstLine="0" w:firstLineChars="0"/>
              <w:jc w:val="center"/>
              <w:rPr>
                <w:b/>
                <w:bCs/>
                <w:sz w:val="21"/>
                <w:szCs w:val="21"/>
              </w:rPr>
            </w:pPr>
            <w:r>
              <w:rPr>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27" w:type="pct"/>
            <w:vMerge w:val="restart"/>
            <w:vAlign w:val="center"/>
          </w:tcPr>
          <w:p>
            <w:pPr>
              <w:spacing w:line="260" w:lineRule="exact"/>
              <w:ind w:firstLine="0" w:firstLineChars="0"/>
              <w:jc w:val="center"/>
              <w:rPr>
                <w:sz w:val="21"/>
                <w:szCs w:val="21"/>
              </w:rPr>
            </w:pPr>
            <w:r>
              <w:rPr>
                <w:sz w:val="21"/>
                <w:szCs w:val="21"/>
              </w:rPr>
              <w:t>园区</w:t>
            </w:r>
            <w:r>
              <w:t>近期建设区域</w:t>
            </w:r>
            <w:r>
              <w:rPr>
                <w:sz w:val="21"/>
                <w:szCs w:val="21"/>
              </w:rPr>
              <w:t>可剥离表土平衡分析</w:t>
            </w:r>
          </w:p>
        </w:tc>
        <w:tc>
          <w:tcPr>
            <w:tcW w:w="193" w:type="pct"/>
            <w:vMerge w:val="restart"/>
            <w:tcBorders>
              <w:right w:val="single" w:color="auto" w:sz="4" w:space="0"/>
            </w:tcBorders>
            <w:vAlign w:val="center"/>
          </w:tcPr>
          <w:p>
            <w:pPr>
              <w:spacing w:line="260" w:lineRule="exact"/>
              <w:ind w:firstLine="0" w:firstLineChars="0"/>
              <w:jc w:val="center"/>
              <w:rPr>
                <w:sz w:val="21"/>
                <w:szCs w:val="21"/>
              </w:rPr>
            </w:pPr>
            <w:r>
              <w:rPr>
                <w:sz w:val="21"/>
                <w:szCs w:val="21"/>
              </w:rPr>
              <w:t>近期建设期</w:t>
            </w:r>
          </w:p>
        </w:tc>
        <w:tc>
          <w:tcPr>
            <w:tcW w:w="179" w:type="pct"/>
            <w:vMerge w:val="restart"/>
            <w:tcBorders>
              <w:left w:val="single" w:color="auto" w:sz="4" w:space="0"/>
            </w:tcBorders>
            <w:vAlign w:val="center"/>
          </w:tcPr>
          <w:p>
            <w:pPr>
              <w:spacing w:line="260" w:lineRule="exact"/>
              <w:ind w:firstLine="0" w:firstLineChars="0"/>
              <w:jc w:val="center"/>
              <w:rPr>
                <w:sz w:val="21"/>
                <w:szCs w:val="21"/>
              </w:rPr>
            </w:pPr>
            <w:r>
              <w:rPr>
                <w:sz w:val="21"/>
                <w:szCs w:val="21"/>
              </w:rPr>
              <w:t>未建</w:t>
            </w:r>
          </w:p>
        </w:tc>
        <w:tc>
          <w:tcPr>
            <w:tcW w:w="642" w:type="pct"/>
            <w:vMerge w:val="restart"/>
            <w:vAlign w:val="center"/>
          </w:tcPr>
          <w:p>
            <w:pPr>
              <w:pStyle w:val="53"/>
              <w:spacing w:line="260" w:lineRule="exact"/>
              <w:jc w:val="center"/>
              <w:rPr>
                <w:rFonts w:eastAsia="仿宋_GB2312"/>
              </w:rPr>
            </w:pPr>
            <w:r>
              <w:rPr>
                <w:rFonts w:eastAsia="仿宋_GB2312"/>
              </w:rPr>
              <w:t>工业用地</w:t>
            </w:r>
          </w:p>
        </w:tc>
        <w:tc>
          <w:tcPr>
            <w:tcW w:w="418" w:type="pct"/>
            <w:vAlign w:val="center"/>
          </w:tcPr>
          <w:p>
            <w:pPr>
              <w:pStyle w:val="99"/>
              <w:spacing w:line="260" w:lineRule="exact"/>
              <w:jc w:val="center"/>
              <w:rPr>
                <w:sz w:val="21"/>
                <w:szCs w:val="21"/>
              </w:rPr>
            </w:pPr>
            <w:r>
              <w:rPr>
                <w:sz w:val="21"/>
                <w:szCs w:val="21"/>
              </w:rPr>
              <w:t>耕地</w:t>
            </w:r>
          </w:p>
        </w:tc>
        <w:tc>
          <w:tcPr>
            <w:tcW w:w="444" w:type="pct"/>
            <w:vAlign w:val="center"/>
          </w:tcPr>
          <w:p>
            <w:pPr>
              <w:tabs>
                <w:tab w:val="left" w:pos="1050"/>
              </w:tabs>
              <w:spacing w:line="260" w:lineRule="exact"/>
              <w:ind w:firstLine="0" w:firstLineChars="0"/>
              <w:jc w:val="center"/>
              <w:rPr>
                <w:sz w:val="21"/>
                <w:szCs w:val="21"/>
              </w:rPr>
            </w:pPr>
            <w:r>
              <w:rPr>
                <w:sz w:val="21"/>
                <w:szCs w:val="21"/>
              </w:rPr>
              <w:t>92.41</w:t>
            </w:r>
          </w:p>
        </w:tc>
        <w:tc>
          <w:tcPr>
            <w:tcW w:w="497" w:type="pct"/>
            <w:vAlign w:val="center"/>
          </w:tcPr>
          <w:p>
            <w:pPr>
              <w:tabs>
                <w:tab w:val="left" w:pos="1008"/>
              </w:tabs>
              <w:spacing w:line="260" w:lineRule="exact"/>
              <w:ind w:firstLine="0" w:firstLineChars="0"/>
              <w:jc w:val="center"/>
              <w:rPr>
                <w:sz w:val="21"/>
                <w:szCs w:val="21"/>
              </w:rPr>
            </w:pPr>
            <w:r>
              <w:rPr>
                <w:sz w:val="21"/>
                <w:szCs w:val="21"/>
              </w:rPr>
              <w:t>0.40</w:t>
            </w:r>
          </w:p>
        </w:tc>
        <w:tc>
          <w:tcPr>
            <w:tcW w:w="510" w:type="pct"/>
            <w:vAlign w:val="center"/>
          </w:tcPr>
          <w:p>
            <w:pPr>
              <w:tabs>
                <w:tab w:val="left" w:pos="1050"/>
              </w:tabs>
              <w:spacing w:line="260" w:lineRule="exact"/>
              <w:ind w:firstLine="0" w:firstLineChars="0"/>
              <w:jc w:val="center"/>
              <w:rPr>
                <w:sz w:val="21"/>
                <w:szCs w:val="21"/>
              </w:rPr>
            </w:pPr>
            <w:r>
              <w:rPr>
                <w:sz w:val="21"/>
                <w:szCs w:val="21"/>
              </w:rPr>
              <w:t>36.96</w:t>
            </w:r>
          </w:p>
        </w:tc>
        <w:tc>
          <w:tcPr>
            <w:tcW w:w="475" w:type="pct"/>
            <w:vMerge w:val="restart"/>
            <w:vAlign w:val="center"/>
          </w:tcPr>
          <w:p>
            <w:pPr>
              <w:tabs>
                <w:tab w:val="left" w:pos="1008"/>
              </w:tabs>
              <w:spacing w:line="260" w:lineRule="exact"/>
              <w:ind w:firstLine="0" w:firstLineChars="0"/>
              <w:jc w:val="center"/>
              <w:rPr>
                <w:sz w:val="21"/>
                <w:szCs w:val="21"/>
              </w:rPr>
            </w:pPr>
            <w:r>
              <w:rPr>
                <w:sz w:val="21"/>
                <w:szCs w:val="21"/>
              </w:rPr>
              <w:t>69.59</w:t>
            </w:r>
          </w:p>
        </w:tc>
        <w:tc>
          <w:tcPr>
            <w:tcW w:w="430" w:type="pct"/>
            <w:vMerge w:val="restart"/>
            <w:vAlign w:val="center"/>
          </w:tcPr>
          <w:p>
            <w:pPr>
              <w:tabs>
                <w:tab w:val="left" w:pos="1008"/>
              </w:tabs>
              <w:spacing w:line="260" w:lineRule="exact"/>
              <w:ind w:firstLine="0" w:firstLineChars="0"/>
              <w:jc w:val="center"/>
              <w:rPr>
                <w:sz w:val="21"/>
                <w:szCs w:val="21"/>
              </w:rPr>
            </w:pPr>
            <w:r>
              <w:rPr>
                <w:sz w:val="21"/>
                <w:szCs w:val="21"/>
              </w:rPr>
              <w:t>0.30~1.20</w:t>
            </w:r>
          </w:p>
        </w:tc>
        <w:tc>
          <w:tcPr>
            <w:tcW w:w="459" w:type="pct"/>
            <w:vMerge w:val="restart"/>
            <w:vAlign w:val="center"/>
          </w:tcPr>
          <w:p>
            <w:pPr>
              <w:tabs>
                <w:tab w:val="left" w:pos="1008"/>
              </w:tabs>
              <w:spacing w:line="260" w:lineRule="exact"/>
              <w:ind w:firstLine="0" w:firstLineChars="0"/>
              <w:jc w:val="center"/>
              <w:rPr>
                <w:sz w:val="21"/>
                <w:szCs w:val="21"/>
              </w:rPr>
            </w:pPr>
            <w:r>
              <w:rPr>
                <w:rFonts w:hint="eastAsia"/>
                <w:sz w:val="21"/>
                <w:szCs w:val="21"/>
              </w:rPr>
              <w:t>48.71</w:t>
            </w:r>
          </w:p>
        </w:tc>
        <w:tc>
          <w:tcPr>
            <w:tcW w:w="424" w:type="pct"/>
            <w:vMerge w:val="restart"/>
            <w:vAlign w:val="center"/>
          </w:tcPr>
          <w:p>
            <w:pPr>
              <w:tabs>
                <w:tab w:val="left" w:pos="1008"/>
              </w:tabs>
              <w:spacing w:line="260" w:lineRule="exact"/>
              <w:ind w:firstLine="0" w:firstLineChars="0"/>
              <w:jc w:val="center"/>
              <w:rPr>
                <w:sz w:val="21"/>
                <w:szCs w:val="21"/>
              </w:rPr>
            </w:pPr>
            <w:r>
              <w:rPr>
                <w:sz w:val="21"/>
                <w:szCs w:val="21"/>
              </w:rPr>
              <w:t>表土回覆前全部就近堆放至近期建设区内设置的表土中转场内。</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园地</w:t>
            </w:r>
          </w:p>
        </w:tc>
        <w:tc>
          <w:tcPr>
            <w:tcW w:w="444" w:type="pct"/>
            <w:vAlign w:val="center"/>
          </w:tcPr>
          <w:p>
            <w:pPr>
              <w:tabs>
                <w:tab w:val="left" w:pos="1050"/>
              </w:tabs>
              <w:spacing w:line="260" w:lineRule="exact"/>
              <w:ind w:firstLine="0" w:firstLineChars="0"/>
              <w:jc w:val="center"/>
              <w:rPr>
                <w:sz w:val="21"/>
                <w:szCs w:val="21"/>
              </w:rPr>
            </w:pPr>
            <w:r>
              <w:rPr>
                <w:sz w:val="21"/>
                <w:szCs w:val="21"/>
              </w:rPr>
              <w:t>27.44</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5.49</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林地</w:t>
            </w:r>
          </w:p>
        </w:tc>
        <w:tc>
          <w:tcPr>
            <w:tcW w:w="444" w:type="pct"/>
            <w:vAlign w:val="center"/>
          </w:tcPr>
          <w:p>
            <w:pPr>
              <w:tabs>
                <w:tab w:val="left" w:pos="1050"/>
              </w:tabs>
              <w:spacing w:line="260" w:lineRule="exact"/>
              <w:ind w:firstLine="0" w:firstLineChars="0"/>
              <w:jc w:val="center"/>
              <w:rPr>
                <w:sz w:val="21"/>
                <w:szCs w:val="21"/>
              </w:rPr>
            </w:pPr>
            <w:r>
              <w:rPr>
                <w:sz w:val="21"/>
                <w:szCs w:val="21"/>
              </w:rPr>
              <w:t>98.11</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19.62</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4"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草地</w:t>
            </w:r>
          </w:p>
        </w:tc>
        <w:tc>
          <w:tcPr>
            <w:tcW w:w="444" w:type="pct"/>
            <w:vAlign w:val="center"/>
          </w:tcPr>
          <w:p>
            <w:pPr>
              <w:pStyle w:val="99"/>
              <w:spacing w:line="260" w:lineRule="exact"/>
              <w:jc w:val="center"/>
              <w:rPr>
                <w:sz w:val="21"/>
                <w:szCs w:val="21"/>
              </w:rPr>
            </w:pPr>
            <w:r>
              <w:rPr>
                <w:sz w:val="21"/>
                <w:szCs w:val="21"/>
              </w:rPr>
              <w:t>0.22</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0.04</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2"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restart"/>
            <w:vAlign w:val="center"/>
          </w:tcPr>
          <w:p>
            <w:pPr>
              <w:pStyle w:val="53"/>
              <w:spacing w:line="260" w:lineRule="exact"/>
              <w:jc w:val="center"/>
              <w:rPr>
                <w:rFonts w:eastAsia="仿宋_GB2312"/>
              </w:rPr>
            </w:pPr>
            <w:r>
              <w:rPr>
                <w:rFonts w:eastAsia="仿宋_GB2312"/>
              </w:rPr>
              <w:t>道路与交通设施用地</w:t>
            </w:r>
          </w:p>
        </w:tc>
        <w:tc>
          <w:tcPr>
            <w:tcW w:w="418" w:type="pct"/>
            <w:vAlign w:val="center"/>
          </w:tcPr>
          <w:p>
            <w:pPr>
              <w:pStyle w:val="99"/>
              <w:spacing w:line="260" w:lineRule="exact"/>
              <w:jc w:val="center"/>
              <w:rPr>
                <w:sz w:val="21"/>
                <w:szCs w:val="21"/>
              </w:rPr>
            </w:pPr>
            <w:r>
              <w:rPr>
                <w:sz w:val="21"/>
                <w:szCs w:val="21"/>
              </w:rPr>
              <w:t>耕地</w:t>
            </w:r>
          </w:p>
        </w:tc>
        <w:tc>
          <w:tcPr>
            <w:tcW w:w="444" w:type="pct"/>
            <w:vAlign w:val="center"/>
          </w:tcPr>
          <w:p>
            <w:pPr>
              <w:pStyle w:val="99"/>
              <w:spacing w:line="260" w:lineRule="exact"/>
              <w:jc w:val="center"/>
              <w:rPr>
                <w:sz w:val="21"/>
                <w:szCs w:val="21"/>
              </w:rPr>
            </w:pPr>
            <w:r>
              <w:rPr>
                <w:sz w:val="21"/>
                <w:szCs w:val="21"/>
              </w:rPr>
              <w:t>12.63</w:t>
            </w:r>
          </w:p>
        </w:tc>
        <w:tc>
          <w:tcPr>
            <w:tcW w:w="497" w:type="pct"/>
            <w:vAlign w:val="center"/>
          </w:tcPr>
          <w:p>
            <w:pPr>
              <w:tabs>
                <w:tab w:val="left" w:pos="1008"/>
              </w:tabs>
              <w:spacing w:line="260" w:lineRule="exact"/>
              <w:ind w:firstLine="0" w:firstLineChars="0"/>
              <w:jc w:val="center"/>
              <w:rPr>
                <w:sz w:val="21"/>
                <w:szCs w:val="21"/>
              </w:rPr>
            </w:pPr>
            <w:r>
              <w:rPr>
                <w:sz w:val="21"/>
                <w:szCs w:val="21"/>
              </w:rPr>
              <w:t>0.40</w:t>
            </w:r>
          </w:p>
        </w:tc>
        <w:tc>
          <w:tcPr>
            <w:tcW w:w="510" w:type="pct"/>
            <w:vAlign w:val="center"/>
          </w:tcPr>
          <w:p>
            <w:pPr>
              <w:tabs>
                <w:tab w:val="left" w:pos="1050"/>
              </w:tabs>
              <w:spacing w:line="260" w:lineRule="exact"/>
              <w:ind w:firstLine="0" w:firstLineChars="0"/>
              <w:jc w:val="center"/>
              <w:rPr>
                <w:sz w:val="21"/>
                <w:szCs w:val="21"/>
              </w:rPr>
            </w:pPr>
            <w:r>
              <w:rPr>
                <w:sz w:val="21"/>
                <w:szCs w:val="21"/>
              </w:rPr>
              <w:t>5.05</w:t>
            </w:r>
          </w:p>
        </w:tc>
        <w:tc>
          <w:tcPr>
            <w:tcW w:w="475" w:type="pct"/>
            <w:vMerge w:val="restart"/>
            <w:vAlign w:val="center"/>
          </w:tcPr>
          <w:p>
            <w:pPr>
              <w:tabs>
                <w:tab w:val="left" w:pos="1008"/>
              </w:tabs>
              <w:spacing w:line="260" w:lineRule="exact"/>
              <w:ind w:firstLine="0" w:firstLineChars="0"/>
              <w:jc w:val="center"/>
              <w:rPr>
                <w:sz w:val="21"/>
                <w:szCs w:val="21"/>
              </w:rPr>
            </w:pPr>
            <w:r>
              <w:rPr>
                <w:sz w:val="21"/>
                <w:szCs w:val="21"/>
              </w:rPr>
              <w:t>4.81</w:t>
            </w:r>
          </w:p>
        </w:tc>
        <w:tc>
          <w:tcPr>
            <w:tcW w:w="430" w:type="pct"/>
            <w:vMerge w:val="restart"/>
            <w:vAlign w:val="center"/>
          </w:tcPr>
          <w:p>
            <w:pPr>
              <w:tabs>
                <w:tab w:val="left" w:pos="1008"/>
              </w:tabs>
              <w:spacing w:line="260" w:lineRule="exact"/>
              <w:ind w:firstLine="0" w:firstLineChars="0"/>
              <w:jc w:val="center"/>
              <w:rPr>
                <w:sz w:val="21"/>
                <w:szCs w:val="21"/>
              </w:rPr>
            </w:pPr>
            <w:r>
              <w:rPr>
                <w:sz w:val="21"/>
                <w:szCs w:val="21"/>
              </w:rPr>
              <w:t>0.30~1.20</w:t>
            </w:r>
          </w:p>
        </w:tc>
        <w:tc>
          <w:tcPr>
            <w:tcW w:w="459" w:type="pct"/>
            <w:vMerge w:val="restart"/>
            <w:vAlign w:val="center"/>
          </w:tcPr>
          <w:p>
            <w:pPr>
              <w:tabs>
                <w:tab w:val="left" w:pos="1008"/>
              </w:tabs>
              <w:spacing w:line="260" w:lineRule="exact"/>
              <w:ind w:firstLine="0" w:firstLineChars="0"/>
              <w:jc w:val="center"/>
              <w:rPr>
                <w:sz w:val="21"/>
                <w:szCs w:val="21"/>
              </w:rPr>
            </w:pPr>
            <w:r>
              <w:rPr>
                <w:sz w:val="21"/>
                <w:szCs w:val="21"/>
              </w:rPr>
              <w:t>5.77</w:t>
            </w: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7"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园地</w:t>
            </w:r>
          </w:p>
        </w:tc>
        <w:tc>
          <w:tcPr>
            <w:tcW w:w="444" w:type="pct"/>
            <w:vAlign w:val="center"/>
          </w:tcPr>
          <w:p>
            <w:pPr>
              <w:pStyle w:val="99"/>
              <w:spacing w:line="260" w:lineRule="exact"/>
              <w:jc w:val="center"/>
              <w:rPr>
                <w:sz w:val="21"/>
                <w:szCs w:val="21"/>
              </w:rPr>
            </w:pPr>
            <w:r>
              <w:rPr>
                <w:sz w:val="21"/>
                <w:szCs w:val="21"/>
              </w:rPr>
              <w:t>1.37</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0.27</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6"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林地</w:t>
            </w:r>
          </w:p>
        </w:tc>
        <w:tc>
          <w:tcPr>
            <w:tcW w:w="444" w:type="pct"/>
            <w:vAlign w:val="center"/>
          </w:tcPr>
          <w:p>
            <w:pPr>
              <w:pStyle w:val="99"/>
              <w:spacing w:line="260" w:lineRule="exact"/>
              <w:jc w:val="center"/>
              <w:rPr>
                <w:sz w:val="21"/>
                <w:szCs w:val="21"/>
              </w:rPr>
            </w:pPr>
            <w:r>
              <w:rPr>
                <w:sz w:val="21"/>
                <w:szCs w:val="21"/>
              </w:rPr>
              <w:t>8.59</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1.72</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restart"/>
            <w:vAlign w:val="center"/>
          </w:tcPr>
          <w:p>
            <w:pPr>
              <w:pStyle w:val="53"/>
              <w:spacing w:line="260" w:lineRule="exact"/>
              <w:jc w:val="center"/>
              <w:rPr>
                <w:rFonts w:eastAsia="仿宋_GB2312"/>
              </w:rPr>
            </w:pPr>
            <w:r>
              <w:rPr>
                <w:rFonts w:eastAsia="仿宋_GB2312"/>
              </w:rPr>
              <w:t>公用设施用地</w:t>
            </w:r>
          </w:p>
        </w:tc>
        <w:tc>
          <w:tcPr>
            <w:tcW w:w="418" w:type="pct"/>
            <w:vAlign w:val="center"/>
          </w:tcPr>
          <w:p>
            <w:pPr>
              <w:pStyle w:val="99"/>
              <w:spacing w:line="260" w:lineRule="exact"/>
              <w:jc w:val="center"/>
              <w:rPr>
                <w:sz w:val="21"/>
                <w:szCs w:val="21"/>
              </w:rPr>
            </w:pPr>
            <w:r>
              <w:rPr>
                <w:sz w:val="21"/>
                <w:szCs w:val="21"/>
              </w:rPr>
              <w:t>耕地</w:t>
            </w:r>
          </w:p>
        </w:tc>
        <w:tc>
          <w:tcPr>
            <w:tcW w:w="444" w:type="pct"/>
            <w:vAlign w:val="center"/>
          </w:tcPr>
          <w:p>
            <w:pPr>
              <w:pStyle w:val="99"/>
              <w:spacing w:line="260" w:lineRule="exact"/>
              <w:jc w:val="center"/>
              <w:rPr>
                <w:kern w:val="0"/>
                <w:sz w:val="21"/>
                <w:szCs w:val="21"/>
              </w:rPr>
            </w:pPr>
            <w:r>
              <w:rPr>
                <w:sz w:val="21"/>
                <w:szCs w:val="21"/>
              </w:rPr>
              <w:t>10.54</w:t>
            </w:r>
          </w:p>
        </w:tc>
        <w:tc>
          <w:tcPr>
            <w:tcW w:w="497" w:type="pct"/>
            <w:vAlign w:val="center"/>
          </w:tcPr>
          <w:p>
            <w:pPr>
              <w:tabs>
                <w:tab w:val="left" w:pos="1008"/>
              </w:tabs>
              <w:spacing w:line="260" w:lineRule="exact"/>
              <w:ind w:firstLine="0" w:firstLineChars="0"/>
              <w:jc w:val="center"/>
              <w:rPr>
                <w:sz w:val="21"/>
                <w:szCs w:val="21"/>
              </w:rPr>
            </w:pPr>
            <w:r>
              <w:rPr>
                <w:sz w:val="21"/>
                <w:szCs w:val="21"/>
              </w:rPr>
              <w:t>0.40</w:t>
            </w:r>
          </w:p>
        </w:tc>
        <w:tc>
          <w:tcPr>
            <w:tcW w:w="510" w:type="pct"/>
            <w:vAlign w:val="center"/>
          </w:tcPr>
          <w:p>
            <w:pPr>
              <w:tabs>
                <w:tab w:val="left" w:pos="1050"/>
              </w:tabs>
              <w:spacing w:line="260" w:lineRule="exact"/>
              <w:ind w:firstLine="0" w:firstLineChars="0"/>
              <w:jc w:val="center"/>
              <w:rPr>
                <w:sz w:val="21"/>
                <w:szCs w:val="21"/>
              </w:rPr>
            </w:pPr>
            <w:r>
              <w:rPr>
                <w:sz w:val="21"/>
                <w:szCs w:val="21"/>
              </w:rPr>
              <w:t>4.22</w:t>
            </w:r>
          </w:p>
        </w:tc>
        <w:tc>
          <w:tcPr>
            <w:tcW w:w="475" w:type="pct"/>
            <w:vMerge w:val="restart"/>
            <w:vAlign w:val="center"/>
          </w:tcPr>
          <w:p>
            <w:pPr>
              <w:tabs>
                <w:tab w:val="left" w:pos="1008"/>
              </w:tabs>
              <w:spacing w:line="260" w:lineRule="exact"/>
              <w:ind w:firstLine="0" w:firstLineChars="0"/>
              <w:jc w:val="center"/>
              <w:rPr>
                <w:sz w:val="21"/>
                <w:szCs w:val="21"/>
              </w:rPr>
            </w:pPr>
            <w:r>
              <w:rPr>
                <w:sz w:val="21"/>
                <w:szCs w:val="21"/>
              </w:rPr>
              <w:t>4.89</w:t>
            </w:r>
          </w:p>
        </w:tc>
        <w:tc>
          <w:tcPr>
            <w:tcW w:w="430" w:type="pct"/>
            <w:vMerge w:val="restart"/>
            <w:vAlign w:val="center"/>
          </w:tcPr>
          <w:p>
            <w:pPr>
              <w:tabs>
                <w:tab w:val="left" w:pos="1008"/>
              </w:tabs>
              <w:spacing w:line="260" w:lineRule="exact"/>
              <w:ind w:firstLine="0" w:firstLineChars="0"/>
              <w:jc w:val="center"/>
              <w:rPr>
                <w:sz w:val="21"/>
                <w:szCs w:val="21"/>
              </w:rPr>
            </w:pPr>
            <w:r>
              <w:rPr>
                <w:sz w:val="21"/>
                <w:szCs w:val="21"/>
              </w:rPr>
              <w:t>0.30~1.20</w:t>
            </w:r>
          </w:p>
        </w:tc>
        <w:tc>
          <w:tcPr>
            <w:tcW w:w="459" w:type="pct"/>
            <w:vMerge w:val="restart"/>
            <w:vAlign w:val="center"/>
          </w:tcPr>
          <w:p>
            <w:pPr>
              <w:tabs>
                <w:tab w:val="left" w:pos="1008"/>
              </w:tabs>
              <w:spacing w:line="260" w:lineRule="exact"/>
              <w:ind w:firstLine="0" w:firstLineChars="0"/>
              <w:jc w:val="center"/>
              <w:rPr>
                <w:sz w:val="21"/>
                <w:szCs w:val="21"/>
              </w:rPr>
            </w:pPr>
            <w:r>
              <w:rPr>
                <w:sz w:val="21"/>
                <w:szCs w:val="21"/>
              </w:rPr>
              <w:t>1.47</w:t>
            </w: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9"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园地</w:t>
            </w:r>
          </w:p>
        </w:tc>
        <w:tc>
          <w:tcPr>
            <w:tcW w:w="444" w:type="pct"/>
            <w:vAlign w:val="center"/>
          </w:tcPr>
          <w:p>
            <w:pPr>
              <w:pStyle w:val="99"/>
              <w:spacing w:line="260" w:lineRule="exact"/>
              <w:jc w:val="center"/>
              <w:rPr>
                <w:kern w:val="0"/>
                <w:sz w:val="21"/>
                <w:szCs w:val="21"/>
              </w:rPr>
            </w:pPr>
            <w:r>
              <w:rPr>
                <w:kern w:val="0"/>
                <w:sz w:val="21"/>
                <w:szCs w:val="21"/>
              </w:rPr>
              <w:t>1.35</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0.27</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林地</w:t>
            </w:r>
          </w:p>
        </w:tc>
        <w:tc>
          <w:tcPr>
            <w:tcW w:w="444" w:type="pct"/>
            <w:vAlign w:val="center"/>
          </w:tcPr>
          <w:p>
            <w:pPr>
              <w:pStyle w:val="99"/>
              <w:spacing w:line="260" w:lineRule="exact"/>
              <w:jc w:val="center"/>
              <w:rPr>
                <w:kern w:val="0"/>
                <w:sz w:val="21"/>
                <w:szCs w:val="21"/>
              </w:rPr>
            </w:pPr>
            <w:r>
              <w:rPr>
                <w:kern w:val="0"/>
                <w:sz w:val="21"/>
                <w:szCs w:val="21"/>
              </w:rPr>
              <w:t>7.04</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1.41</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2"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restart"/>
            <w:vAlign w:val="center"/>
          </w:tcPr>
          <w:p>
            <w:pPr>
              <w:pStyle w:val="53"/>
              <w:spacing w:line="260" w:lineRule="exact"/>
              <w:jc w:val="center"/>
              <w:rPr>
                <w:rFonts w:eastAsia="仿宋_GB2312"/>
              </w:rPr>
            </w:pPr>
            <w:r>
              <w:rPr>
                <w:rFonts w:eastAsia="仿宋_GB2312"/>
              </w:rPr>
              <w:t>绿地与广场用地</w:t>
            </w:r>
          </w:p>
        </w:tc>
        <w:tc>
          <w:tcPr>
            <w:tcW w:w="418" w:type="pct"/>
            <w:vAlign w:val="center"/>
          </w:tcPr>
          <w:p>
            <w:pPr>
              <w:pStyle w:val="99"/>
              <w:spacing w:line="260" w:lineRule="exact"/>
              <w:jc w:val="center"/>
              <w:rPr>
                <w:sz w:val="21"/>
                <w:szCs w:val="21"/>
              </w:rPr>
            </w:pPr>
            <w:r>
              <w:rPr>
                <w:sz w:val="21"/>
                <w:szCs w:val="21"/>
              </w:rPr>
              <w:t>耕地</w:t>
            </w:r>
          </w:p>
        </w:tc>
        <w:tc>
          <w:tcPr>
            <w:tcW w:w="444" w:type="pct"/>
            <w:vAlign w:val="center"/>
          </w:tcPr>
          <w:p>
            <w:pPr>
              <w:pStyle w:val="99"/>
              <w:spacing w:line="260" w:lineRule="exact"/>
              <w:jc w:val="center"/>
              <w:rPr>
                <w:kern w:val="0"/>
                <w:sz w:val="21"/>
                <w:szCs w:val="21"/>
              </w:rPr>
            </w:pPr>
            <w:r>
              <w:rPr>
                <w:kern w:val="0"/>
                <w:sz w:val="21"/>
                <w:szCs w:val="21"/>
              </w:rPr>
              <w:t>10.72</w:t>
            </w:r>
          </w:p>
        </w:tc>
        <w:tc>
          <w:tcPr>
            <w:tcW w:w="497" w:type="pct"/>
            <w:vAlign w:val="center"/>
          </w:tcPr>
          <w:p>
            <w:pPr>
              <w:tabs>
                <w:tab w:val="left" w:pos="1008"/>
              </w:tabs>
              <w:spacing w:line="260" w:lineRule="exact"/>
              <w:ind w:firstLine="0" w:firstLineChars="0"/>
              <w:jc w:val="center"/>
              <w:rPr>
                <w:sz w:val="21"/>
                <w:szCs w:val="21"/>
              </w:rPr>
            </w:pPr>
            <w:r>
              <w:rPr>
                <w:sz w:val="21"/>
                <w:szCs w:val="21"/>
              </w:rPr>
              <w:t>0.40</w:t>
            </w:r>
          </w:p>
        </w:tc>
        <w:tc>
          <w:tcPr>
            <w:tcW w:w="510" w:type="pct"/>
            <w:vAlign w:val="center"/>
          </w:tcPr>
          <w:p>
            <w:pPr>
              <w:tabs>
                <w:tab w:val="left" w:pos="1050"/>
              </w:tabs>
              <w:spacing w:line="260" w:lineRule="exact"/>
              <w:ind w:firstLine="0" w:firstLineChars="0"/>
              <w:jc w:val="center"/>
              <w:rPr>
                <w:sz w:val="21"/>
                <w:szCs w:val="21"/>
              </w:rPr>
            </w:pPr>
            <w:r>
              <w:rPr>
                <w:sz w:val="21"/>
                <w:szCs w:val="21"/>
              </w:rPr>
              <w:t>4.29</w:t>
            </w:r>
          </w:p>
        </w:tc>
        <w:tc>
          <w:tcPr>
            <w:tcW w:w="475" w:type="pct"/>
            <w:vMerge w:val="restart"/>
            <w:vAlign w:val="center"/>
          </w:tcPr>
          <w:p>
            <w:pPr>
              <w:tabs>
                <w:tab w:val="left" w:pos="1008"/>
              </w:tabs>
              <w:spacing w:line="260" w:lineRule="exact"/>
              <w:ind w:firstLine="0" w:firstLineChars="0"/>
              <w:jc w:val="center"/>
              <w:rPr>
                <w:sz w:val="21"/>
                <w:szCs w:val="21"/>
              </w:rPr>
            </w:pPr>
            <w:r>
              <w:rPr>
                <w:sz w:val="21"/>
                <w:szCs w:val="21"/>
              </w:rPr>
              <w:t>41.57</w:t>
            </w:r>
          </w:p>
        </w:tc>
        <w:tc>
          <w:tcPr>
            <w:tcW w:w="430" w:type="pct"/>
            <w:vMerge w:val="restart"/>
            <w:vAlign w:val="center"/>
          </w:tcPr>
          <w:p>
            <w:pPr>
              <w:tabs>
                <w:tab w:val="left" w:pos="1008"/>
              </w:tabs>
              <w:spacing w:line="260" w:lineRule="exact"/>
              <w:ind w:firstLine="0" w:firstLineChars="0"/>
              <w:jc w:val="center"/>
              <w:rPr>
                <w:sz w:val="21"/>
                <w:szCs w:val="21"/>
              </w:rPr>
            </w:pPr>
            <w:r>
              <w:rPr>
                <w:rFonts w:hint="eastAsia"/>
                <w:sz w:val="21"/>
                <w:szCs w:val="21"/>
              </w:rPr>
              <w:t>1.0</w:t>
            </w:r>
            <w:r>
              <w:rPr>
                <w:sz w:val="21"/>
                <w:szCs w:val="21"/>
              </w:rPr>
              <w:t>~</w:t>
            </w:r>
            <w:r>
              <w:rPr>
                <w:rFonts w:hint="eastAsia"/>
                <w:sz w:val="21"/>
                <w:szCs w:val="21"/>
              </w:rPr>
              <w:t>2.0</w:t>
            </w:r>
          </w:p>
        </w:tc>
        <w:tc>
          <w:tcPr>
            <w:tcW w:w="459" w:type="pct"/>
            <w:vMerge w:val="restart"/>
            <w:vAlign w:val="center"/>
          </w:tcPr>
          <w:p>
            <w:pPr>
              <w:tabs>
                <w:tab w:val="left" w:pos="1008"/>
              </w:tabs>
              <w:spacing w:line="260" w:lineRule="exact"/>
              <w:ind w:firstLine="0" w:firstLineChars="0"/>
              <w:jc w:val="center"/>
              <w:rPr>
                <w:sz w:val="21"/>
                <w:szCs w:val="21"/>
              </w:rPr>
            </w:pPr>
            <w:r>
              <w:rPr>
                <w:rFonts w:hint="eastAsia"/>
                <w:sz w:val="21"/>
                <w:szCs w:val="21"/>
              </w:rPr>
              <w:t>78.77</w:t>
            </w: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5"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园地</w:t>
            </w:r>
          </w:p>
        </w:tc>
        <w:tc>
          <w:tcPr>
            <w:tcW w:w="444" w:type="pct"/>
            <w:vAlign w:val="center"/>
          </w:tcPr>
          <w:p>
            <w:pPr>
              <w:pStyle w:val="99"/>
              <w:spacing w:line="260" w:lineRule="exact"/>
              <w:jc w:val="center"/>
              <w:rPr>
                <w:kern w:val="0"/>
                <w:sz w:val="21"/>
                <w:szCs w:val="21"/>
              </w:rPr>
            </w:pPr>
            <w:r>
              <w:rPr>
                <w:kern w:val="0"/>
                <w:sz w:val="21"/>
                <w:szCs w:val="21"/>
              </w:rPr>
              <w:t>0.47</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0.09</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6" w:hRule="atLeast"/>
        </w:trPr>
        <w:tc>
          <w:tcPr>
            <w:tcW w:w="327" w:type="pct"/>
            <w:vMerge w:val="continue"/>
            <w:vAlign w:val="center"/>
          </w:tcPr>
          <w:p>
            <w:pPr>
              <w:pStyle w:val="53"/>
              <w:spacing w:line="260" w:lineRule="exact"/>
              <w:jc w:val="center"/>
              <w:rPr>
                <w:rFonts w:eastAsia="仿宋_GB2312"/>
              </w:rPr>
            </w:pPr>
          </w:p>
        </w:tc>
        <w:tc>
          <w:tcPr>
            <w:tcW w:w="193" w:type="pct"/>
            <w:vMerge w:val="continue"/>
            <w:tcBorders>
              <w:right w:val="single" w:color="auto" w:sz="4" w:space="0"/>
            </w:tcBorders>
            <w:vAlign w:val="center"/>
          </w:tcPr>
          <w:p>
            <w:pPr>
              <w:pStyle w:val="53"/>
              <w:spacing w:line="260" w:lineRule="exact"/>
              <w:jc w:val="center"/>
              <w:rPr>
                <w:rFonts w:eastAsia="仿宋_GB2312"/>
              </w:rPr>
            </w:pPr>
          </w:p>
        </w:tc>
        <w:tc>
          <w:tcPr>
            <w:tcW w:w="179" w:type="pct"/>
            <w:vMerge w:val="continue"/>
            <w:tcBorders>
              <w:left w:val="single" w:color="auto" w:sz="4" w:space="0"/>
            </w:tcBorders>
            <w:vAlign w:val="center"/>
          </w:tcPr>
          <w:p>
            <w:pPr>
              <w:pStyle w:val="53"/>
              <w:spacing w:line="260" w:lineRule="exact"/>
              <w:jc w:val="center"/>
              <w:rPr>
                <w:rFonts w:eastAsia="仿宋_GB2312"/>
              </w:rPr>
            </w:pPr>
          </w:p>
        </w:tc>
        <w:tc>
          <w:tcPr>
            <w:tcW w:w="642" w:type="pct"/>
            <w:vMerge w:val="continue"/>
            <w:vAlign w:val="center"/>
          </w:tcPr>
          <w:p>
            <w:pPr>
              <w:pStyle w:val="53"/>
              <w:spacing w:line="260" w:lineRule="exact"/>
              <w:jc w:val="center"/>
              <w:rPr>
                <w:rFonts w:eastAsia="仿宋_GB2312"/>
              </w:rPr>
            </w:pPr>
          </w:p>
        </w:tc>
        <w:tc>
          <w:tcPr>
            <w:tcW w:w="418" w:type="pct"/>
            <w:vAlign w:val="center"/>
          </w:tcPr>
          <w:p>
            <w:pPr>
              <w:pStyle w:val="99"/>
              <w:spacing w:line="260" w:lineRule="exact"/>
              <w:jc w:val="center"/>
              <w:rPr>
                <w:sz w:val="21"/>
                <w:szCs w:val="21"/>
              </w:rPr>
            </w:pPr>
            <w:r>
              <w:rPr>
                <w:sz w:val="21"/>
                <w:szCs w:val="21"/>
              </w:rPr>
              <w:t>林地</w:t>
            </w:r>
          </w:p>
        </w:tc>
        <w:tc>
          <w:tcPr>
            <w:tcW w:w="444" w:type="pct"/>
            <w:vAlign w:val="center"/>
          </w:tcPr>
          <w:p>
            <w:pPr>
              <w:pStyle w:val="99"/>
              <w:spacing w:line="260" w:lineRule="exact"/>
              <w:jc w:val="center"/>
              <w:rPr>
                <w:kern w:val="0"/>
                <w:sz w:val="21"/>
                <w:szCs w:val="21"/>
              </w:rPr>
            </w:pPr>
            <w:r>
              <w:rPr>
                <w:kern w:val="0"/>
                <w:sz w:val="21"/>
                <w:szCs w:val="21"/>
              </w:rPr>
              <w:t>9.15</w:t>
            </w:r>
          </w:p>
        </w:tc>
        <w:tc>
          <w:tcPr>
            <w:tcW w:w="497" w:type="pct"/>
            <w:vAlign w:val="center"/>
          </w:tcPr>
          <w:p>
            <w:pPr>
              <w:tabs>
                <w:tab w:val="left" w:pos="1008"/>
              </w:tabs>
              <w:spacing w:line="260" w:lineRule="exact"/>
              <w:ind w:firstLine="0" w:firstLineChars="0"/>
              <w:jc w:val="center"/>
              <w:rPr>
                <w:sz w:val="21"/>
                <w:szCs w:val="21"/>
              </w:rPr>
            </w:pPr>
            <w:r>
              <w:rPr>
                <w:sz w:val="21"/>
                <w:szCs w:val="21"/>
              </w:rPr>
              <w:t>0.20</w:t>
            </w:r>
          </w:p>
        </w:tc>
        <w:tc>
          <w:tcPr>
            <w:tcW w:w="510" w:type="pct"/>
            <w:vAlign w:val="center"/>
          </w:tcPr>
          <w:p>
            <w:pPr>
              <w:tabs>
                <w:tab w:val="left" w:pos="1050"/>
              </w:tabs>
              <w:spacing w:line="260" w:lineRule="exact"/>
              <w:ind w:firstLine="0" w:firstLineChars="0"/>
              <w:jc w:val="center"/>
              <w:rPr>
                <w:sz w:val="21"/>
                <w:szCs w:val="21"/>
              </w:rPr>
            </w:pPr>
            <w:r>
              <w:rPr>
                <w:sz w:val="21"/>
                <w:szCs w:val="21"/>
              </w:rPr>
              <w:t>1.83</w:t>
            </w:r>
          </w:p>
        </w:tc>
        <w:tc>
          <w:tcPr>
            <w:tcW w:w="475" w:type="pct"/>
            <w:vMerge w:val="continue"/>
            <w:vAlign w:val="center"/>
          </w:tcPr>
          <w:p>
            <w:pPr>
              <w:tabs>
                <w:tab w:val="left" w:pos="1008"/>
              </w:tabs>
              <w:spacing w:line="260" w:lineRule="exact"/>
              <w:ind w:firstLine="0" w:firstLineChars="0"/>
              <w:jc w:val="center"/>
              <w:rPr>
                <w:sz w:val="21"/>
                <w:szCs w:val="21"/>
              </w:rPr>
            </w:pPr>
          </w:p>
        </w:tc>
        <w:tc>
          <w:tcPr>
            <w:tcW w:w="430" w:type="pct"/>
            <w:vMerge w:val="continue"/>
            <w:vAlign w:val="center"/>
          </w:tcPr>
          <w:p>
            <w:pPr>
              <w:tabs>
                <w:tab w:val="left" w:pos="1008"/>
              </w:tabs>
              <w:spacing w:line="260" w:lineRule="exact"/>
              <w:ind w:firstLine="0" w:firstLineChars="0"/>
              <w:jc w:val="center"/>
              <w:rPr>
                <w:sz w:val="21"/>
                <w:szCs w:val="21"/>
              </w:rPr>
            </w:pPr>
          </w:p>
        </w:tc>
        <w:tc>
          <w:tcPr>
            <w:tcW w:w="459" w:type="pct"/>
            <w:vMerge w:val="continue"/>
            <w:vAlign w:val="center"/>
          </w:tcPr>
          <w:p>
            <w:pPr>
              <w:tabs>
                <w:tab w:val="left" w:pos="1008"/>
              </w:tabs>
              <w:spacing w:line="260" w:lineRule="exact"/>
              <w:ind w:firstLine="0" w:firstLineChars="0"/>
              <w:jc w:val="center"/>
              <w:rPr>
                <w:sz w:val="21"/>
                <w:szCs w:val="21"/>
              </w:rPr>
            </w:pPr>
          </w:p>
        </w:tc>
        <w:tc>
          <w:tcPr>
            <w:tcW w:w="424" w:type="pct"/>
            <w:vMerge w:val="continue"/>
            <w:vAlign w:val="center"/>
          </w:tcPr>
          <w:p>
            <w:pPr>
              <w:tabs>
                <w:tab w:val="left" w:pos="1008"/>
              </w:tabs>
              <w:spacing w:line="260" w:lineRule="exact"/>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2" w:hRule="atLeast"/>
        </w:trPr>
        <w:tc>
          <w:tcPr>
            <w:tcW w:w="327" w:type="pct"/>
            <w:vMerge w:val="continue"/>
            <w:tcBorders>
              <w:bottom w:val="single" w:color="auto" w:sz="4" w:space="0"/>
            </w:tcBorders>
            <w:vAlign w:val="center"/>
          </w:tcPr>
          <w:p>
            <w:pPr>
              <w:pStyle w:val="99"/>
              <w:spacing w:line="260" w:lineRule="exact"/>
              <w:jc w:val="center"/>
              <w:rPr>
                <w:b/>
                <w:bCs/>
                <w:sz w:val="21"/>
                <w:szCs w:val="21"/>
              </w:rPr>
            </w:pPr>
          </w:p>
        </w:tc>
        <w:tc>
          <w:tcPr>
            <w:tcW w:w="193" w:type="pct"/>
            <w:vMerge w:val="continue"/>
            <w:tcBorders>
              <w:bottom w:val="single" w:color="auto" w:sz="4" w:space="0"/>
              <w:right w:val="single" w:color="auto" w:sz="4" w:space="0"/>
            </w:tcBorders>
            <w:vAlign w:val="center"/>
          </w:tcPr>
          <w:p>
            <w:pPr>
              <w:pStyle w:val="99"/>
              <w:spacing w:line="260" w:lineRule="exact"/>
              <w:jc w:val="center"/>
              <w:rPr>
                <w:b/>
                <w:bCs/>
                <w:sz w:val="21"/>
                <w:szCs w:val="21"/>
              </w:rPr>
            </w:pPr>
          </w:p>
        </w:tc>
        <w:tc>
          <w:tcPr>
            <w:tcW w:w="179" w:type="pct"/>
            <w:vMerge w:val="continue"/>
            <w:tcBorders>
              <w:left w:val="single" w:color="auto" w:sz="4" w:space="0"/>
            </w:tcBorders>
            <w:vAlign w:val="center"/>
          </w:tcPr>
          <w:p>
            <w:pPr>
              <w:pStyle w:val="99"/>
              <w:spacing w:line="260" w:lineRule="exact"/>
              <w:jc w:val="center"/>
              <w:rPr>
                <w:b/>
                <w:bCs/>
                <w:sz w:val="21"/>
                <w:szCs w:val="21"/>
              </w:rPr>
            </w:pPr>
          </w:p>
        </w:tc>
        <w:tc>
          <w:tcPr>
            <w:tcW w:w="1060" w:type="pct"/>
            <w:gridSpan w:val="2"/>
            <w:vAlign w:val="center"/>
          </w:tcPr>
          <w:p>
            <w:pPr>
              <w:pStyle w:val="99"/>
              <w:spacing w:line="260" w:lineRule="exact"/>
              <w:jc w:val="center"/>
              <w:rPr>
                <w:b/>
                <w:bCs/>
                <w:sz w:val="21"/>
                <w:szCs w:val="21"/>
              </w:rPr>
            </w:pPr>
            <w:r>
              <w:rPr>
                <w:b/>
                <w:bCs/>
                <w:sz w:val="21"/>
                <w:szCs w:val="21"/>
              </w:rPr>
              <w:t>小计</w:t>
            </w:r>
          </w:p>
        </w:tc>
        <w:tc>
          <w:tcPr>
            <w:tcW w:w="444" w:type="pct"/>
            <w:vAlign w:val="center"/>
          </w:tcPr>
          <w:p>
            <w:pPr>
              <w:pStyle w:val="99"/>
              <w:spacing w:line="260" w:lineRule="exact"/>
              <w:jc w:val="center"/>
              <w:rPr>
                <w:b/>
                <w:bCs/>
                <w:sz w:val="21"/>
                <w:szCs w:val="21"/>
              </w:rPr>
            </w:pPr>
            <w:r>
              <w:rPr>
                <w:b/>
                <w:bCs/>
                <w:sz w:val="21"/>
                <w:szCs w:val="21"/>
              </w:rPr>
              <w:t>280.04</w:t>
            </w:r>
          </w:p>
        </w:tc>
        <w:tc>
          <w:tcPr>
            <w:tcW w:w="497" w:type="pct"/>
            <w:vAlign w:val="center"/>
          </w:tcPr>
          <w:p>
            <w:pPr>
              <w:pStyle w:val="99"/>
              <w:spacing w:line="260" w:lineRule="exact"/>
              <w:jc w:val="center"/>
              <w:rPr>
                <w:b/>
                <w:bCs/>
                <w:sz w:val="21"/>
                <w:szCs w:val="21"/>
              </w:rPr>
            </w:pPr>
          </w:p>
        </w:tc>
        <w:tc>
          <w:tcPr>
            <w:tcW w:w="510" w:type="pct"/>
            <w:vAlign w:val="center"/>
          </w:tcPr>
          <w:p>
            <w:pPr>
              <w:tabs>
                <w:tab w:val="left" w:pos="1050"/>
              </w:tabs>
              <w:spacing w:line="260" w:lineRule="exact"/>
              <w:ind w:firstLine="0" w:firstLineChars="0"/>
              <w:jc w:val="center"/>
              <w:rPr>
                <w:sz w:val="21"/>
                <w:szCs w:val="21"/>
              </w:rPr>
            </w:pPr>
            <w:r>
              <w:rPr>
                <w:b/>
                <w:bCs/>
                <w:sz w:val="21"/>
                <w:szCs w:val="21"/>
              </w:rPr>
              <w:t>81.26</w:t>
            </w:r>
          </w:p>
        </w:tc>
        <w:tc>
          <w:tcPr>
            <w:tcW w:w="475" w:type="pct"/>
            <w:vAlign w:val="center"/>
          </w:tcPr>
          <w:p>
            <w:pPr>
              <w:tabs>
                <w:tab w:val="left" w:pos="1008"/>
              </w:tabs>
              <w:spacing w:line="260" w:lineRule="exact"/>
              <w:ind w:firstLine="0" w:firstLineChars="0"/>
              <w:jc w:val="center"/>
              <w:rPr>
                <w:b/>
                <w:bCs/>
                <w:sz w:val="21"/>
                <w:szCs w:val="21"/>
              </w:rPr>
            </w:pPr>
            <w:r>
              <w:rPr>
                <w:b/>
                <w:bCs/>
                <w:sz w:val="21"/>
                <w:szCs w:val="21"/>
              </w:rPr>
              <w:t>120.86</w:t>
            </w:r>
          </w:p>
        </w:tc>
        <w:tc>
          <w:tcPr>
            <w:tcW w:w="430" w:type="pct"/>
            <w:vAlign w:val="center"/>
          </w:tcPr>
          <w:p>
            <w:pPr>
              <w:tabs>
                <w:tab w:val="left" w:pos="1008"/>
              </w:tabs>
              <w:spacing w:line="260" w:lineRule="exact"/>
              <w:ind w:firstLine="0" w:firstLineChars="0"/>
              <w:jc w:val="center"/>
              <w:rPr>
                <w:b/>
                <w:bCs/>
                <w:sz w:val="21"/>
                <w:szCs w:val="21"/>
              </w:rPr>
            </w:pPr>
          </w:p>
        </w:tc>
        <w:tc>
          <w:tcPr>
            <w:tcW w:w="459" w:type="pct"/>
            <w:vAlign w:val="center"/>
          </w:tcPr>
          <w:p>
            <w:pPr>
              <w:tabs>
                <w:tab w:val="left" w:pos="1008"/>
              </w:tabs>
              <w:spacing w:line="260" w:lineRule="exact"/>
              <w:ind w:firstLine="0" w:firstLineChars="0"/>
              <w:jc w:val="center"/>
              <w:rPr>
                <w:b/>
                <w:bCs/>
                <w:sz w:val="21"/>
                <w:szCs w:val="21"/>
              </w:rPr>
            </w:pPr>
            <w:r>
              <w:rPr>
                <w:rFonts w:hint="eastAsia"/>
                <w:b/>
                <w:bCs/>
                <w:sz w:val="21"/>
                <w:szCs w:val="21"/>
              </w:rPr>
              <w:t>134.72</w:t>
            </w:r>
          </w:p>
        </w:tc>
        <w:tc>
          <w:tcPr>
            <w:tcW w:w="424" w:type="pct"/>
            <w:vAlign w:val="center"/>
          </w:tcPr>
          <w:p>
            <w:pPr>
              <w:tabs>
                <w:tab w:val="left" w:pos="1008"/>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27" w:type="pct"/>
            <w:vMerge w:val="restart"/>
            <w:vAlign w:val="center"/>
          </w:tcPr>
          <w:p>
            <w:pPr>
              <w:tabs>
                <w:tab w:val="left" w:pos="1008"/>
              </w:tabs>
              <w:spacing w:line="260" w:lineRule="exact"/>
              <w:ind w:firstLine="0" w:firstLineChars="0"/>
              <w:jc w:val="center"/>
              <w:rPr>
                <w:sz w:val="21"/>
                <w:szCs w:val="21"/>
              </w:rPr>
            </w:pPr>
            <w:r>
              <w:rPr>
                <w:sz w:val="21"/>
                <w:szCs w:val="21"/>
              </w:rPr>
              <w:t>表土剥离及回覆情况调查</w:t>
            </w:r>
          </w:p>
        </w:tc>
        <w:tc>
          <w:tcPr>
            <w:tcW w:w="193" w:type="pct"/>
            <w:vMerge w:val="restart"/>
            <w:tcBorders>
              <w:right w:val="single" w:color="auto" w:sz="4" w:space="0"/>
            </w:tcBorders>
            <w:vAlign w:val="center"/>
          </w:tcPr>
          <w:p>
            <w:pPr>
              <w:tabs>
                <w:tab w:val="left" w:pos="1008"/>
              </w:tabs>
              <w:spacing w:line="260" w:lineRule="exact"/>
              <w:ind w:firstLine="0" w:firstLineChars="0"/>
              <w:jc w:val="center"/>
              <w:rPr>
                <w:b/>
                <w:bCs/>
                <w:sz w:val="21"/>
                <w:szCs w:val="21"/>
              </w:rPr>
            </w:pPr>
            <w:r>
              <w:rPr>
                <w:sz w:val="21"/>
                <w:szCs w:val="21"/>
              </w:rPr>
              <w:t>近期建设期</w:t>
            </w:r>
          </w:p>
        </w:tc>
        <w:tc>
          <w:tcPr>
            <w:tcW w:w="179" w:type="pct"/>
            <w:vMerge w:val="restart"/>
            <w:tcBorders>
              <w:left w:val="single" w:color="auto" w:sz="4" w:space="0"/>
            </w:tcBorders>
            <w:vAlign w:val="center"/>
          </w:tcPr>
          <w:p>
            <w:pPr>
              <w:tabs>
                <w:tab w:val="left" w:pos="1008"/>
              </w:tabs>
              <w:spacing w:line="260" w:lineRule="exact"/>
              <w:ind w:firstLine="0" w:firstLineChars="0"/>
              <w:jc w:val="center"/>
              <w:rPr>
                <w:sz w:val="21"/>
                <w:szCs w:val="21"/>
              </w:rPr>
            </w:pPr>
            <w:r>
              <w:rPr>
                <w:sz w:val="21"/>
                <w:szCs w:val="21"/>
              </w:rPr>
              <w:t>已建</w:t>
            </w:r>
          </w:p>
        </w:tc>
        <w:tc>
          <w:tcPr>
            <w:tcW w:w="1060" w:type="pct"/>
            <w:gridSpan w:val="2"/>
            <w:vAlign w:val="center"/>
          </w:tcPr>
          <w:p>
            <w:pPr>
              <w:pStyle w:val="53"/>
              <w:spacing w:line="260" w:lineRule="exact"/>
              <w:jc w:val="center"/>
              <w:rPr>
                <w:rFonts w:eastAsia="仿宋_GB2312"/>
              </w:rPr>
            </w:pPr>
            <w:r>
              <w:rPr>
                <w:rFonts w:eastAsia="仿宋_GB2312"/>
              </w:rPr>
              <w:t>工业用地</w:t>
            </w:r>
          </w:p>
        </w:tc>
        <w:tc>
          <w:tcPr>
            <w:tcW w:w="444" w:type="pct"/>
            <w:vAlign w:val="center"/>
          </w:tcPr>
          <w:p>
            <w:pPr>
              <w:tabs>
                <w:tab w:val="left" w:pos="1008"/>
              </w:tabs>
              <w:spacing w:line="260" w:lineRule="exact"/>
              <w:ind w:firstLine="0" w:firstLineChars="0"/>
              <w:jc w:val="center"/>
              <w:rPr>
                <w:sz w:val="21"/>
                <w:szCs w:val="21"/>
              </w:rPr>
            </w:pPr>
            <w:r>
              <w:rPr>
                <w:sz w:val="21"/>
                <w:szCs w:val="21"/>
              </w:rPr>
              <w:t>15.76</w:t>
            </w:r>
          </w:p>
        </w:tc>
        <w:tc>
          <w:tcPr>
            <w:tcW w:w="497" w:type="pct"/>
            <w:vAlign w:val="center"/>
          </w:tcPr>
          <w:p>
            <w:pPr>
              <w:pStyle w:val="99"/>
              <w:spacing w:line="260" w:lineRule="exact"/>
              <w:jc w:val="center"/>
              <w:rPr>
                <w:sz w:val="21"/>
                <w:szCs w:val="21"/>
              </w:rPr>
            </w:pPr>
            <w:r>
              <w:rPr>
                <w:sz w:val="21"/>
                <w:szCs w:val="21"/>
              </w:rPr>
              <w:t>0.20~0.40</w:t>
            </w:r>
          </w:p>
        </w:tc>
        <w:tc>
          <w:tcPr>
            <w:tcW w:w="510" w:type="pct"/>
            <w:vAlign w:val="center"/>
          </w:tcPr>
          <w:p>
            <w:pPr>
              <w:tabs>
                <w:tab w:val="left" w:pos="1050"/>
              </w:tabs>
              <w:spacing w:line="260" w:lineRule="exact"/>
              <w:ind w:firstLine="0" w:firstLineChars="0"/>
              <w:jc w:val="center"/>
              <w:rPr>
                <w:sz w:val="21"/>
                <w:szCs w:val="21"/>
              </w:rPr>
            </w:pPr>
            <w:r>
              <w:rPr>
                <w:sz w:val="21"/>
                <w:szCs w:val="21"/>
              </w:rPr>
              <w:t>3.94</w:t>
            </w:r>
          </w:p>
        </w:tc>
        <w:tc>
          <w:tcPr>
            <w:tcW w:w="475" w:type="pct"/>
            <w:vAlign w:val="center"/>
          </w:tcPr>
          <w:p>
            <w:pPr>
              <w:tabs>
                <w:tab w:val="left" w:pos="1050"/>
              </w:tabs>
              <w:spacing w:line="260" w:lineRule="exact"/>
              <w:ind w:firstLine="0" w:firstLineChars="0"/>
              <w:jc w:val="center"/>
              <w:rPr>
                <w:sz w:val="21"/>
                <w:szCs w:val="21"/>
              </w:rPr>
            </w:pPr>
            <w:r>
              <w:rPr>
                <w:sz w:val="21"/>
                <w:szCs w:val="21"/>
              </w:rPr>
              <w:t>10.67</w:t>
            </w:r>
          </w:p>
        </w:tc>
        <w:tc>
          <w:tcPr>
            <w:tcW w:w="430" w:type="pct"/>
            <w:vAlign w:val="center"/>
          </w:tcPr>
          <w:p>
            <w:pPr>
              <w:tabs>
                <w:tab w:val="left" w:pos="1050"/>
              </w:tabs>
              <w:spacing w:line="260" w:lineRule="exact"/>
              <w:ind w:firstLine="0" w:firstLineChars="0"/>
              <w:jc w:val="center"/>
              <w:rPr>
                <w:sz w:val="21"/>
                <w:szCs w:val="21"/>
              </w:rPr>
            </w:pPr>
            <w:r>
              <w:rPr>
                <w:sz w:val="21"/>
                <w:szCs w:val="21"/>
              </w:rPr>
              <w:t>0.20~0.40</w:t>
            </w:r>
          </w:p>
        </w:tc>
        <w:tc>
          <w:tcPr>
            <w:tcW w:w="459" w:type="pct"/>
            <w:vAlign w:val="center"/>
          </w:tcPr>
          <w:p>
            <w:pPr>
              <w:tabs>
                <w:tab w:val="left" w:pos="1050"/>
              </w:tabs>
              <w:spacing w:line="260" w:lineRule="exact"/>
              <w:ind w:firstLine="0" w:firstLineChars="0"/>
              <w:jc w:val="center"/>
              <w:rPr>
                <w:sz w:val="21"/>
                <w:szCs w:val="21"/>
              </w:rPr>
            </w:pPr>
            <w:r>
              <w:rPr>
                <w:sz w:val="21"/>
                <w:szCs w:val="21"/>
              </w:rPr>
              <w:t>3.94</w:t>
            </w:r>
          </w:p>
        </w:tc>
        <w:tc>
          <w:tcPr>
            <w:tcW w:w="424" w:type="pct"/>
            <w:vMerge w:val="restart"/>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continue"/>
            <w:tcBorders>
              <w:left w:val="single" w:color="auto" w:sz="4" w:space="0"/>
              <w:bottom w:val="single" w:color="auto" w:sz="4" w:space="0"/>
            </w:tcBorders>
            <w:vAlign w:val="center"/>
          </w:tcPr>
          <w:p>
            <w:pPr>
              <w:tabs>
                <w:tab w:val="left" w:pos="1008"/>
              </w:tabs>
              <w:spacing w:line="260" w:lineRule="exact"/>
              <w:ind w:firstLine="0" w:firstLineChars="0"/>
              <w:jc w:val="center"/>
              <w:rPr>
                <w:sz w:val="21"/>
                <w:szCs w:val="21"/>
              </w:rPr>
            </w:pPr>
          </w:p>
        </w:tc>
        <w:tc>
          <w:tcPr>
            <w:tcW w:w="1060" w:type="pct"/>
            <w:gridSpan w:val="2"/>
            <w:tcBorders>
              <w:bottom w:val="single" w:color="auto" w:sz="4" w:space="0"/>
            </w:tcBorders>
            <w:vAlign w:val="center"/>
          </w:tcPr>
          <w:p>
            <w:pPr>
              <w:pStyle w:val="53"/>
              <w:spacing w:line="260" w:lineRule="exact"/>
              <w:jc w:val="center"/>
              <w:rPr>
                <w:rFonts w:eastAsia="仿宋_GB2312"/>
              </w:rPr>
            </w:pPr>
            <w:r>
              <w:rPr>
                <w:rFonts w:eastAsia="仿宋_GB2312"/>
              </w:rPr>
              <w:t>道路与交通设施用地</w:t>
            </w:r>
          </w:p>
        </w:tc>
        <w:tc>
          <w:tcPr>
            <w:tcW w:w="444" w:type="pct"/>
            <w:tcBorders>
              <w:bottom w:val="single" w:color="auto" w:sz="4" w:space="0"/>
            </w:tcBorders>
            <w:vAlign w:val="center"/>
          </w:tcPr>
          <w:p>
            <w:pPr>
              <w:tabs>
                <w:tab w:val="left" w:pos="1008"/>
              </w:tabs>
              <w:spacing w:line="260" w:lineRule="exact"/>
              <w:ind w:firstLine="0" w:firstLineChars="0"/>
              <w:jc w:val="center"/>
              <w:rPr>
                <w:sz w:val="21"/>
                <w:szCs w:val="21"/>
              </w:rPr>
            </w:pPr>
          </w:p>
        </w:tc>
        <w:tc>
          <w:tcPr>
            <w:tcW w:w="497" w:type="pct"/>
            <w:tcBorders>
              <w:bottom w:val="single" w:color="auto" w:sz="4" w:space="0"/>
            </w:tcBorders>
            <w:vAlign w:val="center"/>
          </w:tcPr>
          <w:p>
            <w:pPr>
              <w:pStyle w:val="99"/>
              <w:spacing w:line="260" w:lineRule="exact"/>
              <w:jc w:val="center"/>
              <w:rPr>
                <w:sz w:val="21"/>
                <w:szCs w:val="21"/>
              </w:rPr>
            </w:pPr>
          </w:p>
        </w:tc>
        <w:tc>
          <w:tcPr>
            <w:tcW w:w="510" w:type="pct"/>
            <w:tcBorders>
              <w:bottom w:val="single" w:color="auto" w:sz="4" w:space="0"/>
            </w:tcBorders>
            <w:vAlign w:val="center"/>
          </w:tcPr>
          <w:p>
            <w:pPr>
              <w:tabs>
                <w:tab w:val="left" w:pos="1050"/>
              </w:tabs>
              <w:spacing w:line="260" w:lineRule="exact"/>
              <w:ind w:firstLine="0" w:firstLineChars="0"/>
              <w:jc w:val="center"/>
              <w:rPr>
                <w:sz w:val="21"/>
                <w:szCs w:val="21"/>
              </w:rPr>
            </w:pPr>
          </w:p>
        </w:tc>
        <w:tc>
          <w:tcPr>
            <w:tcW w:w="475"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2.11</w:t>
            </w:r>
          </w:p>
        </w:tc>
        <w:tc>
          <w:tcPr>
            <w:tcW w:w="430"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0.30~1.20</w:t>
            </w:r>
          </w:p>
        </w:tc>
        <w:tc>
          <w:tcPr>
            <w:tcW w:w="459"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2.41</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8"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continue"/>
            <w:tcBorders>
              <w:left w:val="single" w:color="auto" w:sz="4" w:space="0"/>
              <w:bottom w:val="single" w:color="auto" w:sz="4" w:space="0"/>
            </w:tcBorders>
            <w:vAlign w:val="center"/>
          </w:tcPr>
          <w:p>
            <w:pPr>
              <w:tabs>
                <w:tab w:val="left" w:pos="1008"/>
              </w:tabs>
              <w:spacing w:line="260" w:lineRule="exact"/>
              <w:ind w:firstLine="0" w:firstLineChars="0"/>
              <w:jc w:val="center"/>
              <w:rPr>
                <w:sz w:val="21"/>
                <w:szCs w:val="21"/>
              </w:rPr>
            </w:pPr>
          </w:p>
        </w:tc>
        <w:tc>
          <w:tcPr>
            <w:tcW w:w="1060" w:type="pct"/>
            <w:gridSpan w:val="2"/>
            <w:tcBorders>
              <w:top w:val="single" w:color="auto" w:sz="4" w:space="0"/>
              <w:bottom w:val="single" w:color="auto" w:sz="4" w:space="0"/>
            </w:tcBorders>
            <w:vAlign w:val="center"/>
          </w:tcPr>
          <w:p>
            <w:pPr>
              <w:pStyle w:val="53"/>
              <w:spacing w:line="260" w:lineRule="exact"/>
              <w:jc w:val="center"/>
              <w:rPr>
                <w:rFonts w:eastAsia="仿宋_GB2312"/>
              </w:rPr>
            </w:pPr>
            <w:r>
              <w:rPr>
                <w:rFonts w:eastAsia="仿宋_GB2312"/>
                <w:b/>
                <w:bCs/>
              </w:rPr>
              <w:t>小计</w:t>
            </w:r>
          </w:p>
        </w:tc>
        <w:tc>
          <w:tcPr>
            <w:tcW w:w="444" w:type="pct"/>
            <w:tcBorders>
              <w:top w:val="single" w:color="auto" w:sz="4" w:space="0"/>
            </w:tcBorders>
            <w:vAlign w:val="center"/>
          </w:tcPr>
          <w:p>
            <w:pPr>
              <w:tabs>
                <w:tab w:val="left" w:pos="1008"/>
              </w:tabs>
              <w:spacing w:line="260" w:lineRule="exact"/>
              <w:ind w:firstLine="0" w:firstLineChars="0"/>
              <w:jc w:val="center"/>
              <w:rPr>
                <w:b/>
                <w:bCs/>
                <w:sz w:val="21"/>
                <w:szCs w:val="21"/>
              </w:rPr>
            </w:pPr>
            <w:r>
              <w:rPr>
                <w:b/>
                <w:bCs/>
                <w:sz w:val="21"/>
                <w:szCs w:val="21"/>
              </w:rPr>
              <w:t>15.76</w:t>
            </w:r>
          </w:p>
        </w:tc>
        <w:tc>
          <w:tcPr>
            <w:tcW w:w="497" w:type="pct"/>
            <w:tcBorders>
              <w:top w:val="single" w:color="auto" w:sz="4" w:space="0"/>
            </w:tcBorders>
            <w:vAlign w:val="center"/>
          </w:tcPr>
          <w:p>
            <w:pPr>
              <w:pStyle w:val="99"/>
              <w:spacing w:line="260" w:lineRule="exact"/>
              <w:jc w:val="center"/>
              <w:rPr>
                <w:b/>
                <w:bCs/>
                <w:sz w:val="21"/>
                <w:szCs w:val="21"/>
              </w:rPr>
            </w:pPr>
          </w:p>
        </w:tc>
        <w:tc>
          <w:tcPr>
            <w:tcW w:w="510" w:type="pct"/>
            <w:tcBorders>
              <w:top w:val="single" w:color="auto" w:sz="4" w:space="0"/>
            </w:tcBorders>
            <w:vAlign w:val="center"/>
          </w:tcPr>
          <w:p>
            <w:pPr>
              <w:tabs>
                <w:tab w:val="left" w:pos="1050"/>
              </w:tabs>
              <w:spacing w:line="260" w:lineRule="exact"/>
              <w:ind w:firstLine="0" w:firstLineChars="0"/>
              <w:jc w:val="center"/>
              <w:rPr>
                <w:b/>
                <w:bCs/>
                <w:sz w:val="21"/>
                <w:szCs w:val="21"/>
              </w:rPr>
            </w:pPr>
            <w:r>
              <w:rPr>
                <w:b/>
                <w:bCs/>
                <w:sz w:val="21"/>
                <w:szCs w:val="21"/>
              </w:rPr>
              <w:t>3.94</w:t>
            </w:r>
          </w:p>
        </w:tc>
        <w:tc>
          <w:tcPr>
            <w:tcW w:w="475" w:type="pct"/>
            <w:tcBorders>
              <w:top w:val="single" w:color="auto" w:sz="4" w:space="0"/>
            </w:tcBorders>
            <w:vAlign w:val="center"/>
          </w:tcPr>
          <w:p>
            <w:pPr>
              <w:tabs>
                <w:tab w:val="left" w:pos="1050"/>
              </w:tabs>
              <w:spacing w:line="260" w:lineRule="exact"/>
              <w:ind w:firstLine="0" w:firstLineChars="0"/>
              <w:jc w:val="center"/>
              <w:rPr>
                <w:b/>
                <w:bCs/>
                <w:sz w:val="21"/>
                <w:szCs w:val="21"/>
              </w:rPr>
            </w:pPr>
            <w:r>
              <w:rPr>
                <w:b/>
                <w:bCs/>
                <w:sz w:val="21"/>
                <w:szCs w:val="21"/>
              </w:rPr>
              <w:t>12.78</w:t>
            </w:r>
          </w:p>
        </w:tc>
        <w:tc>
          <w:tcPr>
            <w:tcW w:w="430" w:type="pct"/>
            <w:tcBorders>
              <w:top w:val="single" w:color="auto" w:sz="4" w:space="0"/>
            </w:tcBorders>
            <w:vAlign w:val="center"/>
          </w:tcPr>
          <w:p>
            <w:pPr>
              <w:tabs>
                <w:tab w:val="left" w:pos="1050"/>
              </w:tabs>
              <w:spacing w:line="260" w:lineRule="exact"/>
              <w:ind w:firstLine="0" w:firstLineChars="0"/>
              <w:jc w:val="center"/>
              <w:rPr>
                <w:b/>
                <w:bCs/>
                <w:sz w:val="21"/>
                <w:szCs w:val="21"/>
              </w:rPr>
            </w:pPr>
          </w:p>
        </w:tc>
        <w:tc>
          <w:tcPr>
            <w:tcW w:w="459" w:type="pct"/>
            <w:tcBorders>
              <w:top w:val="single" w:color="auto" w:sz="4" w:space="0"/>
            </w:tcBorders>
            <w:vAlign w:val="center"/>
          </w:tcPr>
          <w:p>
            <w:pPr>
              <w:tabs>
                <w:tab w:val="left" w:pos="1050"/>
              </w:tabs>
              <w:spacing w:line="260" w:lineRule="exact"/>
              <w:ind w:firstLine="0" w:firstLineChars="0"/>
              <w:jc w:val="center"/>
              <w:rPr>
                <w:b/>
                <w:bCs/>
                <w:sz w:val="21"/>
                <w:szCs w:val="21"/>
              </w:rPr>
            </w:pPr>
            <w:r>
              <w:rPr>
                <w:b/>
                <w:bCs/>
                <w:sz w:val="21"/>
                <w:szCs w:val="21"/>
              </w:rPr>
              <w:t>6.35</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9"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restart"/>
            <w:tcBorders>
              <w:top w:val="single" w:color="auto" w:sz="4" w:space="0"/>
              <w:left w:val="single" w:color="auto" w:sz="4" w:space="0"/>
            </w:tcBorders>
            <w:vAlign w:val="center"/>
          </w:tcPr>
          <w:p>
            <w:pPr>
              <w:tabs>
                <w:tab w:val="left" w:pos="1008"/>
              </w:tabs>
              <w:spacing w:line="260" w:lineRule="exact"/>
              <w:ind w:firstLine="0" w:firstLineChars="0"/>
              <w:jc w:val="center"/>
              <w:rPr>
                <w:sz w:val="21"/>
                <w:szCs w:val="21"/>
              </w:rPr>
            </w:pPr>
            <w:r>
              <w:rPr>
                <w:sz w:val="21"/>
                <w:szCs w:val="21"/>
              </w:rPr>
              <w:t>在建</w:t>
            </w:r>
          </w:p>
        </w:tc>
        <w:tc>
          <w:tcPr>
            <w:tcW w:w="1060" w:type="pct"/>
            <w:gridSpan w:val="2"/>
            <w:tcBorders>
              <w:top w:val="single" w:color="auto" w:sz="4" w:space="0"/>
              <w:bottom w:val="single" w:color="auto" w:sz="4" w:space="0"/>
            </w:tcBorders>
            <w:vAlign w:val="center"/>
          </w:tcPr>
          <w:p>
            <w:pPr>
              <w:pStyle w:val="53"/>
              <w:spacing w:line="260" w:lineRule="exact"/>
              <w:jc w:val="center"/>
              <w:rPr>
                <w:rFonts w:eastAsia="仿宋_GB2312"/>
              </w:rPr>
            </w:pPr>
            <w:r>
              <w:rPr>
                <w:rFonts w:eastAsia="仿宋_GB2312"/>
              </w:rPr>
              <w:t>工业用地</w:t>
            </w:r>
          </w:p>
        </w:tc>
        <w:tc>
          <w:tcPr>
            <w:tcW w:w="444" w:type="pct"/>
            <w:tcBorders>
              <w:bottom w:val="single" w:color="auto" w:sz="4" w:space="0"/>
            </w:tcBorders>
            <w:vAlign w:val="center"/>
          </w:tcPr>
          <w:p>
            <w:pPr>
              <w:tabs>
                <w:tab w:val="left" w:pos="1008"/>
              </w:tabs>
              <w:spacing w:line="260" w:lineRule="exact"/>
              <w:ind w:firstLine="0" w:firstLineChars="0"/>
              <w:jc w:val="center"/>
              <w:rPr>
                <w:sz w:val="21"/>
                <w:szCs w:val="21"/>
              </w:rPr>
            </w:pPr>
            <w:r>
              <w:rPr>
                <w:rFonts w:hint="eastAsia"/>
                <w:sz w:val="21"/>
                <w:szCs w:val="21"/>
              </w:rPr>
              <w:t>251.60</w:t>
            </w:r>
          </w:p>
        </w:tc>
        <w:tc>
          <w:tcPr>
            <w:tcW w:w="497" w:type="pct"/>
            <w:tcBorders>
              <w:bottom w:val="single" w:color="auto" w:sz="4" w:space="0"/>
            </w:tcBorders>
            <w:vAlign w:val="center"/>
          </w:tcPr>
          <w:p>
            <w:pPr>
              <w:pStyle w:val="99"/>
              <w:spacing w:line="260" w:lineRule="exact"/>
              <w:jc w:val="center"/>
              <w:rPr>
                <w:sz w:val="21"/>
                <w:szCs w:val="21"/>
              </w:rPr>
            </w:pPr>
            <w:r>
              <w:rPr>
                <w:sz w:val="21"/>
                <w:szCs w:val="21"/>
              </w:rPr>
              <w:t>0.20~0.40</w:t>
            </w:r>
          </w:p>
        </w:tc>
        <w:tc>
          <w:tcPr>
            <w:tcW w:w="510" w:type="pct"/>
            <w:tcBorders>
              <w:bottom w:val="single" w:color="auto" w:sz="4" w:space="0"/>
            </w:tcBorders>
            <w:vAlign w:val="center"/>
          </w:tcPr>
          <w:p>
            <w:pPr>
              <w:tabs>
                <w:tab w:val="left" w:pos="1050"/>
              </w:tabs>
              <w:spacing w:line="260" w:lineRule="exact"/>
              <w:ind w:firstLine="0" w:firstLineChars="0"/>
              <w:jc w:val="center"/>
              <w:rPr>
                <w:sz w:val="21"/>
                <w:szCs w:val="21"/>
              </w:rPr>
            </w:pPr>
            <w:r>
              <w:rPr>
                <w:rFonts w:hint="eastAsia"/>
                <w:sz w:val="21"/>
                <w:szCs w:val="21"/>
              </w:rPr>
              <w:t>75.50</w:t>
            </w:r>
          </w:p>
        </w:tc>
        <w:tc>
          <w:tcPr>
            <w:tcW w:w="475"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14.87</w:t>
            </w:r>
          </w:p>
        </w:tc>
        <w:tc>
          <w:tcPr>
            <w:tcW w:w="430"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0.20~0.40</w:t>
            </w:r>
          </w:p>
        </w:tc>
        <w:tc>
          <w:tcPr>
            <w:tcW w:w="459"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7.68</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5"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continue"/>
            <w:tcBorders>
              <w:left w:val="single" w:color="auto" w:sz="4" w:space="0"/>
            </w:tcBorders>
            <w:vAlign w:val="center"/>
          </w:tcPr>
          <w:p>
            <w:pPr>
              <w:tabs>
                <w:tab w:val="left" w:pos="1008"/>
              </w:tabs>
              <w:spacing w:line="260" w:lineRule="exact"/>
              <w:ind w:firstLine="0" w:firstLineChars="0"/>
              <w:jc w:val="center"/>
              <w:rPr>
                <w:b/>
                <w:bCs/>
                <w:sz w:val="21"/>
                <w:szCs w:val="21"/>
              </w:rPr>
            </w:pPr>
          </w:p>
        </w:tc>
        <w:tc>
          <w:tcPr>
            <w:tcW w:w="1060" w:type="pct"/>
            <w:gridSpan w:val="2"/>
            <w:tcBorders>
              <w:top w:val="single" w:color="auto" w:sz="4" w:space="0"/>
              <w:bottom w:val="single" w:color="auto" w:sz="4" w:space="0"/>
            </w:tcBorders>
            <w:vAlign w:val="center"/>
          </w:tcPr>
          <w:p>
            <w:pPr>
              <w:pStyle w:val="53"/>
              <w:spacing w:line="260" w:lineRule="exact"/>
              <w:jc w:val="center"/>
              <w:rPr>
                <w:rFonts w:eastAsia="仿宋_GB2312"/>
              </w:rPr>
            </w:pPr>
            <w:r>
              <w:rPr>
                <w:rFonts w:eastAsia="仿宋_GB2312"/>
              </w:rPr>
              <w:t>道路与交通设施用地</w:t>
            </w:r>
          </w:p>
        </w:tc>
        <w:tc>
          <w:tcPr>
            <w:tcW w:w="444" w:type="pct"/>
            <w:tcBorders>
              <w:top w:val="single" w:color="auto" w:sz="4" w:space="0"/>
              <w:bottom w:val="single" w:color="auto" w:sz="4" w:space="0"/>
            </w:tcBorders>
            <w:vAlign w:val="center"/>
          </w:tcPr>
          <w:p>
            <w:pPr>
              <w:tabs>
                <w:tab w:val="left" w:pos="1008"/>
              </w:tabs>
              <w:spacing w:line="260" w:lineRule="exact"/>
              <w:ind w:firstLine="0" w:firstLineChars="0"/>
              <w:jc w:val="center"/>
              <w:rPr>
                <w:sz w:val="21"/>
                <w:szCs w:val="21"/>
              </w:rPr>
            </w:pPr>
            <w:r>
              <w:rPr>
                <w:sz w:val="21"/>
                <w:szCs w:val="21"/>
              </w:rPr>
              <w:t>13.11</w:t>
            </w:r>
          </w:p>
        </w:tc>
        <w:tc>
          <w:tcPr>
            <w:tcW w:w="497" w:type="pct"/>
            <w:tcBorders>
              <w:top w:val="single" w:color="auto" w:sz="4" w:space="0"/>
              <w:bottom w:val="single" w:color="auto" w:sz="4" w:space="0"/>
            </w:tcBorders>
            <w:vAlign w:val="center"/>
          </w:tcPr>
          <w:p>
            <w:pPr>
              <w:pStyle w:val="99"/>
              <w:spacing w:line="260" w:lineRule="exact"/>
              <w:jc w:val="center"/>
              <w:rPr>
                <w:sz w:val="21"/>
                <w:szCs w:val="21"/>
              </w:rPr>
            </w:pPr>
            <w:r>
              <w:rPr>
                <w:sz w:val="21"/>
                <w:szCs w:val="21"/>
              </w:rPr>
              <w:t>0.20~0.40</w:t>
            </w:r>
          </w:p>
        </w:tc>
        <w:tc>
          <w:tcPr>
            <w:tcW w:w="510" w:type="pct"/>
            <w:tcBorders>
              <w:top w:val="single" w:color="auto" w:sz="4" w:space="0"/>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3.94</w:t>
            </w:r>
          </w:p>
        </w:tc>
        <w:tc>
          <w:tcPr>
            <w:tcW w:w="475" w:type="pct"/>
            <w:tcBorders>
              <w:top w:val="single" w:color="auto" w:sz="4" w:space="0"/>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13.58</w:t>
            </w:r>
          </w:p>
        </w:tc>
        <w:tc>
          <w:tcPr>
            <w:tcW w:w="430" w:type="pct"/>
            <w:tcBorders>
              <w:top w:val="single" w:color="auto" w:sz="4" w:space="0"/>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0.30~1.20</w:t>
            </w:r>
          </w:p>
        </w:tc>
        <w:tc>
          <w:tcPr>
            <w:tcW w:w="459" w:type="pct"/>
            <w:tcBorders>
              <w:top w:val="single" w:color="auto" w:sz="4" w:space="0"/>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3.94</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continue"/>
            <w:tcBorders>
              <w:left w:val="single" w:color="auto" w:sz="4" w:space="0"/>
            </w:tcBorders>
            <w:vAlign w:val="center"/>
          </w:tcPr>
          <w:p>
            <w:pPr>
              <w:tabs>
                <w:tab w:val="left" w:pos="1008"/>
              </w:tabs>
              <w:spacing w:line="260" w:lineRule="exact"/>
              <w:ind w:firstLine="0" w:firstLineChars="0"/>
              <w:jc w:val="center"/>
              <w:rPr>
                <w:b/>
                <w:bCs/>
                <w:sz w:val="21"/>
                <w:szCs w:val="21"/>
              </w:rPr>
            </w:pPr>
          </w:p>
        </w:tc>
        <w:tc>
          <w:tcPr>
            <w:tcW w:w="1060" w:type="pct"/>
            <w:gridSpan w:val="2"/>
            <w:tcBorders>
              <w:top w:val="single" w:color="auto" w:sz="4" w:space="0"/>
            </w:tcBorders>
            <w:vAlign w:val="center"/>
          </w:tcPr>
          <w:p>
            <w:pPr>
              <w:pStyle w:val="53"/>
              <w:spacing w:line="260" w:lineRule="exact"/>
              <w:jc w:val="center"/>
              <w:rPr>
                <w:rFonts w:eastAsia="仿宋_GB2312"/>
              </w:rPr>
            </w:pPr>
            <w:r>
              <w:rPr>
                <w:rFonts w:eastAsia="仿宋_GB2312"/>
              </w:rPr>
              <w:t>公用设施用地</w:t>
            </w:r>
          </w:p>
        </w:tc>
        <w:tc>
          <w:tcPr>
            <w:tcW w:w="444" w:type="pct"/>
            <w:tcBorders>
              <w:top w:val="single" w:color="auto" w:sz="4" w:space="0"/>
            </w:tcBorders>
            <w:vAlign w:val="center"/>
          </w:tcPr>
          <w:p>
            <w:pPr>
              <w:tabs>
                <w:tab w:val="left" w:pos="1008"/>
              </w:tabs>
              <w:spacing w:line="260" w:lineRule="exact"/>
              <w:ind w:firstLine="0" w:firstLineChars="0"/>
              <w:jc w:val="center"/>
              <w:rPr>
                <w:sz w:val="21"/>
                <w:szCs w:val="21"/>
              </w:rPr>
            </w:pPr>
            <w:r>
              <w:rPr>
                <w:sz w:val="21"/>
                <w:szCs w:val="21"/>
              </w:rPr>
              <w:t>2.10</w:t>
            </w:r>
          </w:p>
        </w:tc>
        <w:tc>
          <w:tcPr>
            <w:tcW w:w="497" w:type="pct"/>
            <w:tcBorders>
              <w:top w:val="single" w:color="auto" w:sz="4" w:space="0"/>
            </w:tcBorders>
            <w:vAlign w:val="center"/>
          </w:tcPr>
          <w:p>
            <w:pPr>
              <w:pStyle w:val="99"/>
              <w:spacing w:line="260" w:lineRule="exact"/>
              <w:jc w:val="center"/>
              <w:rPr>
                <w:sz w:val="21"/>
                <w:szCs w:val="21"/>
              </w:rPr>
            </w:pPr>
            <w:r>
              <w:rPr>
                <w:sz w:val="21"/>
                <w:szCs w:val="21"/>
              </w:rPr>
              <w:t>0.20~0.40</w:t>
            </w:r>
          </w:p>
        </w:tc>
        <w:tc>
          <w:tcPr>
            <w:tcW w:w="510" w:type="pct"/>
            <w:tcBorders>
              <w:top w:val="single" w:color="auto" w:sz="4" w:space="0"/>
            </w:tcBorders>
            <w:vAlign w:val="center"/>
          </w:tcPr>
          <w:p>
            <w:pPr>
              <w:tabs>
                <w:tab w:val="left" w:pos="1050"/>
              </w:tabs>
              <w:spacing w:line="260" w:lineRule="exact"/>
              <w:ind w:firstLine="0" w:firstLineChars="0"/>
              <w:jc w:val="center"/>
              <w:rPr>
                <w:sz w:val="21"/>
                <w:szCs w:val="21"/>
              </w:rPr>
            </w:pPr>
            <w:r>
              <w:rPr>
                <w:sz w:val="21"/>
                <w:szCs w:val="21"/>
              </w:rPr>
              <w:t>0.71</w:t>
            </w:r>
          </w:p>
        </w:tc>
        <w:tc>
          <w:tcPr>
            <w:tcW w:w="475" w:type="pct"/>
            <w:tcBorders>
              <w:top w:val="single" w:color="auto" w:sz="4" w:space="0"/>
            </w:tcBorders>
            <w:vAlign w:val="center"/>
          </w:tcPr>
          <w:p>
            <w:pPr>
              <w:tabs>
                <w:tab w:val="left" w:pos="1050"/>
              </w:tabs>
              <w:spacing w:line="260" w:lineRule="exact"/>
              <w:ind w:firstLine="0" w:firstLineChars="0"/>
              <w:jc w:val="center"/>
              <w:rPr>
                <w:sz w:val="21"/>
                <w:szCs w:val="21"/>
              </w:rPr>
            </w:pPr>
            <w:r>
              <w:rPr>
                <w:sz w:val="21"/>
                <w:szCs w:val="21"/>
              </w:rPr>
              <w:t>2.36</w:t>
            </w:r>
          </w:p>
        </w:tc>
        <w:tc>
          <w:tcPr>
            <w:tcW w:w="430" w:type="pct"/>
            <w:tcBorders>
              <w:top w:val="single" w:color="auto" w:sz="4" w:space="0"/>
            </w:tcBorders>
            <w:vAlign w:val="center"/>
          </w:tcPr>
          <w:p>
            <w:pPr>
              <w:tabs>
                <w:tab w:val="left" w:pos="1050"/>
              </w:tabs>
              <w:spacing w:line="260" w:lineRule="exact"/>
              <w:ind w:firstLine="0" w:firstLineChars="0"/>
              <w:jc w:val="center"/>
              <w:rPr>
                <w:sz w:val="21"/>
                <w:szCs w:val="21"/>
              </w:rPr>
            </w:pPr>
            <w:r>
              <w:rPr>
                <w:sz w:val="21"/>
                <w:szCs w:val="21"/>
              </w:rPr>
              <w:t>0.20~0.40</w:t>
            </w:r>
          </w:p>
        </w:tc>
        <w:tc>
          <w:tcPr>
            <w:tcW w:w="459" w:type="pct"/>
            <w:tcBorders>
              <w:top w:val="single" w:color="auto" w:sz="4" w:space="0"/>
            </w:tcBorders>
            <w:vAlign w:val="center"/>
          </w:tcPr>
          <w:p>
            <w:pPr>
              <w:tabs>
                <w:tab w:val="left" w:pos="1050"/>
              </w:tabs>
              <w:spacing w:line="260" w:lineRule="exact"/>
              <w:ind w:firstLine="0" w:firstLineChars="0"/>
              <w:jc w:val="center"/>
              <w:rPr>
                <w:sz w:val="21"/>
                <w:szCs w:val="21"/>
              </w:rPr>
            </w:pPr>
            <w:r>
              <w:rPr>
                <w:sz w:val="21"/>
                <w:szCs w:val="21"/>
              </w:rPr>
              <w:t>0.71</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9"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continue"/>
            <w:tcBorders>
              <w:left w:val="single" w:color="auto" w:sz="4" w:space="0"/>
            </w:tcBorders>
            <w:vAlign w:val="center"/>
          </w:tcPr>
          <w:p>
            <w:pPr>
              <w:tabs>
                <w:tab w:val="left" w:pos="1008"/>
              </w:tabs>
              <w:spacing w:line="260" w:lineRule="exact"/>
              <w:ind w:firstLine="0" w:firstLineChars="0"/>
              <w:jc w:val="center"/>
              <w:rPr>
                <w:b/>
                <w:bCs/>
                <w:sz w:val="21"/>
                <w:szCs w:val="21"/>
              </w:rPr>
            </w:pPr>
          </w:p>
        </w:tc>
        <w:tc>
          <w:tcPr>
            <w:tcW w:w="1060" w:type="pct"/>
            <w:gridSpan w:val="2"/>
            <w:tcBorders>
              <w:bottom w:val="single" w:color="auto" w:sz="4" w:space="0"/>
            </w:tcBorders>
            <w:vAlign w:val="center"/>
          </w:tcPr>
          <w:p>
            <w:pPr>
              <w:tabs>
                <w:tab w:val="left" w:pos="1008"/>
              </w:tabs>
              <w:spacing w:line="260" w:lineRule="exact"/>
              <w:ind w:firstLine="0" w:firstLineChars="0"/>
              <w:jc w:val="center"/>
              <w:rPr>
                <w:sz w:val="21"/>
                <w:szCs w:val="21"/>
              </w:rPr>
            </w:pPr>
            <w:r>
              <w:rPr>
                <w:sz w:val="21"/>
                <w:szCs w:val="21"/>
              </w:rPr>
              <w:t>绿地与广场用地</w:t>
            </w:r>
          </w:p>
        </w:tc>
        <w:tc>
          <w:tcPr>
            <w:tcW w:w="444" w:type="pct"/>
            <w:tcBorders>
              <w:bottom w:val="single" w:color="auto" w:sz="4" w:space="0"/>
            </w:tcBorders>
            <w:vAlign w:val="center"/>
          </w:tcPr>
          <w:p>
            <w:pPr>
              <w:tabs>
                <w:tab w:val="left" w:pos="1008"/>
              </w:tabs>
              <w:spacing w:line="260" w:lineRule="exact"/>
              <w:ind w:firstLine="0" w:firstLineChars="0"/>
              <w:jc w:val="center"/>
              <w:rPr>
                <w:sz w:val="21"/>
                <w:szCs w:val="21"/>
              </w:rPr>
            </w:pPr>
          </w:p>
        </w:tc>
        <w:tc>
          <w:tcPr>
            <w:tcW w:w="497" w:type="pct"/>
            <w:tcBorders>
              <w:bottom w:val="single" w:color="auto" w:sz="4" w:space="0"/>
            </w:tcBorders>
            <w:vAlign w:val="center"/>
          </w:tcPr>
          <w:p>
            <w:pPr>
              <w:pStyle w:val="99"/>
              <w:spacing w:line="260" w:lineRule="exact"/>
              <w:jc w:val="center"/>
              <w:rPr>
                <w:sz w:val="21"/>
                <w:szCs w:val="21"/>
              </w:rPr>
            </w:pPr>
          </w:p>
        </w:tc>
        <w:tc>
          <w:tcPr>
            <w:tcW w:w="510" w:type="pct"/>
            <w:tcBorders>
              <w:bottom w:val="single" w:color="auto" w:sz="4" w:space="0"/>
            </w:tcBorders>
            <w:vAlign w:val="center"/>
          </w:tcPr>
          <w:p>
            <w:pPr>
              <w:tabs>
                <w:tab w:val="left" w:pos="1050"/>
              </w:tabs>
              <w:spacing w:line="260" w:lineRule="exact"/>
              <w:ind w:firstLine="0" w:firstLineChars="0"/>
              <w:jc w:val="center"/>
              <w:rPr>
                <w:sz w:val="21"/>
                <w:szCs w:val="21"/>
              </w:rPr>
            </w:pPr>
          </w:p>
        </w:tc>
        <w:tc>
          <w:tcPr>
            <w:tcW w:w="475" w:type="pct"/>
            <w:tcBorders>
              <w:bottom w:val="single" w:color="auto" w:sz="4" w:space="0"/>
            </w:tcBorders>
            <w:vAlign w:val="center"/>
          </w:tcPr>
          <w:p>
            <w:pPr>
              <w:tabs>
                <w:tab w:val="left" w:pos="1050"/>
              </w:tabs>
              <w:spacing w:line="260" w:lineRule="exact"/>
              <w:ind w:firstLine="0" w:firstLineChars="0"/>
              <w:jc w:val="center"/>
              <w:rPr>
                <w:sz w:val="21"/>
                <w:szCs w:val="21"/>
              </w:rPr>
            </w:pPr>
            <w:r>
              <w:rPr>
                <w:sz w:val="21"/>
                <w:szCs w:val="21"/>
              </w:rPr>
              <w:t>6.64</w:t>
            </w:r>
          </w:p>
        </w:tc>
        <w:tc>
          <w:tcPr>
            <w:tcW w:w="430" w:type="pct"/>
            <w:tcBorders>
              <w:bottom w:val="single" w:color="auto" w:sz="4" w:space="0"/>
            </w:tcBorders>
            <w:vAlign w:val="center"/>
          </w:tcPr>
          <w:p>
            <w:pPr>
              <w:tabs>
                <w:tab w:val="left" w:pos="1050"/>
              </w:tabs>
              <w:spacing w:line="260" w:lineRule="exact"/>
              <w:ind w:firstLine="0" w:firstLineChars="0"/>
              <w:jc w:val="center"/>
              <w:rPr>
                <w:sz w:val="21"/>
                <w:szCs w:val="21"/>
              </w:rPr>
            </w:pPr>
            <w:r>
              <w:rPr>
                <w:rFonts w:hint="eastAsia"/>
                <w:sz w:val="21"/>
                <w:szCs w:val="21"/>
              </w:rPr>
              <w:t>1.0</w:t>
            </w:r>
            <w:r>
              <w:rPr>
                <w:sz w:val="21"/>
                <w:szCs w:val="21"/>
              </w:rPr>
              <w:t>~</w:t>
            </w:r>
            <w:r>
              <w:rPr>
                <w:rFonts w:hint="eastAsia"/>
                <w:sz w:val="21"/>
                <w:szCs w:val="21"/>
              </w:rPr>
              <w:t>2.0</w:t>
            </w:r>
          </w:p>
        </w:tc>
        <w:tc>
          <w:tcPr>
            <w:tcW w:w="459" w:type="pct"/>
            <w:tcBorders>
              <w:bottom w:val="single" w:color="auto" w:sz="4" w:space="0"/>
            </w:tcBorders>
            <w:vAlign w:val="center"/>
          </w:tcPr>
          <w:p>
            <w:pPr>
              <w:tabs>
                <w:tab w:val="left" w:pos="1050"/>
              </w:tabs>
              <w:spacing w:line="260" w:lineRule="exact"/>
              <w:ind w:firstLine="0" w:firstLineChars="0"/>
              <w:jc w:val="center"/>
              <w:rPr>
                <w:sz w:val="21"/>
                <w:szCs w:val="21"/>
              </w:rPr>
            </w:pPr>
            <w:r>
              <w:rPr>
                <w:rFonts w:hint="eastAsia"/>
                <w:sz w:val="21"/>
                <w:szCs w:val="21"/>
              </w:rPr>
              <w:t>11.95</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6"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93" w:type="pct"/>
            <w:vMerge w:val="continue"/>
            <w:tcBorders>
              <w:right w:val="single" w:color="auto" w:sz="4" w:space="0"/>
            </w:tcBorders>
            <w:vAlign w:val="center"/>
          </w:tcPr>
          <w:p>
            <w:pPr>
              <w:tabs>
                <w:tab w:val="left" w:pos="1008"/>
              </w:tabs>
              <w:spacing w:line="260" w:lineRule="exact"/>
              <w:ind w:firstLine="0" w:firstLineChars="0"/>
              <w:jc w:val="center"/>
              <w:rPr>
                <w:b/>
                <w:bCs/>
                <w:sz w:val="21"/>
                <w:szCs w:val="21"/>
              </w:rPr>
            </w:pPr>
          </w:p>
        </w:tc>
        <w:tc>
          <w:tcPr>
            <w:tcW w:w="179" w:type="pct"/>
            <w:vMerge w:val="continue"/>
            <w:tcBorders>
              <w:left w:val="single" w:color="auto" w:sz="4" w:space="0"/>
            </w:tcBorders>
            <w:vAlign w:val="center"/>
          </w:tcPr>
          <w:p>
            <w:pPr>
              <w:tabs>
                <w:tab w:val="left" w:pos="1008"/>
              </w:tabs>
              <w:spacing w:line="260" w:lineRule="exact"/>
              <w:ind w:firstLine="0" w:firstLineChars="0"/>
              <w:jc w:val="center"/>
              <w:rPr>
                <w:b/>
                <w:bCs/>
                <w:sz w:val="21"/>
                <w:szCs w:val="21"/>
              </w:rPr>
            </w:pPr>
          </w:p>
        </w:tc>
        <w:tc>
          <w:tcPr>
            <w:tcW w:w="1060" w:type="pct"/>
            <w:gridSpan w:val="2"/>
            <w:tcBorders>
              <w:top w:val="single" w:color="auto" w:sz="4" w:space="0"/>
            </w:tcBorders>
            <w:vAlign w:val="center"/>
          </w:tcPr>
          <w:p>
            <w:pPr>
              <w:tabs>
                <w:tab w:val="left" w:pos="1008"/>
              </w:tabs>
              <w:spacing w:line="260" w:lineRule="exact"/>
              <w:ind w:firstLine="0" w:firstLineChars="0"/>
              <w:jc w:val="center"/>
              <w:rPr>
                <w:sz w:val="21"/>
                <w:szCs w:val="21"/>
              </w:rPr>
            </w:pPr>
            <w:r>
              <w:rPr>
                <w:b/>
                <w:bCs/>
              </w:rPr>
              <w:t>小计</w:t>
            </w:r>
          </w:p>
        </w:tc>
        <w:tc>
          <w:tcPr>
            <w:tcW w:w="444" w:type="pct"/>
            <w:tcBorders>
              <w:top w:val="single" w:color="auto" w:sz="4" w:space="0"/>
            </w:tcBorders>
            <w:vAlign w:val="center"/>
          </w:tcPr>
          <w:p>
            <w:pPr>
              <w:tabs>
                <w:tab w:val="left" w:pos="1008"/>
              </w:tabs>
              <w:spacing w:line="260" w:lineRule="exact"/>
              <w:ind w:firstLine="0" w:firstLineChars="0"/>
              <w:jc w:val="center"/>
              <w:rPr>
                <w:b/>
                <w:bCs/>
                <w:sz w:val="21"/>
                <w:szCs w:val="21"/>
              </w:rPr>
            </w:pPr>
            <w:r>
              <w:rPr>
                <w:rFonts w:hint="eastAsia"/>
                <w:b/>
                <w:bCs/>
                <w:sz w:val="21"/>
                <w:szCs w:val="21"/>
              </w:rPr>
              <w:t>266.81</w:t>
            </w:r>
          </w:p>
        </w:tc>
        <w:tc>
          <w:tcPr>
            <w:tcW w:w="497" w:type="pct"/>
            <w:tcBorders>
              <w:top w:val="single" w:color="auto" w:sz="4" w:space="0"/>
            </w:tcBorders>
            <w:vAlign w:val="center"/>
          </w:tcPr>
          <w:p>
            <w:pPr>
              <w:pStyle w:val="99"/>
              <w:spacing w:line="260" w:lineRule="exact"/>
              <w:jc w:val="center"/>
              <w:rPr>
                <w:b/>
                <w:bCs/>
                <w:sz w:val="21"/>
                <w:szCs w:val="21"/>
              </w:rPr>
            </w:pPr>
          </w:p>
        </w:tc>
        <w:tc>
          <w:tcPr>
            <w:tcW w:w="510" w:type="pct"/>
            <w:tcBorders>
              <w:top w:val="single" w:color="auto" w:sz="4" w:space="0"/>
            </w:tcBorders>
            <w:vAlign w:val="center"/>
          </w:tcPr>
          <w:p>
            <w:pPr>
              <w:tabs>
                <w:tab w:val="left" w:pos="1050"/>
              </w:tabs>
              <w:spacing w:line="260" w:lineRule="exact"/>
              <w:ind w:firstLine="0" w:firstLineChars="0"/>
              <w:jc w:val="center"/>
              <w:rPr>
                <w:b/>
                <w:bCs/>
                <w:sz w:val="21"/>
                <w:szCs w:val="21"/>
              </w:rPr>
            </w:pPr>
            <w:r>
              <w:rPr>
                <w:rFonts w:hint="eastAsia"/>
                <w:b/>
                <w:bCs/>
                <w:sz w:val="21"/>
                <w:szCs w:val="21"/>
              </w:rPr>
              <w:t>80.15</w:t>
            </w:r>
          </w:p>
        </w:tc>
        <w:tc>
          <w:tcPr>
            <w:tcW w:w="475" w:type="pct"/>
            <w:tcBorders>
              <w:top w:val="single" w:color="auto" w:sz="4" w:space="0"/>
            </w:tcBorders>
            <w:vAlign w:val="center"/>
          </w:tcPr>
          <w:p>
            <w:pPr>
              <w:tabs>
                <w:tab w:val="left" w:pos="1050"/>
              </w:tabs>
              <w:spacing w:line="260" w:lineRule="exact"/>
              <w:ind w:firstLine="0" w:firstLineChars="0"/>
              <w:jc w:val="center"/>
              <w:rPr>
                <w:b/>
                <w:bCs/>
                <w:sz w:val="21"/>
                <w:szCs w:val="21"/>
              </w:rPr>
            </w:pPr>
            <w:r>
              <w:rPr>
                <w:b/>
                <w:bCs/>
                <w:sz w:val="21"/>
                <w:szCs w:val="21"/>
              </w:rPr>
              <w:t>37.45</w:t>
            </w:r>
          </w:p>
        </w:tc>
        <w:tc>
          <w:tcPr>
            <w:tcW w:w="430" w:type="pct"/>
            <w:tcBorders>
              <w:top w:val="single" w:color="auto" w:sz="4" w:space="0"/>
            </w:tcBorders>
            <w:vAlign w:val="center"/>
          </w:tcPr>
          <w:p>
            <w:pPr>
              <w:tabs>
                <w:tab w:val="left" w:pos="1050"/>
              </w:tabs>
              <w:spacing w:line="260" w:lineRule="exact"/>
              <w:ind w:firstLine="0" w:firstLineChars="0"/>
              <w:jc w:val="center"/>
              <w:rPr>
                <w:b/>
                <w:bCs/>
                <w:sz w:val="21"/>
                <w:szCs w:val="21"/>
              </w:rPr>
            </w:pPr>
          </w:p>
        </w:tc>
        <w:tc>
          <w:tcPr>
            <w:tcW w:w="459" w:type="pct"/>
            <w:tcBorders>
              <w:top w:val="single" w:color="auto" w:sz="4" w:space="0"/>
            </w:tcBorders>
            <w:vAlign w:val="center"/>
          </w:tcPr>
          <w:p>
            <w:pPr>
              <w:tabs>
                <w:tab w:val="left" w:pos="1050"/>
              </w:tabs>
              <w:spacing w:line="260" w:lineRule="exact"/>
              <w:ind w:firstLine="0" w:firstLineChars="0"/>
              <w:jc w:val="center"/>
              <w:rPr>
                <w:b/>
                <w:bCs/>
                <w:sz w:val="21"/>
                <w:szCs w:val="21"/>
              </w:rPr>
            </w:pPr>
            <w:r>
              <w:rPr>
                <w:rFonts w:hint="eastAsia"/>
                <w:b/>
                <w:bCs/>
                <w:sz w:val="21"/>
                <w:szCs w:val="21"/>
              </w:rPr>
              <w:t>24.28</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5" w:hRule="atLeast"/>
        </w:trPr>
        <w:tc>
          <w:tcPr>
            <w:tcW w:w="327" w:type="pct"/>
            <w:vMerge w:val="continue"/>
            <w:vAlign w:val="center"/>
          </w:tcPr>
          <w:p>
            <w:pPr>
              <w:tabs>
                <w:tab w:val="left" w:pos="1008"/>
              </w:tabs>
              <w:spacing w:line="260" w:lineRule="exact"/>
              <w:ind w:firstLine="0" w:firstLineChars="0"/>
              <w:jc w:val="center"/>
              <w:rPr>
                <w:sz w:val="21"/>
                <w:szCs w:val="21"/>
              </w:rPr>
            </w:pPr>
          </w:p>
        </w:tc>
        <w:tc>
          <w:tcPr>
            <w:tcW w:w="1432" w:type="pct"/>
            <w:gridSpan w:val="4"/>
            <w:vAlign w:val="center"/>
          </w:tcPr>
          <w:p>
            <w:pPr>
              <w:tabs>
                <w:tab w:val="left" w:pos="1008"/>
              </w:tabs>
              <w:spacing w:line="260" w:lineRule="exact"/>
              <w:ind w:firstLine="0" w:firstLineChars="0"/>
              <w:jc w:val="center"/>
              <w:rPr>
                <w:b/>
                <w:bCs/>
                <w:sz w:val="21"/>
                <w:szCs w:val="21"/>
              </w:rPr>
            </w:pPr>
            <w:r>
              <w:rPr>
                <w:b/>
                <w:bCs/>
                <w:sz w:val="21"/>
                <w:szCs w:val="21"/>
              </w:rPr>
              <w:t>合计</w:t>
            </w:r>
          </w:p>
        </w:tc>
        <w:tc>
          <w:tcPr>
            <w:tcW w:w="444" w:type="pct"/>
            <w:vAlign w:val="center"/>
          </w:tcPr>
          <w:p>
            <w:pPr>
              <w:tabs>
                <w:tab w:val="left" w:pos="1008"/>
              </w:tabs>
              <w:spacing w:line="260" w:lineRule="exact"/>
              <w:ind w:firstLine="0" w:firstLineChars="0"/>
              <w:jc w:val="center"/>
              <w:rPr>
                <w:b/>
                <w:bCs/>
                <w:sz w:val="21"/>
                <w:szCs w:val="21"/>
              </w:rPr>
            </w:pPr>
            <w:r>
              <w:rPr>
                <w:rFonts w:hint="eastAsia"/>
                <w:b/>
                <w:bCs/>
                <w:sz w:val="21"/>
                <w:szCs w:val="21"/>
              </w:rPr>
              <w:t>282.57</w:t>
            </w:r>
          </w:p>
        </w:tc>
        <w:tc>
          <w:tcPr>
            <w:tcW w:w="497" w:type="pct"/>
            <w:vAlign w:val="center"/>
          </w:tcPr>
          <w:p>
            <w:pPr>
              <w:pStyle w:val="99"/>
              <w:spacing w:line="260" w:lineRule="exact"/>
              <w:jc w:val="center"/>
              <w:rPr>
                <w:b/>
                <w:bCs/>
                <w:sz w:val="21"/>
                <w:szCs w:val="21"/>
              </w:rPr>
            </w:pPr>
          </w:p>
        </w:tc>
        <w:tc>
          <w:tcPr>
            <w:tcW w:w="510" w:type="pct"/>
            <w:vAlign w:val="center"/>
          </w:tcPr>
          <w:p>
            <w:pPr>
              <w:tabs>
                <w:tab w:val="left" w:pos="1050"/>
              </w:tabs>
              <w:spacing w:line="260" w:lineRule="exact"/>
              <w:ind w:firstLine="0" w:firstLineChars="0"/>
              <w:jc w:val="center"/>
              <w:rPr>
                <w:b/>
                <w:bCs/>
                <w:sz w:val="21"/>
                <w:szCs w:val="21"/>
              </w:rPr>
            </w:pPr>
            <w:r>
              <w:rPr>
                <w:rFonts w:hint="eastAsia"/>
                <w:b/>
                <w:bCs/>
                <w:sz w:val="21"/>
                <w:szCs w:val="21"/>
              </w:rPr>
              <w:t>84.09</w:t>
            </w:r>
          </w:p>
        </w:tc>
        <w:tc>
          <w:tcPr>
            <w:tcW w:w="475" w:type="pct"/>
            <w:vAlign w:val="center"/>
          </w:tcPr>
          <w:p>
            <w:pPr>
              <w:tabs>
                <w:tab w:val="left" w:pos="1050"/>
              </w:tabs>
              <w:spacing w:line="260" w:lineRule="exact"/>
              <w:ind w:firstLine="0" w:firstLineChars="0"/>
              <w:jc w:val="center"/>
              <w:rPr>
                <w:b/>
                <w:bCs/>
                <w:sz w:val="21"/>
                <w:szCs w:val="21"/>
              </w:rPr>
            </w:pPr>
            <w:r>
              <w:rPr>
                <w:b/>
                <w:bCs/>
                <w:sz w:val="21"/>
                <w:szCs w:val="21"/>
              </w:rPr>
              <w:t>50.23</w:t>
            </w:r>
          </w:p>
        </w:tc>
        <w:tc>
          <w:tcPr>
            <w:tcW w:w="430" w:type="pct"/>
            <w:vAlign w:val="center"/>
          </w:tcPr>
          <w:p>
            <w:pPr>
              <w:tabs>
                <w:tab w:val="left" w:pos="1050"/>
              </w:tabs>
              <w:spacing w:line="260" w:lineRule="exact"/>
              <w:ind w:firstLine="0" w:firstLineChars="0"/>
              <w:jc w:val="center"/>
              <w:rPr>
                <w:b/>
                <w:bCs/>
                <w:sz w:val="21"/>
                <w:szCs w:val="21"/>
              </w:rPr>
            </w:pPr>
          </w:p>
        </w:tc>
        <w:tc>
          <w:tcPr>
            <w:tcW w:w="459" w:type="pct"/>
            <w:vAlign w:val="center"/>
          </w:tcPr>
          <w:p>
            <w:pPr>
              <w:tabs>
                <w:tab w:val="left" w:pos="1050"/>
              </w:tabs>
              <w:spacing w:line="260" w:lineRule="exact"/>
              <w:ind w:firstLine="0" w:firstLineChars="0"/>
              <w:jc w:val="center"/>
              <w:rPr>
                <w:b/>
                <w:bCs/>
                <w:sz w:val="21"/>
                <w:szCs w:val="21"/>
              </w:rPr>
            </w:pPr>
            <w:r>
              <w:rPr>
                <w:rFonts w:hint="eastAsia"/>
                <w:b/>
                <w:bCs/>
                <w:sz w:val="21"/>
                <w:szCs w:val="21"/>
              </w:rPr>
              <w:t>30.63</w:t>
            </w:r>
          </w:p>
        </w:tc>
        <w:tc>
          <w:tcPr>
            <w:tcW w:w="424" w:type="pct"/>
            <w:vMerge w:val="continue"/>
            <w:vAlign w:val="center"/>
          </w:tcPr>
          <w:p>
            <w:pPr>
              <w:tabs>
                <w:tab w:val="left" w:pos="1050"/>
              </w:tabs>
              <w:spacing w:line="260" w:lineRule="exact"/>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5" w:hRule="atLeast"/>
        </w:trPr>
        <w:tc>
          <w:tcPr>
            <w:tcW w:w="1760" w:type="pct"/>
            <w:gridSpan w:val="5"/>
            <w:vAlign w:val="center"/>
          </w:tcPr>
          <w:p>
            <w:pPr>
              <w:tabs>
                <w:tab w:val="left" w:pos="1008"/>
              </w:tabs>
              <w:spacing w:line="260" w:lineRule="exact"/>
              <w:ind w:firstLine="0" w:firstLineChars="0"/>
              <w:jc w:val="center"/>
              <w:rPr>
                <w:b/>
                <w:bCs/>
                <w:sz w:val="21"/>
                <w:szCs w:val="21"/>
              </w:rPr>
            </w:pPr>
            <w:r>
              <w:rPr>
                <w:b/>
                <w:bCs/>
                <w:sz w:val="21"/>
                <w:szCs w:val="21"/>
              </w:rPr>
              <w:t>总计</w:t>
            </w:r>
          </w:p>
        </w:tc>
        <w:tc>
          <w:tcPr>
            <w:tcW w:w="444" w:type="pct"/>
            <w:vAlign w:val="center"/>
          </w:tcPr>
          <w:p>
            <w:pPr>
              <w:tabs>
                <w:tab w:val="left" w:pos="1008"/>
              </w:tabs>
              <w:spacing w:line="260" w:lineRule="exact"/>
              <w:ind w:firstLine="0" w:firstLineChars="0"/>
              <w:jc w:val="center"/>
              <w:rPr>
                <w:b/>
                <w:bCs/>
                <w:sz w:val="21"/>
                <w:szCs w:val="21"/>
              </w:rPr>
            </w:pPr>
            <w:r>
              <w:rPr>
                <w:rFonts w:hint="eastAsia"/>
                <w:b/>
                <w:bCs/>
                <w:sz w:val="21"/>
                <w:szCs w:val="21"/>
              </w:rPr>
              <w:t>562.61</w:t>
            </w:r>
          </w:p>
        </w:tc>
        <w:tc>
          <w:tcPr>
            <w:tcW w:w="497" w:type="pct"/>
            <w:vAlign w:val="center"/>
          </w:tcPr>
          <w:p>
            <w:pPr>
              <w:pStyle w:val="99"/>
              <w:spacing w:line="260" w:lineRule="exact"/>
              <w:jc w:val="center"/>
              <w:rPr>
                <w:b/>
                <w:bCs/>
                <w:sz w:val="21"/>
                <w:szCs w:val="21"/>
              </w:rPr>
            </w:pPr>
          </w:p>
        </w:tc>
        <w:tc>
          <w:tcPr>
            <w:tcW w:w="510" w:type="pct"/>
            <w:vAlign w:val="center"/>
          </w:tcPr>
          <w:p>
            <w:pPr>
              <w:tabs>
                <w:tab w:val="left" w:pos="1050"/>
              </w:tabs>
              <w:spacing w:line="260" w:lineRule="exact"/>
              <w:ind w:firstLine="0" w:firstLineChars="0"/>
              <w:jc w:val="center"/>
              <w:rPr>
                <w:b/>
                <w:bCs/>
                <w:sz w:val="21"/>
                <w:szCs w:val="21"/>
              </w:rPr>
            </w:pPr>
            <w:r>
              <w:rPr>
                <w:rFonts w:hint="eastAsia"/>
                <w:b/>
                <w:bCs/>
                <w:sz w:val="21"/>
                <w:szCs w:val="21"/>
              </w:rPr>
              <w:t>165.35</w:t>
            </w:r>
          </w:p>
        </w:tc>
        <w:tc>
          <w:tcPr>
            <w:tcW w:w="475" w:type="pct"/>
            <w:vAlign w:val="center"/>
          </w:tcPr>
          <w:p>
            <w:pPr>
              <w:tabs>
                <w:tab w:val="left" w:pos="1050"/>
              </w:tabs>
              <w:spacing w:line="260" w:lineRule="exact"/>
              <w:ind w:firstLine="0" w:firstLineChars="0"/>
              <w:jc w:val="center"/>
              <w:rPr>
                <w:b/>
                <w:bCs/>
                <w:sz w:val="21"/>
                <w:szCs w:val="21"/>
              </w:rPr>
            </w:pPr>
            <w:r>
              <w:rPr>
                <w:b/>
                <w:bCs/>
                <w:sz w:val="21"/>
                <w:szCs w:val="21"/>
              </w:rPr>
              <w:t>171.09</w:t>
            </w:r>
          </w:p>
        </w:tc>
        <w:tc>
          <w:tcPr>
            <w:tcW w:w="430" w:type="pct"/>
            <w:vAlign w:val="center"/>
          </w:tcPr>
          <w:p>
            <w:pPr>
              <w:tabs>
                <w:tab w:val="left" w:pos="1050"/>
              </w:tabs>
              <w:spacing w:line="260" w:lineRule="exact"/>
              <w:ind w:firstLine="0" w:firstLineChars="0"/>
              <w:jc w:val="center"/>
              <w:rPr>
                <w:b/>
                <w:bCs/>
                <w:sz w:val="21"/>
                <w:szCs w:val="21"/>
              </w:rPr>
            </w:pPr>
          </w:p>
        </w:tc>
        <w:tc>
          <w:tcPr>
            <w:tcW w:w="459" w:type="pct"/>
            <w:vAlign w:val="center"/>
          </w:tcPr>
          <w:p>
            <w:pPr>
              <w:tabs>
                <w:tab w:val="left" w:pos="1050"/>
              </w:tabs>
              <w:spacing w:line="260" w:lineRule="exact"/>
              <w:ind w:firstLine="0" w:firstLineChars="0"/>
              <w:jc w:val="center"/>
              <w:rPr>
                <w:b/>
                <w:bCs/>
                <w:sz w:val="21"/>
                <w:szCs w:val="21"/>
              </w:rPr>
            </w:pPr>
            <w:r>
              <w:rPr>
                <w:rFonts w:hint="eastAsia"/>
                <w:b/>
                <w:bCs/>
                <w:sz w:val="21"/>
                <w:szCs w:val="21"/>
              </w:rPr>
              <w:t>165.35</w:t>
            </w:r>
          </w:p>
        </w:tc>
        <w:tc>
          <w:tcPr>
            <w:tcW w:w="424" w:type="pct"/>
            <w:vAlign w:val="center"/>
          </w:tcPr>
          <w:p>
            <w:pPr>
              <w:tabs>
                <w:tab w:val="left" w:pos="1050"/>
              </w:tabs>
              <w:spacing w:line="260" w:lineRule="exact"/>
              <w:ind w:firstLine="0" w:firstLineChars="0"/>
              <w:jc w:val="center"/>
              <w:rPr>
                <w:b/>
                <w:bCs/>
                <w:sz w:val="21"/>
                <w:szCs w:val="21"/>
              </w:rPr>
            </w:pPr>
          </w:p>
        </w:tc>
      </w:tr>
    </w:tbl>
    <w:p>
      <w:pPr>
        <w:keepNext/>
        <w:keepLines/>
        <w:spacing w:beforeLines="50"/>
        <w:ind w:firstLine="480"/>
        <w:sectPr>
          <w:pgSz w:w="16838" w:h="11905" w:orient="landscape"/>
          <w:pgMar w:top="1417" w:right="1417" w:bottom="1417" w:left="1417" w:header="850" w:footer="992" w:gutter="0"/>
          <w:cols w:space="720" w:num="1"/>
          <w:docGrid w:linePitch="312" w:charSpace="0"/>
        </w:sectPr>
      </w:pPr>
    </w:p>
    <w:p>
      <w:pPr>
        <w:pStyle w:val="7"/>
        <w:spacing w:beforeLines="50"/>
      </w:pPr>
      <w:r>
        <w:t>2.4.2.4表土堆存及调配规划</w:t>
      </w:r>
    </w:p>
    <w:p>
      <w:pPr>
        <w:ind w:firstLine="480"/>
      </w:pPr>
      <w:r>
        <w:t>根据规划分析，表土剥离可满足本园区的需要，不需要外借表土。本园区剥离后的表土可集中堆放至本报告规划的6处表土临时中转场中，尽量减少大范围转移，表土中转场布置编织袋临时挡护、密目网苫盖、截排水等措施。园区工程剥离表土施工期结束后实施阶段性回覆、绿化等。表土资源主要分布在各个地块范围内，其表土资源利用最大的区域主要集中在生态防护区，因此各个地块的表土资源在场平过程中，先进行集中堆放再进行回覆，在后续园区开发建设中由于园区管委会统一进行调配。</w:t>
      </w:r>
    </w:p>
    <w:p>
      <w:pPr>
        <w:pStyle w:val="6"/>
        <w:spacing w:beforeLines="50"/>
      </w:pPr>
      <w:r>
        <w:t>2.4.3土石方平衡</w:t>
      </w:r>
    </w:p>
    <w:p>
      <w:pPr>
        <w:pStyle w:val="7"/>
      </w:pPr>
      <w:r>
        <w:t>2.4.3.1园区场地竖向规划</w:t>
      </w:r>
    </w:p>
    <w:p>
      <w:pPr>
        <w:ind w:firstLine="480"/>
      </w:pPr>
      <w:r>
        <w:t>园区现状地形较为复杂，多深丘、低山，整体呈北高南低、中间高两侧低的态势，由岷江河向山地逐步增加，园区地势北高南低，东西两部向中部倾斜。最低海拔为286米，最高海拔为506米。海拔在340m~420m之间的用地，占总面积的86%。</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adjustRightInd w:val="0"/>
              <w:snapToGrid w:val="0"/>
              <w:spacing w:line="240" w:lineRule="auto"/>
              <w:ind w:firstLine="0" w:firstLineChars="0"/>
              <w:jc w:val="center"/>
              <w:rPr>
                <w:b/>
                <w:bCs/>
                <w:sz w:val="21"/>
                <w:szCs w:val="21"/>
              </w:rPr>
            </w:pPr>
            <w:r>
              <w:drawing>
                <wp:inline distT="0" distB="0" distL="114300" distR="114300">
                  <wp:extent cx="5759450" cy="4072255"/>
                  <wp:effectExtent l="0" t="0" r="12700" b="4445"/>
                  <wp:docPr id="47"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1"/>
                          <pic:cNvPicPr>
                            <a:picLocks noChangeAspect="1"/>
                          </pic:cNvPicPr>
                        </pic:nvPicPr>
                        <pic:blipFill>
                          <a:blip r:embed="rId138"/>
                          <a:stretch>
                            <a:fillRect/>
                          </a:stretch>
                        </pic:blipFill>
                        <pic:spPr>
                          <a:xfrm>
                            <a:off x="0" y="0"/>
                            <a:ext cx="5759450" cy="407225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adjustRightInd w:val="0"/>
              <w:snapToGrid w:val="0"/>
              <w:spacing w:line="240" w:lineRule="auto"/>
              <w:ind w:firstLine="0" w:firstLineChars="0"/>
              <w:jc w:val="center"/>
              <w:rPr>
                <w:b/>
                <w:bCs/>
                <w:sz w:val="21"/>
                <w:szCs w:val="21"/>
              </w:rPr>
            </w:pPr>
            <w:r>
              <w:rPr>
                <w:b/>
                <w:bCs/>
                <w:sz w:val="21"/>
                <w:szCs w:val="21"/>
              </w:rPr>
              <w:t>图2.4-</w:t>
            </w:r>
            <w:r>
              <w:rPr>
                <w:rFonts w:hint="eastAsia"/>
                <w:b/>
                <w:bCs/>
                <w:sz w:val="21"/>
                <w:szCs w:val="21"/>
              </w:rPr>
              <w:t>5</w:t>
            </w:r>
            <w:r>
              <w:rPr>
                <w:b/>
                <w:bCs/>
                <w:sz w:val="21"/>
                <w:szCs w:val="21"/>
              </w:rPr>
              <w:t>园区高程分析图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adjustRightInd w:val="0"/>
              <w:snapToGrid w:val="0"/>
              <w:spacing w:line="240" w:lineRule="auto"/>
              <w:ind w:firstLine="0" w:firstLineChars="0"/>
              <w:jc w:val="center"/>
              <w:rPr>
                <w:b/>
                <w:bCs/>
                <w:sz w:val="21"/>
                <w:szCs w:val="21"/>
              </w:rPr>
            </w:pPr>
            <w:r>
              <w:drawing>
                <wp:inline distT="0" distB="0" distL="114300" distR="114300">
                  <wp:extent cx="5757545" cy="4075430"/>
                  <wp:effectExtent l="0" t="0" r="14605" b="1270"/>
                  <wp:docPr id="4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2"/>
                          <pic:cNvPicPr>
                            <a:picLocks noChangeAspect="1"/>
                          </pic:cNvPicPr>
                        </pic:nvPicPr>
                        <pic:blipFill>
                          <a:blip r:embed="rId139"/>
                          <a:stretch>
                            <a:fillRect/>
                          </a:stretch>
                        </pic:blipFill>
                        <pic:spPr>
                          <a:xfrm>
                            <a:off x="0" y="0"/>
                            <a:ext cx="5757545" cy="407543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adjustRightInd w:val="0"/>
              <w:snapToGrid w:val="0"/>
              <w:spacing w:line="240" w:lineRule="auto"/>
              <w:ind w:firstLine="0" w:firstLineChars="0"/>
              <w:jc w:val="center"/>
              <w:rPr>
                <w:b/>
                <w:bCs/>
                <w:sz w:val="21"/>
                <w:szCs w:val="21"/>
              </w:rPr>
            </w:pPr>
            <w:r>
              <w:rPr>
                <w:b/>
                <w:bCs/>
                <w:sz w:val="21"/>
                <w:szCs w:val="21"/>
              </w:rPr>
              <w:t>图2.4-</w:t>
            </w:r>
            <w:r>
              <w:rPr>
                <w:rFonts w:hint="eastAsia"/>
                <w:b/>
                <w:bCs/>
                <w:sz w:val="21"/>
                <w:szCs w:val="21"/>
              </w:rPr>
              <w:t>6</w:t>
            </w:r>
            <w:r>
              <w:rPr>
                <w:b/>
                <w:bCs/>
                <w:sz w:val="21"/>
                <w:szCs w:val="21"/>
              </w:rPr>
              <w:t>园区坡度分析图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adjustRightInd w:val="0"/>
              <w:snapToGrid w:val="0"/>
              <w:spacing w:line="240" w:lineRule="auto"/>
              <w:ind w:firstLine="0" w:firstLineChars="0"/>
              <w:jc w:val="center"/>
              <w:rPr>
                <w:b/>
                <w:bCs/>
                <w:sz w:val="21"/>
                <w:szCs w:val="21"/>
              </w:rPr>
            </w:pPr>
            <w:r>
              <w:drawing>
                <wp:inline distT="0" distB="0" distL="114300" distR="114300">
                  <wp:extent cx="5755005" cy="4070985"/>
                  <wp:effectExtent l="0" t="0" r="17145" b="5715"/>
                  <wp:docPr id="52"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3"/>
                          <pic:cNvPicPr>
                            <a:picLocks noChangeAspect="1"/>
                          </pic:cNvPicPr>
                        </pic:nvPicPr>
                        <pic:blipFill>
                          <a:blip r:embed="rId140"/>
                          <a:stretch>
                            <a:fillRect/>
                          </a:stretch>
                        </pic:blipFill>
                        <pic:spPr>
                          <a:xfrm>
                            <a:off x="0" y="0"/>
                            <a:ext cx="5755005" cy="40709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9287" w:type="dxa"/>
            <w:vAlign w:val="center"/>
          </w:tcPr>
          <w:p>
            <w:pPr>
              <w:adjustRightInd w:val="0"/>
              <w:snapToGrid w:val="0"/>
              <w:spacing w:line="240" w:lineRule="auto"/>
              <w:ind w:firstLine="0" w:firstLineChars="0"/>
              <w:jc w:val="center"/>
              <w:rPr>
                <w:b/>
                <w:bCs/>
                <w:sz w:val="21"/>
                <w:szCs w:val="21"/>
              </w:rPr>
            </w:pPr>
            <w:r>
              <w:rPr>
                <w:b/>
                <w:bCs/>
                <w:sz w:val="21"/>
                <w:szCs w:val="21"/>
              </w:rPr>
              <w:t>图2.4-</w:t>
            </w:r>
            <w:r>
              <w:rPr>
                <w:rFonts w:hint="eastAsia"/>
                <w:b/>
                <w:bCs/>
                <w:sz w:val="21"/>
                <w:szCs w:val="21"/>
              </w:rPr>
              <w:t>7</w:t>
            </w:r>
            <w:r>
              <w:rPr>
                <w:b/>
                <w:bCs/>
                <w:sz w:val="21"/>
                <w:szCs w:val="21"/>
              </w:rPr>
              <w:t>园区三维地形分析图</w:t>
            </w:r>
          </w:p>
        </w:tc>
      </w:tr>
    </w:tbl>
    <w:p>
      <w:pPr>
        <w:ind w:firstLine="480"/>
      </w:pPr>
      <w:r>
        <w:t>根据地形矢量数据分析，园区内通过道路分割，在各个片区地块范围高程不一，结合园区范围内的地势，近期建设区及远期开发建设区北部区域主要为浅丘为主，少量为平地，地势起伏较大，因此该区域地块范围高程控制均高于路面高程5~10m，近期建设区南侧片区地块多为平地地貌，地势相对平缓，因此高程控制基本与道路高程持平。</w:t>
      </w:r>
    </w:p>
    <w:p>
      <w:pPr>
        <w:pStyle w:val="7"/>
      </w:pPr>
      <w:r>
        <w:t>2.4.3.2已批复项目土石方平衡</w:t>
      </w:r>
    </w:p>
    <w:p>
      <w:pPr>
        <w:ind w:firstLine="480"/>
      </w:pPr>
      <w:r>
        <w:t>根据翻阅园区内已批复项目的水土保持方案及水土保持设施验收报告，园区范围内已批复项目8个。已批复项目土石方开挖量为227.37万m</w:t>
      </w:r>
      <w:r>
        <w:rPr>
          <w:vertAlign w:val="superscript"/>
        </w:rPr>
        <w:t>3</w:t>
      </w:r>
      <w:r>
        <w:t>，回填量为212.22万m</w:t>
      </w:r>
      <w:r>
        <w:rPr>
          <w:vertAlign w:val="superscript"/>
        </w:rPr>
        <w:t>3</w:t>
      </w:r>
      <w:r>
        <w:t>，余方均用于园区地块场平使用。共计扰动地表面积为451.47hm</w:t>
      </w:r>
      <w:r>
        <w:rPr>
          <w:vertAlign w:val="superscript"/>
        </w:rPr>
        <w:t>2</w:t>
      </w:r>
      <w:r>
        <w:t>。</w:t>
      </w:r>
    </w:p>
    <w:p>
      <w:pPr>
        <w:ind w:firstLine="480"/>
      </w:pPr>
      <w:r>
        <w:t>园区内已批复项目土石方挖填量及调运情况详见表2.4-4。</w:t>
      </w:r>
    </w:p>
    <w:p>
      <w:pPr>
        <w:ind w:firstLine="0" w:firstLineChars="0"/>
        <w:jc w:val="center"/>
        <w:rPr>
          <w:b/>
          <w:bCs/>
        </w:rPr>
        <w:sectPr>
          <w:pgSz w:w="11905" w:h="16838"/>
          <w:pgMar w:top="1417" w:right="1417" w:bottom="1417" w:left="1417" w:header="850" w:footer="992" w:gutter="0"/>
          <w:cols w:space="720" w:num="1"/>
          <w:docGrid w:linePitch="312" w:charSpace="0"/>
        </w:sectPr>
      </w:pPr>
    </w:p>
    <w:p>
      <w:pPr>
        <w:ind w:firstLine="0" w:firstLineChars="0"/>
        <w:jc w:val="center"/>
      </w:pPr>
      <w:r>
        <w:rPr>
          <w:b/>
          <w:bCs/>
        </w:rPr>
        <w:t>表2.4-4园区内已批复项目土石方挖填量及调运情况一览表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26"/>
        <w:gridCol w:w="725"/>
        <w:gridCol w:w="2398"/>
        <w:gridCol w:w="1079"/>
        <w:gridCol w:w="1047"/>
        <w:gridCol w:w="1207"/>
        <w:gridCol w:w="1295"/>
        <w:gridCol w:w="1377"/>
        <w:gridCol w:w="1969"/>
        <w:gridCol w:w="269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6" w:hRule="atLeast"/>
          <w:tblHeader/>
        </w:trPr>
        <w:tc>
          <w:tcPr>
            <w:tcW w:w="391" w:type="pct"/>
            <w:gridSpan w:val="2"/>
            <w:vMerge w:val="restart"/>
            <w:vAlign w:val="center"/>
          </w:tcPr>
          <w:p>
            <w:pPr>
              <w:spacing w:line="240" w:lineRule="auto"/>
              <w:ind w:firstLine="0" w:firstLineChars="0"/>
              <w:jc w:val="center"/>
              <w:rPr>
                <w:b/>
                <w:bCs/>
                <w:sz w:val="21"/>
                <w:szCs w:val="21"/>
              </w:rPr>
            </w:pPr>
            <w:r>
              <w:rPr>
                <w:b/>
                <w:bCs/>
                <w:sz w:val="21"/>
                <w:szCs w:val="21"/>
              </w:rPr>
              <w:t>项目分区</w:t>
            </w:r>
          </w:p>
        </w:tc>
        <w:tc>
          <w:tcPr>
            <w:tcW w:w="845" w:type="pct"/>
            <w:vMerge w:val="restart"/>
            <w:vAlign w:val="center"/>
          </w:tcPr>
          <w:p>
            <w:pPr>
              <w:spacing w:line="240" w:lineRule="auto"/>
              <w:ind w:firstLine="0" w:firstLineChars="0"/>
              <w:jc w:val="center"/>
              <w:rPr>
                <w:b/>
                <w:bCs/>
                <w:sz w:val="21"/>
                <w:szCs w:val="21"/>
              </w:rPr>
            </w:pPr>
            <w:r>
              <w:rPr>
                <w:b/>
                <w:bCs/>
                <w:sz w:val="21"/>
                <w:szCs w:val="21"/>
              </w:rPr>
              <w:t>建设内容</w:t>
            </w:r>
          </w:p>
        </w:tc>
        <w:tc>
          <w:tcPr>
            <w:tcW w:w="381" w:type="pct"/>
            <w:vMerge w:val="restart"/>
            <w:vAlign w:val="center"/>
          </w:tcPr>
          <w:p>
            <w:pPr>
              <w:spacing w:line="240" w:lineRule="auto"/>
              <w:ind w:firstLine="0" w:firstLineChars="0"/>
              <w:jc w:val="center"/>
              <w:rPr>
                <w:b/>
                <w:bCs/>
                <w:sz w:val="21"/>
                <w:szCs w:val="21"/>
              </w:rPr>
            </w:pPr>
            <w:r>
              <w:rPr>
                <w:b/>
                <w:bCs/>
                <w:sz w:val="21"/>
                <w:szCs w:val="21"/>
              </w:rPr>
              <w:t>占地面积（hm</w:t>
            </w:r>
            <w:r>
              <w:rPr>
                <w:b/>
                <w:bCs/>
                <w:sz w:val="21"/>
                <w:szCs w:val="21"/>
                <w:vertAlign w:val="superscript"/>
              </w:rPr>
              <w:t>2</w:t>
            </w:r>
            <w:r>
              <w:rPr>
                <w:b/>
                <w:bCs/>
                <w:sz w:val="21"/>
                <w:szCs w:val="21"/>
              </w:rPr>
              <w:t>）</w:t>
            </w:r>
          </w:p>
        </w:tc>
        <w:tc>
          <w:tcPr>
            <w:tcW w:w="370" w:type="pct"/>
            <w:vMerge w:val="restart"/>
            <w:vAlign w:val="center"/>
          </w:tcPr>
          <w:p>
            <w:pPr>
              <w:spacing w:line="240" w:lineRule="auto"/>
              <w:ind w:firstLine="0" w:firstLineChars="0"/>
              <w:jc w:val="center"/>
              <w:rPr>
                <w:b/>
                <w:bCs/>
                <w:sz w:val="21"/>
                <w:szCs w:val="21"/>
              </w:rPr>
            </w:pPr>
            <w:r>
              <w:rPr>
                <w:b/>
                <w:bCs/>
                <w:sz w:val="21"/>
                <w:szCs w:val="21"/>
              </w:rPr>
              <w:t>已扰动</w:t>
            </w:r>
          </w:p>
          <w:p>
            <w:pPr>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2063" w:type="pct"/>
            <w:gridSpan w:val="4"/>
            <w:vAlign w:val="center"/>
          </w:tcPr>
          <w:p>
            <w:pPr>
              <w:spacing w:line="240" w:lineRule="auto"/>
              <w:ind w:firstLine="0" w:firstLineChars="0"/>
              <w:jc w:val="center"/>
              <w:rPr>
                <w:b/>
                <w:bCs/>
                <w:sz w:val="21"/>
                <w:szCs w:val="21"/>
              </w:rPr>
            </w:pPr>
            <w:r>
              <w:rPr>
                <w:b/>
                <w:bCs/>
                <w:sz w:val="21"/>
                <w:szCs w:val="21"/>
              </w:rPr>
              <w:t>土石方（不含表土）</w:t>
            </w:r>
          </w:p>
        </w:tc>
        <w:tc>
          <w:tcPr>
            <w:tcW w:w="948" w:type="pct"/>
            <w:vMerge w:val="restart"/>
            <w:vAlign w:val="center"/>
          </w:tcPr>
          <w:p>
            <w:pPr>
              <w:spacing w:line="240" w:lineRule="auto"/>
              <w:ind w:firstLine="0" w:firstLineChars="0"/>
              <w:jc w:val="center"/>
              <w:rPr>
                <w:b/>
                <w:bCs/>
                <w:sz w:val="21"/>
                <w:szCs w:val="21"/>
              </w:rPr>
            </w:pPr>
            <w:r>
              <w:rPr>
                <w:b/>
                <w:bCs/>
                <w:sz w:val="21"/>
                <w:szCs w:val="21"/>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38" w:hRule="atLeast"/>
          <w:tblHeader/>
        </w:trPr>
        <w:tc>
          <w:tcPr>
            <w:tcW w:w="391" w:type="pct"/>
            <w:gridSpan w:val="2"/>
            <w:vMerge w:val="continue"/>
            <w:vAlign w:val="center"/>
          </w:tcPr>
          <w:p>
            <w:pPr>
              <w:spacing w:line="240" w:lineRule="auto"/>
              <w:ind w:firstLine="0" w:firstLineChars="0"/>
              <w:jc w:val="center"/>
              <w:rPr>
                <w:b/>
                <w:bCs/>
                <w:sz w:val="21"/>
                <w:szCs w:val="21"/>
              </w:rPr>
            </w:pPr>
          </w:p>
        </w:tc>
        <w:tc>
          <w:tcPr>
            <w:tcW w:w="845" w:type="pct"/>
            <w:vMerge w:val="continue"/>
            <w:vAlign w:val="center"/>
          </w:tcPr>
          <w:p>
            <w:pPr>
              <w:spacing w:line="240" w:lineRule="auto"/>
              <w:ind w:firstLine="0" w:firstLineChars="0"/>
              <w:jc w:val="center"/>
              <w:rPr>
                <w:b/>
                <w:bCs/>
                <w:sz w:val="21"/>
                <w:szCs w:val="21"/>
              </w:rPr>
            </w:pPr>
          </w:p>
        </w:tc>
        <w:tc>
          <w:tcPr>
            <w:tcW w:w="381" w:type="pct"/>
            <w:vMerge w:val="continue"/>
            <w:vAlign w:val="center"/>
          </w:tcPr>
          <w:p>
            <w:pPr>
              <w:spacing w:line="240" w:lineRule="auto"/>
              <w:ind w:firstLine="0" w:firstLineChars="0"/>
              <w:jc w:val="center"/>
              <w:rPr>
                <w:b/>
                <w:bCs/>
                <w:sz w:val="21"/>
                <w:szCs w:val="21"/>
              </w:rPr>
            </w:pPr>
          </w:p>
        </w:tc>
        <w:tc>
          <w:tcPr>
            <w:tcW w:w="370" w:type="pct"/>
            <w:vMerge w:val="continue"/>
            <w:vAlign w:val="center"/>
          </w:tcPr>
          <w:p>
            <w:pPr>
              <w:spacing w:line="240" w:lineRule="auto"/>
              <w:ind w:firstLine="0" w:firstLineChars="0"/>
              <w:jc w:val="center"/>
              <w:rPr>
                <w:b/>
                <w:bCs/>
                <w:sz w:val="21"/>
                <w:szCs w:val="21"/>
              </w:rPr>
            </w:pPr>
          </w:p>
        </w:tc>
        <w:tc>
          <w:tcPr>
            <w:tcW w:w="426" w:type="pct"/>
            <w:vAlign w:val="center"/>
          </w:tcPr>
          <w:p>
            <w:pPr>
              <w:spacing w:line="240" w:lineRule="auto"/>
              <w:ind w:firstLine="0" w:firstLineChars="0"/>
              <w:jc w:val="center"/>
              <w:rPr>
                <w:b/>
                <w:bCs/>
                <w:sz w:val="21"/>
                <w:szCs w:val="21"/>
              </w:rPr>
            </w:pPr>
            <w:r>
              <w:rPr>
                <w:b/>
                <w:bCs/>
                <w:sz w:val="21"/>
                <w:szCs w:val="21"/>
              </w:rPr>
              <w:t>挖方量</w:t>
            </w:r>
          </w:p>
          <w:p>
            <w:pPr>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457" w:type="pct"/>
            <w:vAlign w:val="center"/>
          </w:tcPr>
          <w:p>
            <w:pPr>
              <w:spacing w:line="240" w:lineRule="auto"/>
              <w:ind w:firstLine="0" w:firstLineChars="0"/>
              <w:jc w:val="center"/>
              <w:rPr>
                <w:b/>
                <w:bCs/>
                <w:sz w:val="21"/>
                <w:szCs w:val="21"/>
              </w:rPr>
            </w:pPr>
            <w:r>
              <w:rPr>
                <w:b/>
                <w:bCs/>
                <w:sz w:val="21"/>
                <w:szCs w:val="21"/>
              </w:rPr>
              <w:t>填方量</w:t>
            </w:r>
          </w:p>
          <w:p>
            <w:pPr>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486" w:type="pct"/>
            <w:vAlign w:val="center"/>
          </w:tcPr>
          <w:p>
            <w:pPr>
              <w:spacing w:line="240" w:lineRule="auto"/>
              <w:ind w:firstLine="0" w:firstLineChars="0"/>
              <w:jc w:val="center"/>
              <w:rPr>
                <w:b/>
                <w:bCs/>
                <w:sz w:val="21"/>
                <w:szCs w:val="21"/>
              </w:rPr>
            </w:pPr>
            <w:r>
              <w:rPr>
                <w:b/>
                <w:bCs/>
                <w:sz w:val="21"/>
                <w:szCs w:val="21"/>
              </w:rPr>
              <w:t>-余方/+借方</w:t>
            </w:r>
          </w:p>
          <w:p>
            <w:pPr>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692" w:type="pct"/>
            <w:vAlign w:val="center"/>
          </w:tcPr>
          <w:p>
            <w:pPr>
              <w:spacing w:line="240" w:lineRule="auto"/>
              <w:ind w:firstLine="0" w:firstLineChars="0"/>
              <w:jc w:val="center"/>
              <w:rPr>
                <w:b/>
                <w:bCs/>
                <w:sz w:val="21"/>
                <w:szCs w:val="21"/>
              </w:rPr>
            </w:pPr>
            <w:r>
              <w:rPr>
                <w:b/>
                <w:bCs/>
                <w:sz w:val="21"/>
                <w:szCs w:val="21"/>
              </w:rPr>
              <w:t>余方/借方</w:t>
            </w:r>
          </w:p>
          <w:p>
            <w:pPr>
              <w:spacing w:line="240" w:lineRule="auto"/>
              <w:ind w:firstLine="0" w:firstLineChars="0"/>
              <w:jc w:val="center"/>
              <w:rPr>
                <w:b/>
                <w:bCs/>
                <w:sz w:val="21"/>
                <w:szCs w:val="21"/>
              </w:rPr>
            </w:pPr>
            <w:r>
              <w:rPr>
                <w:b/>
                <w:bCs/>
                <w:sz w:val="21"/>
                <w:szCs w:val="21"/>
              </w:rPr>
              <w:t>去向</w:t>
            </w:r>
          </w:p>
        </w:tc>
        <w:tc>
          <w:tcPr>
            <w:tcW w:w="948" w:type="pct"/>
            <w:vMerge w:val="continue"/>
            <w:vAlign w:val="center"/>
          </w:tcPr>
          <w:p>
            <w:pPr>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3" w:hRule="atLeast"/>
        </w:trPr>
        <w:tc>
          <w:tcPr>
            <w:tcW w:w="134" w:type="pct"/>
            <w:vMerge w:val="restart"/>
            <w:vAlign w:val="center"/>
          </w:tcPr>
          <w:p>
            <w:pPr>
              <w:spacing w:line="240" w:lineRule="auto"/>
              <w:ind w:firstLine="0" w:firstLineChars="0"/>
              <w:jc w:val="center"/>
              <w:rPr>
                <w:sz w:val="21"/>
                <w:szCs w:val="21"/>
              </w:rPr>
            </w:pPr>
            <w:r>
              <w:rPr>
                <w:sz w:val="21"/>
                <w:szCs w:val="21"/>
              </w:rPr>
              <w:t>近期建设区</w:t>
            </w:r>
          </w:p>
        </w:tc>
        <w:tc>
          <w:tcPr>
            <w:tcW w:w="256" w:type="pct"/>
            <w:vMerge w:val="restart"/>
            <w:vAlign w:val="center"/>
          </w:tcPr>
          <w:p>
            <w:pPr>
              <w:spacing w:line="240" w:lineRule="auto"/>
              <w:ind w:firstLine="0" w:firstLineChars="0"/>
              <w:jc w:val="center"/>
              <w:rPr>
                <w:sz w:val="21"/>
                <w:szCs w:val="21"/>
              </w:rPr>
            </w:pPr>
            <w:r>
              <w:rPr>
                <w:sz w:val="21"/>
                <w:szCs w:val="21"/>
              </w:rPr>
              <w:t>工业用地</w:t>
            </w:r>
          </w:p>
        </w:tc>
        <w:tc>
          <w:tcPr>
            <w:tcW w:w="845" w:type="pct"/>
            <w:vAlign w:val="center"/>
          </w:tcPr>
          <w:p>
            <w:pPr>
              <w:pStyle w:val="99"/>
              <w:spacing w:line="240" w:lineRule="auto"/>
              <w:jc w:val="center"/>
              <w:rPr>
                <w:sz w:val="21"/>
                <w:szCs w:val="21"/>
              </w:rPr>
            </w:pPr>
            <w:r>
              <w:rPr>
                <w:sz w:val="21"/>
                <w:szCs w:val="21"/>
              </w:rPr>
              <w:t>2.5万吨高纯晶硅项目</w:t>
            </w:r>
          </w:p>
        </w:tc>
        <w:tc>
          <w:tcPr>
            <w:tcW w:w="381" w:type="pct"/>
            <w:vAlign w:val="center"/>
          </w:tcPr>
          <w:p>
            <w:pPr>
              <w:pStyle w:val="99"/>
              <w:spacing w:line="240" w:lineRule="auto"/>
              <w:jc w:val="center"/>
              <w:rPr>
                <w:sz w:val="21"/>
                <w:szCs w:val="21"/>
              </w:rPr>
            </w:pPr>
            <w:r>
              <w:rPr>
                <w:sz w:val="21"/>
                <w:szCs w:val="21"/>
              </w:rPr>
              <w:t>56.98</w:t>
            </w:r>
          </w:p>
          <w:p>
            <w:pPr>
              <w:pStyle w:val="99"/>
              <w:spacing w:line="240" w:lineRule="auto"/>
              <w:jc w:val="center"/>
              <w:rPr>
                <w:sz w:val="21"/>
                <w:szCs w:val="21"/>
              </w:rPr>
            </w:pPr>
            <w:r>
              <w:rPr>
                <w:sz w:val="21"/>
                <w:szCs w:val="21"/>
              </w:rPr>
              <w:t>（厂内52.71）</w:t>
            </w:r>
          </w:p>
        </w:tc>
        <w:tc>
          <w:tcPr>
            <w:tcW w:w="370" w:type="pct"/>
            <w:vAlign w:val="center"/>
          </w:tcPr>
          <w:p>
            <w:pPr>
              <w:pStyle w:val="99"/>
              <w:spacing w:line="240" w:lineRule="auto"/>
              <w:jc w:val="center"/>
              <w:rPr>
                <w:sz w:val="21"/>
                <w:szCs w:val="21"/>
              </w:rPr>
            </w:pPr>
            <w:r>
              <w:rPr>
                <w:sz w:val="21"/>
                <w:szCs w:val="21"/>
              </w:rPr>
              <w:t>56.98</w:t>
            </w:r>
          </w:p>
        </w:tc>
        <w:tc>
          <w:tcPr>
            <w:tcW w:w="426" w:type="pct"/>
            <w:vAlign w:val="center"/>
          </w:tcPr>
          <w:p>
            <w:pPr>
              <w:pStyle w:val="99"/>
              <w:spacing w:line="240" w:lineRule="auto"/>
              <w:jc w:val="center"/>
              <w:rPr>
                <w:sz w:val="21"/>
                <w:szCs w:val="21"/>
              </w:rPr>
            </w:pPr>
            <w:r>
              <w:rPr>
                <w:sz w:val="21"/>
                <w:szCs w:val="21"/>
              </w:rPr>
              <w:t>73.70</w:t>
            </w:r>
          </w:p>
        </w:tc>
        <w:tc>
          <w:tcPr>
            <w:tcW w:w="457" w:type="pct"/>
            <w:vAlign w:val="center"/>
          </w:tcPr>
          <w:p>
            <w:pPr>
              <w:pStyle w:val="99"/>
              <w:spacing w:line="240" w:lineRule="auto"/>
              <w:jc w:val="center"/>
              <w:rPr>
                <w:sz w:val="21"/>
                <w:szCs w:val="21"/>
              </w:rPr>
            </w:pPr>
            <w:r>
              <w:rPr>
                <w:sz w:val="21"/>
                <w:szCs w:val="21"/>
              </w:rPr>
              <w:t>73.70</w:t>
            </w:r>
          </w:p>
        </w:tc>
        <w:tc>
          <w:tcPr>
            <w:tcW w:w="486" w:type="pct"/>
            <w:vAlign w:val="center"/>
          </w:tcPr>
          <w:p>
            <w:pPr>
              <w:pStyle w:val="99"/>
              <w:spacing w:line="240" w:lineRule="auto"/>
              <w:jc w:val="center"/>
              <w:rPr>
                <w:sz w:val="21"/>
                <w:szCs w:val="21"/>
              </w:rPr>
            </w:pPr>
            <w:r>
              <w:rPr>
                <w:sz w:val="21"/>
                <w:szCs w:val="21"/>
              </w:rPr>
              <w:t>0</w:t>
            </w:r>
          </w:p>
        </w:tc>
        <w:tc>
          <w:tcPr>
            <w:tcW w:w="692" w:type="pct"/>
            <w:vAlign w:val="center"/>
          </w:tcPr>
          <w:p>
            <w:pPr>
              <w:pStyle w:val="99"/>
              <w:spacing w:line="240" w:lineRule="auto"/>
              <w:jc w:val="center"/>
              <w:rPr>
                <w:sz w:val="21"/>
                <w:szCs w:val="21"/>
              </w:rPr>
            </w:pPr>
          </w:p>
        </w:tc>
        <w:tc>
          <w:tcPr>
            <w:tcW w:w="948" w:type="pct"/>
            <w:vAlign w:val="center"/>
          </w:tcPr>
          <w:p>
            <w:pPr>
              <w:pStyle w:val="99"/>
              <w:spacing w:line="240" w:lineRule="auto"/>
              <w:jc w:val="center"/>
              <w:rPr>
                <w:sz w:val="21"/>
                <w:szCs w:val="21"/>
              </w:rPr>
            </w:pPr>
            <w:r>
              <w:rPr>
                <w:sz w:val="21"/>
                <w:szCs w:val="21"/>
              </w:rPr>
              <w:t>已取得水保批复，批复文号：五水林函〔2017〕53号</w:t>
            </w:r>
          </w:p>
          <w:p>
            <w:pPr>
              <w:pStyle w:val="99"/>
              <w:spacing w:line="240" w:lineRule="auto"/>
              <w:jc w:val="center"/>
              <w:rPr>
                <w:sz w:val="21"/>
                <w:szCs w:val="21"/>
              </w:rPr>
            </w:pPr>
            <w:r>
              <w:rPr>
                <w:sz w:val="21"/>
                <w:szCs w:val="21"/>
              </w:rPr>
              <w:t>已验收，于2019.12.18取得验收报备回执，文号：五水函〔2019〕74号。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0"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vAlign w:val="center"/>
          </w:tcPr>
          <w:p>
            <w:pPr>
              <w:pStyle w:val="99"/>
              <w:spacing w:line="240" w:lineRule="auto"/>
              <w:jc w:val="center"/>
              <w:rPr>
                <w:sz w:val="21"/>
                <w:szCs w:val="21"/>
              </w:rPr>
            </w:pPr>
            <w:r>
              <w:rPr>
                <w:sz w:val="21"/>
                <w:szCs w:val="21"/>
              </w:rPr>
              <w:t>光伏硅材料制造技改项目（二期4.5万吨高纯晶硅）</w:t>
            </w:r>
          </w:p>
        </w:tc>
        <w:tc>
          <w:tcPr>
            <w:tcW w:w="381" w:type="pct"/>
            <w:vAlign w:val="center"/>
          </w:tcPr>
          <w:p>
            <w:pPr>
              <w:pStyle w:val="99"/>
              <w:spacing w:line="240" w:lineRule="auto"/>
              <w:jc w:val="center"/>
              <w:rPr>
                <w:sz w:val="21"/>
                <w:szCs w:val="21"/>
              </w:rPr>
            </w:pPr>
            <w:r>
              <w:rPr>
                <w:sz w:val="21"/>
                <w:szCs w:val="21"/>
              </w:rPr>
              <w:t>41.07</w:t>
            </w:r>
          </w:p>
        </w:tc>
        <w:tc>
          <w:tcPr>
            <w:tcW w:w="370" w:type="pct"/>
            <w:vAlign w:val="center"/>
          </w:tcPr>
          <w:p>
            <w:pPr>
              <w:pStyle w:val="99"/>
              <w:spacing w:line="240" w:lineRule="auto"/>
              <w:jc w:val="center"/>
              <w:rPr>
                <w:sz w:val="21"/>
                <w:szCs w:val="21"/>
              </w:rPr>
            </w:pPr>
            <w:r>
              <w:rPr>
                <w:sz w:val="21"/>
                <w:szCs w:val="21"/>
              </w:rPr>
              <w:t>41.07</w:t>
            </w:r>
          </w:p>
        </w:tc>
        <w:tc>
          <w:tcPr>
            <w:tcW w:w="426" w:type="pct"/>
            <w:vAlign w:val="center"/>
          </w:tcPr>
          <w:p>
            <w:pPr>
              <w:pStyle w:val="99"/>
              <w:spacing w:line="240" w:lineRule="auto"/>
              <w:jc w:val="center"/>
              <w:rPr>
                <w:sz w:val="21"/>
                <w:szCs w:val="21"/>
              </w:rPr>
            </w:pPr>
            <w:r>
              <w:rPr>
                <w:sz w:val="21"/>
                <w:szCs w:val="21"/>
              </w:rPr>
              <w:t>31</w:t>
            </w:r>
          </w:p>
        </w:tc>
        <w:tc>
          <w:tcPr>
            <w:tcW w:w="457" w:type="pct"/>
            <w:vAlign w:val="center"/>
          </w:tcPr>
          <w:p>
            <w:pPr>
              <w:pStyle w:val="99"/>
              <w:spacing w:line="240" w:lineRule="auto"/>
              <w:jc w:val="center"/>
              <w:rPr>
                <w:sz w:val="21"/>
                <w:szCs w:val="21"/>
              </w:rPr>
            </w:pPr>
            <w:r>
              <w:rPr>
                <w:sz w:val="21"/>
                <w:szCs w:val="21"/>
              </w:rPr>
              <w:t>31</w:t>
            </w:r>
          </w:p>
        </w:tc>
        <w:tc>
          <w:tcPr>
            <w:tcW w:w="486" w:type="pct"/>
            <w:vAlign w:val="center"/>
          </w:tcPr>
          <w:p>
            <w:pPr>
              <w:pStyle w:val="99"/>
              <w:spacing w:line="240" w:lineRule="auto"/>
              <w:jc w:val="center"/>
              <w:rPr>
                <w:sz w:val="21"/>
                <w:szCs w:val="21"/>
              </w:rPr>
            </w:pPr>
            <w:r>
              <w:rPr>
                <w:sz w:val="21"/>
                <w:szCs w:val="21"/>
              </w:rPr>
              <w:t>0</w:t>
            </w:r>
          </w:p>
        </w:tc>
        <w:tc>
          <w:tcPr>
            <w:tcW w:w="692" w:type="pct"/>
            <w:vAlign w:val="center"/>
          </w:tcPr>
          <w:p>
            <w:pPr>
              <w:pStyle w:val="99"/>
              <w:spacing w:line="240" w:lineRule="auto"/>
              <w:jc w:val="center"/>
              <w:rPr>
                <w:sz w:val="21"/>
                <w:szCs w:val="21"/>
              </w:rPr>
            </w:pPr>
          </w:p>
        </w:tc>
        <w:tc>
          <w:tcPr>
            <w:tcW w:w="948" w:type="pct"/>
            <w:vAlign w:val="center"/>
          </w:tcPr>
          <w:p>
            <w:pPr>
              <w:pStyle w:val="99"/>
              <w:spacing w:line="240" w:lineRule="auto"/>
              <w:jc w:val="center"/>
              <w:rPr>
                <w:sz w:val="21"/>
                <w:szCs w:val="21"/>
              </w:rPr>
            </w:pPr>
            <w:r>
              <w:rPr>
                <w:sz w:val="21"/>
                <w:szCs w:val="21"/>
              </w:rPr>
              <w:t>已取得水保批复，批复文号：五水函〔2020〕126号。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11"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tcBorders>
              <w:bottom w:val="single" w:color="auto" w:sz="4" w:space="0"/>
            </w:tcBorders>
            <w:vAlign w:val="center"/>
          </w:tcPr>
          <w:p>
            <w:pPr>
              <w:pStyle w:val="99"/>
              <w:spacing w:line="240" w:lineRule="auto"/>
              <w:jc w:val="center"/>
              <w:rPr>
                <w:sz w:val="21"/>
                <w:szCs w:val="21"/>
              </w:rPr>
            </w:pPr>
            <w:r>
              <w:rPr>
                <w:sz w:val="21"/>
                <w:szCs w:val="21"/>
              </w:rPr>
              <w:t>乐山协鑫新能源新建10万吨颗粒硅项目</w:t>
            </w:r>
          </w:p>
        </w:tc>
        <w:tc>
          <w:tcPr>
            <w:tcW w:w="381" w:type="pct"/>
            <w:tcBorders>
              <w:bottom w:val="single" w:color="auto" w:sz="4" w:space="0"/>
            </w:tcBorders>
            <w:vAlign w:val="center"/>
          </w:tcPr>
          <w:p>
            <w:pPr>
              <w:pStyle w:val="99"/>
              <w:spacing w:line="240" w:lineRule="auto"/>
              <w:jc w:val="center"/>
              <w:rPr>
                <w:sz w:val="21"/>
                <w:szCs w:val="21"/>
              </w:rPr>
            </w:pPr>
            <w:r>
              <w:rPr>
                <w:sz w:val="21"/>
                <w:szCs w:val="21"/>
              </w:rPr>
              <w:t>69.90</w:t>
            </w:r>
          </w:p>
        </w:tc>
        <w:tc>
          <w:tcPr>
            <w:tcW w:w="370" w:type="pct"/>
            <w:tcBorders>
              <w:bottom w:val="single" w:color="auto" w:sz="4" w:space="0"/>
            </w:tcBorders>
            <w:vAlign w:val="center"/>
          </w:tcPr>
          <w:p>
            <w:pPr>
              <w:pStyle w:val="99"/>
              <w:spacing w:line="240" w:lineRule="auto"/>
              <w:jc w:val="center"/>
              <w:rPr>
                <w:sz w:val="21"/>
                <w:szCs w:val="21"/>
              </w:rPr>
            </w:pPr>
            <w:r>
              <w:rPr>
                <w:sz w:val="21"/>
                <w:szCs w:val="21"/>
              </w:rPr>
              <w:t>69.90</w:t>
            </w:r>
          </w:p>
        </w:tc>
        <w:tc>
          <w:tcPr>
            <w:tcW w:w="426" w:type="pct"/>
            <w:tcBorders>
              <w:bottom w:val="single" w:color="auto" w:sz="4" w:space="0"/>
            </w:tcBorders>
            <w:vAlign w:val="center"/>
          </w:tcPr>
          <w:p>
            <w:pPr>
              <w:pStyle w:val="99"/>
              <w:spacing w:line="240" w:lineRule="auto"/>
              <w:jc w:val="center"/>
              <w:rPr>
                <w:sz w:val="21"/>
                <w:szCs w:val="21"/>
              </w:rPr>
            </w:pPr>
            <w:r>
              <w:rPr>
                <w:sz w:val="21"/>
                <w:szCs w:val="21"/>
              </w:rPr>
              <w:t>49.09</w:t>
            </w:r>
          </w:p>
        </w:tc>
        <w:tc>
          <w:tcPr>
            <w:tcW w:w="457" w:type="pct"/>
            <w:tcBorders>
              <w:bottom w:val="single" w:color="auto" w:sz="4" w:space="0"/>
            </w:tcBorders>
            <w:vAlign w:val="center"/>
          </w:tcPr>
          <w:p>
            <w:pPr>
              <w:pStyle w:val="99"/>
              <w:spacing w:line="240" w:lineRule="auto"/>
              <w:jc w:val="center"/>
              <w:rPr>
                <w:sz w:val="21"/>
                <w:szCs w:val="21"/>
              </w:rPr>
            </w:pPr>
            <w:r>
              <w:rPr>
                <w:sz w:val="21"/>
                <w:szCs w:val="21"/>
              </w:rPr>
              <w:t>49.09</w:t>
            </w:r>
          </w:p>
        </w:tc>
        <w:tc>
          <w:tcPr>
            <w:tcW w:w="486" w:type="pct"/>
            <w:tcBorders>
              <w:bottom w:val="single" w:color="auto" w:sz="4" w:space="0"/>
            </w:tcBorders>
            <w:vAlign w:val="center"/>
          </w:tcPr>
          <w:p>
            <w:pPr>
              <w:pStyle w:val="99"/>
              <w:spacing w:line="240" w:lineRule="auto"/>
              <w:jc w:val="center"/>
              <w:rPr>
                <w:sz w:val="21"/>
                <w:szCs w:val="21"/>
              </w:rPr>
            </w:pPr>
            <w:r>
              <w:rPr>
                <w:sz w:val="21"/>
                <w:szCs w:val="21"/>
              </w:rPr>
              <w:t>0</w:t>
            </w:r>
          </w:p>
        </w:tc>
        <w:tc>
          <w:tcPr>
            <w:tcW w:w="692" w:type="pct"/>
            <w:tcBorders>
              <w:bottom w:val="single" w:color="auto" w:sz="4" w:space="0"/>
            </w:tcBorders>
            <w:vAlign w:val="center"/>
          </w:tcPr>
          <w:p>
            <w:pPr>
              <w:pStyle w:val="99"/>
              <w:spacing w:line="240" w:lineRule="auto"/>
              <w:jc w:val="center"/>
              <w:rPr>
                <w:sz w:val="21"/>
                <w:szCs w:val="21"/>
              </w:rPr>
            </w:pPr>
          </w:p>
        </w:tc>
        <w:tc>
          <w:tcPr>
            <w:tcW w:w="948" w:type="pct"/>
            <w:tcBorders>
              <w:bottom w:val="single" w:color="auto" w:sz="4" w:space="0"/>
            </w:tcBorders>
            <w:vAlign w:val="center"/>
          </w:tcPr>
          <w:p>
            <w:pPr>
              <w:pStyle w:val="99"/>
              <w:spacing w:line="240" w:lineRule="auto"/>
              <w:jc w:val="center"/>
              <w:rPr>
                <w:sz w:val="21"/>
                <w:szCs w:val="21"/>
              </w:rPr>
            </w:pPr>
            <w:r>
              <w:rPr>
                <w:sz w:val="21"/>
                <w:szCs w:val="21"/>
              </w:rPr>
              <w:t>已取得水保批复，批复文号：五水函〔2021〕76号。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11"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tcBorders>
              <w:top w:val="single" w:color="auto" w:sz="4" w:space="0"/>
            </w:tcBorders>
            <w:vAlign w:val="center"/>
          </w:tcPr>
          <w:p>
            <w:pPr>
              <w:pStyle w:val="99"/>
              <w:spacing w:line="240" w:lineRule="auto"/>
              <w:jc w:val="center"/>
              <w:rPr>
                <w:sz w:val="21"/>
                <w:szCs w:val="21"/>
              </w:rPr>
            </w:pPr>
            <w:r>
              <w:rPr>
                <w:sz w:val="21"/>
                <w:szCs w:val="21"/>
              </w:rPr>
              <w:t>15GW单晶拉棒切方项目</w:t>
            </w:r>
          </w:p>
        </w:tc>
        <w:tc>
          <w:tcPr>
            <w:tcW w:w="381" w:type="pct"/>
            <w:tcBorders>
              <w:top w:val="single" w:color="auto" w:sz="4" w:space="0"/>
            </w:tcBorders>
            <w:vAlign w:val="center"/>
          </w:tcPr>
          <w:p>
            <w:pPr>
              <w:pStyle w:val="99"/>
              <w:spacing w:line="240" w:lineRule="auto"/>
              <w:jc w:val="center"/>
              <w:rPr>
                <w:sz w:val="21"/>
                <w:szCs w:val="21"/>
              </w:rPr>
            </w:pPr>
            <w:r>
              <w:rPr>
                <w:sz w:val="21"/>
                <w:szCs w:val="21"/>
              </w:rPr>
              <w:t>31.16</w:t>
            </w:r>
          </w:p>
        </w:tc>
        <w:tc>
          <w:tcPr>
            <w:tcW w:w="370" w:type="pct"/>
            <w:tcBorders>
              <w:top w:val="single" w:color="auto" w:sz="4" w:space="0"/>
            </w:tcBorders>
            <w:vAlign w:val="center"/>
          </w:tcPr>
          <w:p>
            <w:pPr>
              <w:pStyle w:val="99"/>
              <w:spacing w:line="240" w:lineRule="auto"/>
              <w:jc w:val="center"/>
              <w:rPr>
                <w:sz w:val="21"/>
                <w:szCs w:val="21"/>
              </w:rPr>
            </w:pPr>
            <w:r>
              <w:rPr>
                <w:sz w:val="21"/>
                <w:szCs w:val="21"/>
              </w:rPr>
              <w:t>31.16</w:t>
            </w:r>
          </w:p>
        </w:tc>
        <w:tc>
          <w:tcPr>
            <w:tcW w:w="426" w:type="pct"/>
            <w:tcBorders>
              <w:top w:val="single" w:color="auto" w:sz="4" w:space="0"/>
            </w:tcBorders>
            <w:vAlign w:val="center"/>
          </w:tcPr>
          <w:p>
            <w:pPr>
              <w:pStyle w:val="99"/>
              <w:spacing w:line="240" w:lineRule="auto"/>
              <w:jc w:val="center"/>
              <w:rPr>
                <w:sz w:val="21"/>
                <w:szCs w:val="21"/>
              </w:rPr>
            </w:pPr>
            <w:r>
              <w:rPr>
                <w:sz w:val="21"/>
                <w:szCs w:val="21"/>
              </w:rPr>
              <w:t>20.61</w:t>
            </w:r>
          </w:p>
        </w:tc>
        <w:tc>
          <w:tcPr>
            <w:tcW w:w="457" w:type="pct"/>
            <w:tcBorders>
              <w:top w:val="single" w:color="auto" w:sz="4" w:space="0"/>
            </w:tcBorders>
            <w:vAlign w:val="center"/>
          </w:tcPr>
          <w:p>
            <w:pPr>
              <w:pStyle w:val="99"/>
              <w:spacing w:line="240" w:lineRule="auto"/>
              <w:jc w:val="center"/>
              <w:rPr>
                <w:sz w:val="21"/>
                <w:szCs w:val="21"/>
              </w:rPr>
            </w:pPr>
            <w:r>
              <w:rPr>
                <w:sz w:val="21"/>
                <w:szCs w:val="21"/>
              </w:rPr>
              <w:t>5.72</w:t>
            </w:r>
          </w:p>
        </w:tc>
        <w:tc>
          <w:tcPr>
            <w:tcW w:w="486" w:type="pct"/>
            <w:tcBorders>
              <w:top w:val="single" w:color="auto" w:sz="4" w:space="0"/>
            </w:tcBorders>
            <w:vAlign w:val="center"/>
          </w:tcPr>
          <w:p>
            <w:pPr>
              <w:pStyle w:val="99"/>
              <w:spacing w:line="240" w:lineRule="auto"/>
              <w:jc w:val="center"/>
              <w:rPr>
                <w:sz w:val="21"/>
                <w:szCs w:val="21"/>
              </w:rPr>
            </w:pPr>
            <w:r>
              <w:rPr>
                <w:sz w:val="21"/>
                <w:szCs w:val="21"/>
              </w:rPr>
              <w:t>-17/+2.11</w:t>
            </w:r>
          </w:p>
        </w:tc>
        <w:tc>
          <w:tcPr>
            <w:tcW w:w="692" w:type="pct"/>
            <w:tcBorders>
              <w:top w:val="single" w:color="auto" w:sz="4" w:space="0"/>
            </w:tcBorders>
            <w:vAlign w:val="center"/>
          </w:tcPr>
          <w:p>
            <w:pPr>
              <w:pStyle w:val="99"/>
              <w:spacing w:line="240" w:lineRule="auto"/>
              <w:jc w:val="center"/>
              <w:rPr>
                <w:sz w:val="21"/>
                <w:szCs w:val="21"/>
              </w:rPr>
            </w:pPr>
            <w:r>
              <w:rPr>
                <w:sz w:val="21"/>
                <w:szCs w:val="21"/>
              </w:rPr>
              <w:t>余方17由乐山高新区五通桥基地管理委员会用于棉花沟迁改回填/借方2.11为表土，由管委会组织就近剥离园区公共绿化区表土。</w:t>
            </w:r>
          </w:p>
        </w:tc>
        <w:tc>
          <w:tcPr>
            <w:tcW w:w="948" w:type="pct"/>
            <w:tcBorders>
              <w:top w:val="single" w:color="auto" w:sz="4" w:space="0"/>
            </w:tcBorders>
            <w:vAlign w:val="center"/>
          </w:tcPr>
          <w:p>
            <w:pPr>
              <w:pStyle w:val="99"/>
              <w:spacing w:line="240" w:lineRule="auto"/>
              <w:jc w:val="center"/>
              <w:rPr>
                <w:sz w:val="21"/>
                <w:szCs w:val="21"/>
              </w:rPr>
            </w:pPr>
            <w:r>
              <w:rPr>
                <w:sz w:val="21"/>
                <w:szCs w:val="21"/>
              </w:rPr>
              <w:t>已取得水保批复，批复文号：五水函〔2022〕2号。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8" w:hRule="atLeast"/>
        </w:trPr>
        <w:tc>
          <w:tcPr>
            <w:tcW w:w="134" w:type="pct"/>
            <w:vMerge w:val="continue"/>
            <w:vAlign w:val="center"/>
          </w:tcPr>
          <w:p>
            <w:pPr>
              <w:pStyle w:val="99"/>
              <w:spacing w:line="240" w:lineRule="auto"/>
              <w:jc w:val="center"/>
              <w:rPr>
                <w:sz w:val="21"/>
                <w:szCs w:val="21"/>
              </w:rPr>
            </w:pPr>
          </w:p>
        </w:tc>
        <w:tc>
          <w:tcPr>
            <w:tcW w:w="256" w:type="pct"/>
            <w:vMerge w:val="continue"/>
            <w:vAlign w:val="center"/>
          </w:tcPr>
          <w:p>
            <w:pPr>
              <w:pStyle w:val="99"/>
              <w:spacing w:line="240" w:lineRule="auto"/>
              <w:jc w:val="center"/>
              <w:rPr>
                <w:b/>
                <w:bCs/>
                <w:sz w:val="21"/>
                <w:szCs w:val="21"/>
              </w:rPr>
            </w:pPr>
          </w:p>
        </w:tc>
        <w:tc>
          <w:tcPr>
            <w:tcW w:w="845" w:type="pct"/>
            <w:vAlign w:val="center"/>
          </w:tcPr>
          <w:p>
            <w:pPr>
              <w:pStyle w:val="99"/>
              <w:spacing w:line="240" w:lineRule="auto"/>
              <w:jc w:val="center"/>
              <w:rPr>
                <w:b/>
                <w:bCs/>
                <w:sz w:val="21"/>
                <w:szCs w:val="21"/>
              </w:rPr>
            </w:pPr>
            <w:r>
              <w:rPr>
                <w:b/>
                <w:bCs/>
                <w:sz w:val="21"/>
                <w:szCs w:val="21"/>
              </w:rPr>
              <w:t>小计</w:t>
            </w:r>
          </w:p>
        </w:tc>
        <w:tc>
          <w:tcPr>
            <w:tcW w:w="381" w:type="pct"/>
            <w:vAlign w:val="center"/>
          </w:tcPr>
          <w:p>
            <w:pPr>
              <w:pStyle w:val="99"/>
              <w:spacing w:line="240" w:lineRule="auto"/>
              <w:jc w:val="center"/>
              <w:rPr>
                <w:b/>
                <w:bCs/>
                <w:sz w:val="21"/>
                <w:szCs w:val="21"/>
              </w:rPr>
            </w:pPr>
            <w:r>
              <w:rPr>
                <w:b/>
                <w:bCs/>
                <w:sz w:val="21"/>
                <w:szCs w:val="21"/>
              </w:rPr>
              <w:t>194.84</w:t>
            </w:r>
          </w:p>
        </w:tc>
        <w:tc>
          <w:tcPr>
            <w:tcW w:w="370" w:type="pct"/>
            <w:vAlign w:val="center"/>
          </w:tcPr>
          <w:p>
            <w:pPr>
              <w:pStyle w:val="99"/>
              <w:spacing w:line="240" w:lineRule="auto"/>
              <w:jc w:val="center"/>
              <w:rPr>
                <w:b/>
                <w:bCs/>
                <w:sz w:val="21"/>
                <w:szCs w:val="21"/>
              </w:rPr>
            </w:pPr>
            <w:r>
              <w:rPr>
                <w:b/>
                <w:bCs/>
                <w:sz w:val="21"/>
                <w:szCs w:val="21"/>
              </w:rPr>
              <w:t>199.11</w:t>
            </w:r>
          </w:p>
        </w:tc>
        <w:tc>
          <w:tcPr>
            <w:tcW w:w="426" w:type="pct"/>
            <w:vAlign w:val="center"/>
          </w:tcPr>
          <w:p>
            <w:pPr>
              <w:pStyle w:val="99"/>
              <w:spacing w:line="240" w:lineRule="auto"/>
              <w:jc w:val="center"/>
              <w:rPr>
                <w:b/>
                <w:bCs/>
                <w:sz w:val="21"/>
                <w:szCs w:val="21"/>
              </w:rPr>
            </w:pPr>
            <w:r>
              <w:rPr>
                <w:b/>
                <w:bCs/>
                <w:sz w:val="21"/>
                <w:szCs w:val="21"/>
              </w:rPr>
              <w:t>174.40</w:t>
            </w:r>
          </w:p>
        </w:tc>
        <w:tc>
          <w:tcPr>
            <w:tcW w:w="457" w:type="pct"/>
            <w:vAlign w:val="center"/>
          </w:tcPr>
          <w:p>
            <w:pPr>
              <w:pStyle w:val="99"/>
              <w:spacing w:line="240" w:lineRule="auto"/>
              <w:jc w:val="center"/>
              <w:rPr>
                <w:b/>
                <w:bCs/>
                <w:sz w:val="21"/>
                <w:szCs w:val="21"/>
              </w:rPr>
            </w:pPr>
            <w:r>
              <w:rPr>
                <w:b/>
                <w:bCs/>
                <w:sz w:val="21"/>
                <w:szCs w:val="21"/>
              </w:rPr>
              <w:t>159.51</w:t>
            </w:r>
          </w:p>
        </w:tc>
        <w:tc>
          <w:tcPr>
            <w:tcW w:w="486" w:type="pct"/>
            <w:vAlign w:val="center"/>
          </w:tcPr>
          <w:p>
            <w:pPr>
              <w:pStyle w:val="99"/>
              <w:spacing w:line="240" w:lineRule="auto"/>
              <w:jc w:val="center"/>
              <w:rPr>
                <w:b/>
                <w:bCs/>
                <w:sz w:val="21"/>
                <w:szCs w:val="21"/>
              </w:rPr>
            </w:pPr>
            <w:r>
              <w:rPr>
                <w:b/>
                <w:bCs/>
                <w:sz w:val="21"/>
                <w:szCs w:val="21"/>
              </w:rPr>
              <w:t>-17/+2.11</w:t>
            </w:r>
          </w:p>
        </w:tc>
        <w:tc>
          <w:tcPr>
            <w:tcW w:w="692" w:type="pct"/>
            <w:vAlign w:val="center"/>
          </w:tcPr>
          <w:p>
            <w:pPr>
              <w:pStyle w:val="99"/>
              <w:spacing w:line="240" w:lineRule="auto"/>
              <w:jc w:val="center"/>
              <w:rPr>
                <w:b/>
                <w:bCs/>
                <w:sz w:val="21"/>
                <w:szCs w:val="21"/>
              </w:rPr>
            </w:pPr>
          </w:p>
        </w:tc>
        <w:tc>
          <w:tcPr>
            <w:tcW w:w="948" w:type="pct"/>
            <w:vAlign w:val="center"/>
          </w:tcPr>
          <w:p>
            <w:pPr>
              <w:pStyle w:val="99"/>
              <w:spacing w:line="240" w:lineRule="auto"/>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95" w:hRule="atLeast"/>
        </w:trPr>
        <w:tc>
          <w:tcPr>
            <w:tcW w:w="134" w:type="pct"/>
            <w:vMerge w:val="continue"/>
            <w:vAlign w:val="center"/>
          </w:tcPr>
          <w:p>
            <w:pPr>
              <w:spacing w:line="240" w:lineRule="auto"/>
              <w:ind w:firstLine="0" w:firstLineChars="0"/>
              <w:jc w:val="center"/>
              <w:rPr>
                <w:sz w:val="21"/>
                <w:szCs w:val="21"/>
              </w:rPr>
            </w:pPr>
          </w:p>
        </w:tc>
        <w:tc>
          <w:tcPr>
            <w:tcW w:w="256" w:type="pct"/>
            <w:vMerge w:val="restart"/>
            <w:vAlign w:val="center"/>
          </w:tcPr>
          <w:p>
            <w:pPr>
              <w:spacing w:line="240" w:lineRule="auto"/>
              <w:ind w:firstLine="0" w:firstLineChars="0"/>
              <w:jc w:val="center"/>
              <w:rPr>
                <w:sz w:val="21"/>
                <w:szCs w:val="21"/>
              </w:rPr>
            </w:pPr>
            <w:r>
              <w:rPr>
                <w:sz w:val="21"/>
                <w:szCs w:val="21"/>
              </w:rPr>
              <w:t>道路与交通设施用地</w:t>
            </w:r>
          </w:p>
        </w:tc>
        <w:tc>
          <w:tcPr>
            <w:tcW w:w="845" w:type="pct"/>
            <w:vAlign w:val="center"/>
          </w:tcPr>
          <w:p>
            <w:pPr>
              <w:spacing w:line="240" w:lineRule="auto"/>
              <w:ind w:firstLine="0" w:firstLineChars="0"/>
              <w:jc w:val="center"/>
              <w:rPr>
                <w:sz w:val="21"/>
                <w:szCs w:val="21"/>
              </w:rPr>
            </w:pPr>
            <w:r>
              <w:rPr>
                <w:sz w:val="21"/>
                <w:szCs w:val="21"/>
              </w:rPr>
              <w:t>龙翔路</w:t>
            </w:r>
          </w:p>
        </w:tc>
        <w:tc>
          <w:tcPr>
            <w:tcW w:w="381" w:type="pct"/>
            <w:vAlign w:val="center"/>
          </w:tcPr>
          <w:p>
            <w:pPr>
              <w:spacing w:line="240" w:lineRule="auto"/>
              <w:ind w:firstLine="0" w:firstLineChars="0"/>
              <w:jc w:val="center"/>
              <w:rPr>
                <w:sz w:val="21"/>
                <w:szCs w:val="21"/>
              </w:rPr>
            </w:pPr>
            <w:r>
              <w:rPr>
                <w:sz w:val="21"/>
                <w:szCs w:val="21"/>
              </w:rPr>
              <w:t>18.50</w:t>
            </w:r>
          </w:p>
        </w:tc>
        <w:tc>
          <w:tcPr>
            <w:tcW w:w="370" w:type="pct"/>
            <w:vAlign w:val="center"/>
          </w:tcPr>
          <w:p>
            <w:pPr>
              <w:spacing w:line="240" w:lineRule="auto"/>
              <w:ind w:firstLine="0" w:firstLineChars="0"/>
              <w:jc w:val="center"/>
              <w:rPr>
                <w:sz w:val="21"/>
                <w:szCs w:val="21"/>
              </w:rPr>
            </w:pPr>
            <w:r>
              <w:rPr>
                <w:sz w:val="21"/>
                <w:szCs w:val="21"/>
              </w:rPr>
              <w:t>18.50</w:t>
            </w:r>
          </w:p>
        </w:tc>
        <w:tc>
          <w:tcPr>
            <w:tcW w:w="426" w:type="pct"/>
            <w:vAlign w:val="center"/>
          </w:tcPr>
          <w:p>
            <w:pPr>
              <w:spacing w:line="240" w:lineRule="auto"/>
              <w:ind w:firstLine="0" w:firstLineChars="0"/>
              <w:jc w:val="center"/>
              <w:rPr>
                <w:sz w:val="21"/>
                <w:szCs w:val="21"/>
              </w:rPr>
            </w:pPr>
            <w:r>
              <w:rPr>
                <w:sz w:val="21"/>
                <w:szCs w:val="21"/>
              </w:rPr>
              <w:t>55.32</w:t>
            </w:r>
          </w:p>
        </w:tc>
        <w:tc>
          <w:tcPr>
            <w:tcW w:w="457" w:type="pct"/>
            <w:vAlign w:val="center"/>
          </w:tcPr>
          <w:p>
            <w:pPr>
              <w:spacing w:line="240" w:lineRule="auto"/>
              <w:ind w:firstLine="0" w:firstLineChars="0"/>
              <w:jc w:val="center"/>
              <w:rPr>
                <w:sz w:val="21"/>
                <w:szCs w:val="21"/>
              </w:rPr>
            </w:pPr>
            <w:r>
              <w:rPr>
                <w:sz w:val="21"/>
                <w:szCs w:val="21"/>
              </w:rPr>
              <w:t>41.50</w:t>
            </w:r>
          </w:p>
        </w:tc>
        <w:tc>
          <w:tcPr>
            <w:tcW w:w="486" w:type="pct"/>
            <w:vAlign w:val="center"/>
          </w:tcPr>
          <w:p>
            <w:pPr>
              <w:spacing w:line="240" w:lineRule="auto"/>
              <w:ind w:firstLine="0" w:firstLineChars="0"/>
              <w:jc w:val="center"/>
              <w:rPr>
                <w:sz w:val="21"/>
                <w:szCs w:val="21"/>
              </w:rPr>
            </w:pPr>
            <w:r>
              <w:rPr>
                <w:sz w:val="21"/>
                <w:szCs w:val="21"/>
              </w:rPr>
              <w:t>-14.13</w:t>
            </w:r>
          </w:p>
        </w:tc>
        <w:tc>
          <w:tcPr>
            <w:tcW w:w="692" w:type="pct"/>
            <w:vAlign w:val="center"/>
          </w:tcPr>
          <w:p>
            <w:pPr>
              <w:spacing w:line="240" w:lineRule="auto"/>
              <w:ind w:firstLine="0" w:firstLineChars="0"/>
              <w:jc w:val="center"/>
              <w:rPr>
                <w:sz w:val="21"/>
                <w:szCs w:val="21"/>
              </w:rPr>
            </w:pPr>
            <w:r>
              <w:rPr>
                <w:sz w:val="21"/>
                <w:szCs w:val="21"/>
              </w:rPr>
              <w:t>综合利用于四川永祥能源科技有限公司一期高纯晶硅项目场地平整</w:t>
            </w:r>
          </w:p>
        </w:tc>
        <w:tc>
          <w:tcPr>
            <w:tcW w:w="948" w:type="pct"/>
            <w:vAlign w:val="center"/>
          </w:tcPr>
          <w:p>
            <w:pPr>
              <w:spacing w:line="240" w:lineRule="auto"/>
              <w:ind w:firstLine="0" w:firstLineChars="0"/>
              <w:jc w:val="center"/>
              <w:rPr>
                <w:sz w:val="21"/>
                <w:szCs w:val="21"/>
              </w:rPr>
            </w:pPr>
            <w:r>
              <w:rPr>
                <w:sz w:val="21"/>
                <w:szCs w:val="21"/>
              </w:rPr>
              <w:t>2022年8月17日取得水保批复,批复文号：五水函〔2022〕58号。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6"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vAlign w:val="center"/>
          </w:tcPr>
          <w:p>
            <w:pPr>
              <w:spacing w:line="240" w:lineRule="auto"/>
              <w:ind w:firstLine="0" w:firstLineChars="0"/>
              <w:jc w:val="center"/>
              <w:rPr>
                <w:sz w:val="21"/>
                <w:szCs w:val="21"/>
              </w:rPr>
            </w:pPr>
            <w:r>
              <w:rPr>
                <w:sz w:val="21"/>
                <w:szCs w:val="21"/>
              </w:rPr>
              <w:t>园区危险化学品停车场</w:t>
            </w:r>
          </w:p>
        </w:tc>
        <w:tc>
          <w:tcPr>
            <w:tcW w:w="381" w:type="pct"/>
            <w:vAlign w:val="center"/>
          </w:tcPr>
          <w:p>
            <w:pPr>
              <w:spacing w:line="240" w:lineRule="auto"/>
              <w:ind w:firstLine="0" w:firstLineChars="0"/>
              <w:jc w:val="center"/>
              <w:rPr>
                <w:sz w:val="21"/>
                <w:szCs w:val="21"/>
              </w:rPr>
            </w:pPr>
            <w:r>
              <w:rPr>
                <w:sz w:val="21"/>
                <w:szCs w:val="21"/>
              </w:rPr>
              <w:t>12.41</w:t>
            </w:r>
          </w:p>
        </w:tc>
        <w:tc>
          <w:tcPr>
            <w:tcW w:w="370" w:type="pct"/>
            <w:vAlign w:val="center"/>
          </w:tcPr>
          <w:p>
            <w:pPr>
              <w:spacing w:line="240" w:lineRule="auto"/>
              <w:ind w:firstLine="0" w:firstLineChars="0"/>
              <w:jc w:val="center"/>
              <w:rPr>
                <w:sz w:val="21"/>
                <w:szCs w:val="21"/>
              </w:rPr>
            </w:pPr>
            <w:r>
              <w:rPr>
                <w:sz w:val="21"/>
                <w:szCs w:val="21"/>
              </w:rPr>
              <w:t>1.50</w:t>
            </w:r>
          </w:p>
        </w:tc>
        <w:tc>
          <w:tcPr>
            <w:tcW w:w="426" w:type="pct"/>
            <w:vAlign w:val="center"/>
          </w:tcPr>
          <w:p>
            <w:pPr>
              <w:spacing w:line="240" w:lineRule="auto"/>
              <w:ind w:firstLine="0" w:firstLineChars="0"/>
              <w:jc w:val="center"/>
              <w:rPr>
                <w:sz w:val="21"/>
                <w:szCs w:val="21"/>
              </w:rPr>
            </w:pPr>
            <w:r>
              <w:rPr>
                <w:sz w:val="21"/>
                <w:szCs w:val="21"/>
              </w:rPr>
              <w:t>8.19</w:t>
            </w:r>
          </w:p>
        </w:tc>
        <w:tc>
          <w:tcPr>
            <w:tcW w:w="457" w:type="pct"/>
            <w:vAlign w:val="center"/>
          </w:tcPr>
          <w:p>
            <w:pPr>
              <w:spacing w:line="240" w:lineRule="auto"/>
              <w:ind w:firstLine="0" w:firstLineChars="0"/>
              <w:jc w:val="center"/>
              <w:rPr>
                <w:sz w:val="21"/>
                <w:szCs w:val="21"/>
              </w:rPr>
            </w:pPr>
            <w:r>
              <w:rPr>
                <w:sz w:val="21"/>
                <w:szCs w:val="21"/>
              </w:rPr>
              <w:t>8.19</w:t>
            </w:r>
          </w:p>
        </w:tc>
        <w:tc>
          <w:tcPr>
            <w:tcW w:w="486" w:type="pct"/>
            <w:vAlign w:val="center"/>
          </w:tcPr>
          <w:p>
            <w:pPr>
              <w:spacing w:line="240" w:lineRule="auto"/>
              <w:ind w:firstLine="0" w:firstLineChars="0"/>
              <w:jc w:val="center"/>
              <w:rPr>
                <w:sz w:val="21"/>
                <w:szCs w:val="21"/>
              </w:rPr>
            </w:pPr>
          </w:p>
        </w:tc>
        <w:tc>
          <w:tcPr>
            <w:tcW w:w="692" w:type="pct"/>
            <w:vAlign w:val="center"/>
          </w:tcPr>
          <w:p>
            <w:pPr>
              <w:spacing w:line="240" w:lineRule="auto"/>
              <w:ind w:firstLine="0" w:firstLineChars="0"/>
              <w:jc w:val="center"/>
              <w:rPr>
                <w:sz w:val="21"/>
                <w:szCs w:val="21"/>
              </w:rPr>
            </w:pPr>
          </w:p>
        </w:tc>
        <w:tc>
          <w:tcPr>
            <w:tcW w:w="948" w:type="pct"/>
            <w:vAlign w:val="center"/>
          </w:tcPr>
          <w:p>
            <w:pPr>
              <w:spacing w:line="240" w:lineRule="auto"/>
              <w:ind w:firstLine="0" w:firstLineChars="0"/>
              <w:jc w:val="center"/>
              <w:rPr>
                <w:sz w:val="21"/>
                <w:szCs w:val="21"/>
              </w:rPr>
            </w:pPr>
            <w:r>
              <w:rPr>
                <w:sz w:val="21"/>
                <w:szCs w:val="21"/>
              </w:rPr>
              <w:t>2022年10月12日取得批复,批复文号：五水函〔2022〕67号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7"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vAlign w:val="center"/>
          </w:tcPr>
          <w:p>
            <w:pPr>
              <w:pStyle w:val="99"/>
              <w:spacing w:line="240" w:lineRule="auto"/>
              <w:jc w:val="center"/>
              <w:rPr>
                <w:b/>
                <w:bCs/>
                <w:sz w:val="21"/>
                <w:szCs w:val="21"/>
              </w:rPr>
            </w:pPr>
            <w:r>
              <w:rPr>
                <w:b/>
                <w:bCs/>
                <w:sz w:val="21"/>
                <w:szCs w:val="21"/>
              </w:rPr>
              <w:t>小计</w:t>
            </w:r>
          </w:p>
        </w:tc>
        <w:tc>
          <w:tcPr>
            <w:tcW w:w="381" w:type="pct"/>
            <w:vAlign w:val="center"/>
          </w:tcPr>
          <w:p>
            <w:pPr>
              <w:spacing w:line="240" w:lineRule="auto"/>
              <w:ind w:firstLine="0" w:firstLineChars="0"/>
              <w:jc w:val="center"/>
              <w:rPr>
                <w:b/>
                <w:bCs/>
                <w:sz w:val="21"/>
                <w:szCs w:val="21"/>
              </w:rPr>
            </w:pPr>
            <w:r>
              <w:rPr>
                <w:b/>
                <w:bCs/>
                <w:sz w:val="21"/>
                <w:szCs w:val="21"/>
              </w:rPr>
              <w:t>30.91</w:t>
            </w:r>
          </w:p>
        </w:tc>
        <w:tc>
          <w:tcPr>
            <w:tcW w:w="370" w:type="pct"/>
            <w:vAlign w:val="center"/>
          </w:tcPr>
          <w:p>
            <w:pPr>
              <w:spacing w:line="240" w:lineRule="auto"/>
              <w:ind w:firstLine="0" w:firstLineChars="0"/>
              <w:jc w:val="center"/>
              <w:rPr>
                <w:b/>
                <w:bCs/>
                <w:sz w:val="21"/>
                <w:szCs w:val="21"/>
              </w:rPr>
            </w:pPr>
            <w:r>
              <w:rPr>
                <w:b/>
                <w:bCs/>
                <w:sz w:val="21"/>
                <w:szCs w:val="21"/>
              </w:rPr>
              <w:t>20</w:t>
            </w:r>
          </w:p>
        </w:tc>
        <w:tc>
          <w:tcPr>
            <w:tcW w:w="426" w:type="pct"/>
            <w:vAlign w:val="center"/>
          </w:tcPr>
          <w:p>
            <w:pPr>
              <w:spacing w:line="240" w:lineRule="auto"/>
              <w:ind w:firstLine="0" w:firstLineChars="0"/>
              <w:jc w:val="center"/>
              <w:rPr>
                <w:b/>
                <w:bCs/>
                <w:sz w:val="21"/>
                <w:szCs w:val="21"/>
              </w:rPr>
            </w:pPr>
            <w:r>
              <w:rPr>
                <w:b/>
                <w:bCs/>
                <w:sz w:val="21"/>
                <w:szCs w:val="21"/>
              </w:rPr>
              <w:t>63.51</w:t>
            </w:r>
          </w:p>
        </w:tc>
        <w:tc>
          <w:tcPr>
            <w:tcW w:w="457" w:type="pct"/>
            <w:vAlign w:val="center"/>
          </w:tcPr>
          <w:p>
            <w:pPr>
              <w:spacing w:line="240" w:lineRule="auto"/>
              <w:ind w:firstLine="0" w:firstLineChars="0"/>
              <w:jc w:val="center"/>
              <w:rPr>
                <w:b/>
                <w:bCs/>
                <w:sz w:val="21"/>
                <w:szCs w:val="21"/>
              </w:rPr>
            </w:pPr>
            <w:r>
              <w:rPr>
                <w:b/>
                <w:bCs/>
                <w:sz w:val="21"/>
                <w:szCs w:val="21"/>
              </w:rPr>
              <w:t>49.69</w:t>
            </w:r>
          </w:p>
        </w:tc>
        <w:tc>
          <w:tcPr>
            <w:tcW w:w="486" w:type="pct"/>
            <w:vAlign w:val="center"/>
          </w:tcPr>
          <w:p>
            <w:pPr>
              <w:spacing w:line="240" w:lineRule="auto"/>
              <w:ind w:firstLine="0" w:firstLineChars="0"/>
              <w:jc w:val="center"/>
              <w:rPr>
                <w:b/>
                <w:bCs/>
                <w:sz w:val="21"/>
                <w:szCs w:val="21"/>
              </w:rPr>
            </w:pPr>
          </w:p>
        </w:tc>
        <w:tc>
          <w:tcPr>
            <w:tcW w:w="692" w:type="pct"/>
            <w:vAlign w:val="center"/>
          </w:tcPr>
          <w:p>
            <w:pPr>
              <w:spacing w:line="240" w:lineRule="auto"/>
              <w:ind w:firstLine="0" w:firstLineChars="0"/>
              <w:jc w:val="center"/>
              <w:rPr>
                <w:b/>
                <w:bCs/>
                <w:sz w:val="21"/>
                <w:szCs w:val="21"/>
              </w:rPr>
            </w:pPr>
          </w:p>
        </w:tc>
        <w:tc>
          <w:tcPr>
            <w:tcW w:w="948" w:type="pct"/>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1" w:hRule="atLeast"/>
        </w:trPr>
        <w:tc>
          <w:tcPr>
            <w:tcW w:w="134" w:type="pct"/>
            <w:vMerge w:val="continue"/>
            <w:vAlign w:val="center"/>
          </w:tcPr>
          <w:p>
            <w:pPr>
              <w:spacing w:line="240" w:lineRule="auto"/>
              <w:ind w:firstLine="0" w:firstLineChars="0"/>
              <w:jc w:val="center"/>
              <w:rPr>
                <w:sz w:val="21"/>
                <w:szCs w:val="21"/>
              </w:rPr>
            </w:pPr>
          </w:p>
        </w:tc>
        <w:tc>
          <w:tcPr>
            <w:tcW w:w="256" w:type="pct"/>
            <w:vMerge w:val="restart"/>
            <w:vAlign w:val="center"/>
          </w:tcPr>
          <w:p>
            <w:pPr>
              <w:spacing w:line="240" w:lineRule="auto"/>
              <w:ind w:firstLine="0" w:firstLineChars="0"/>
              <w:jc w:val="center"/>
              <w:rPr>
                <w:sz w:val="21"/>
                <w:szCs w:val="21"/>
              </w:rPr>
            </w:pPr>
            <w:r>
              <w:rPr>
                <w:sz w:val="21"/>
                <w:szCs w:val="21"/>
              </w:rPr>
              <w:t>公共设施用地</w:t>
            </w:r>
          </w:p>
        </w:tc>
        <w:tc>
          <w:tcPr>
            <w:tcW w:w="845" w:type="pct"/>
            <w:vAlign w:val="center"/>
          </w:tcPr>
          <w:p>
            <w:pPr>
              <w:spacing w:line="240" w:lineRule="auto"/>
              <w:ind w:firstLine="0" w:firstLineChars="0"/>
              <w:jc w:val="center"/>
              <w:rPr>
                <w:sz w:val="21"/>
                <w:szCs w:val="21"/>
              </w:rPr>
            </w:pPr>
            <w:r>
              <w:rPr>
                <w:sz w:val="21"/>
                <w:szCs w:val="21"/>
              </w:rPr>
              <w:t>工业污水处理厂</w:t>
            </w:r>
          </w:p>
        </w:tc>
        <w:tc>
          <w:tcPr>
            <w:tcW w:w="381" w:type="pct"/>
            <w:vAlign w:val="center"/>
          </w:tcPr>
          <w:p>
            <w:pPr>
              <w:spacing w:line="240" w:lineRule="auto"/>
              <w:ind w:firstLine="0" w:firstLineChars="0"/>
              <w:jc w:val="center"/>
              <w:rPr>
                <w:sz w:val="21"/>
                <w:szCs w:val="21"/>
              </w:rPr>
            </w:pPr>
            <w:r>
              <w:rPr>
                <w:sz w:val="21"/>
                <w:szCs w:val="21"/>
              </w:rPr>
              <w:t>17.90（批复面积2.20）</w:t>
            </w:r>
          </w:p>
        </w:tc>
        <w:tc>
          <w:tcPr>
            <w:tcW w:w="370" w:type="pct"/>
            <w:vAlign w:val="center"/>
          </w:tcPr>
          <w:p>
            <w:pPr>
              <w:spacing w:line="240" w:lineRule="auto"/>
              <w:ind w:firstLine="0" w:firstLineChars="0"/>
              <w:jc w:val="center"/>
              <w:rPr>
                <w:sz w:val="21"/>
                <w:szCs w:val="21"/>
              </w:rPr>
            </w:pPr>
            <w:r>
              <w:rPr>
                <w:sz w:val="21"/>
                <w:szCs w:val="21"/>
              </w:rPr>
              <w:t>2.20</w:t>
            </w:r>
          </w:p>
        </w:tc>
        <w:tc>
          <w:tcPr>
            <w:tcW w:w="426" w:type="pct"/>
            <w:vAlign w:val="center"/>
          </w:tcPr>
          <w:p>
            <w:pPr>
              <w:spacing w:line="240" w:lineRule="auto"/>
              <w:ind w:firstLine="0" w:firstLineChars="0"/>
              <w:jc w:val="center"/>
              <w:rPr>
                <w:sz w:val="21"/>
                <w:szCs w:val="21"/>
              </w:rPr>
            </w:pPr>
            <w:r>
              <w:rPr>
                <w:sz w:val="21"/>
                <w:szCs w:val="21"/>
              </w:rPr>
              <w:t>2.12</w:t>
            </w:r>
          </w:p>
        </w:tc>
        <w:tc>
          <w:tcPr>
            <w:tcW w:w="457" w:type="pct"/>
            <w:vAlign w:val="center"/>
          </w:tcPr>
          <w:p>
            <w:pPr>
              <w:spacing w:line="240" w:lineRule="auto"/>
              <w:ind w:firstLine="0" w:firstLineChars="0"/>
              <w:jc w:val="center"/>
              <w:rPr>
                <w:sz w:val="21"/>
                <w:szCs w:val="21"/>
              </w:rPr>
            </w:pPr>
            <w:r>
              <w:rPr>
                <w:sz w:val="21"/>
                <w:szCs w:val="21"/>
              </w:rPr>
              <w:t>5.45</w:t>
            </w:r>
          </w:p>
        </w:tc>
        <w:tc>
          <w:tcPr>
            <w:tcW w:w="486" w:type="pct"/>
            <w:vAlign w:val="center"/>
          </w:tcPr>
          <w:p>
            <w:pPr>
              <w:spacing w:line="240" w:lineRule="auto"/>
              <w:ind w:firstLine="0" w:firstLineChars="0"/>
              <w:jc w:val="center"/>
              <w:rPr>
                <w:sz w:val="21"/>
                <w:szCs w:val="21"/>
              </w:rPr>
            </w:pPr>
            <w:r>
              <w:rPr>
                <w:sz w:val="21"/>
                <w:szCs w:val="21"/>
              </w:rPr>
              <w:t>+3.33</w:t>
            </w:r>
          </w:p>
        </w:tc>
        <w:tc>
          <w:tcPr>
            <w:tcW w:w="692" w:type="pct"/>
            <w:vAlign w:val="center"/>
          </w:tcPr>
          <w:p>
            <w:pPr>
              <w:spacing w:line="240" w:lineRule="auto"/>
              <w:ind w:firstLine="0" w:firstLineChars="0"/>
              <w:jc w:val="center"/>
              <w:rPr>
                <w:sz w:val="21"/>
                <w:szCs w:val="21"/>
              </w:rPr>
            </w:pPr>
            <w:r>
              <w:rPr>
                <w:sz w:val="21"/>
                <w:szCs w:val="21"/>
              </w:rPr>
              <w:t>来源于园区其他场平地块多余的土石方</w:t>
            </w:r>
          </w:p>
        </w:tc>
        <w:tc>
          <w:tcPr>
            <w:tcW w:w="948" w:type="pct"/>
            <w:vAlign w:val="center"/>
          </w:tcPr>
          <w:p>
            <w:pPr>
              <w:spacing w:line="240" w:lineRule="auto"/>
              <w:ind w:firstLine="0" w:firstLineChars="0"/>
              <w:jc w:val="center"/>
              <w:rPr>
                <w:sz w:val="21"/>
                <w:szCs w:val="21"/>
              </w:rPr>
            </w:pPr>
            <w:r>
              <w:rPr>
                <w:sz w:val="21"/>
                <w:szCs w:val="21"/>
              </w:rPr>
              <w:t>2020年4月3日取得水保批复,批复文号：五水函〔2020〕19号。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07"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vAlign w:val="center"/>
          </w:tcPr>
          <w:p>
            <w:pPr>
              <w:spacing w:line="240" w:lineRule="auto"/>
              <w:ind w:firstLine="0" w:firstLineChars="0"/>
              <w:jc w:val="center"/>
              <w:rPr>
                <w:sz w:val="21"/>
                <w:szCs w:val="21"/>
              </w:rPr>
            </w:pPr>
            <w:r>
              <w:rPr>
                <w:sz w:val="21"/>
                <w:szCs w:val="21"/>
              </w:rPr>
              <w:t>会云220kV变电站</w:t>
            </w:r>
          </w:p>
        </w:tc>
        <w:tc>
          <w:tcPr>
            <w:tcW w:w="381" w:type="pct"/>
            <w:vAlign w:val="center"/>
          </w:tcPr>
          <w:p>
            <w:pPr>
              <w:spacing w:line="240" w:lineRule="auto"/>
              <w:ind w:firstLine="0" w:firstLineChars="0"/>
              <w:jc w:val="center"/>
              <w:rPr>
                <w:sz w:val="21"/>
                <w:szCs w:val="21"/>
              </w:rPr>
            </w:pPr>
            <w:r>
              <w:rPr>
                <w:sz w:val="21"/>
                <w:szCs w:val="21"/>
              </w:rPr>
              <w:t>1.84</w:t>
            </w:r>
          </w:p>
        </w:tc>
        <w:tc>
          <w:tcPr>
            <w:tcW w:w="370" w:type="pct"/>
            <w:vAlign w:val="center"/>
          </w:tcPr>
          <w:p>
            <w:pPr>
              <w:spacing w:line="240" w:lineRule="auto"/>
              <w:ind w:firstLine="0" w:firstLineChars="0"/>
              <w:jc w:val="center"/>
              <w:rPr>
                <w:sz w:val="21"/>
                <w:szCs w:val="21"/>
              </w:rPr>
            </w:pPr>
            <w:r>
              <w:rPr>
                <w:sz w:val="21"/>
                <w:szCs w:val="21"/>
              </w:rPr>
              <w:t>1.84</w:t>
            </w:r>
          </w:p>
        </w:tc>
        <w:tc>
          <w:tcPr>
            <w:tcW w:w="426" w:type="pct"/>
            <w:vAlign w:val="center"/>
          </w:tcPr>
          <w:p>
            <w:pPr>
              <w:spacing w:line="240" w:lineRule="auto"/>
              <w:ind w:firstLine="0" w:firstLineChars="0"/>
              <w:jc w:val="center"/>
              <w:rPr>
                <w:sz w:val="21"/>
                <w:szCs w:val="21"/>
              </w:rPr>
            </w:pPr>
            <w:r>
              <w:rPr>
                <w:sz w:val="21"/>
                <w:szCs w:val="21"/>
              </w:rPr>
              <w:t>2.87</w:t>
            </w:r>
          </w:p>
        </w:tc>
        <w:tc>
          <w:tcPr>
            <w:tcW w:w="457" w:type="pct"/>
            <w:vAlign w:val="center"/>
          </w:tcPr>
          <w:p>
            <w:pPr>
              <w:spacing w:line="240" w:lineRule="auto"/>
              <w:ind w:firstLine="0" w:firstLineChars="0"/>
              <w:jc w:val="center"/>
              <w:rPr>
                <w:sz w:val="21"/>
                <w:szCs w:val="21"/>
              </w:rPr>
            </w:pPr>
            <w:r>
              <w:rPr>
                <w:sz w:val="21"/>
                <w:szCs w:val="21"/>
              </w:rPr>
              <w:t>1.88</w:t>
            </w:r>
          </w:p>
        </w:tc>
        <w:tc>
          <w:tcPr>
            <w:tcW w:w="486" w:type="pct"/>
            <w:vAlign w:val="center"/>
          </w:tcPr>
          <w:p>
            <w:pPr>
              <w:spacing w:line="240" w:lineRule="auto"/>
              <w:ind w:firstLine="0" w:firstLineChars="0"/>
              <w:jc w:val="center"/>
              <w:rPr>
                <w:sz w:val="21"/>
                <w:szCs w:val="21"/>
              </w:rPr>
            </w:pPr>
            <w:r>
              <w:rPr>
                <w:sz w:val="21"/>
                <w:szCs w:val="21"/>
              </w:rPr>
              <w:t>-0.99</w:t>
            </w:r>
          </w:p>
        </w:tc>
        <w:tc>
          <w:tcPr>
            <w:tcW w:w="692" w:type="pct"/>
            <w:vAlign w:val="center"/>
          </w:tcPr>
          <w:p>
            <w:pPr>
              <w:spacing w:line="240" w:lineRule="auto"/>
              <w:ind w:firstLine="0" w:firstLineChars="0"/>
              <w:jc w:val="center"/>
              <w:rPr>
                <w:sz w:val="21"/>
                <w:szCs w:val="21"/>
              </w:rPr>
            </w:pPr>
            <w:r>
              <w:rPr>
                <w:sz w:val="21"/>
                <w:szCs w:val="21"/>
              </w:rPr>
              <w:t>综合利用于四川永祥能源科技有限公司一期高纯晶硅项目场地平整</w:t>
            </w:r>
          </w:p>
        </w:tc>
        <w:tc>
          <w:tcPr>
            <w:tcW w:w="948" w:type="pct"/>
            <w:vAlign w:val="center"/>
          </w:tcPr>
          <w:p>
            <w:pPr>
              <w:spacing w:line="240" w:lineRule="auto"/>
              <w:ind w:firstLine="0" w:firstLineChars="0"/>
              <w:jc w:val="center"/>
              <w:rPr>
                <w:sz w:val="21"/>
                <w:szCs w:val="21"/>
              </w:rPr>
            </w:pPr>
            <w:r>
              <w:rPr>
                <w:sz w:val="21"/>
                <w:szCs w:val="21"/>
              </w:rPr>
              <w:t>2021年1月26日取得水保批复,批复文号：五水函〔2021〕6号。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4"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vAlign w:val="center"/>
          </w:tcPr>
          <w:p>
            <w:pPr>
              <w:spacing w:line="240" w:lineRule="auto"/>
              <w:ind w:firstLine="0" w:firstLineChars="0"/>
              <w:jc w:val="center"/>
              <w:rPr>
                <w:sz w:val="21"/>
                <w:szCs w:val="21"/>
              </w:rPr>
            </w:pPr>
            <w:r>
              <w:rPr>
                <w:sz w:val="21"/>
                <w:szCs w:val="21"/>
              </w:rPr>
              <w:t>服务中心和停车场配套工程</w:t>
            </w:r>
          </w:p>
        </w:tc>
        <w:tc>
          <w:tcPr>
            <w:tcW w:w="381" w:type="pct"/>
            <w:vAlign w:val="center"/>
          </w:tcPr>
          <w:p>
            <w:pPr>
              <w:spacing w:line="240" w:lineRule="auto"/>
              <w:ind w:firstLine="0" w:firstLineChars="0"/>
              <w:jc w:val="center"/>
              <w:rPr>
                <w:sz w:val="21"/>
                <w:szCs w:val="21"/>
              </w:rPr>
            </w:pPr>
            <w:r>
              <w:rPr>
                <w:sz w:val="21"/>
                <w:szCs w:val="21"/>
              </w:rPr>
              <w:t>4.35</w:t>
            </w:r>
          </w:p>
        </w:tc>
        <w:tc>
          <w:tcPr>
            <w:tcW w:w="370" w:type="pct"/>
            <w:vAlign w:val="center"/>
          </w:tcPr>
          <w:p>
            <w:pPr>
              <w:spacing w:line="240" w:lineRule="auto"/>
              <w:ind w:firstLine="0" w:firstLineChars="0"/>
              <w:jc w:val="center"/>
              <w:rPr>
                <w:sz w:val="21"/>
                <w:szCs w:val="21"/>
              </w:rPr>
            </w:pPr>
            <w:r>
              <w:rPr>
                <w:sz w:val="21"/>
                <w:szCs w:val="21"/>
              </w:rPr>
              <w:t>4.35</w:t>
            </w:r>
          </w:p>
        </w:tc>
        <w:tc>
          <w:tcPr>
            <w:tcW w:w="426" w:type="pct"/>
            <w:vAlign w:val="center"/>
          </w:tcPr>
          <w:p>
            <w:pPr>
              <w:spacing w:line="240" w:lineRule="auto"/>
              <w:ind w:firstLine="0" w:firstLineChars="0"/>
              <w:jc w:val="center"/>
              <w:rPr>
                <w:sz w:val="21"/>
                <w:szCs w:val="21"/>
              </w:rPr>
            </w:pPr>
            <w:r>
              <w:rPr>
                <w:sz w:val="21"/>
                <w:szCs w:val="21"/>
              </w:rPr>
              <w:t>5.08</w:t>
            </w:r>
          </w:p>
        </w:tc>
        <w:tc>
          <w:tcPr>
            <w:tcW w:w="457" w:type="pct"/>
            <w:vAlign w:val="center"/>
          </w:tcPr>
          <w:p>
            <w:pPr>
              <w:spacing w:line="240" w:lineRule="auto"/>
              <w:ind w:firstLine="0" w:firstLineChars="0"/>
              <w:jc w:val="center"/>
              <w:rPr>
                <w:sz w:val="21"/>
                <w:szCs w:val="21"/>
              </w:rPr>
            </w:pPr>
            <w:r>
              <w:rPr>
                <w:sz w:val="21"/>
                <w:szCs w:val="21"/>
              </w:rPr>
              <w:t>1.41</w:t>
            </w:r>
          </w:p>
        </w:tc>
        <w:tc>
          <w:tcPr>
            <w:tcW w:w="486" w:type="pct"/>
            <w:vAlign w:val="center"/>
          </w:tcPr>
          <w:p>
            <w:pPr>
              <w:spacing w:line="240" w:lineRule="auto"/>
              <w:ind w:firstLine="0" w:firstLineChars="0"/>
              <w:jc w:val="center"/>
              <w:rPr>
                <w:sz w:val="21"/>
                <w:szCs w:val="21"/>
              </w:rPr>
            </w:pPr>
            <w:r>
              <w:rPr>
                <w:sz w:val="21"/>
                <w:szCs w:val="21"/>
              </w:rPr>
              <w:t>-3.67</w:t>
            </w:r>
          </w:p>
        </w:tc>
        <w:tc>
          <w:tcPr>
            <w:tcW w:w="692" w:type="pct"/>
            <w:vAlign w:val="center"/>
          </w:tcPr>
          <w:p>
            <w:pPr>
              <w:spacing w:line="240" w:lineRule="auto"/>
              <w:ind w:firstLine="0" w:firstLineChars="0"/>
              <w:jc w:val="center"/>
              <w:rPr>
                <w:sz w:val="21"/>
                <w:szCs w:val="21"/>
              </w:rPr>
            </w:pPr>
            <w:r>
              <w:rPr>
                <w:sz w:val="21"/>
                <w:szCs w:val="21"/>
              </w:rPr>
              <w:t>综合利用于四川永祥能源科技有限公司一期高纯晶硅项目场地平整</w:t>
            </w:r>
          </w:p>
        </w:tc>
        <w:tc>
          <w:tcPr>
            <w:tcW w:w="948" w:type="pct"/>
            <w:vAlign w:val="center"/>
          </w:tcPr>
          <w:p>
            <w:pPr>
              <w:spacing w:line="240" w:lineRule="auto"/>
              <w:ind w:firstLine="0" w:firstLineChars="0"/>
              <w:jc w:val="center"/>
              <w:rPr>
                <w:sz w:val="21"/>
                <w:szCs w:val="21"/>
              </w:rPr>
            </w:pPr>
            <w:r>
              <w:rPr>
                <w:sz w:val="21"/>
                <w:szCs w:val="21"/>
              </w:rPr>
              <w:t>2022年10月12日取得批复,批复文号：五水函〔2022〕66号</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0" w:hRule="atLeast"/>
        </w:trPr>
        <w:tc>
          <w:tcPr>
            <w:tcW w:w="134" w:type="pct"/>
            <w:vMerge w:val="continue"/>
            <w:vAlign w:val="center"/>
          </w:tcPr>
          <w:p>
            <w:pPr>
              <w:spacing w:line="240" w:lineRule="auto"/>
              <w:ind w:firstLine="0" w:firstLineChars="0"/>
              <w:jc w:val="center"/>
              <w:rPr>
                <w:sz w:val="21"/>
                <w:szCs w:val="21"/>
              </w:rPr>
            </w:pPr>
          </w:p>
        </w:tc>
        <w:tc>
          <w:tcPr>
            <w:tcW w:w="256" w:type="pct"/>
            <w:vMerge w:val="continue"/>
            <w:vAlign w:val="center"/>
          </w:tcPr>
          <w:p>
            <w:pPr>
              <w:spacing w:line="240" w:lineRule="auto"/>
              <w:ind w:firstLine="0" w:firstLineChars="0"/>
              <w:jc w:val="center"/>
              <w:rPr>
                <w:sz w:val="21"/>
                <w:szCs w:val="21"/>
              </w:rPr>
            </w:pPr>
          </w:p>
        </w:tc>
        <w:tc>
          <w:tcPr>
            <w:tcW w:w="845" w:type="pct"/>
            <w:vAlign w:val="center"/>
          </w:tcPr>
          <w:p>
            <w:pPr>
              <w:spacing w:line="240" w:lineRule="auto"/>
              <w:ind w:firstLine="0" w:firstLineChars="0"/>
              <w:jc w:val="center"/>
              <w:rPr>
                <w:sz w:val="21"/>
                <w:szCs w:val="21"/>
              </w:rPr>
            </w:pPr>
            <w:r>
              <w:rPr>
                <w:b/>
                <w:bCs/>
                <w:sz w:val="21"/>
                <w:szCs w:val="21"/>
              </w:rPr>
              <w:t>小计</w:t>
            </w:r>
          </w:p>
        </w:tc>
        <w:tc>
          <w:tcPr>
            <w:tcW w:w="381" w:type="pct"/>
            <w:vAlign w:val="center"/>
          </w:tcPr>
          <w:p>
            <w:pPr>
              <w:spacing w:line="240" w:lineRule="auto"/>
              <w:ind w:firstLine="0" w:firstLineChars="0"/>
              <w:jc w:val="center"/>
              <w:rPr>
                <w:b/>
                <w:bCs/>
                <w:sz w:val="21"/>
                <w:szCs w:val="21"/>
              </w:rPr>
            </w:pPr>
            <w:r>
              <w:rPr>
                <w:b/>
                <w:bCs/>
                <w:sz w:val="21"/>
                <w:szCs w:val="21"/>
              </w:rPr>
              <w:t>24.09</w:t>
            </w:r>
          </w:p>
        </w:tc>
        <w:tc>
          <w:tcPr>
            <w:tcW w:w="370" w:type="pct"/>
            <w:vAlign w:val="center"/>
          </w:tcPr>
          <w:p>
            <w:pPr>
              <w:spacing w:line="240" w:lineRule="auto"/>
              <w:ind w:firstLine="0" w:firstLineChars="0"/>
              <w:jc w:val="center"/>
              <w:rPr>
                <w:b/>
                <w:bCs/>
                <w:sz w:val="21"/>
                <w:szCs w:val="21"/>
              </w:rPr>
            </w:pPr>
            <w:r>
              <w:rPr>
                <w:b/>
                <w:bCs/>
                <w:sz w:val="21"/>
                <w:szCs w:val="21"/>
              </w:rPr>
              <w:t>8.39</w:t>
            </w:r>
          </w:p>
        </w:tc>
        <w:tc>
          <w:tcPr>
            <w:tcW w:w="426" w:type="pct"/>
            <w:vAlign w:val="center"/>
          </w:tcPr>
          <w:p>
            <w:pPr>
              <w:spacing w:line="240" w:lineRule="auto"/>
              <w:ind w:firstLine="0" w:firstLineChars="0"/>
              <w:jc w:val="center"/>
              <w:rPr>
                <w:b/>
                <w:bCs/>
                <w:sz w:val="21"/>
                <w:szCs w:val="21"/>
              </w:rPr>
            </w:pPr>
            <w:r>
              <w:rPr>
                <w:b/>
                <w:bCs/>
                <w:sz w:val="21"/>
                <w:szCs w:val="21"/>
              </w:rPr>
              <w:t>10.07</w:t>
            </w:r>
          </w:p>
        </w:tc>
        <w:tc>
          <w:tcPr>
            <w:tcW w:w="457" w:type="pct"/>
            <w:vAlign w:val="center"/>
          </w:tcPr>
          <w:p>
            <w:pPr>
              <w:spacing w:line="240" w:lineRule="auto"/>
              <w:ind w:firstLine="0" w:firstLineChars="0"/>
              <w:jc w:val="center"/>
              <w:rPr>
                <w:b/>
                <w:bCs/>
                <w:sz w:val="21"/>
                <w:szCs w:val="21"/>
              </w:rPr>
            </w:pPr>
            <w:r>
              <w:rPr>
                <w:b/>
                <w:bCs/>
                <w:sz w:val="21"/>
                <w:szCs w:val="21"/>
              </w:rPr>
              <w:t>8.74</w:t>
            </w:r>
          </w:p>
        </w:tc>
        <w:tc>
          <w:tcPr>
            <w:tcW w:w="486" w:type="pct"/>
            <w:vAlign w:val="center"/>
          </w:tcPr>
          <w:p>
            <w:pPr>
              <w:spacing w:line="240" w:lineRule="auto"/>
              <w:ind w:firstLine="0" w:firstLineChars="0"/>
              <w:jc w:val="center"/>
              <w:rPr>
                <w:sz w:val="21"/>
                <w:szCs w:val="21"/>
              </w:rPr>
            </w:pPr>
          </w:p>
        </w:tc>
        <w:tc>
          <w:tcPr>
            <w:tcW w:w="692" w:type="pct"/>
            <w:vAlign w:val="center"/>
          </w:tcPr>
          <w:p>
            <w:pPr>
              <w:spacing w:line="240" w:lineRule="auto"/>
              <w:ind w:firstLine="0" w:firstLineChars="0"/>
              <w:jc w:val="center"/>
              <w:rPr>
                <w:sz w:val="21"/>
                <w:szCs w:val="21"/>
              </w:rPr>
            </w:pPr>
          </w:p>
        </w:tc>
        <w:tc>
          <w:tcPr>
            <w:tcW w:w="948" w:type="pct"/>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236" w:type="pct"/>
            <w:gridSpan w:val="3"/>
            <w:vAlign w:val="center"/>
          </w:tcPr>
          <w:p>
            <w:pPr>
              <w:spacing w:line="240" w:lineRule="auto"/>
              <w:ind w:firstLine="0" w:firstLineChars="0"/>
              <w:jc w:val="center"/>
              <w:rPr>
                <w:b/>
                <w:bCs/>
                <w:sz w:val="21"/>
                <w:szCs w:val="21"/>
              </w:rPr>
            </w:pPr>
            <w:r>
              <w:rPr>
                <w:b/>
                <w:bCs/>
                <w:sz w:val="21"/>
                <w:szCs w:val="21"/>
              </w:rPr>
              <w:t>合计</w:t>
            </w:r>
          </w:p>
        </w:tc>
        <w:tc>
          <w:tcPr>
            <w:tcW w:w="381" w:type="pct"/>
            <w:vAlign w:val="center"/>
          </w:tcPr>
          <w:p>
            <w:pPr>
              <w:spacing w:line="240" w:lineRule="auto"/>
              <w:ind w:firstLine="0" w:firstLineChars="0"/>
              <w:jc w:val="center"/>
              <w:rPr>
                <w:b/>
                <w:bCs/>
                <w:sz w:val="21"/>
                <w:szCs w:val="21"/>
              </w:rPr>
            </w:pPr>
            <w:r>
              <w:rPr>
                <w:b/>
                <w:bCs/>
                <w:sz w:val="21"/>
                <w:szCs w:val="21"/>
              </w:rPr>
              <w:t>249.84</w:t>
            </w:r>
          </w:p>
        </w:tc>
        <w:tc>
          <w:tcPr>
            <w:tcW w:w="370" w:type="pct"/>
            <w:vAlign w:val="center"/>
          </w:tcPr>
          <w:p>
            <w:pPr>
              <w:spacing w:line="240" w:lineRule="auto"/>
              <w:ind w:firstLine="0" w:firstLineChars="0"/>
              <w:jc w:val="center"/>
              <w:rPr>
                <w:b/>
                <w:bCs/>
                <w:sz w:val="21"/>
                <w:szCs w:val="21"/>
              </w:rPr>
            </w:pPr>
            <w:r>
              <w:rPr>
                <w:b/>
                <w:bCs/>
                <w:sz w:val="21"/>
                <w:szCs w:val="21"/>
              </w:rPr>
              <w:t>227.50</w:t>
            </w:r>
          </w:p>
        </w:tc>
        <w:tc>
          <w:tcPr>
            <w:tcW w:w="426" w:type="pct"/>
            <w:vAlign w:val="center"/>
          </w:tcPr>
          <w:p>
            <w:pPr>
              <w:spacing w:line="240" w:lineRule="auto"/>
              <w:ind w:firstLine="0" w:firstLineChars="0"/>
              <w:jc w:val="center"/>
              <w:rPr>
                <w:b/>
                <w:bCs/>
                <w:sz w:val="21"/>
                <w:szCs w:val="21"/>
              </w:rPr>
            </w:pPr>
            <w:r>
              <w:rPr>
                <w:b/>
                <w:bCs/>
                <w:sz w:val="21"/>
                <w:szCs w:val="21"/>
              </w:rPr>
              <w:t>247.98</w:t>
            </w:r>
          </w:p>
        </w:tc>
        <w:tc>
          <w:tcPr>
            <w:tcW w:w="457" w:type="pct"/>
            <w:vAlign w:val="center"/>
          </w:tcPr>
          <w:p>
            <w:pPr>
              <w:spacing w:line="240" w:lineRule="auto"/>
              <w:ind w:firstLine="0" w:firstLineChars="0"/>
              <w:jc w:val="center"/>
              <w:rPr>
                <w:b/>
                <w:bCs/>
                <w:sz w:val="21"/>
                <w:szCs w:val="21"/>
              </w:rPr>
            </w:pPr>
            <w:r>
              <w:rPr>
                <w:b/>
                <w:bCs/>
                <w:sz w:val="21"/>
                <w:szCs w:val="21"/>
              </w:rPr>
              <w:t>217.94</w:t>
            </w:r>
          </w:p>
        </w:tc>
        <w:tc>
          <w:tcPr>
            <w:tcW w:w="486" w:type="pct"/>
            <w:vAlign w:val="center"/>
          </w:tcPr>
          <w:p>
            <w:pPr>
              <w:spacing w:line="240" w:lineRule="auto"/>
              <w:ind w:firstLine="0" w:firstLineChars="0"/>
              <w:jc w:val="center"/>
              <w:rPr>
                <w:b/>
                <w:bCs/>
                <w:sz w:val="21"/>
                <w:szCs w:val="21"/>
              </w:rPr>
            </w:pPr>
            <w:r>
              <w:rPr>
                <w:b/>
                <w:bCs/>
                <w:sz w:val="21"/>
                <w:szCs w:val="21"/>
              </w:rPr>
              <w:t>-17/+2.11</w:t>
            </w:r>
          </w:p>
        </w:tc>
        <w:tc>
          <w:tcPr>
            <w:tcW w:w="692" w:type="pct"/>
            <w:vAlign w:val="center"/>
          </w:tcPr>
          <w:p>
            <w:pPr>
              <w:spacing w:line="240" w:lineRule="auto"/>
              <w:ind w:firstLine="0" w:firstLineChars="0"/>
              <w:jc w:val="center"/>
              <w:rPr>
                <w:b/>
                <w:bCs/>
                <w:sz w:val="21"/>
                <w:szCs w:val="21"/>
              </w:rPr>
            </w:pPr>
          </w:p>
        </w:tc>
        <w:tc>
          <w:tcPr>
            <w:tcW w:w="948" w:type="pct"/>
            <w:vAlign w:val="center"/>
          </w:tcPr>
          <w:p>
            <w:pPr>
              <w:spacing w:line="240" w:lineRule="auto"/>
              <w:ind w:firstLine="0" w:firstLineChars="0"/>
              <w:jc w:val="center"/>
              <w:rPr>
                <w:b/>
                <w:bCs/>
                <w:sz w:val="21"/>
                <w:szCs w:val="21"/>
              </w:rPr>
            </w:pPr>
          </w:p>
        </w:tc>
      </w:tr>
    </w:tbl>
    <w:p>
      <w:pPr>
        <w:ind w:firstLine="0" w:firstLineChars="0"/>
        <w:jc w:val="center"/>
        <w:sectPr>
          <w:pgSz w:w="16838" w:h="11905" w:orient="landscape"/>
          <w:pgMar w:top="1417" w:right="1417" w:bottom="1417" w:left="1417" w:header="850" w:footer="992" w:gutter="0"/>
          <w:cols w:space="720" w:num="1"/>
          <w:docGrid w:linePitch="312" w:charSpace="0"/>
        </w:sectPr>
      </w:pPr>
    </w:p>
    <w:p>
      <w:pPr>
        <w:widowControl/>
        <w:ind w:firstLine="480"/>
      </w:pPr>
      <w:r>
        <w:t>园区土石方总体上按内部平衡、不向外弃方的原则进行平衡。根据园区控规中的开发时序、道路高程、综合管线竖向规划布置、场平控制高程、原地形地貌等资料，园区土石方挖方总量为3012.45万m</w:t>
      </w:r>
      <w:r>
        <w:rPr>
          <w:vertAlign w:val="superscript"/>
        </w:rPr>
        <w:t>3</w:t>
      </w:r>
      <w:r>
        <w:t>（包含表土剥离</w:t>
      </w:r>
      <w:r>
        <w:rPr>
          <w:rFonts w:hint="eastAsia"/>
        </w:rPr>
        <w:t>165.35万m</w:t>
      </w:r>
      <w:r>
        <w:rPr>
          <w:vertAlign w:val="superscript"/>
        </w:rPr>
        <w:t>3</w:t>
      </w:r>
      <w:r>
        <w:t>），填方总量为3012.45万m</w:t>
      </w:r>
      <w:r>
        <w:rPr>
          <w:vertAlign w:val="superscript"/>
        </w:rPr>
        <w:t>3</w:t>
      </w:r>
      <w:r>
        <w:t>（含表土回覆</w:t>
      </w:r>
      <w:r>
        <w:rPr>
          <w:rFonts w:hint="eastAsia"/>
        </w:rPr>
        <w:t>165.35万m</w:t>
      </w:r>
      <w:r>
        <w:rPr>
          <w:vertAlign w:val="superscript"/>
        </w:rPr>
        <w:t>3</w:t>
      </w:r>
      <w:r>
        <w:t>），无余方、借方。上述土石方工程量未包含规划入驻企业项目施工的二次土石方挖填工程量。园区内部分地块项目存在余方、借方，将通过同期建设项目或园区规划的表土中转场、土石方中转场满足余方、借方中转需求，确保实现土石方园区内平衡、不出园区。土石方平衡分析详见表2.4-</w:t>
      </w:r>
      <w:r>
        <w:rPr>
          <w:rFonts w:hint="eastAsia"/>
        </w:rPr>
        <w:t>6</w:t>
      </w:r>
      <w:r>
        <w:t>。</w:t>
      </w:r>
    </w:p>
    <w:tbl>
      <w:tblPr>
        <w:tblStyle w:val="37"/>
        <w:tblW w:w="930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643"/>
        <w:gridCol w:w="46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301" w:type="dxa"/>
            <w:gridSpan w:val="2"/>
            <w:tcBorders>
              <w:tl2br w:val="nil"/>
              <w:tr2bl w:val="nil"/>
            </w:tcBorders>
          </w:tcPr>
          <w:p>
            <w:pPr>
              <w:widowControl/>
              <w:spacing w:line="240" w:lineRule="auto"/>
              <w:ind w:firstLine="0" w:firstLineChars="0"/>
              <w:jc w:val="center"/>
              <w:rPr>
                <w:sz w:val="21"/>
                <w:szCs w:val="21"/>
              </w:rPr>
            </w:pPr>
            <w:r>
              <w:drawing>
                <wp:inline distT="0" distB="0" distL="114300" distR="114300">
                  <wp:extent cx="5763260" cy="3369310"/>
                  <wp:effectExtent l="0" t="0" r="8890" b="2540"/>
                  <wp:docPr id="74"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0"/>
                          <pic:cNvPicPr>
                            <a:picLocks noChangeAspect="1"/>
                          </pic:cNvPicPr>
                        </pic:nvPicPr>
                        <pic:blipFill>
                          <a:blip r:embed="rId141"/>
                          <a:stretch>
                            <a:fillRect/>
                          </a:stretch>
                        </pic:blipFill>
                        <pic:spPr>
                          <a:xfrm>
                            <a:off x="0" y="0"/>
                            <a:ext cx="5763260" cy="336931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301" w:type="dxa"/>
            <w:gridSpan w:val="2"/>
            <w:tcBorders>
              <w:tl2br w:val="nil"/>
              <w:tr2bl w:val="nil"/>
            </w:tcBorders>
          </w:tcPr>
          <w:p>
            <w:pPr>
              <w:widowControl/>
              <w:spacing w:line="240" w:lineRule="auto"/>
              <w:ind w:firstLine="0" w:firstLineChars="0"/>
              <w:jc w:val="center"/>
              <w:rPr>
                <w:b/>
                <w:bCs/>
              </w:rPr>
            </w:pPr>
            <w:r>
              <w:rPr>
                <w:b/>
                <w:bCs/>
                <w:sz w:val="21"/>
                <w:szCs w:val="21"/>
              </w:rPr>
              <w:t>图2.4-</w:t>
            </w:r>
            <w:r>
              <w:rPr>
                <w:rFonts w:hint="eastAsia"/>
                <w:b/>
                <w:bCs/>
                <w:sz w:val="21"/>
                <w:szCs w:val="21"/>
              </w:rPr>
              <w:t>8</w:t>
            </w:r>
            <w:r>
              <w:rPr>
                <w:b/>
                <w:bCs/>
              </w:rPr>
              <w:t>园区场平土石方计算区域示意图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pPr>
            <w:r>
              <w:drawing>
                <wp:inline distT="0" distB="0" distL="114300" distR="114300">
                  <wp:extent cx="2807970" cy="2128520"/>
                  <wp:effectExtent l="0" t="0" r="11430" b="5080"/>
                  <wp:docPr id="2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54"/>
                          <pic:cNvPicPr>
                            <a:picLocks noChangeAspect="1"/>
                          </pic:cNvPicPr>
                        </pic:nvPicPr>
                        <pic:blipFill>
                          <a:blip r:embed="rId142"/>
                          <a:stretch>
                            <a:fillRect/>
                          </a:stretch>
                        </pic:blipFill>
                        <pic:spPr>
                          <a:xfrm>
                            <a:off x="0" y="0"/>
                            <a:ext cx="2807970" cy="2128520"/>
                          </a:xfrm>
                          <a:prstGeom prst="rect">
                            <a:avLst/>
                          </a:prstGeom>
                          <a:noFill/>
                          <a:ln>
                            <a:noFill/>
                          </a:ln>
                        </pic:spPr>
                      </pic:pic>
                    </a:graphicData>
                  </a:graphic>
                </wp:inline>
              </w:drawing>
            </w:r>
          </w:p>
        </w:tc>
        <w:tc>
          <w:tcPr>
            <w:tcW w:w="4658" w:type="dxa"/>
            <w:tcBorders>
              <w:tl2br w:val="nil"/>
              <w:tr2bl w:val="nil"/>
            </w:tcBorders>
          </w:tcPr>
          <w:p>
            <w:pPr>
              <w:widowControl/>
              <w:spacing w:line="240" w:lineRule="auto"/>
              <w:ind w:firstLine="0" w:firstLineChars="0"/>
              <w:jc w:val="center"/>
              <w:rPr>
                <w:sz w:val="21"/>
                <w:szCs w:val="21"/>
              </w:rPr>
            </w:pPr>
            <w:r>
              <w:drawing>
                <wp:inline distT="0" distB="0" distL="114300" distR="114300">
                  <wp:extent cx="2803525" cy="2093595"/>
                  <wp:effectExtent l="0" t="0" r="15875" b="1905"/>
                  <wp:docPr id="15"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7"/>
                          <pic:cNvPicPr>
                            <a:picLocks noChangeAspect="1"/>
                          </pic:cNvPicPr>
                        </pic:nvPicPr>
                        <pic:blipFill>
                          <a:blip r:embed="rId143" cstate="print"/>
                          <a:stretch>
                            <a:fillRect/>
                          </a:stretch>
                        </pic:blipFill>
                        <pic:spPr>
                          <a:xfrm>
                            <a:off x="0" y="0"/>
                            <a:ext cx="2803525" cy="209359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rPr>
                <w:sz w:val="21"/>
                <w:szCs w:val="21"/>
              </w:rPr>
              <w:t>①土石方计算区域成果</w:t>
            </w:r>
          </w:p>
        </w:tc>
        <w:tc>
          <w:tcPr>
            <w:tcW w:w="4658" w:type="dxa"/>
            <w:tcBorders>
              <w:tl2br w:val="nil"/>
              <w:tr2bl w:val="nil"/>
            </w:tcBorders>
          </w:tcPr>
          <w:p>
            <w:pPr>
              <w:widowControl/>
              <w:spacing w:line="240" w:lineRule="auto"/>
              <w:ind w:firstLine="0" w:firstLineChars="0"/>
              <w:jc w:val="center"/>
            </w:pPr>
            <w:r>
              <w:rPr>
                <w:sz w:val="21"/>
                <w:szCs w:val="21"/>
              </w:rPr>
              <w:t>②土石方计算区域成果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drawing>
                <wp:inline distT="0" distB="0" distL="114300" distR="114300">
                  <wp:extent cx="3047365" cy="2290445"/>
                  <wp:effectExtent l="0" t="0" r="635" b="14605"/>
                  <wp:docPr id="2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5"/>
                          <pic:cNvPicPr>
                            <a:picLocks noChangeAspect="1"/>
                          </pic:cNvPicPr>
                        </pic:nvPicPr>
                        <pic:blipFill>
                          <a:blip r:embed="rId144"/>
                          <a:stretch>
                            <a:fillRect/>
                          </a:stretch>
                        </pic:blipFill>
                        <pic:spPr>
                          <a:xfrm>
                            <a:off x="0" y="0"/>
                            <a:ext cx="3047365" cy="2290445"/>
                          </a:xfrm>
                          <a:prstGeom prst="rect">
                            <a:avLst/>
                          </a:prstGeom>
                          <a:noFill/>
                          <a:ln>
                            <a:noFill/>
                          </a:ln>
                        </pic:spPr>
                      </pic:pic>
                    </a:graphicData>
                  </a:graphic>
                </wp:inline>
              </w:drawing>
            </w:r>
          </w:p>
        </w:tc>
        <w:tc>
          <w:tcPr>
            <w:tcW w:w="4658" w:type="dxa"/>
            <w:tcBorders>
              <w:tl2br w:val="nil"/>
              <w:tr2bl w:val="nil"/>
            </w:tcBorders>
          </w:tcPr>
          <w:p>
            <w:pPr>
              <w:widowControl/>
              <w:spacing w:line="240" w:lineRule="auto"/>
              <w:ind w:firstLine="0" w:firstLineChars="0"/>
              <w:jc w:val="center"/>
            </w:pPr>
            <w:r>
              <w:drawing>
                <wp:inline distT="0" distB="0" distL="114300" distR="114300">
                  <wp:extent cx="2567940" cy="2290445"/>
                  <wp:effectExtent l="0" t="0" r="3810" b="14605"/>
                  <wp:docPr id="85"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1"/>
                          <pic:cNvPicPr>
                            <a:picLocks noChangeAspect="1"/>
                          </pic:cNvPicPr>
                        </pic:nvPicPr>
                        <pic:blipFill>
                          <a:blip r:embed="rId145"/>
                          <a:stretch>
                            <a:fillRect/>
                          </a:stretch>
                        </pic:blipFill>
                        <pic:spPr>
                          <a:xfrm>
                            <a:off x="0" y="0"/>
                            <a:ext cx="2567940" cy="229044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rPr>
                <w:sz w:val="21"/>
                <w:szCs w:val="21"/>
              </w:rPr>
              <w:t>③土石方计算区域成果</w:t>
            </w:r>
          </w:p>
        </w:tc>
        <w:tc>
          <w:tcPr>
            <w:tcW w:w="4658" w:type="dxa"/>
            <w:tcBorders>
              <w:tl2br w:val="nil"/>
              <w:tr2bl w:val="nil"/>
            </w:tcBorders>
          </w:tcPr>
          <w:p>
            <w:pPr>
              <w:widowControl/>
              <w:spacing w:line="240" w:lineRule="auto"/>
              <w:ind w:firstLine="0" w:firstLineChars="0"/>
              <w:jc w:val="center"/>
            </w:pPr>
            <w:r>
              <w:rPr>
                <w:sz w:val="21"/>
                <w:szCs w:val="21"/>
              </w:rPr>
              <w:t>④土石方计算区域成果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rPr>
                <w:sz w:val="21"/>
                <w:szCs w:val="21"/>
              </w:rPr>
              <w:drawing>
                <wp:inline distT="0" distB="0" distL="114300" distR="114300">
                  <wp:extent cx="2973070" cy="2213610"/>
                  <wp:effectExtent l="0" t="0" r="17780" b="15240"/>
                  <wp:docPr id="8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51"/>
                          <pic:cNvPicPr>
                            <a:picLocks noChangeAspect="1"/>
                          </pic:cNvPicPr>
                        </pic:nvPicPr>
                        <pic:blipFill>
                          <a:blip r:embed="rId146"/>
                          <a:srcRect/>
                          <a:stretch>
                            <a:fillRect/>
                          </a:stretch>
                        </pic:blipFill>
                        <pic:spPr>
                          <a:xfrm>
                            <a:off x="0" y="0"/>
                            <a:ext cx="2973070" cy="2213610"/>
                          </a:xfrm>
                          <a:prstGeom prst="rect">
                            <a:avLst/>
                          </a:prstGeom>
                          <a:noFill/>
                          <a:ln>
                            <a:noFill/>
                          </a:ln>
                        </pic:spPr>
                      </pic:pic>
                    </a:graphicData>
                  </a:graphic>
                </wp:inline>
              </w:drawing>
            </w:r>
          </w:p>
        </w:tc>
        <w:tc>
          <w:tcPr>
            <w:tcW w:w="4658" w:type="dxa"/>
            <w:tcBorders>
              <w:tl2br w:val="nil"/>
              <w:tr2bl w:val="nil"/>
            </w:tcBorders>
          </w:tcPr>
          <w:p>
            <w:pPr>
              <w:widowControl/>
              <w:spacing w:line="240" w:lineRule="auto"/>
              <w:ind w:firstLine="0" w:firstLineChars="0"/>
              <w:jc w:val="center"/>
            </w:pPr>
            <w:r>
              <w:drawing>
                <wp:inline distT="0" distB="0" distL="114300" distR="114300">
                  <wp:extent cx="2837180" cy="2240280"/>
                  <wp:effectExtent l="0" t="0" r="1270" b="7620"/>
                  <wp:docPr id="79"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52"/>
                          <pic:cNvPicPr>
                            <a:picLocks noChangeAspect="1"/>
                          </pic:cNvPicPr>
                        </pic:nvPicPr>
                        <pic:blipFill>
                          <a:blip r:embed="rId147"/>
                          <a:stretch>
                            <a:fillRect/>
                          </a:stretch>
                        </pic:blipFill>
                        <pic:spPr>
                          <a:xfrm>
                            <a:off x="0" y="0"/>
                            <a:ext cx="2837180" cy="224028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rPr>
                <w:sz w:val="21"/>
                <w:szCs w:val="21"/>
              </w:rPr>
              <w:t>⑤土石方计算区域成果</w:t>
            </w:r>
          </w:p>
        </w:tc>
        <w:tc>
          <w:tcPr>
            <w:tcW w:w="4658" w:type="dxa"/>
            <w:tcBorders>
              <w:tl2br w:val="nil"/>
              <w:tr2bl w:val="nil"/>
            </w:tcBorders>
          </w:tcPr>
          <w:p>
            <w:pPr>
              <w:widowControl/>
              <w:spacing w:line="240" w:lineRule="auto"/>
              <w:ind w:firstLine="0" w:firstLineChars="0"/>
              <w:jc w:val="center"/>
            </w:pPr>
            <w:r>
              <w:rPr>
                <w:sz w:val="21"/>
                <w:szCs w:val="21"/>
              </w:rPr>
              <w:t>⑥土石方计算区域成果</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drawing>
                <wp:inline distT="0" distB="0" distL="114300" distR="114300">
                  <wp:extent cx="2473960" cy="2387600"/>
                  <wp:effectExtent l="0" t="0" r="2540" b="12700"/>
                  <wp:docPr id="75"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50"/>
                          <pic:cNvPicPr>
                            <a:picLocks noChangeAspect="1"/>
                          </pic:cNvPicPr>
                        </pic:nvPicPr>
                        <pic:blipFill>
                          <a:blip r:embed="rId148"/>
                          <a:stretch>
                            <a:fillRect/>
                          </a:stretch>
                        </pic:blipFill>
                        <pic:spPr>
                          <a:xfrm>
                            <a:off x="0" y="0"/>
                            <a:ext cx="2473960" cy="2387600"/>
                          </a:xfrm>
                          <a:prstGeom prst="rect">
                            <a:avLst/>
                          </a:prstGeom>
                          <a:noFill/>
                          <a:ln>
                            <a:noFill/>
                          </a:ln>
                        </pic:spPr>
                      </pic:pic>
                    </a:graphicData>
                  </a:graphic>
                </wp:inline>
              </w:drawing>
            </w:r>
          </w:p>
        </w:tc>
        <w:tc>
          <w:tcPr>
            <w:tcW w:w="4658" w:type="dxa"/>
            <w:tcBorders>
              <w:tl2br w:val="nil"/>
              <w:tr2bl w:val="nil"/>
            </w:tcBorders>
          </w:tcPr>
          <w:p>
            <w:pPr>
              <w:widowControl/>
              <w:spacing w:line="240" w:lineRule="auto"/>
              <w:ind w:firstLine="0" w:firstLineChars="0"/>
              <w:jc w:val="center"/>
              <w:rPr>
                <w:sz w:val="21"/>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643" w:type="dxa"/>
            <w:tcBorders>
              <w:tl2br w:val="nil"/>
              <w:tr2bl w:val="nil"/>
            </w:tcBorders>
          </w:tcPr>
          <w:p>
            <w:pPr>
              <w:widowControl/>
              <w:spacing w:line="240" w:lineRule="auto"/>
              <w:ind w:firstLine="0" w:firstLineChars="0"/>
              <w:jc w:val="center"/>
              <w:rPr>
                <w:sz w:val="21"/>
                <w:szCs w:val="21"/>
              </w:rPr>
            </w:pPr>
            <w:r>
              <w:rPr>
                <w:sz w:val="21"/>
                <w:szCs w:val="21"/>
              </w:rPr>
              <w:t>⑦土石方计算区域成果</w:t>
            </w:r>
          </w:p>
        </w:tc>
        <w:tc>
          <w:tcPr>
            <w:tcW w:w="4658" w:type="dxa"/>
            <w:tcBorders>
              <w:tl2br w:val="nil"/>
              <w:tr2bl w:val="nil"/>
            </w:tcBorders>
          </w:tcPr>
          <w:p>
            <w:pPr>
              <w:widowControl/>
              <w:spacing w:line="240" w:lineRule="auto"/>
              <w:ind w:firstLine="0" w:firstLineChars="0"/>
              <w:jc w:val="center"/>
              <w:rPr>
                <w:sz w:val="21"/>
                <w:szCs w:val="21"/>
              </w:rPr>
            </w:pPr>
          </w:p>
        </w:tc>
      </w:tr>
    </w:tbl>
    <w:p>
      <w:pPr>
        <w:widowControl/>
        <w:autoSpaceDE w:val="0"/>
        <w:autoSpaceDN w:val="0"/>
        <w:ind w:firstLine="480"/>
        <w:rPr>
          <w:szCs w:val="24"/>
        </w:rPr>
      </w:pPr>
      <w:r>
        <w:rPr>
          <w:kern w:val="0"/>
          <w:szCs w:val="24"/>
        </w:rPr>
        <w:t>根据</w:t>
      </w:r>
      <w:r>
        <w:t>《五通桥新型工业基地控制性详细规划》，</w:t>
      </w:r>
      <w:r>
        <w:rPr>
          <w:kern w:val="0"/>
          <w:szCs w:val="24"/>
        </w:rPr>
        <w:t>园区被规划道路划分为</w:t>
      </w:r>
      <w:r>
        <w:rPr>
          <w:rFonts w:hint="eastAsia"/>
          <w:kern w:val="0"/>
          <w:szCs w:val="24"/>
        </w:rPr>
        <w:t>7</w:t>
      </w:r>
      <w:r>
        <w:rPr>
          <w:kern w:val="0"/>
          <w:szCs w:val="24"/>
        </w:rPr>
        <w:t>个地块（地块编号1~7），现阶段各地块场平设计标高参照周边道路进行规划。</w:t>
      </w:r>
    </w:p>
    <w:p>
      <w:pPr>
        <w:autoSpaceDE w:val="0"/>
        <w:autoSpaceDN w:val="0"/>
        <w:ind w:firstLine="480"/>
        <w:rPr>
          <w:szCs w:val="24"/>
        </w:rPr>
      </w:pPr>
      <w:r>
        <w:rPr>
          <w:szCs w:val="24"/>
        </w:rPr>
        <w:t>①号地块原始地貌为394.69m~509.51m，最大高差114.82m。场平标高422.19m，最大填高为27.50m，最大挖深87.32m。挖方781.16万m</w:t>
      </w:r>
      <w:r>
        <w:rPr>
          <w:szCs w:val="24"/>
          <w:vertAlign w:val="superscript"/>
        </w:rPr>
        <w:t>3</w:t>
      </w:r>
      <w:r>
        <w:rPr>
          <w:szCs w:val="24"/>
        </w:rPr>
        <w:t>，填方202.66万m</w:t>
      </w:r>
      <w:r>
        <w:rPr>
          <w:szCs w:val="24"/>
          <w:vertAlign w:val="superscript"/>
        </w:rPr>
        <w:t>3</w:t>
      </w:r>
      <w:r>
        <w:rPr>
          <w:szCs w:val="24"/>
        </w:rPr>
        <w:t>。</w:t>
      </w:r>
    </w:p>
    <w:p>
      <w:pPr>
        <w:autoSpaceDE w:val="0"/>
        <w:autoSpaceDN w:val="0"/>
        <w:ind w:firstLine="480"/>
        <w:rPr>
          <w:szCs w:val="24"/>
        </w:rPr>
      </w:pPr>
      <w:r>
        <w:rPr>
          <w:szCs w:val="24"/>
        </w:rPr>
        <w:t>②号地块原始地貌为371.65m~408.39m，最大高差36.74m。场平标高392.55m，最大填高为20.90m，最大挖深15.84m。挖方54.09万m</w:t>
      </w:r>
      <w:r>
        <w:rPr>
          <w:szCs w:val="24"/>
          <w:vertAlign w:val="superscript"/>
        </w:rPr>
        <w:t>3</w:t>
      </w:r>
      <w:r>
        <w:rPr>
          <w:szCs w:val="24"/>
        </w:rPr>
        <w:t>，填方355.64万m</w:t>
      </w:r>
      <w:r>
        <w:rPr>
          <w:szCs w:val="24"/>
          <w:vertAlign w:val="superscript"/>
        </w:rPr>
        <w:t>3</w:t>
      </w:r>
      <w:r>
        <w:rPr>
          <w:szCs w:val="24"/>
        </w:rPr>
        <w:t>。</w:t>
      </w:r>
    </w:p>
    <w:p>
      <w:pPr>
        <w:autoSpaceDE w:val="0"/>
        <w:autoSpaceDN w:val="0"/>
        <w:ind w:firstLine="480"/>
        <w:rPr>
          <w:szCs w:val="24"/>
        </w:rPr>
      </w:pPr>
      <w:r>
        <w:rPr>
          <w:szCs w:val="24"/>
        </w:rPr>
        <w:t>③号地块原始地貌为363.66m~411.64m，最大高差47.98m。场平标高383.17m，最大填高为19.51m，最大挖深28.47m。挖方496.96万m</w:t>
      </w:r>
      <w:r>
        <w:rPr>
          <w:szCs w:val="24"/>
          <w:vertAlign w:val="superscript"/>
        </w:rPr>
        <w:t>3</w:t>
      </w:r>
      <w:r>
        <w:rPr>
          <w:szCs w:val="24"/>
        </w:rPr>
        <w:t>，填方406.35万m</w:t>
      </w:r>
      <w:r>
        <w:rPr>
          <w:szCs w:val="24"/>
          <w:vertAlign w:val="superscript"/>
        </w:rPr>
        <w:t>3</w:t>
      </w:r>
      <w:r>
        <w:rPr>
          <w:szCs w:val="24"/>
        </w:rPr>
        <w:t>。</w:t>
      </w:r>
    </w:p>
    <w:p>
      <w:pPr>
        <w:autoSpaceDE w:val="0"/>
        <w:autoSpaceDN w:val="0"/>
        <w:ind w:firstLine="480"/>
        <w:rPr>
          <w:szCs w:val="24"/>
        </w:rPr>
      </w:pPr>
      <w:r>
        <w:rPr>
          <w:szCs w:val="24"/>
        </w:rPr>
        <w:t>④号地块原始地貌为380.71m~436.55m，最大高差55.84m。场平标高409.29m，最大填高为28.58m，最大挖深27.26m。挖方221.40万m</w:t>
      </w:r>
      <w:r>
        <w:rPr>
          <w:szCs w:val="24"/>
          <w:vertAlign w:val="superscript"/>
        </w:rPr>
        <w:t>3</w:t>
      </w:r>
      <w:r>
        <w:rPr>
          <w:szCs w:val="24"/>
        </w:rPr>
        <w:t>，填方583.83万m</w:t>
      </w:r>
      <w:r>
        <w:rPr>
          <w:szCs w:val="24"/>
          <w:vertAlign w:val="superscript"/>
        </w:rPr>
        <w:t>3</w:t>
      </w:r>
      <w:r>
        <w:rPr>
          <w:szCs w:val="24"/>
        </w:rPr>
        <w:t>。</w:t>
      </w:r>
    </w:p>
    <w:p>
      <w:pPr>
        <w:pStyle w:val="2"/>
        <w:autoSpaceDE w:val="0"/>
        <w:autoSpaceDN w:val="0"/>
        <w:spacing w:after="0"/>
        <w:ind w:firstLine="480" w:firstLineChars="200"/>
        <w:rPr>
          <w:sz w:val="24"/>
          <w:szCs w:val="24"/>
        </w:rPr>
      </w:pPr>
      <w:r>
        <w:rPr>
          <w:sz w:val="24"/>
          <w:szCs w:val="24"/>
        </w:rPr>
        <w:t>⑤号地块原始地貌为386.90m~420.51m，最大高差33.61m。场平标高408.20m，最大填高为21.30m，最大挖深12.31m。挖方83.49</w:t>
      </w:r>
      <w:r>
        <w:rPr>
          <w:szCs w:val="24"/>
        </w:rPr>
        <w:t>万m</w:t>
      </w:r>
      <w:r>
        <w:rPr>
          <w:szCs w:val="24"/>
          <w:vertAlign w:val="superscript"/>
        </w:rPr>
        <w:t>3</w:t>
      </w:r>
      <w:r>
        <w:rPr>
          <w:sz w:val="24"/>
          <w:szCs w:val="24"/>
        </w:rPr>
        <w:t>，填方116.71</w:t>
      </w:r>
      <w:r>
        <w:rPr>
          <w:szCs w:val="24"/>
        </w:rPr>
        <w:t>万m</w:t>
      </w:r>
      <w:r>
        <w:rPr>
          <w:szCs w:val="24"/>
          <w:vertAlign w:val="superscript"/>
        </w:rPr>
        <w:t>3</w:t>
      </w:r>
      <w:r>
        <w:rPr>
          <w:sz w:val="24"/>
          <w:szCs w:val="24"/>
        </w:rPr>
        <w:t>。</w:t>
      </w:r>
    </w:p>
    <w:p>
      <w:pPr>
        <w:autoSpaceDE w:val="0"/>
        <w:autoSpaceDN w:val="0"/>
        <w:ind w:firstLine="480"/>
        <w:rPr>
          <w:szCs w:val="24"/>
        </w:rPr>
      </w:pPr>
      <w:r>
        <w:rPr>
          <w:szCs w:val="24"/>
        </w:rPr>
        <w:t>⑥号地块原始地貌为387.64m~434.91m，最大高差47.27m。场平标高407.23m，最大填高为19.59m，最大挖深27.68m。挖方213.16万m</w:t>
      </w:r>
      <w:r>
        <w:rPr>
          <w:szCs w:val="24"/>
          <w:vertAlign w:val="superscript"/>
        </w:rPr>
        <w:t>3</w:t>
      </w:r>
      <w:r>
        <w:rPr>
          <w:szCs w:val="24"/>
        </w:rPr>
        <w:t>，填方74.67万m</w:t>
      </w:r>
      <w:r>
        <w:rPr>
          <w:szCs w:val="24"/>
          <w:vertAlign w:val="superscript"/>
        </w:rPr>
        <w:t>3</w:t>
      </w:r>
      <w:r>
        <w:rPr>
          <w:szCs w:val="24"/>
        </w:rPr>
        <w:t>。</w:t>
      </w:r>
    </w:p>
    <w:p>
      <w:pPr>
        <w:autoSpaceDE w:val="0"/>
        <w:autoSpaceDN w:val="0"/>
        <w:ind w:firstLine="480"/>
        <w:rPr>
          <w:szCs w:val="24"/>
        </w:rPr>
      </w:pPr>
      <w:r>
        <w:rPr>
          <w:szCs w:val="24"/>
        </w:rPr>
        <w:t>⑦号地块原始地貌为395.11m~462.96m，最大高差67.85m。场平标高423.06m，最大填高为27.95m，最大挖深39.90m。挖方751.88万m</w:t>
      </w:r>
      <w:r>
        <w:rPr>
          <w:szCs w:val="24"/>
          <w:vertAlign w:val="superscript"/>
        </w:rPr>
        <w:t>3</w:t>
      </w:r>
      <w:r>
        <w:rPr>
          <w:szCs w:val="24"/>
        </w:rPr>
        <w:t>，填方797.77万m</w:t>
      </w:r>
      <w:r>
        <w:rPr>
          <w:szCs w:val="24"/>
          <w:vertAlign w:val="superscript"/>
        </w:rPr>
        <w:t>3</w:t>
      </w:r>
      <w:r>
        <w:rPr>
          <w:szCs w:val="24"/>
        </w:rPr>
        <w:t>。</w:t>
      </w:r>
    </w:p>
    <w:p>
      <w:pPr>
        <w:widowControl/>
        <w:ind w:firstLine="482"/>
        <w:jc w:val="center"/>
        <w:rPr>
          <w:b/>
          <w:bCs/>
        </w:rPr>
      </w:pPr>
      <w:r>
        <w:rPr>
          <w:b/>
          <w:bCs/>
        </w:rPr>
        <w:t>表2.4-</w:t>
      </w:r>
      <w:r>
        <w:rPr>
          <w:rFonts w:hint="eastAsia"/>
          <w:b/>
          <w:bCs/>
        </w:rPr>
        <w:t>5</w:t>
      </w:r>
      <w:r>
        <w:rPr>
          <w:b/>
          <w:bCs/>
        </w:rPr>
        <w:t>园区各地块土石方挖填量汇总表</w:t>
      </w:r>
    </w:p>
    <w:tbl>
      <w:tblPr>
        <w:tblStyle w:val="3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73"/>
        <w:gridCol w:w="2119"/>
        <w:gridCol w:w="1076"/>
        <w:gridCol w:w="1076"/>
        <w:gridCol w:w="1019"/>
        <w:gridCol w:w="955"/>
        <w:gridCol w:w="1159"/>
        <w:gridCol w:w="1210"/>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地块编号</w:t>
            </w:r>
          </w:p>
        </w:tc>
        <w:tc>
          <w:tcPr>
            <w:tcW w:w="2119"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原始地形标高（m）</w:t>
            </w:r>
          </w:p>
        </w:tc>
        <w:tc>
          <w:tcPr>
            <w:tcW w:w="1076"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设计标高（m）</w:t>
            </w:r>
          </w:p>
        </w:tc>
        <w:tc>
          <w:tcPr>
            <w:tcW w:w="1076"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最大高差（m）</w:t>
            </w:r>
          </w:p>
        </w:tc>
        <w:tc>
          <w:tcPr>
            <w:tcW w:w="1019"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最大开挖深度（m）</w:t>
            </w:r>
          </w:p>
        </w:tc>
        <w:tc>
          <w:tcPr>
            <w:tcW w:w="955"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最大填方深度（m）</w:t>
            </w:r>
          </w:p>
        </w:tc>
        <w:tc>
          <w:tcPr>
            <w:tcW w:w="1159"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挖方</w:t>
            </w:r>
          </w:p>
          <w:p>
            <w:pPr>
              <w:widowControl/>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c>
          <w:tcPr>
            <w:tcW w:w="1210"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填方</w:t>
            </w:r>
          </w:p>
          <w:p>
            <w:pPr>
              <w:widowControl/>
              <w:spacing w:line="240" w:lineRule="auto"/>
              <w:ind w:firstLine="0" w:firstLineChars="0"/>
              <w:jc w:val="center"/>
              <w:rPr>
                <w:b/>
                <w:bCs/>
                <w:sz w:val="21"/>
                <w:szCs w:val="21"/>
              </w:rPr>
            </w:pPr>
            <w:r>
              <w:rPr>
                <w:b/>
                <w:bCs/>
                <w:sz w:val="21"/>
                <w:szCs w:val="21"/>
              </w:rPr>
              <w:t>（万m</w:t>
            </w:r>
            <w:r>
              <w:rPr>
                <w:b/>
                <w:bCs/>
                <w:sz w:val="21"/>
                <w:szCs w:val="21"/>
                <w:vertAlign w:val="superscript"/>
              </w:rPr>
              <w:t>3</w:t>
            </w:r>
            <w:r>
              <w:rPr>
                <w:b/>
                <w:bCs/>
                <w:sz w:val="21"/>
                <w:szCs w:val="21"/>
              </w:rPr>
              <w: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8"/>
            <w:tcBorders>
              <w:tl2br w:val="nil"/>
              <w:tr2bl w:val="nil"/>
            </w:tcBorders>
            <w:vAlign w:val="center"/>
          </w:tcPr>
          <w:p>
            <w:pPr>
              <w:widowControl/>
              <w:spacing w:line="240" w:lineRule="auto"/>
              <w:ind w:firstLine="0" w:firstLineChars="0"/>
              <w:jc w:val="center"/>
              <w:rPr>
                <w:b/>
                <w:bCs/>
                <w:sz w:val="21"/>
                <w:szCs w:val="21"/>
              </w:rPr>
            </w:pPr>
            <w:r>
              <w:rPr>
                <w:b/>
                <w:bCs/>
                <w:sz w:val="21"/>
                <w:szCs w:val="21"/>
              </w:rPr>
              <w:t>在建及未建地块场平土石方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1</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394.69m~509.51m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422.19</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114.82</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87.32</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27.5</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781.16</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202.66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2</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371.65m~408.39m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392.55</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36.74</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15.84</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20.9</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54.09</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355.64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3</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363.66m~411.64m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383.17</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47.98</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28.47</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19.51</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496.96</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460.35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4</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380.71m~436.55m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409.29</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55.84</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27.26</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28.58</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221.4</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583.83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5</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386.90m~420.51m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408.20</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33.61</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12.31</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21.3</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83.49</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116.71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6</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387.64m~434.91m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407.23</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47.27</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27.68</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19.59</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213.16</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74.67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73" w:type="dxa"/>
            <w:tcBorders>
              <w:tl2br w:val="nil"/>
              <w:tr2bl w:val="nil"/>
            </w:tcBorders>
            <w:vAlign w:val="center"/>
          </w:tcPr>
          <w:p>
            <w:pPr>
              <w:widowControl/>
              <w:spacing w:line="240" w:lineRule="auto"/>
              <w:ind w:firstLine="0" w:firstLineChars="0"/>
              <w:jc w:val="center"/>
              <w:rPr>
                <w:sz w:val="21"/>
                <w:szCs w:val="21"/>
              </w:rPr>
            </w:pPr>
            <w:r>
              <w:rPr>
                <w:sz w:val="21"/>
                <w:szCs w:val="21"/>
              </w:rPr>
              <w:t>7</w:t>
            </w:r>
          </w:p>
        </w:tc>
        <w:tc>
          <w:tcPr>
            <w:tcW w:w="2119" w:type="dxa"/>
            <w:tcBorders>
              <w:tl2br w:val="nil"/>
              <w:tr2bl w:val="nil"/>
            </w:tcBorders>
            <w:vAlign w:val="center"/>
          </w:tcPr>
          <w:p>
            <w:pPr>
              <w:widowControl/>
              <w:spacing w:line="240" w:lineRule="auto"/>
              <w:ind w:firstLine="0" w:firstLineChars="0"/>
              <w:jc w:val="center"/>
              <w:rPr>
                <w:sz w:val="21"/>
                <w:szCs w:val="21"/>
              </w:rPr>
            </w:pPr>
            <w:r>
              <w:rPr>
                <w:sz w:val="21"/>
                <w:szCs w:val="21"/>
              </w:rPr>
              <w:t>395.11m~462.96m</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423.06</w:t>
            </w:r>
          </w:p>
        </w:tc>
        <w:tc>
          <w:tcPr>
            <w:tcW w:w="1076" w:type="dxa"/>
            <w:tcBorders>
              <w:tl2br w:val="nil"/>
              <w:tr2bl w:val="nil"/>
            </w:tcBorders>
            <w:vAlign w:val="center"/>
          </w:tcPr>
          <w:p>
            <w:pPr>
              <w:widowControl/>
              <w:spacing w:line="240" w:lineRule="auto"/>
              <w:ind w:firstLine="0" w:firstLineChars="0"/>
              <w:jc w:val="center"/>
              <w:rPr>
                <w:sz w:val="21"/>
                <w:szCs w:val="21"/>
              </w:rPr>
            </w:pPr>
            <w:r>
              <w:rPr>
                <w:sz w:val="21"/>
                <w:szCs w:val="21"/>
              </w:rPr>
              <w:t>67.85</w:t>
            </w:r>
          </w:p>
        </w:tc>
        <w:tc>
          <w:tcPr>
            <w:tcW w:w="1019" w:type="dxa"/>
            <w:tcBorders>
              <w:tl2br w:val="nil"/>
              <w:tr2bl w:val="nil"/>
            </w:tcBorders>
            <w:vAlign w:val="center"/>
          </w:tcPr>
          <w:p>
            <w:pPr>
              <w:widowControl/>
              <w:spacing w:line="240" w:lineRule="auto"/>
              <w:ind w:firstLine="0" w:firstLineChars="0"/>
              <w:jc w:val="center"/>
              <w:rPr>
                <w:sz w:val="21"/>
                <w:szCs w:val="21"/>
              </w:rPr>
            </w:pPr>
            <w:r>
              <w:rPr>
                <w:sz w:val="21"/>
                <w:szCs w:val="21"/>
              </w:rPr>
              <w:t>39.9</w:t>
            </w:r>
          </w:p>
        </w:tc>
        <w:tc>
          <w:tcPr>
            <w:tcW w:w="955" w:type="dxa"/>
            <w:tcBorders>
              <w:tl2br w:val="nil"/>
              <w:tr2bl w:val="nil"/>
            </w:tcBorders>
            <w:vAlign w:val="center"/>
          </w:tcPr>
          <w:p>
            <w:pPr>
              <w:widowControl/>
              <w:spacing w:line="240" w:lineRule="auto"/>
              <w:ind w:firstLine="0" w:firstLineChars="0"/>
              <w:jc w:val="center"/>
              <w:rPr>
                <w:sz w:val="21"/>
                <w:szCs w:val="21"/>
              </w:rPr>
            </w:pPr>
            <w:r>
              <w:rPr>
                <w:sz w:val="21"/>
                <w:szCs w:val="21"/>
              </w:rPr>
              <w:t>27.95</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751.88</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797.77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6918" w:type="dxa"/>
            <w:gridSpan w:val="6"/>
            <w:tcBorders>
              <w:tl2br w:val="nil"/>
              <w:tr2bl w:val="nil"/>
            </w:tcBorders>
            <w:vAlign w:val="center"/>
          </w:tcPr>
          <w:p>
            <w:pPr>
              <w:widowControl/>
              <w:spacing w:line="240" w:lineRule="auto"/>
              <w:ind w:firstLine="0" w:firstLineChars="0"/>
              <w:jc w:val="center"/>
              <w:rPr>
                <w:b/>
                <w:bCs/>
                <w:sz w:val="21"/>
                <w:szCs w:val="21"/>
              </w:rPr>
            </w:pPr>
            <w:r>
              <w:rPr>
                <w:b/>
                <w:bCs/>
                <w:sz w:val="21"/>
                <w:szCs w:val="21"/>
              </w:rPr>
              <w:t>小计</w:t>
            </w:r>
          </w:p>
        </w:tc>
        <w:tc>
          <w:tcPr>
            <w:tcW w:w="1159"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2602.14</w:t>
            </w:r>
          </w:p>
        </w:tc>
        <w:tc>
          <w:tcPr>
            <w:tcW w:w="1210"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2591.63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8"/>
            <w:tcBorders>
              <w:tl2br w:val="nil"/>
              <w:tr2bl w:val="nil"/>
            </w:tcBorders>
            <w:vAlign w:val="center"/>
          </w:tcPr>
          <w:p>
            <w:pPr>
              <w:widowControl/>
              <w:spacing w:line="240" w:lineRule="auto"/>
              <w:ind w:firstLine="0" w:firstLineChars="0"/>
              <w:jc w:val="center"/>
              <w:rPr>
                <w:b/>
                <w:bCs/>
                <w:sz w:val="21"/>
                <w:szCs w:val="21"/>
              </w:rPr>
            </w:pPr>
            <w:r>
              <w:rPr>
                <w:b/>
                <w:bCs/>
                <w:sz w:val="21"/>
                <w:szCs w:val="21"/>
              </w:rPr>
              <w:t>已建区域土石方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18" w:type="dxa"/>
            <w:gridSpan w:val="6"/>
            <w:tcBorders>
              <w:tl2br w:val="nil"/>
              <w:tr2bl w:val="nil"/>
            </w:tcBorders>
            <w:vAlign w:val="center"/>
          </w:tcPr>
          <w:p>
            <w:pPr>
              <w:widowControl/>
              <w:spacing w:line="240" w:lineRule="auto"/>
              <w:ind w:firstLine="0" w:firstLineChars="0"/>
              <w:jc w:val="center"/>
              <w:rPr>
                <w:sz w:val="21"/>
                <w:szCs w:val="21"/>
              </w:rPr>
            </w:pPr>
            <w:r>
              <w:rPr>
                <w:sz w:val="21"/>
                <w:szCs w:val="21"/>
              </w:rPr>
              <w:t>工业用地及道路与交通设施用地</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98.21</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98.72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9287" w:type="dxa"/>
            <w:gridSpan w:val="8"/>
            <w:tcBorders>
              <w:tl2br w:val="nil"/>
              <w:tr2bl w:val="nil"/>
            </w:tcBorders>
            <w:vAlign w:val="center"/>
          </w:tcPr>
          <w:p>
            <w:pPr>
              <w:widowControl/>
              <w:spacing w:line="240" w:lineRule="auto"/>
              <w:ind w:firstLine="0" w:firstLineChars="0"/>
              <w:jc w:val="center"/>
              <w:rPr>
                <w:b/>
                <w:bCs/>
                <w:sz w:val="21"/>
                <w:szCs w:val="21"/>
              </w:rPr>
            </w:pPr>
            <w:r>
              <w:rPr>
                <w:b/>
                <w:bCs/>
                <w:sz w:val="21"/>
                <w:szCs w:val="21"/>
              </w:rPr>
              <w:t>在建及未建区域道路工程土石方</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18" w:type="dxa"/>
            <w:gridSpan w:val="6"/>
            <w:tcBorders>
              <w:tl2br w:val="nil"/>
              <w:tr2bl w:val="nil"/>
            </w:tcBorders>
            <w:vAlign w:val="center"/>
          </w:tcPr>
          <w:p>
            <w:pPr>
              <w:widowControl/>
              <w:spacing w:line="240" w:lineRule="auto"/>
              <w:ind w:firstLine="0" w:firstLineChars="0"/>
              <w:jc w:val="center"/>
              <w:rPr>
                <w:sz w:val="21"/>
                <w:szCs w:val="21"/>
              </w:rPr>
            </w:pPr>
            <w:r>
              <w:rPr>
                <w:sz w:val="21"/>
                <w:szCs w:val="21"/>
              </w:rPr>
              <w:t>园区道路</w:t>
            </w:r>
          </w:p>
        </w:tc>
        <w:tc>
          <w:tcPr>
            <w:tcW w:w="1159" w:type="dxa"/>
            <w:tcBorders>
              <w:tl2br w:val="nil"/>
              <w:tr2bl w:val="nil"/>
            </w:tcBorders>
            <w:vAlign w:val="center"/>
          </w:tcPr>
          <w:p>
            <w:pPr>
              <w:widowControl/>
              <w:spacing w:line="240" w:lineRule="auto"/>
              <w:ind w:firstLine="0" w:firstLineChars="0"/>
              <w:jc w:val="center"/>
              <w:rPr>
                <w:sz w:val="21"/>
                <w:szCs w:val="21"/>
              </w:rPr>
            </w:pPr>
            <w:r>
              <w:rPr>
                <w:sz w:val="21"/>
                <w:szCs w:val="21"/>
              </w:rPr>
              <w:t>312.10</w:t>
            </w:r>
          </w:p>
        </w:tc>
        <w:tc>
          <w:tcPr>
            <w:tcW w:w="1210" w:type="dxa"/>
            <w:tcBorders>
              <w:tl2br w:val="nil"/>
              <w:tr2bl w:val="nil"/>
            </w:tcBorders>
            <w:vAlign w:val="center"/>
          </w:tcPr>
          <w:p>
            <w:pPr>
              <w:widowControl/>
              <w:spacing w:line="240" w:lineRule="auto"/>
              <w:ind w:firstLine="0" w:firstLineChars="0"/>
              <w:jc w:val="center"/>
              <w:rPr>
                <w:sz w:val="21"/>
                <w:szCs w:val="21"/>
              </w:rPr>
            </w:pPr>
            <w:r>
              <w:rPr>
                <w:sz w:val="21"/>
                <w:szCs w:val="21"/>
              </w:rPr>
              <w:t>322.10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6918" w:type="dxa"/>
            <w:gridSpan w:val="6"/>
            <w:tcBorders>
              <w:tl2br w:val="nil"/>
              <w:tr2bl w:val="nil"/>
            </w:tcBorders>
            <w:vAlign w:val="center"/>
          </w:tcPr>
          <w:p>
            <w:pPr>
              <w:widowControl/>
              <w:spacing w:line="240" w:lineRule="auto"/>
              <w:ind w:firstLine="0" w:firstLineChars="0"/>
              <w:jc w:val="center"/>
              <w:rPr>
                <w:b/>
                <w:bCs/>
                <w:sz w:val="21"/>
                <w:szCs w:val="21"/>
              </w:rPr>
            </w:pPr>
            <w:r>
              <w:rPr>
                <w:b/>
                <w:bCs/>
                <w:sz w:val="21"/>
                <w:szCs w:val="21"/>
              </w:rPr>
              <w:t>合计</w:t>
            </w:r>
          </w:p>
        </w:tc>
        <w:tc>
          <w:tcPr>
            <w:tcW w:w="1159"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3012.45</w:t>
            </w:r>
          </w:p>
        </w:tc>
        <w:tc>
          <w:tcPr>
            <w:tcW w:w="1210"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3012.45</w:t>
            </w:r>
          </w:p>
        </w:tc>
      </w:tr>
    </w:tbl>
    <w:p>
      <w:pPr>
        <w:widowControl/>
        <w:ind w:firstLine="480"/>
        <w:jc w:val="center"/>
        <w:sectPr>
          <w:headerReference r:id="rId17" w:type="default"/>
          <w:headerReference r:id="rId18" w:type="even"/>
          <w:pgSz w:w="11905" w:h="16838"/>
          <w:pgMar w:top="1417" w:right="1417" w:bottom="1417" w:left="1417" w:header="850" w:footer="992" w:gutter="0"/>
          <w:cols w:space="720" w:num="1"/>
          <w:docGrid w:linePitch="312" w:charSpace="0"/>
        </w:sectPr>
      </w:pPr>
    </w:p>
    <w:p>
      <w:pPr>
        <w:pStyle w:val="68"/>
        <w:spacing w:after="120"/>
      </w:pPr>
      <w:r>
        <w:t>表2.4-</w:t>
      </w:r>
      <w:r>
        <w:rPr>
          <w:rFonts w:hint="eastAsia"/>
        </w:rPr>
        <w:t>6</w:t>
      </w:r>
      <w:r>
        <w:t>土石方量平衡分析表</w:t>
      </w:r>
    </w:p>
    <w:tbl>
      <w:tblPr>
        <w:tblStyle w:val="110"/>
        <w:tblW w:w="5142" w:type="pct"/>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80"/>
        <w:gridCol w:w="483"/>
        <w:gridCol w:w="1109"/>
        <w:gridCol w:w="861"/>
        <w:gridCol w:w="1054"/>
        <w:gridCol w:w="922"/>
        <w:gridCol w:w="1071"/>
        <w:gridCol w:w="1054"/>
        <w:gridCol w:w="922"/>
        <w:gridCol w:w="1071"/>
        <w:gridCol w:w="922"/>
        <w:gridCol w:w="1001"/>
        <w:gridCol w:w="922"/>
        <w:gridCol w:w="1121"/>
        <w:gridCol w:w="913"/>
        <w:gridCol w:w="71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002" w:type="pct"/>
            <w:gridSpan w:val="4"/>
            <w:vMerge w:val="restart"/>
            <w:vAlign w:val="center"/>
          </w:tcPr>
          <w:p>
            <w:pPr>
              <w:adjustRightInd w:val="0"/>
              <w:snapToGrid w:val="0"/>
              <w:spacing w:line="240" w:lineRule="auto"/>
              <w:ind w:firstLine="0" w:firstLineChars="0"/>
              <w:jc w:val="center"/>
              <w:rPr>
                <w:b/>
                <w:kern w:val="0"/>
                <w:sz w:val="21"/>
                <w:szCs w:val="21"/>
              </w:rPr>
            </w:pPr>
            <w:r>
              <w:rPr>
                <w:b/>
                <w:kern w:val="0"/>
                <w:sz w:val="21"/>
                <w:szCs w:val="21"/>
              </w:rPr>
              <w:t>项目分区</w:t>
            </w:r>
          </w:p>
        </w:tc>
        <w:tc>
          <w:tcPr>
            <w:tcW w:w="1041" w:type="pct"/>
            <w:gridSpan w:val="3"/>
            <w:vAlign w:val="center"/>
          </w:tcPr>
          <w:p>
            <w:pPr>
              <w:adjustRightInd w:val="0"/>
              <w:snapToGrid w:val="0"/>
              <w:spacing w:line="240" w:lineRule="auto"/>
              <w:ind w:firstLine="0" w:firstLineChars="0"/>
              <w:jc w:val="center"/>
              <w:rPr>
                <w:b/>
                <w:kern w:val="0"/>
                <w:sz w:val="21"/>
                <w:szCs w:val="21"/>
              </w:rPr>
            </w:pPr>
            <w:r>
              <w:rPr>
                <w:b/>
                <w:kern w:val="0"/>
                <w:sz w:val="21"/>
                <w:szCs w:val="21"/>
              </w:rPr>
              <w:t>挖方（万m</w:t>
            </w:r>
            <w:r>
              <w:rPr>
                <w:b/>
                <w:kern w:val="0"/>
                <w:sz w:val="21"/>
                <w:szCs w:val="21"/>
                <w:vertAlign w:val="superscript"/>
              </w:rPr>
              <w:t>3</w:t>
            </w:r>
            <w:r>
              <w:rPr>
                <w:b/>
                <w:kern w:val="0"/>
                <w:sz w:val="21"/>
                <w:szCs w:val="21"/>
              </w:rPr>
              <w:t>）</w:t>
            </w:r>
          </w:p>
        </w:tc>
        <w:tc>
          <w:tcPr>
            <w:tcW w:w="1041" w:type="pct"/>
            <w:gridSpan w:val="3"/>
            <w:vAlign w:val="center"/>
          </w:tcPr>
          <w:p>
            <w:pPr>
              <w:adjustRightInd w:val="0"/>
              <w:snapToGrid w:val="0"/>
              <w:spacing w:line="240" w:lineRule="auto"/>
              <w:ind w:firstLine="0" w:firstLineChars="0"/>
              <w:jc w:val="center"/>
              <w:rPr>
                <w:b/>
                <w:kern w:val="0"/>
                <w:sz w:val="21"/>
                <w:szCs w:val="21"/>
              </w:rPr>
            </w:pPr>
            <w:r>
              <w:rPr>
                <w:b/>
                <w:kern w:val="0"/>
                <w:sz w:val="21"/>
                <w:szCs w:val="21"/>
              </w:rPr>
              <w:t>填方（万m</w:t>
            </w:r>
            <w:r>
              <w:rPr>
                <w:b/>
                <w:kern w:val="0"/>
                <w:sz w:val="21"/>
                <w:szCs w:val="21"/>
                <w:vertAlign w:val="superscript"/>
              </w:rPr>
              <w:t>3</w:t>
            </w:r>
            <w:r>
              <w:rPr>
                <w:b/>
                <w:kern w:val="0"/>
                <w:sz w:val="21"/>
                <w:szCs w:val="21"/>
              </w:rPr>
              <w:t>）</w:t>
            </w:r>
          </w:p>
        </w:tc>
        <w:tc>
          <w:tcPr>
            <w:tcW w:w="657" w:type="pct"/>
            <w:gridSpan w:val="2"/>
            <w:vAlign w:val="center"/>
          </w:tcPr>
          <w:p>
            <w:pPr>
              <w:adjustRightInd w:val="0"/>
              <w:snapToGrid w:val="0"/>
              <w:spacing w:line="240" w:lineRule="auto"/>
              <w:ind w:firstLine="0" w:firstLineChars="0"/>
              <w:jc w:val="center"/>
              <w:rPr>
                <w:b/>
                <w:kern w:val="0"/>
                <w:sz w:val="21"/>
                <w:szCs w:val="21"/>
              </w:rPr>
            </w:pPr>
            <w:r>
              <w:rPr>
                <w:b/>
                <w:kern w:val="0"/>
                <w:sz w:val="21"/>
                <w:szCs w:val="21"/>
              </w:rPr>
              <w:t>调入（万m</w:t>
            </w:r>
            <w:r>
              <w:rPr>
                <w:b/>
                <w:kern w:val="0"/>
                <w:sz w:val="21"/>
                <w:szCs w:val="21"/>
                <w:vertAlign w:val="superscript"/>
              </w:rPr>
              <w:t>3</w:t>
            </w:r>
            <w:r>
              <w:rPr>
                <w:b/>
                <w:kern w:val="0"/>
                <w:sz w:val="21"/>
                <w:szCs w:val="21"/>
              </w:rPr>
              <w:t>）</w:t>
            </w:r>
          </w:p>
        </w:tc>
        <w:tc>
          <w:tcPr>
            <w:tcW w:w="698" w:type="pct"/>
            <w:gridSpan w:val="2"/>
            <w:vAlign w:val="center"/>
          </w:tcPr>
          <w:p>
            <w:pPr>
              <w:adjustRightInd w:val="0"/>
              <w:snapToGrid w:val="0"/>
              <w:spacing w:line="240" w:lineRule="auto"/>
              <w:ind w:firstLine="0" w:firstLineChars="0"/>
              <w:jc w:val="center"/>
              <w:rPr>
                <w:b/>
                <w:kern w:val="0"/>
                <w:sz w:val="21"/>
                <w:szCs w:val="21"/>
              </w:rPr>
            </w:pPr>
            <w:r>
              <w:rPr>
                <w:b/>
                <w:kern w:val="0"/>
                <w:sz w:val="21"/>
                <w:szCs w:val="21"/>
              </w:rPr>
              <w:t>调出（万m</w:t>
            </w:r>
            <w:r>
              <w:rPr>
                <w:b/>
                <w:kern w:val="0"/>
                <w:sz w:val="21"/>
                <w:szCs w:val="21"/>
                <w:vertAlign w:val="superscript"/>
              </w:rPr>
              <w:t>3</w:t>
            </w:r>
            <w:r>
              <w:rPr>
                <w:b/>
                <w:kern w:val="0"/>
                <w:sz w:val="21"/>
                <w:szCs w:val="21"/>
              </w:rPr>
              <w:t>）</w:t>
            </w:r>
          </w:p>
        </w:tc>
        <w:tc>
          <w:tcPr>
            <w:tcW w:w="557" w:type="pct"/>
            <w:gridSpan w:val="2"/>
            <w:vAlign w:val="center"/>
          </w:tcPr>
          <w:p>
            <w:pPr>
              <w:adjustRightInd w:val="0"/>
              <w:snapToGrid w:val="0"/>
              <w:spacing w:line="240" w:lineRule="auto"/>
              <w:ind w:firstLine="0" w:firstLineChars="0"/>
              <w:jc w:val="center"/>
              <w:rPr>
                <w:b/>
                <w:kern w:val="0"/>
                <w:sz w:val="21"/>
                <w:szCs w:val="21"/>
              </w:rPr>
            </w:pPr>
            <w:r>
              <w:rPr>
                <w:b/>
                <w:kern w:val="0"/>
                <w:sz w:val="21"/>
                <w:szCs w:val="21"/>
              </w:rPr>
              <w:t>余方（万m</w:t>
            </w:r>
            <w:r>
              <w:rPr>
                <w:b/>
                <w:kern w:val="0"/>
                <w:sz w:val="21"/>
                <w:szCs w:val="21"/>
                <w:vertAlign w:val="superscript"/>
              </w:rPr>
              <w:t>3</w:t>
            </w:r>
            <w:r>
              <w:rPr>
                <w:b/>
                <w:kern w:val="0"/>
                <w:sz w:val="21"/>
                <w:szCs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002" w:type="pct"/>
            <w:gridSpan w:val="4"/>
            <w:vMerge w:val="continue"/>
            <w:vAlign w:val="center"/>
          </w:tcPr>
          <w:p>
            <w:pPr>
              <w:adjustRightInd w:val="0"/>
              <w:snapToGrid w:val="0"/>
              <w:spacing w:line="240" w:lineRule="auto"/>
              <w:ind w:firstLine="0" w:firstLineChars="0"/>
              <w:jc w:val="center"/>
              <w:rPr>
                <w:b/>
                <w:kern w:val="0"/>
                <w:sz w:val="21"/>
                <w:szCs w:val="21"/>
              </w:rPr>
            </w:pPr>
          </w:p>
        </w:tc>
        <w:tc>
          <w:tcPr>
            <w:tcW w:w="360" w:type="pct"/>
            <w:vAlign w:val="center"/>
          </w:tcPr>
          <w:p>
            <w:pPr>
              <w:adjustRightInd w:val="0"/>
              <w:snapToGrid w:val="0"/>
              <w:spacing w:line="240" w:lineRule="auto"/>
              <w:ind w:firstLine="0" w:firstLineChars="0"/>
              <w:jc w:val="center"/>
              <w:rPr>
                <w:b/>
                <w:kern w:val="0"/>
                <w:sz w:val="21"/>
                <w:szCs w:val="21"/>
              </w:rPr>
            </w:pPr>
            <w:r>
              <w:rPr>
                <w:b/>
                <w:kern w:val="0"/>
                <w:sz w:val="21"/>
                <w:szCs w:val="21"/>
              </w:rPr>
              <w:t>土石方</w:t>
            </w:r>
          </w:p>
        </w:tc>
        <w:tc>
          <w:tcPr>
            <w:tcW w:w="315" w:type="pct"/>
            <w:vAlign w:val="center"/>
          </w:tcPr>
          <w:p>
            <w:pPr>
              <w:adjustRightInd w:val="0"/>
              <w:snapToGrid w:val="0"/>
              <w:spacing w:line="240" w:lineRule="auto"/>
              <w:ind w:firstLine="0" w:firstLineChars="0"/>
              <w:jc w:val="center"/>
              <w:rPr>
                <w:b/>
                <w:kern w:val="0"/>
                <w:sz w:val="21"/>
                <w:szCs w:val="21"/>
              </w:rPr>
            </w:pPr>
            <w:r>
              <w:rPr>
                <w:b/>
                <w:kern w:val="0"/>
                <w:sz w:val="21"/>
                <w:szCs w:val="21"/>
              </w:rPr>
              <w:t>表土</w:t>
            </w:r>
          </w:p>
        </w:tc>
        <w:tc>
          <w:tcPr>
            <w:tcW w:w="366" w:type="pct"/>
            <w:vAlign w:val="center"/>
          </w:tcPr>
          <w:p>
            <w:pPr>
              <w:adjustRightInd w:val="0"/>
              <w:snapToGrid w:val="0"/>
              <w:spacing w:line="240" w:lineRule="auto"/>
              <w:ind w:firstLine="0" w:firstLineChars="0"/>
              <w:jc w:val="center"/>
              <w:rPr>
                <w:b/>
                <w:kern w:val="0"/>
                <w:sz w:val="21"/>
                <w:szCs w:val="21"/>
              </w:rPr>
            </w:pPr>
            <w:r>
              <w:rPr>
                <w:b/>
                <w:kern w:val="0"/>
                <w:sz w:val="21"/>
                <w:szCs w:val="21"/>
              </w:rPr>
              <w:t>小计</w:t>
            </w:r>
          </w:p>
        </w:tc>
        <w:tc>
          <w:tcPr>
            <w:tcW w:w="360" w:type="pct"/>
            <w:vAlign w:val="center"/>
          </w:tcPr>
          <w:p>
            <w:pPr>
              <w:adjustRightInd w:val="0"/>
              <w:snapToGrid w:val="0"/>
              <w:spacing w:line="240" w:lineRule="auto"/>
              <w:ind w:firstLine="0" w:firstLineChars="0"/>
              <w:jc w:val="center"/>
              <w:rPr>
                <w:b/>
                <w:kern w:val="0"/>
                <w:sz w:val="21"/>
                <w:szCs w:val="21"/>
              </w:rPr>
            </w:pPr>
            <w:r>
              <w:rPr>
                <w:b/>
                <w:kern w:val="0"/>
                <w:sz w:val="21"/>
                <w:szCs w:val="21"/>
              </w:rPr>
              <w:t>土石方</w:t>
            </w:r>
          </w:p>
        </w:tc>
        <w:tc>
          <w:tcPr>
            <w:tcW w:w="315" w:type="pct"/>
            <w:vAlign w:val="center"/>
          </w:tcPr>
          <w:p>
            <w:pPr>
              <w:adjustRightInd w:val="0"/>
              <w:snapToGrid w:val="0"/>
              <w:spacing w:line="240" w:lineRule="auto"/>
              <w:ind w:firstLine="0" w:firstLineChars="0"/>
              <w:jc w:val="center"/>
              <w:rPr>
                <w:b/>
                <w:kern w:val="0"/>
                <w:sz w:val="21"/>
                <w:szCs w:val="21"/>
              </w:rPr>
            </w:pPr>
            <w:r>
              <w:rPr>
                <w:b/>
                <w:kern w:val="0"/>
                <w:sz w:val="21"/>
                <w:szCs w:val="21"/>
              </w:rPr>
              <w:t>表土</w:t>
            </w:r>
          </w:p>
        </w:tc>
        <w:tc>
          <w:tcPr>
            <w:tcW w:w="366" w:type="pct"/>
            <w:vAlign w:val="center"/>
          </w:tcPr>
          <w:p>
            <w:pPr>
              <w:adjustRightInd w:val="0"/>
              <w:snapToGrid w:val="0"/>
              <w:spacing w:line="240" w:lineRule="auto"/>
              <w:ind w:firstLine="0" w:firstLineChars="0"/>
              <w:jc w:val="center"/>
              <w:rPr>
                <w:b/>
                <w:kern w:val="0"/>
                <w:sz w:val="21"/>
                <w:szCs w:val="21"/>
              </w:rPr>
            </w:pPr>
            <w:r>
              <w:rPr>
                <w:b/>
                <w:kern w:val="0"/>
                <w:sz w:val="21"/>
                <w:szCs w:val="21"/>
              </w:rPr>
              <w:t>小计</w:t>
            </w:r>
          </w:p>
        </w:tc>
        <w:tc>
          <w:tcPr>
            <w:tcW w:w="315" w:type="pct"/>
            <w:vAlign w:val="center"/>
          </w:tcPr>
          <w:p>
            <w:pPr>
              <w:adjustRightInd w:val="0"/>
              <w:snapToGrid w:val="0"/>
              <w:spacing w:line="240" w:lineRule="auto"/>
              <w:ind w:firstLine="0" w:firstLineChars="0"/>
              <w:jc w:val="center"/>
              <w:rPr>
                <w:b/>
                <w:kern w:val="0"/>
                <w:sz w:val="21"/>
                <w:szCs w:val="21"/>
              </w:rPr>
            </w:pPr>
            <w:r>
              <w:rPr>
                <w:b/>
                <w:kern w:val="0"/>
                <w:sz w:val="21"/>
                <w:szCs w:val="21"/>
              </w:rPr>
              <w:t>数量</w:t>
            </w:r>
          </w:p>
        </w:tc>
        <w:tc>
          <w:tcPr>
            <w:tcW w:w="342" w:type="pct"/>
            <w:vAlign w:val="center"/>
          </w:tcPr>
          <w:p>
            <w:pPr>
              <w:adjustRightInd w:val="0"/>
              <w:snapToGrid w:val="0"/>
              <w:spacing w:line="240" w:lineRule="auto"/>
              <w:ind w:firstLine="0" w:firstLineChars="0"/>
              <w:jc w:val="center"/>
              <w:rPr>
                <w:b/>
                <w:kern w:val="0"/>
                <w:sz w:val="21"/>
                <w:szCs w:val="21"/>
              </w:rPr>
            </w:pPr>
            <w:r>
              <w:rPr>
                <w:b/>
                <w:kern w:val="0"/>
                <w:sz w:val="21"/>
                <w:szCs w:val="21"/>
              </w:rPr>
              <w:t>来源</w:t>
            </w:r>
          </w:p>
        </w:tc>
        <w:tc>
          <w:tcPr>
            <w:tcW w:w="315" w:type="pct"/>
            <w:vAlign w:val="center"/>
          </w:tcPr>
          <w:p>
            <w:pPr>
              <w:adjustRightInd w:val="0"/>
              <w:snapToGrid w:val="0"/>
              <w:spacing w:line="240" w:lineRule="auto"/>
              <w:ind w:firstLine="0" w:firstLineChars="0"/>
              <w:jc w:val="center"/>
              <w:rPr>
                <w:b/>
                <w:kern w:val="0"/>
                <w:sz w:val="21"/>
                <w:szCs w:val="21"/>
              </w:rPr>
            </w:pPr>
            <w:r>
              <w:rPr>
                <w:b/>
                <w:kern w:val="0"/>
                <w:sz w:val="21"/>
                <w:szCs w:val="21"/>
              </w:rPr>
              <w:t>数量</w:t>
            </w:r>
          </w:p>
        </w:tc>
        <w:tc>
          <w:tcPr>
            <w:tcW w:w="383" w:type="pct"/>
            <w:vAlign w:val="center"/>
          </w:tcPr>
          <w:p>
            <w:pPr>
              <w:adjustRightInd w:val="0"/>
              <w:snapToGrid w:val="0"/>
              <w:spacing w:line="240" w:lineRule="auto"/>
              <w:ind w:firstLine="0" w:firstLineChars="0"/>
              <w:jc w:val="center"/>
              <w:rPr>
                <w:b/>
                <w:kern w:val="0"/>
                <w:sz w:val="21"/>
                <w:szCs w:val="21"/>
              </w:rPr>
            </w:pPr>
            <w:r>
              <w:rPr>
                <w:b/>
                <w:kern w:val="0"/>
                <w:sz w:val="21"/>
                <w:szCs w:val="21"/>
              </w:rPr>
              <w:t>去向</w:t>
            </w:r>
          </w:p>
        </w:tc>
        <w:tc>
          <w:tcPr>
            <w:tcW w:w="312" w:type="pct"/>
            <w:vAlign w:val="center"/>
          </w:tcPr>
          <w:p>
            <w:pPr>
              <w:adjustRightInd w:val="0"/>
              <w:snapToGrid w:val="0"/>
              <w:spacing w:line="240" w:lineRule="auto"/>
              <w:ind w:firstLine="0" w:firstLineChars="0"/>
              <w:jc w:val="center"/>
              <w:rPr>
                <w:b/>
                <w:kern w:val="0"/>
                <w:sz w:val="21"/>
                <w:szCs w:val="21"/>
              </w:rPr>
            </w:pPr>
            <w:r>
              <w:rPr>
                <w:b/>
                <w:kern w:val="0"/>
                <w:sz w:val="21"/>
                <w:szCs w:val="21"/>
              </w:rPr>
              <w:t>数量</w:t>
            </w:r>
          </w:p>
        </w:tc>
        <w:tc>
          <w:tcPr>
            <w:tcW w:w="245" w:type="pct"/>
            <w:vAlign w:val="center"/>
          </w:tcPr>
          <w:p>
            <w:pPr>
              <w:adjustRightInd w:val="0"/>
              <w:snapToGrid w:val="0"/>
              <w:spacing w:line="240" w:lineRule="auto"/>
              <w:ind w:firstLine="0" w:firstLineChars="0"/>
              <w:jc w:val="center"/>
              <w:rPr>
                <w:b/>
                <w:kern w:val="0"/>
                <w:sz w:val="21"/>
                <w:szCs w:val="21"/>
              </w:rPr>
            </w:pPr>
            <w:r>
              <w:rPr>
                <w:b/>
                <w:kern w:val="0"/>
                <w:sz w:val="21"/>
                <w:szCs w:val="21"/>
              </w:rPr>
              <w:t>去向</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restart"/>
            <w:vAlign w:val="center"/>
          </w:tcPr>
          <w:p>
            <w:pPr>
              <w:pStyle w:val="53"/>
              <w:jc w:val="center"/>
              <w:rPr>
                <w:rFonts w:eastAsia="仿宋_GB2312"/>
                <w:kern w:val="0"/>
              </w:rPr>
            </w:pPr>
            <w:r>
              <w:rPr>
                <w:rFonts w:eastAsia="仿宋_GB2312"/>
                <w:kern w:val="0"/>
              </w:rPr>
              <w:t>近期建设区</w:t>
            </w:r>
          </w:p>
        </w:tc>
        <w:tc>
          <w:tcPr>
            <w:tcW w:w="165" w:type="pct"/>
            <w:vMerge w:val="restart"/>
            <w:vAlign w:val="center"/>
          </w:tcPr>
          <w:p>
            <w:pPr>
              <w:pStyle w:val="53"/>
              <w:jc w:val="center"/>
              <w:rPr>
                <w:rFonts w:eastAsia="仿宋_GB2312"/>
              </w:rPr>
            </w:pPr>
            <w:r>
              <w:rPr>
                <w:rFonts w:eastAsia="仿宋_GB2312"/>
              </w:rPr>
              <w:t>已建区</w:t>
            </w:r>
          </w:p>
        </w:tc>
        <w:tc>
          <w:tcPr>
            <w:tcW w:w="379" w:type="pct"/>
            <w:vAlign w:val="center"/>
          </w:tcPr>
          <w:p>
            <w:pPr>
              <w:pStyle w:val="53"/>
              <w:jc w:val="center"/>
              <w:rPr>
                <w:rFonts w:eastAsia="仿宋_GB2312"/>
              </w:rPr>
            </w:pPr>
            <w:r>
              <w:rPr>
                <w:rFonts w:eastAsia="仿宋_GB2312"/>
              </w:rPr>
              <w:t>工业用地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（1）</w:t>
            </w:r>
          </w:p>
        </w:tc>
        <w:tc>
          <w:tcPr>
            <w:tcW w:w="360" w:type="pct"/>
            <w:vAlign w:val="center"/>
          </w:tcPr>
          <w:p>
            <w:pPr>
              <w:pStyle w:val="53"/>
              <w:jc w:val="center"/>
              <w:rPr>
                <w:rFonts w:eastAsia="仿宋_GB2312"/>
              </w:rPr>
            </w:pPr>
            <w:r>
              <w:rPr>
                <w:rFonts w:eastAsia="仿宋_GB2312"/>
              </w:rPr>
              <w:t>73.70</w:t>
            </w:r>
          </w:p>
        </w:tc>
        <w:tc>
          <w:tcPr>
            <w:tcW w:w="315" w:type="pct"/>
            <w:vAlign w:val="center"/>
          </w:tcPr>
          <w:p>
            <w:pPr>
              <w:pStyle w:val="53"/>
              <w:jc w:val="center"/>
              <w:rPr>
                <w:rFonts w:eastAsia="仿宋_GB2312"/>
              </w:rPr>
            </w:pPr>
            <w:r>
              <w:rPr>
                <w:rFonts w:eastAsia="仿宋_GB2312"/>
              </w:rPr>
              <w:t>3.94</w:t>
            </w:r>
          </w:p>
        </w:tc>
        <w:tc>
          <w:tcPr>
            <w:tcW w:w="366" w:type="pct"/>
            <w:vAlign w:val="center"/>
          </w:tcPr>
          <w:p>
            <w:pPr>
              <w:pStyle w:val="53"/>
              <w:jc w:val="center"/>
              <w:rPr>
                <w:rFonts w:eastAsia="仿宋_GB2312"/>
              </w:rPr>
            </w:pPr>
            <w:r>
              <w:rPr>
                <w:rFonts w:eastAsia="仿宋_GB2312"/>
              </w:rPr>
              <w:t>77.64</w:t>
            </w:r>
          </w:p>
        </w:tc>
        <w:tc>
          <w:tcPr>
            <w:tcW w:w="360" w:type="pct"/>
            <w:vAlign w:val="center"/>
          </w:tcPr>
          <w:p>
            <w:pPr>
              <w:pStyle w:val="53"/>
              <w:jc w:val="center"/>
              <w:rPr>
                <w:rFonts w:eastAsia="仿宋_GB2312"/>
              </w:rPr>
            </w:pPr>
            <w:r>
              <w:rPr>
                <w:rFonts w:eastAsia="仿宋_GB2312"/>
              </w:rPr>
              <w:t>73.70</w:t>
            </w:r>
          </w:p>
        </w:tc>
        <w:tc>
          <w:tcPr>
            <w:tcW w:w="315" w:type="pct"/>
            <w:vAlign w:val="center"/>
          </w:tcPr>
          <w:p>
            <w:pPr>
              <w:pStyle w:val="53"/>
              <w:jc w:val="center"/>
              <w:rPr>
                <w:rFonts w:eastAsia="仿宋_GB2312"/>
              </w:rPr>
            </w:pPr>
            <w:r>
              <w:rPr>
                <w:rFonts w:eastAsia="仿宋_GB2312"/>
              </w:rPr>
              <w:t>3.94</w:t>
            </w:r>
          </w:p>
        </w:tc>
        <w:tc>
          <w:tcPr>
            <w:tcW w:w="366" w:type="pct"/>
            <w:vAlign w:val="center"/>
          </w:tcPr>
          <w:p>
            <w:pPr>
              <w:pStyle w:val="53"/>
              <w:jc w:val="center"/>
              <w:rPr>
                <w:rFonts w:eastAsia="仿宋_GB2312"/>
              </w:rPr>
            </w:pPr>
            <w:r>
              <w:rPr>
                <w:rFonts w:eastAsia="仿宋_GB2312"/>
              </w:rPr>
              <w:t>77.64</w:t>
            </w:r>
          </w:p>
        </w:tc>
        <w:tc>
          <w:tcPr>
            <w:tcW w:w="315" w:type="pct"/>
            <w:vAlign w:val="center"/>
          </w:tcPr>
          <w:p>
            <w:pPr>
              <w:pStyle w:val="53"/>
              <w:jc w:val="center"/>
              <w:rPr>
                <w:rFonts w:eastAsia="仿宋_GB2312"/>
              </w:rPr>
            </w:pPr>
          </w:p>
        </w:tc>
        <w:tc>
          <w:tcPr>
            <w:tcW w:w="342" w:type="pct"/>
            <w:vAlign w:val="center"/>
          </w:tcPr>
          <w:p>
            <w:pPr>
              <w:pStyle w:val="53"/>
              <w:jc w:val="center"/>
              <w:rPr>
                <w:rFonts w:eastAsia="仿宋_GB2312"/>
              </w:rPr>
            </w:pPr>
          </w:p>
        </w:tc>
        <w:tc>
          <w:tcPr>
            <w:tcW w:w="315" w:type="pct"/>
            <w:vAlign w:val="center"/>
          </w:tcPr>
          <w:p>
            <w:pPr>
              <w:pStyle w:val="53"/>
              <w:jc w:val="center"/>
              <w:rPr>
                <w:rFonts w:eastAsia="仿宋_GB2312"/>
              </w:rPr>
            </w:pPr>
          </w:p>
        </w:tc>
        <w:tc>
          <w:tcPr>
            <w:tcW w:w="383" w:type="pct"/>
            <w:vAlign w:val="center"/>
          </w:tcPr>
          <w:p>
            <w:pPr>
              <w:pStyle w:val="53"/>
              <w:jc w:val="center"/>
              <w:rPr>
                <w:rFonts w:eastAsia="仿宋_GB2312"/>
              </w:rPr>
            </w:pP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道路与交通设施用地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（2）</w:t>
            </w:r>
          </w:p>
        </w:tc>
        <w:tc>
          <w:tcPr>
            <w:tcW w:w="360" w:type="pct"/>
            <w:vAlign w:val="center"/>
          </w:tcPr>
          <w:p>
            <w:pPr>
              <w:pStyle w:val="53"/>
              <w:jc w:val="center"/>
              <w:rPr>
                <w:rFonts w:eastAsia="仿宋_GB2312"/>
              </w:rPr>
            </w:pPr>
            <w:r>
              <w:rPr>
                <w:rFonts w:eastAsia="仿宋_GB2312"/>
              </w:rPr>
              <w:t>20.57</w:t>
            </w:r>
          </w:p>
        </w:tc>
        <w:tc>
          <w:tcPr>
            <w:tcW w:w="315" w:type="pct"/>
            <w:vAlign w:val="center"/>
          </w:tcPr>
          <w:p>
            <w:pPr>
              <w:pStyle w:val="53"/>
              <w:jc w:val="center"/>
              <w:rPr>
                <w:rFonts w:eastAsia="仿宋_GB2312"/>
              </w:rPr>
            </w:pPr>
          </w:p>
        </w:tc>
        <w:tc>
          <w:tcPr>
            <w:tcW w:w="366" w:type="pct"/>
            <w:vAlign w:val="center"/>
          </w:tcPr>
          <w:p>
            <w:pPr>
              <w:pStyle w:val="53"/>
              <w:jc w:val="center"/>
              <w:rPr>
                <w:rFonts w:eastAsia="仿宋_GB2312"/>
              </w:rPr>
            </w:pPr>
            <w:r>
              <w:rPr>
                <w:rFonts w:eastAsia="仿宋_GB2312"/>
              </w:rPr>
              <w:t>20.57</w:t>
            </w:r>
          </w:p>
        </w:tc>
        <w:tc>
          <w:tcPr>
            <w:tcW w:w="360" w:type="pct"/>
            <w:vAlign w:val="center"/>
          </w:tcPr>
          <w:p>
            <w:pPr>
              <w:pStyle w:val="53"/>
              <w:jc w:val="center"/>
              <w:rPr>
                <w:rFonts w:eastAsia="仿宋_GB2312"/>
              </w:rPr>
            </w:pPr>
            <w:r>
              <w:rPr>
                <w:rFonts w:eastAsia="仿宋_GB2312"/>
              </w:rPr>
              <w:t>18.67</w:t>
            </w:r>
          </w:p>
        </w:tc>
        <w:tc>
          <w:tcPr>
            <w:tcW w:w="315" w:type="pct"/>
            <w:vAlign w:val="center"/>
          </w:tcPr>
          <w:p>
            <w:pPr>
              <w:pStyle w:val="53"/>
              <w:jc w:val="center"/>
              <w:rPr>
                <w:rFonts w:eastAsia="仿宋_GB2312"/>
              </w:rPr>
            </w:pPr>
            <w:r>
              <w:rPr>
                <w:rFonts w:eastAsia="仿宋_GB2312"/>
              </w:rPr>
              <w:t>2.41</w:t>
            </w:r>
          </w:p>
        </w:tc>
        <w:tc>
          <w:tcPr>
            <w:tcW w:w="366" w:type="pct"/>
            <w:vAlign w:val="center"/>
          </w:tcPr>
          <w:p>
            <w:pPr>
              <w:pStyle w:val="53"/>
              <w:jc w:val="center"/>
              <w:rPr>
                <w:rFonts w:eastAsia="仿宋_GB2312"/>
              </w:rPr>
            </w:pPr>
            <w:r>
              <w:rPr>
                <w:rFonts w:eastAsia="仿宋_GB2312"/>
              </w:rPr>
              <w:t>21.08</w:t>
            </w:r>
          </w:p>
        </w:tc>
        <w:tc>
          <w:tcPr>
            <w:tcW w:w="922" w:type="dxa"/>
            <w:vAlign w:val="center"/>
          </w:tcPr>
          <w:p>
            <w:pPr>
              <w:pStyle w:val="53"/>
              <w:jc w:val="center"/>
              <w:rPr>
                <w:rFonts w:eastAsia="仿宋_GB2312"/>
              </w:rPr>
            </w:pPr>
            <w:r>
              <w:rPr>
                <w:rFonts w:eastAsia="仿宋_GB2312"/>
              </w:rPr>
              <w:t>2.41</w:t>
            </w:r>
          </w:p>
        </w:tc>
        <w:tc>
          <w:tcPr>
            <w:tcW w:w="342" w:type="pct"/>
            <w:vAlign w:val="center"/>
          </w:tcPr>
          <w:p>
            <w:pPr>
              <w:pStyle w:val="53"/>
              <w:jc w:val="center"/>
              <w:rPr>
                <w:rFonts w:eastAsia="仿宋_GB2312"/>
              </w:rPr>
            </w:pPr>
            <w:r>
              <w:rPr>
                <w:rFonts w:eastAsia="仿宋_GB2312"/>
              </w:rPr>
              <w:t>表土临时中转场</w:t>
            </w:r>
          </w:p>
        </w:tc>
        <w:tc>
          <w:tcPr>
            <w:tcW w:w="922" w:type="dxa"/>
            <w:vAlign w:val="center"/>
          </w:tcPr>
          <w:p>
            <w:pPr>
              <w:pStyle w:val="53"/>
              <w:jc w:val="center"/>
              <w:rPr>
                <w:rFonts w:eastAsia="仿宋_GB2312"/>
              </w:rPr>
            </w:pPr>
            <w:r>
              <w:rPr>
                <w:rFonts w:eastAsia="仿宋_GB2312"/>
              </w:rPr>
              <w:t>1.90</w:t>
            </w:r>
          </w:p>
        </w:tc>
        <w:tc>
          <w:tcPr>
            <w:tcW w:w="383" w:type="pct"/>
            <w:vAlign w:val="center"/>
          </w:tcPr>
          <w:p>
            <w:pPr>
              <w:pStyle w:val="53"/>
              <w:jc w:val="center"/>
              <w:rPr>
                <w:rFonts w:eastAsia="仿宋_GB2312"/>
              </w:rPr>
            </w:pPr>
            <w:r>
              <w:rPr>
                <w:rFonts w:eastAsia="仿宋_GB2312"/>
              </w:rPr>
              <w:t>（3）</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b/>
                <w:bCs/>
                <w:kern w:val="0"/>
              </w:rPr>
            </w:pPr>
          </w:p>
        </w:tc>
        <w:tc>
          <w:tcPr>
            <w:tcW w:w="165" w:type="pct"/>
            <w:vMerge w:val="continue"/>
            <w:vAlign w:val="center"/>
          </w:tcPr>
          <w:p>
            <w:pPr>
              <w:pStyle w:val="53"/>
              <w:jc w:val="center"/>
              <w:rPr>
                <w:rFonts w:eastAsia="仿宋_GB2312"/>
                <w:b/>
                <w:bCs/>
              </w:rPr>
            </w:pPr>
          </w:p>
        </w:tc>
        <w:tc>
          <w:tcPr>
            <w:tcW w:w="673" w:type="pct"/>
            <w:gridSpan w:val="2"/>
            <w:vAlign w:val="center"/>
          </w:tcPr>
          <w:p>
            <w:pPr>
              <w:adjustRightInd w:val="0"/>
              <w:snapToGrid w:val="0"/>
              <w:spacing w:line="240" w:lineRule="auto"/>
              <w:ind w:firstLine="0" w:firstLineChars="0"/>
              <w:jc w:val="center"/>
              <w:rPr>
                <w:b/>
                <w:bCs/>
                <w:kern w:val="0"/>
                <w:sz w:val="21"/>
                <w:szCs w:val="21"/>
              </w:rPr>
            </w:pPr>
            <w:r>
              <w:rPr>
                <w:b/>
                <w:bCs/>
                <w:sz w:val="21"/>
                <w:szCs w:val="21"/>
              </w:rPr>
              <w:t>小计</w:t>
            </w:r>
          </w:p>
        </w:tc>
        <w:tc>
          <w:tcPr>
            <w:tcW w:w="360" w:type="pct"/>
            <w:vAlign w:val="center"/>
          </w:tcPr>
          <w:p>
            <w:pPr>
              <w:pStyle w:val="53"/>
              <w:jc w:val="center"/>
              <w:rPr>
                <w:rFonts w:eastAsia="仿宋_GB2312"/>
                <w:b/>
                <w:bCs/>
              </w:rPr>
            </w:pPr>
            <w:r>
              <w:rPr>
                <w:rFonts w:eastAsia="仿宋_GB2312"/>
                <w:b/>
                <w:bCs/>
              </w:rPr>
              <w:t>94.27</w:t>
            </w:r>
          </w:p>
        </w:tc>
        <w:tc>
          <w:tcPr>
            <w:tcW w:w="315" w:type="pct"/>
            <w:vAlign w:val="center"/>
          </w:tcPr>
          <w:p>
            <w:pPr>
              <w:pStyle w:val="53"/>
              <w:jc w:val="center"/>
              <w:rPr>
                <w:rFonts w:eastAsia="仿宋_GB2312"/>
                <w:b/>
                <w:bCs/>
              </w:rPr>
            </w:pPr>
            <w:r>
              <w:rPr>
                <w:rFonts w:eastAsia="仿宋_GB2312"/>
                <w:b/>
                <w:bCs/>
              </w:rPr>
              <w:t>3.94</w:t>
            </w:r>
          </w:p>
        </w:tc>
        <w:tc>
          <w:tcPr>
            <w:tcW w:w="366" w:type="pct"/>
            <w:vAlign w:val="center"/>
          </w:tcPr>
          <w:p>
            <w:pPr>
              <w:pStyle w:val="53"/>
              <w:jc w:val="center"/>
              <w:rPr>
                <w:rFonts w:eastAsia="仿宋_GB2312"/>
                <w:b/>
                <w:bCs/>
              </w:rPr>
            </w:pPr>
            <w:r>
              <w:rPr>
                <w:rFonts w:eastAsia="仿宋_GB2312"/>
                <w:b/>
                <w:bCs/>
              </w:rPr>
              <w:t>98.21</w:t>
            </w:r>
          </w:p>
        </w:tc>
        <w:tc>
          <w:tcPr>
            <w:tcW w:w="360" w:type="pct"/>
            <w:vAlign w:val="center"/>
          </w:tcPr>
          <w:p>
            <w:pPr>
              <w:pStyle w:val="53"/>
              <w:jc w:val="center"/>
              <w:rPr>
                <w:rFonts w:eastAsia="仿宋_GB2312"/>
                <w:b/>
                <w:bCs/>
              </w:rPr>
            </w:pPr>
            <w:r>
              <w:rPr>
                <w:rFonts w:eastAsia="仿宋_GB2312"/>
                <w:b/>
                <w:bCs/>
              </w:rPr>
              <w:t>92.37</w:t>
            </w:r>
          </w:p>
        </w:tc>
        <w:tc>
          <w:tcPr>
            <w:tcW w:w="315" w:type="pct"/>
            <w:vAlign w:val="center"/>
          </w:tcPr>
          <w:p>
            <w:pPr>
              <w:pStyle w:val="53"/>
              <w:jc w:val="center"/>
              <w:rPr>
                <w:rFonts w:eastAsia="仿宋_GB2312"/>
                <w:b/>
                <w:bCs/>
              </w:rPr>
            </w:pPr>
            <w:r>
              <w:rPr>
                <w:rFonts w:eastAsia="仿宋_GB2312"/>
                <w:b/>
                <w:bCs/>
              </w:rPr>
              <w:t>6.35</w:t>
            </w:r>
          </w:p>
        </w:tc>
        <w:tc>
          <w:tcPr>
            <w:tcW w:w="366" w:type="pct"/>
            <w:vAlign w:val="center"/>
          </w:tcPr>
          <w:p>
            <w:pPr>
              <w:pStyle w:val="53"/>
              <w:jc w:val="center"/>
              <w:rPr>
                <w:rFonts w:eastAsia="仿宋_GB2312"/>
                <w:b/>
                <w:bCs/>
              </w:rPr>
            </w:pPr>
            <w:r>
              <w:rPr>
                <w:rFonts w:eastAsia="仿宋_GB2312"/>
                <w:b/>
                <w:bCs/>
              </w:rPr>
              <w:t>98.72</w:t>
            </w:r>
          </w:p>
        </w:tc>
        <w:tc>
          <w:tcPr>
            <w:tcW w:w="922" w:type="dxa"/>
            <w:vAlign w:val="center"/>
          </w:tcPr>
          <w:p>
            <w:pPr>
              <w:pStyle w:val="53"/>
              <w:jc w:val="center"/>
              <w:rPr>
                <w:rFonts w:eastAsia="仿宋_GB2312"/>
                <w:b/>
                <w:bCs/>
              </w:rPr>
            </w:pPr>
            <w:r>
              <w:rPr>
                <w:rFonts w:eastAsia="仿宋_GB2312"/>
                <w:b/>
                <w:bCs/>
              </w:rPr>
              <w:t>2.41</w:t>
            </w:r>
          </w:p>
        </w:tc>
        <w:tc>
          <w:tcPr>
            <w:tcW w:w="342" w:type="pct"/>
            <w:vAlign w:val="center"/>
          </w:tcPr>
          <w:p>
            <w:pPr>
              <w:pStyle w:val="53"/>
              <w:jc w:val="center"/>
              <w:rPr>
                <w:rFonts w:eastAsia="仿宋_GB2312"/>
                <w:b/>
                <w:bCs/>
              </w:rPr>
            </w:pPr>
          </w:p>
        </w:tc>
        <w:tc>
          <w:tcPr>
            <w:tcW w:w="922" w:type="dxa"/>
            <w:vAlign w:val="center"/>
          </w:tcPr>
          <w:p>
            <w:pPr>
              <w:pStyle w:val="53"/>
              <w:jc w:val="center"/>
              <w:rPr>
                <w:rFonts w:eastAsia="仿宋_GB2312"/>
                <w:b/>
                <w:bCs/>
              </w:rPr>
            </w:pPr>
            <w:r>
              <w:rPr>
                <w:rFonts w:eastAsia="仿宋_GB2312"/>
                <w:b/>
                <w:bCs/>
              </w:rPr>
              <w:t>1.90</w:t>
            </w:r>
          </w:p>
        </w:tc>
        <w:tc>
          <w:tcPr>
            <w:tcW w:w="383" w:type="pct"/>
            <w:vAlign w:val="center"/>
          </w:tcPr>
          <w:p>
            <w:pPr>
              <w:pStyle w:val="53"/>
              <w:jc w:val="center"/>
              <w:rPr>
                <w:rFonts w:eastAsia="仿宋_GB2312"/>
                <w:b/>
                <w:bCs/>
              </w:rPr>
            </w:pPr>
          </w:p>
        </w:tc>
        <w:tc>
          <w:tcPr>
            <w:tcW w:w="312" w:type="pct"/>
            <w:vAlign w:val="center"/>
          </w:tcPr>
          <w:p>
            <w:pPr>
              <w:adjustRightInd w:val="0"/>
              <w:snapToGrid w:val="0"/>
              <w:spacing w:line="240" w:lineRule="auto"/>
              <w:ind w:firstLine="0" w:firstLineChars="0"/>
              <w:jc w:val="center"/>
              <w:rPr>
                <w:b/>
                <w:bCs/>
                <w:kern w:val="0"/>
                <w:sz w:val="21"/>
                <w:szCs w:val="21"/>
              </w:rPr>
            </w:pPr>
          </w:p>
        </w:tc>
        <w:tc>
          <w:tcPr>
            <w:tcW w:w="245" w:type="pct"/>
            <w:vAlign w:val="center"/>
          </w:tcPr>
          <w:p>
            <w:pPr>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restart"/>
            <w:vAlign w:val="center"/>
          </w:tcPr>
          <w:p>
            <w:pPr>
              <w:pStyle w:val="53"/>
              <w:jc w:val="center"/>
              <w:rPr>
                <w:rFonts w:eastAsia="仿宋_GB2312"/>
              </w:rPr>
            </w:pPr>
            <w:r>
              <w:rPr>
                <w:rFonts w:eastAsia="仿宋_GB2312"/>
              </w:rPr>
              <w:t>在建区</w:t>
            </w:r>
          </w:p>
        </w:tc>
        <w:tc>
          <w:tcPr>
            <w:tcW w:w="379" w:type="pct"/>
            <w:vAlign w:val="center"/>
          </w:tcPr>
          <w:p>
            <w:pPr>
              <w:pStyle w:val="53"/>
              <w:jc w:val="center"/>
              <w:rPr>
                <w:rFonts w:eastAsia="仿宋_GB2312"/>
              </w:rPr>
            </w:pPr>
            <w:r>
              <w:rPr>
                <w:rFonts w:eastAsia="仿宋_GB2312"/>
              </w:rPr>
              <w:t>工业用地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（3）</w:t>
            </w:r>
          </w:p>
        </w:tc>
        <w:tc>
          <w:tcPr>
            <w:tcW w:w="360" w:type="pct"/>
            <w:vAlign w:val="center"/>
          </w:tcPr>
          <w:p>
            <w:pPr>
              <w:pStyle w:val="53"/>
              <w:jc w:val="center"/>
              <w:rPr>
                <w:rFonts w:eastAsia="仿宋_GB2312"/>
              </w:rPr>
            </w:pPr>
            <w:r>
              <w:rPr>
                <w:rFonts w:eastAsia="仿宋_GB2312"/>
              </w:rPr>
              <w:t>759.40</w:t>
            </w:r>
          </w:p>
        </w:tc>
        <w:tc>
          <w:tcPr>
            <w:tcW w:w="315" w:type="pct"/>
            <w:vAlign w:val="center"/>
          </w:tcPr>
          <w:p>
            <w:pPr>
              <w:pStyle w:val="53"/>
              <w:jc w:val="center"/>
              <w:rPr>
                <w:rFonts w:eastAsia="仿宋_GB2312"/>
              </w:rPr>
            </w:pPr>
            <w:r>
              <w:rPr>
                <w:rFonts w:eastAsia="仿宋_GB2312"/>
              </w:rPr>
              <w:t>75.50</w:t>
            </w:r>
          </w:p>
        </w:tc>
        <w:tc>
          <w:tcPr>
            <w:tcW w:w="366" w:type="pct"/>
            <w:vAlign w:val="center"/>
          </w:tcPr>
          <w:p>
            <w:pPr>
              <w:pStyle w:val="53"/>
              <w:jc w:val="center"/>
              <w:rPr>
                <w:rFonts w:eastAsia="仿宋_GB2312"/>
              </w:rPr>
            </w:pPr>
            <w:r>
              <w:rPr>
                <w:rFonts w:eastAsia="仿宋_GB2312"/>
              </w:rPr>
              <w:t>834.90</w:t>
            </w:r>
          </w:p>
        </w:tc>
        <w:tc>
          <w:tcPr>
            <w:tcW w:w="360" w:type="pct"/>
            <w:vAlign w:val="center"/>
          </w:tcPr>
          <w:p>
            <w:pPr>
              <w:pStyle w:val="53"/>
              <w:jc w:val="center"/>
              <w:rPr>
                <w:rFonts w:eastAsia="仿宋_GB2312"/>
              </w:rPr>
            </w:pPr>
            <w:r>
              <w:rPr>
                <w:rFonts w:eastAsia="仿宋_GB2312"/>
              </w:rPr>
              <w:t>797.60</w:t>
            </w:r>
          </w:p>
        </w:tc>
        <w:tc>
          <w:tcPr>
            <w:tcW w:w="315" w:type="pct"/>
            <w:vAlign w:val="center"/>
          </w:tcPr>
          <w:p>
            <w:pPr>
              <w:pStyle w:val="53"/>
              <w:jc w:val="center"/>
              <w:rPr>
                <w:rFonts w:eastAsia="仿宋_GB2312"/>
              </w:rPr>
            </w:pPr>
            <w:r>
              <w:rPr>
                <w:rFonts w:eastAsia="仿宋_GB2312"/>
              </w:rPr>
              <w:t>7.68</w:t>
            </w:r>
          </w:p>
        </w:tc>
        <w:tc>
          <w:tcPr>
            <w:tcW w:w="366" w:type="pct"/>
            <w:vAlign w:val="center"/>
          </w:tcPr>
          <w:p>
            <w:pPr>
              <w:pStyle w:val="53"/>
              <w:jc w:val="center"/>
              <w:rPr>
                <w:rFonts w:eastAsia="仿宋_GB2312"/>
              </w:rPr>
            </w:pPr>
            <w:r>
              <w:rPr>
                <w:rFonts w:eastAsia="仿宋_GB2312"/>
              </w:rPr>
              <w:t>805.28</w:t>
            </w:r>
          </w:p>
        </w:tc>
        <w:tc>
          <w:tcPr>
            <w:tcW w:w="922" w:type="dxa"/>
            <w:vAlign w:val="center"/>
          </w:tcPr>
          <w:p>
            <w:pPr>
              <w:pStyle w:val="53"/>
              <w:jc w:val="center"/>
              <w:rPr>
                <w:rFonts w:eastAsia="仿宋_GB2312"/>
              </w:rPr>
            </w:pPr>
            <w:r>
              <w:rPr>
                <w:rFonts w:eastAsia="仿宋_GB2312"/>
              </w:rPr>
              <w:t>38.20</w:t>
            </w:r>
          </w:p>
        </w:tc>
        <w:tc>
          <w:tcPr>
            <w:tcW w:w="342" w:type="pct"/>
            <w:vAlign w:val="center"/>
          </w:tcPr>
          <w:p>
            <w:pPr>
              <w:pStyle w:val="53"/>
              <w:jc w:val="center"/>
              <w:rPr>
                <w:rFonts w:eastAsia="仿宋_GB2312"/>
              </w:rPr>
            </w:pPr>
            <w:r>
              <w:rPr>
                <w:rFonts w:eastAsia="仿宋_GB2312"/>
              </w:rPr>
              <w:t>（</w:t>
            </w:r>
            <w:r>
              <w:rPr>
                <w:rFonts w:hint="eastAsia" w:eastAsia="仿宋_GB2312"/>
              </w:rPr>
              <w:t>2、</w:t>
            </w:r>
            <w:r>
              <w:rPr>
                <w:rFonts w:eastAsia="仿宋_GB2312"/>
              </w:rPr>
              <w:t>4</w:t>
            </w:r>
            <w:r>
              <w:rPr>
                <w:rFonts w:hint="eastAsia" w:eastAsia="仿宋_GB2312"/>
              </w:rPr>
              <w:t>、5、6</w:t>
            </w:r>
            <w:r>
              <w:rPr>
                <w:rFonts w:eastAsia="仿宋_GB2312"/>
              </w:rPr>
              <w:t>）</w:t>
            </w:r>
          </w:p>
        </w:tc>
        <w:tc>
          <w:tcPr>
            <w:tcW w:w="922" w:type="dxa"/>
            <w:vAlign w:val="center"/>
          </w:tcPr>
          <w:p>
            <w:pPr>
              <w:pStyle w:val="53"/>
              <w:jc w:val="center"/>
              <w:rPr>
                <w:rFonts w:eastAsia="仿宋_GB2312"/>
              </w:rPr>
            </w:pPr>
            <w:r>
              <w:rPr>
                <w:rFonts w:eastAsia="仿宋_GB2312"/>
              </w:rPr>
              <w:t>67.82</w:t>
            </w:r>
          </w:p>
        </w:tc>
        <w:tc>
          <w:tcPr>
            <w:tcW w:w="383" w:type="pct"/>
            <w:vAlign w:val="center"/>
          </w:tcPr>
          <w:p>
            <w:pPr>
              <w:pStyle w:val="53"/>
              <w:jc w:val="center"/>
              <w:rPr>
                <w:rFonts w:eastAsia="仿宋_GB2312"/>
              </w:rPr>
            </w:pPr>
            <w:r>
              <w:rPr>
                <w:rFonts w:eastAsia="仿宋_GB2312"/>
              </w:rPr>
              <w:t>（表土临时中转场、6</w:t>
            </w:r>
            <w:r>
              <w:rPr>
                <w:rFonts w:hint="eastAsia" w:eastAsia="仿宋_GB2312"/>
              </w:rPr>
              <w:t>、10</w:t>
            </w:r>
            <w:r>
              <w:rPr>
                <w:rFonts w:eastAsia="仿宋_GB2312"/>
              </w:rPr>
              <w:t>）</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道路与交通设施用地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（4）</w:t>
            </w:r>
          </w:p>
        </w:tc>
        <w:tc>
          <w:tcPr>
            <w:tcW w:w="360" w:type="pct"/>
            <w:vAlign w:val="center"/>
          </w:tcPr>
          <w:p>
            <w:pPr>
              <w:pStyle w:val="53"/>
              <w:jc w:val="center"/>
              <w:rPr>
                <w:rFonts w:eastAsia="仿宋_GB2312"/>
              </w:rPr>
            </w:pPr>
            <w:r>
              <w:rPr>
                <w:rFonts w:eastAsia="仿宋_GB2312"/>
              </w:rPr>
              <w:t>178.47</w:t>
            </w:r>
          </w:p>
        </w:tc>
        <w:tc>
          <w:tcPr>
            <w:tcW w:w="315" w:type="pct"/>
            <w:vAlign w:val="center"/>
          </w:tcPr>
          <w:p>
            <w:pPr>
              <w:pStyle w:val="53"/>
              <w:jc w:val="center"/>
              <w:rPr>
                <w:rFonts w:eastAsia="仿宋_GB2312"/>
              </w:rPr>
            </w:pPr>
            <w:r>
              <w:rPr>
                <w:rFonts w:eastAsia="仿宋_GB2312"/>
              </w:rPr>
              <w:t>3.94</w:t>
            </w:r>
          </w:p>
        </w:tc>
        <w:tc>
          <w:tcPr>
            <w:tcW w:w="366" w:type="pct"/>
            <w:vAlign w:val="center"/>
          </w:tcPr>
          <w:p>
            <w:pPr>
              <w:pStyle w:val="53"/>
              <w:jc w:val="center"/>
              <w:rPr>
                <w:rFonts w:eastAsia="仿宋_GB2312"/>
              </w:rPr>
            </w:pPr>
            <w:r>
              <w:rPr>
                <w:rFonts w:eastAsia="仿宋_GB2312"/>
              </w:rPr>
              <w:t>182.41</w:t>
            </w:r>
          </w:p>
        </w:tc>
        <w:tc>
          <w:tcPr>
            <w:tcW w:w="360" w:type="pct"/>
            <w:vAlign w:val="center"/>
          </w:tcPr>
          <w:p>
            <w:pPr>
              <w:pStyle w:val="53"/>
              <w:jc w:val="center"/>
              <w:rPr>
                <w:rFonts w:eastAsia="仿宋_GB2312"/>
              </w:rPr>
            </w:pPr>
            <w:r>
              <w:rPr>
                <w:rFonts w:eastAsia="仿宋_GB2312"/>
              </w:rPr>
              <w:t>152.71</w:t>
            </w:r>
          </w:p>
        </w:tc>
        <w:tc>
          <w:tcPr>
            <w:tcW w:w="315" w:type="pct"/>
            <w:vAlign w:val="center"/>
          </w:tcPr>
          <w:p>
            <w:pPr>
              <w:pStyle w:val="53"/>
              <w:jc w:val="center"/>
              <w:rPr>
                <w:rFonts w:eastAsia="仿宋_GB2312"/>
              </w:rPr>
            </w:pPr>
            <w:r>
              <w:rPr>
                <w:rFonts w:eastAsia="仿宋_GB2312"/>
              </w:rPr>
              <w:t>3.94</w:t>
            </w:r>
          </w:p>
        </w:tc>
        <w:tc>
          <w:tcPr>
            <w:tcW w:w="366" w:type="pct"/>
            <w:vAlign w:val="center"/>
          </w:tcPr>
          <w:p>
            <w:pPr>
              <w:pStyle w:val="53"/>
              <w:jc w:val="center"/>
              <w:rPr>
                <w:rFonts w:eastAsia="仿宋_GB2312"/>
              </w:rPr>
            </w:pPr>
            <w:r>
              <w:rPr>
                <w:rFonts w:eastAsia="仿宋_GB2312"/>
              </w:rPr>
              <w:t>156.65</w:t>
            </w:r>
          </w:p>
        </w:tc>
        <w:tc>
          <w:tcPr>
            <w:tcW w:w="922" w:type="dxa"/>
            <w:vAlign w:val="center"/>
          </w:tcPr>
          <w:p>
            <w:pPr>
              <w:pStyle w:val="53"/>
              <w:jc w:val="center"/>
              <w:rPr>
                <w:rFonts w:eastAsia="仿宋_GB2312"/>
              </w:rPr>
            </w:pPr>
            <w:r>
              <w:rPr>
                <w:rFonts w:eastAsia="仿宋_GB2312"/>
              </w:rPr>
              <w:t>0.00</w:t>
            </w:r>
          </w:p>
        </w:tc>
        <w:tc>
          <w:tcPr>
            <w:tcW w:w="342" w:type="pct"/>
            <w:vAlign w:val="center"/>
          </w:tcPr>
          <w:p>
            <w:pPr>
              <w:pStyle w:val="53"/>
              <w:jc w:val="center"/>
              <w:rPr>
                <w:rFonts w:eastAsia="仿宋_GB2312"/>
              </w:rPr>
            </w:pPr>
          </w:p>
        </w:tc>
        <w:tc>
          <w:tcPr>
            <w:tcW w:w="922" w:type="dxa"/>
            <w:vAlign w:val="center"/>
          </w:tcPr>
          <w:p>
            <w:pPr>
              <w:pStyle w:val="53"/>
              <w:jc w:val="center"/>
              <w:rPr>
                <w:rFonts w:eastAsia="仿宋_GB2312"/>
              </w:rPr>
            </w:pPr>
            <w:r>
              <w:rPr>
                <w:rFonts w:eastAsia="仿宋_GB2312"/>
              </w:rPr>
              <w:t>25.76</w:t>
            </w:r>
          </w:p>
        </w:tc>
        <w:tc>
          <w:tcPr>
            <w:tcW w:w="383" w:type="pct"/>
            <w:vAlign w:val="center"/>
          </w:tcPr>
          <w:p>
            <w:pPr>
              <w:pStyle w:val="53"/>
              <w:jc w:val="center"/>
              <w:rPr>
                <w:rFonts w:eastAsia="仿宋_GB2312"/>
              </w:rPr>
            </w:pPr>
            <w:r>
              <w:rPr>
                <w:rFonts w:eastAsia="仿宋_GB2312"/>
              </w:rPr>
              <w:t>（3）</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公用设施用地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（5）</w:t>
            </w:r>
          </w:p>
        </w:tc>
        <w:tc>
          <w:tcPr>
            <w:tcW w:w="360" w:type="pct"/>
            <w:vAlign w:val="center"/>
          </w:tcPr>
          <w:p>
            <w:pPr>
              <w:pStyle w:val="53"/>
              <w:jc w:val="center"/>
              <w:rPr>
                <w:rFonts w:eastAsia="仿宋_GB2312"/>
              </w:rPr>
            </w:pPr>
            <w:r>
              <w:rPr>
                <w:rFonts w:eastAsia="仿宋_GB2312"/>
              </w:rPr>
              <w:t>17.71</w:t>
            </w:r>
          </w:p>
        </w:tc>
        <w:tc>
          <w:tcPr>
            <w:tcW w:w="315" w:type="pct"/>
            <w:vAlign w:val="center"/>
          </w:tcPr>
          <w:p>
            <w:pPr>
              <w:pStyle w:val="53"/>
              <w:jc w:val="center"/>
              <w:rPr>
                <w:rFonts w:eastAsia="仿宋_GB2312"/>
              </w:rPr>
            </w:pPr>
            <w:r>
              <w:rPr>
                <w:rFonts w:eastAsia="仿宋_GB2312"/>
              </w:rPr>
              <w:t>0.71</w:t>
            </w:r>
          </w:p>
        </w:tc>
        <w:tc>
          <w:tcPr>
            <w:tcW w:w="366" w:type="pct"/>
            <w:vAlign w:val="center"/>
          </w:tcPr>
          <w:p>
            <w:pPr>
              <w:pStyle w:val="53"/>
              <w:jc w:val="center"/>
              <w:rPr>
                <w:rFonts w:eastAsia="仿宋_GB2312"/>
              </w:rPr>
            </w:pPr>
            <w:r>
              <w:rPr>
                <w:rFonts w:eastAsia="仿宋_GB2312"/>
              </w:rPr>
              <w:t>18.42</w:t>
            </w:r>
          </w:p>
        </w:tc>
        <w:tc>
          <w:tcPr>
            <w:tcW w:w="360" w:type="pct"/>
            <w:vAlign w:val="center"/>
          </w:tcPr>
          <w:p>
            <w:pPr>
              <w:pStyle w:val="53"/>
              <w:jc w:val="center"/>
              <w:rPr>
                <w:rFonts w:eastAsia="仿宋_GB2312"/>
              </w:rPr>
            </w:pPr>
            <w:r>
              <w:rPr>
                <w:rFonts w:eastAsia="仿宋_GB2312"/>
              </w:rPr>
              <w:t>14.95</w:t>
            </w:r>
          </w:p>
        </w:tc>
        <w:tc>
          <w:tcPr>
            <w:tcW w:w="315" w:type="pct"/>
            <w:vAlign w:val="center"/>
          </w:tcPr>
          <w:p>
            <w:pPr>
              <w:pStyle w:val="53"/>
              <w:jc w:val="center"/>
              <w:rPr>
                <w:rFonts w:eastAsia="仿宋_GB2312"/>
              </w:rPr>
            </w:pPr>
            <w:r>
              <w:rPr>
                <w:rFonts w:eastAsia="仿宋_GB2312"/>
              </w:rPr>
              <w:t>0.71</w:t>
            </w:r>
          </w:p>
        </w:tc>
        <w:tc>
          <w:tcPr>
            <w:tcW w:w="366" w:type="pct"/>
            <w:vAlign w:val="center"/>
          </w:tcPr>
          <w:p>
            <w:pPr>
              <w:pStyle w:val="53"/>
              <w:jc w:val="center"/>
              <w:rPr>
                <w:rFonts w:eastAsia="仿宋_GB2312"/>
              </w:rPr>
            </w:pPr>
            <w:r>
              <w:rPr>
                <w:rFonts w:eastAsia="仿宋_GB2312"/>
              </w:rPr>
              <w:t>15.66</w:t>
            </w:r>
          </w:p>
        </w:tc>
        <w:tc>
          <w:tcPr>
            <w:tcW w:w="922" w:type="dxa"/>
            <w:vAlign w:val="center"/>
          </w:tcPr>
          <w:p>
            <w:pPr>
              <w:pStyle w:val="53"/>
              <w:jc w:val="center"/>
              <w:rPr>
                <w:rFonts w:eastAsia="仿宋_GB2312"/>
              </w:rPr>
            </w:pPr>
            <w:r>
              <w:rPr>
                <w:rFonts w:eastAsia="仿宋_GB2312"/>
              </w:rPr>
              <w:t>0.00</w:t>
            </w:r>
          </w:p>
        </w:tc>
        <w:tc>
          <w:tcPr>
            <w:tcW w:w="342" w:type="pct"/>
            <w:vAlign w:val="center"/>
          </w:tcPr>
          <w:p>
            <w:pPr>
              <w:pStyle w:val="53"/>
              <w:jc w:val="center"/>
              <w:rPr>
                <w:rFonts w:eastAsia="仿宋_GB2312"/>
              </w:rPr>
            </w:pPr>
          </w:p>
        </w:tc>
        <w:tc>
          <w:tcPr>
            <w:tcW w:w="922" w:type="dxa"/>
            <w:vAlign w:val="center"/>
          </w:tcPr>
          <w:p>
            <w:pPr>
              <w:pStyle w:val="53"/>
              <w:jc w:val="center"/>
              <w:rPr>
                <w:rFonts w:eastAsia="仿宋_GB2312"/>
              </w:rPr>
            </w:pPr>
            <w:r>
              <w:rPr>
                <w:rFonts w:eastAsia="仿宋_GB2312"/>
              </w:rPr>
              <w:t>2.76</w:t>
            </w:r>
          </w:p>
        </w:tc>
        <w:tc>
          <w:tcPr>
            <w:tcW w:w="383" w:type="pct"/>
            <w:vAlign w:val="center"/>
          </w:tcPr>
          <w:p>
            <w:pPr>
              <w:pStyle w:val="53"/>
              <w:jc w:val="center"/>
              <w:rPr>
                <w:rFonts w:eastAsia="仿宋_GB2312"/>
              </w:rPr>
            </w:pPr>
            <w:r>
              <w:rPr>
                <w:rFonts w:eastAsia="仿宋_GB2312"/>
              </w:rPr>
              <w:t>（3）</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绿地与广场用地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（6）</w:t>
            </w:r>
          </w:p>
        </w:tc>
        <w:tc>
          <w:tcPr>
            <w:tcW w:w="360" w:type="pct"/>
            <w:vAlign w:val="center"/>
          </w:tcPr>
          <w:p>
            <w:pPr>
              <w:pStyle w:val="53"/>
              <w:jc w:val="center"/>
              <w:rPr>
                <w:rFonts w:eastAsia="仿宋_GB2312"/>
              </w:rPr>
            </w:pPr>
            <w:r>
              <w:rPr>
                <w:rFonts w:eastAsia="仿宋_GB2312"/>
              </w:rPr>
              <w:t>22.29</w:t>
            </w:r>
          </w:p>
        </w:tc>
        <w:tc>
          <w:tcPr>
            <w:tcW w:w="315" w:type="pct"/>
            <w:vAlign w:val="center"/>
          </w:tcPr>
          <w:p>
            <w:pPr>
              <w:pStyle w:val="53"/>
              <w:jc w:val="center"/>
              <w:rPr>
                <w:rFonts w:eastAsia="仿宋_GB2312"/>
              </w:rPr>
            </w:pPr>
          </w:p>
        </w:tc>
        <w:tc>
          <w:tcPr>
            <w:tcW w:w="366" w:type="pct"/>
            <w:vAlign w:val="center"/>
          </w:tcPr>
          <w:p>
            <w:pPr>
              <w:pStyle w:val="53"/>
              <w:jc w:val="center"/>
              <w:rPr>
                <w:rFonts w:eastAsia="仿宋_GB2312"/>
              </w:rPr>
            </w:pPr>
            <w:r>
              <w:rPr>
                <w:rFonts w:eastAsia="仿宋_GB2312"/>
              </w:rPr>
              <w:t>22.29</w:t>
            </w:r>
          </w:p>
        </w:tc>
        <w:tc>
          <w:tcPr>
            <w:tcW w:w="360" w:type="pct"/>
            <w:vAlign w:val="center"/>
          </w:tcPr>
          <w:p>
            <w:pPr>
              <w:pStyle w:val="53"/>
              <w:jc w:val="center"/>
              <w:rPr>
                <w:rFonts w:eastAsia="仿宋_GB2312"/>
              </w:rPr>
            </w:pPr>
            <w:r>
              <w:rPr>
                <w:rFonts w:eastAsia="仿宋_GB2312"/>
              </w:rPr>
              <w:t>14.51</w:t>
            </w:r>
          </w:p>
        </w:tc>
        <w:tc>
          <w:tcPr>
            <w:tcW w:w="315" w:type="pct"/>
            <w:vAlign w:val="center"/>
          </w:tcPr>
          <w:p>
            <w:pPr>
              <w:pStyle w:val="53"/>
              <w:jc w:val="center"/>
              <w:rPr>
                <w:rFonts w:eastAsia="仿宋_GB2312"/>
              </w:rPr>
            </w:pPr>
            <w:r>
              <w:rPr>
                <w:rFonts w:eastAsia="仿宋_GB2312"/>
              </w:rPr>
              <w:t>11.95</w:t>
            </w:r>
          </w:p>
        </w:tc>
        <w:tc>
          <w:tcPr>
            <w:tcW w:w="366" w:type="pct"/>
            <w:vAlign w:val="center"/>
          </w:tcPr>
          <w:p>
            <w:pPr>
              <w:pStyle w:val="53"/>
              <w:jc w:val="center"/>
              <w:rPr>
                <w:rFonts w:eastAsia="仿宋_GB2312"/>
              </w:rPr>
            </w:pPr>
            <w:r>
              <w:rPr>
                <w:rFonts w:eastAsia="仿宋_GB2312"/>
              </w:rPr>
              <w:t>26.46</w:t>
            </w:r>
          </w:p>
        </w:tc>
        <w:tc>
          <w:tcPr>
            <w:tcW w:w="922" w:type="dxa"/>
            <w:vAlign w:val="center"/>
          </w:tcPr>
          <w:p>
            <w:pPr>
              <w:pStyle w:val="53"/>
              <w:jc w:val="center"/>
              <w:rPr>
                <w:rFonts w:eastAsia="仿宋_GB2312"/>
              </w:rPr>
            </w:pPr>
            <w:r>
              <w:rPr>
                <w:rFonts w:eastAsia="仿宋_GB2312"/>
              </w:rPr>
              <w:t>11.95</w:t>
            </w:r>
          </w:p>
        </w:tc>
        <w:tc>
          <w:tcPr>
            <w:tcW w:w="342" w:type="pct"/>
            <w:vAlign w:val="center"/>
          </w:tcPr>
          <w:p>
            <w:pPr>
              <w:pStyle w:val="53"/>
              <w:jc w:val="center"/>
              <w:rPr>
                <w:rFonts w:eastAsia="仿宋_GB2312"/>
              </w:rPr>
            </w:pPr>
            <w:r>
              <w:rPr>
                <w:rFonts w:eastAsia="仿宋_GB2312"/>
              </w:rPr>
              <w:t>（3）</w:t>
            </w:r>
          </w:p>
        </w:tc>
        <w:tc>
          <w:tcPr>
            <w:tcW w:w="922" w:type="dxa"/>
            <w:vAlign w:val="center"/>
          </w:tcPr>
          <w:p>
            <w:pPr>
              <w:pStyle w:val="53"/>
              <w:jc w:val="center"/>
              <w:rPr>
                <w:rFonts w:eastAsia="仿宋_GB2312"/>
              </w:rPr>
            </w:pPr>
            <w:r>
              <w:rPr>
                <w:rFonts w:eastAsia="仿宋_GB2312"/>
              </w:rPr>
              <w:t>7.78</w:t>
            </w:r>
          </w:p>
        </w:tc>
        <w:tc>
          <w:tcPr>
            <w:tcW w:w="383" w:type="pct"/>
            <w:vAlign w:val="center"/>
          </w:tcPr>
          <w:p>
            <w:pPr>
              <w:pStyle w:val="53"/>
              <w:jc w:val="center"/>
              <w:rPr>
                <w:rFonts w:eastAsia="仿宋_GB2312"/>
              </w:rPr>
            </w:pPr>
            <w:r>
              <w:rPr>
                <w:rFonts w:eastAsia="仿宋_GB2312"/>
              </w:rPr>
              <w:t>（3）</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673" w:type="pct"/>
            <w:gridSpan w:val="2"/>
            <w:vAlign w:val="center"/>
          </w:tcPr>
          <w:p>
            <w:pPr>
              <w:adjustRightInd w:val="0"/>
              <w:snapToGrid w:val="0"/>
              <w:spacing w:line="240" w:lineRule="auto"/>
              <w:ind w:firstLine="0" w:firstLineChars="0"/>
              <w:jc w:val="center"/>
              <w:rPr>
                <w:b/>
                <w:bCs/>
                <w:kern w:val="0"/>
                <w:sz w:val="21"/>
                <w:szCs w:val="21"/>
              </w:rPr>
            </w:pPr>
            <w:r>
              <w:rPr>
                <w:b/>
                <w:bCs/>
                <w:sz w:val="21"/>
                <w:szCs w:val="21"/>
              </w:rPr>
              <w:t>小计</w:t>
            </w:r>
          </w:p>
        </w:tc>
        <w:tc>
          <w:tcPr>
            <w:tcW w:w="360" w:type="pct"/>
            <w:vAlign w:val="center"/>
          </w:tcPr>
          <w:p>
            <w:pPr>
              <w:pStyle w:val="53"/>
              <w:jc w:val="center"/>
              <w:rPr>
                <w:rFonts w:eastAsia="仿宋_GB2312"/>
                <w:b/>
                <w:bCs/>
              </w:rPr>
            </w:pPr>
            <w:r>
              <w:rPr>
                <w:rFonts w:eastAsia="仿宋_GB2312"/>
                <w:b/>
                <w:bCs/>
              </w:rPr>
              <w:t>977.87</w:t>
            </w:r>
          </w:p>
        </w:tc>
        <w:tc>
          <w:tcPr>
            <w:tcW w:w="315" w:type="pct"/>
            <w:vAlign w:val="center"/>
          </w:tcPr>
          <w:p>
            <w:pPr>
              <w:pStyle w:val="53"/>
              <w:jc w:val="center"/>
              <w:rPr>
                <w:rFonts w:eastAsia="仿宋_GB2312"/>
                <w:b/>
                <w:bCs/>
              </w:rPr>
            </w:pPr>
            <w:r>
              <w:rPr>
                <w:rFonts w:eastAsia="仿宋_GB2312"/>
                <w:b/>
                <w:bCs/>
              </w:rPr>
              <w:t>80.15</w:t>
            </w:r>
          </w:p>
        </w:tc>
        <w:tc>
          <w:tcPr>
            <w:tcW w:w="366" w:type="pct"/>
            <w:vAlign w:val="center"/>
          </w:tcPr>
          <w:p>
            <w:pPr>
              <w:pStyle w:val="53"/>
              <w:jc w:val="center"/>
              <w:rPr>
                <w:rFonts w:eastAsia="仿宋_GB2312"/>
                <w:b/>
                <w:bCs/>
              </w:rPr>
            </w:pPr>
            <w:r>
              <w:rPr>
                <w:rFonts w:eastAsia="仿宋_GB2312"/>
                <w:b/>
                <w:bCs/>
              </w:rPr>
              <w:t>1058.02</w:t>
            </w:r>
          </w:p>
        </w:tc>
        <w:tc>
          <w:tcPr>
            <w:tcW w:w="360" w:type="pct"/>
            <w:vAlign w:val="center"/>
          </w:tcPr>
          <w:p>
            <w:pPr>
              <w:pStyle w:val="53"/>
              <w:jc w:val="center"/>
              <w:rPr>
                <w:rFonts w:eastAsia="仿宋_GB2312"/>
                <w:b/>
                <w:bCs/>
              </w:rPr>
            </w:pPr>
            <w:r>
              <w:rPr>
                <w:rFonts w:eastAsia="仿宋_GB2312"/>
                <w:b/>
                <w:bCs/>
              </w:rPr>
              <w:t>979.77</w:t>
            </w:r>
          </w:p>
        </w:tc>
        <w:tc>
          <w:tcPr>
            <w:tcW w:w="315" w:type="pct"/>
            <w:vAlign w:val="center"/>
          </w:tcPr>
          <w:p>
            <w:pPr>
              <w:pStyle w:val="53"/>
              <w:jc w:val="center"/>
              <w:rPr>
                <w:rFonts w:eastAsia="仿宋_GB2312"/>
                <w:b/>
                <w:bCs/>
              </w:rPr>
            </w:pPr>
            <w:r>
              <w:rPr>
                <w:rFonts w:eastAsia="仿宋_GB2312"/>
                <w:b/>
                <w:bCs/>
              </w:rPr>
              <w:t>24.28</w:t>
            </w:r>
          </w:p>
        </w:tc>
        <w:tc>
          <w:tcPr>
            <w:tcW w:w="366" w:type="pct"/>
            <w:vAlign w:val="center"/>
          </w:tcPr>
          <w:p>
            <w:pPr>
              <w:pStyle w:val="53"/>
              <w:jc w:val="center"/>
              <w:rPr>
                <w:rFonts w:eastAsia="仿宋_GB2312"/>
                <w:b/>
                <w:bCs/>
              </w:rPr>
            </w:pPr>
            <w:r>
              <w:rPr>
                <w:rFonts w:eastAsia="仿宋_GB2312"/>
                <w:b/>
                <w:bCs/>
              </w:rPr>
              <w:t>1004.05</w:t>
            </w:r>
          </w:p>
        </w:tc>
        <w:tc>
          <w:tcPr>
            <w:tcW w:w="922" w:type="dxa"/>
            <w:vAlign w:val="center"/>
          </w:tcPr>
          <w:p>
            <w:pPr>
              <w:pStyle w:val="53"/>
              <w:jc w:val="center"/>
              <w:rPr>
                <w:rFonts w:eastAsia="仿宋_GB2312"/>
                <w:b/>
                <w:bCs/>
              </w:rPr>
            </w:pPr>
            <w:r>
              <w:rPr>
                <w:rFonts w:eastAsia="仿宋_GB2312"/>
                <w:b/>
                <w:bCs/>
              </w:rPr>
              <w:t>50.15</w:t>
            </w:r>
          </w:p>
        </w:tc>
        <w:tc>
          <w:tcPr>
            <w:tcW w:w="342" w:type="pct"/>
            <w:vAlign w:val="center"/>
          </w:tcPr>
          <w:p>
            <w:pPr>
              <w:pStyle w:val="53"/>
              <w:jc w:val="center"/>
              <w:rPr>
                <w:rFonts w:eastAsia="仿宋_GB2312"/>
                <w:b/>
                <w:bCs/>
              </w:rPr>
            </w:pPr>
          </w:p>
        </w:tc>
        <w:tc>
          <w:tcPr>
            <w:tcW w:w="922" w:type="dxa"/>
            <w:vAlign w:val="center"/>
          </w:tcPr>
          <w:p>
            <w:pPr>
              <w:pStyle w:val="53"/>
              <w:jc w:val="center"/>
              <w:rPr>
                <w:rFonts w:eastAsia="仿宋_GB2312"/>
                <w:b/>
                <w:bCs/>
              </w:rPr>
            </w:pPr>
            <w:r>
              <w:rPr>
                <w:rFonts w:eastAsia="仿宋_GB2312"/>
                <w:b/>
                <w:bCs/>
              </w:rPr>
              <w:t>104.12</w:t>
            </w:r>
          </w:p>
        </w:tc>
        <w:tc>
          <w:tcPr>
            <w:tcW w:w="383" w:type="pct"/>
            <w:vAlign w:val="center"/>
          </w:tcPr>
          <w:p>
            <w:pPr>
              <w:pStyle w:val="53"/>
              <w:jc w:val="center"/>
              <w:rPr>
                <w:rFonts w:eastAsia="仿宋_GB2312"/>
                <w:b/>
                <w:bCs/>
              </w:rPr>
            </w:pPr>
          </w:p>
        </w:tc>
        <w:tc>
          <w:tcPr>
            <w:tcW w:w="312" w:type="pct"/>
            <w:vAlign w:val="center"/>
          </w:tcPr>
          <w:p>
            <w:pPr>
              <w:adjustRightInd w:val="0"/>
              <w:snapToGrid w:val="0"/>
              <w:spacing w:line="240" w:lineRule="auto"/>
              <w:ind w:firstLine="0" w:firstLineChars="0"/>
              <w:jc w:val="center"/>
              <w:rPr>
                <w:b/>
                <w:bCs/>
                <w:kern w:val="0"/>
                <w:sz w:val="21"/>
                <w:szCs w:val="21"/>
              </w:rPr>
            </w:pPr>
          </w:p>
        </w:tc>
        <w:tc>
          <w:tcPr>
            <w:tcW w:w="245" w:type="pct"/>
            <w:vAlign w:val="center"/>
          </w:tcPr>
          <w:p>
            <w:pPr>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restart"/>
            <w:vAlign w:val="center"/>
          </w:tcPr>
          <w:p>
            <w:pPr>
              <w:pStyle w:val="53"/>
              <w:jc w:val="center"/>
              <w:rPr>
                <w:rFonts w:eastAsia="仿宋_GB2312"/>
              </w:rPr>
            </w:pPr>
            <w:r>
              <w:rPr>
                <w:rFonts w:eastAsia="仿宋_GB2312"/>
              </w:rPr>
              <w:t>未建区</w:t>
            </w:r>
          </w:p>
        </w:tc>
        <w:tc>
          <w:tcPr>
            <w:tcW w:w="379" w:type="pct"/>
            <w:vAlign w:val="center"/>
          </w:tcPr>
          <w:p>
            <w:pPr>
              <w:pStyle w:val="53"/>
              <w:jc w:val="center"/>
              <w:rPr>
                <w:rFonts w:eastAsia="仿宋_GB2312"/>
              </w:rPr>
            </w:pPr>
            <w:r>
              <w:rPr>
                <w:rFonts w:eastAsia="仿宋_GB2312"/>
              </w:rPr>
              <w:t>工业用地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（7）</w:t>
            </w:r>
          </w:p>
        </w:tc>
        <w:tc>
          <w:tcPr>
            <w:tcW w:w="360" w:type="pct"/>
            <w:vAlign w:val="center"/>
          </w:tcPr>
          <w:p>
            <w:pPr>
              <w:pStyle w:val="53"/>
              <w:jc w:val="center"/>
              <w:rPr>
                <w:rFonts w:eastAsia="仿宋_GB2312"/>
              </w:rPr>
            </w:pPr>
            <w:r>
              <w:rPr>
                <w:rFonts w:eastAsia="仿宋_GB2312"/>
              </w:rPr>
              <w:t>1617.67</w:t>
            </w:r>
          </w:p>
        </w:tc>
        <w:tc>
          <w:tcPr>
            <w:tcW w:w="315" w:type="pct"/>
            <w:vAlign w:val="center"/>
          </w:tcPr>
          <w:p>
            <w:pPr>
              <w:pStyle w:val="53"/>
              <w:jc w:val="center"/>
              <w:rPr>
                <w:rFonts w:eastAsia="仿宋_GB2312"/>
              </w:rPr>
            </w:pPr>
            <w:r>
              <w:rPr>
                <w:rFonts w:eastAsia="仿宋_GB2312"/>
              </w:rPr>
              <w:t>62.11</w:t>
            </w:r>
          </w:p>
        </w:tc>
        <w:tc>
          <w:tcPr>
            <w:tcW w:w="366" w:type="pct"/>
            <w:vAlign w:val="center"/>
          </w:tcPr>
          <w:p>
            <w:pPr>
              <w:pStyle w:val="53"/>
              <w:jc w:val="center"/>
              <w:rPr>
                <w:rFonts w:eastAsia="仿宋_GB2312"/>
              </w:rPr>
            </w:pPr>
            <w:r>
              <w:rPr>
                <w:rFonts w:eastAsia="仿宋_GB2312"/>
              </w:rPr>
              <w:t>1679.78</w:t>
            </w:r>
          </w:p>
        </w:tc>
        <w:tc>
          <w:tcPr>
            <w:tcW w:w="360" w:type="pct"/>
            <w:vAlign w:val="center"/>
          </w:tcPr>
          <w:p>
            <w:pPr>
              <w:pStyle w:val="53"/>
              <w:jc w:val="center"/>
              <w:rPr>
                <w:rFonts w:eastAsia="仿宋_GB2312"/>
              </w:rPr>
            </w:pPr>
            <w:r>
              <w:rPr>
                <w:rFonts w:eastAsia="仿宋_GB2312"/>
              </w:rPr>
              <w:t>1597.23</w:t>
            </w:r>
          </w:p>
        </w:tc>
        <w:tc>
          <w:tcPr>
            <w:tcW w:w="315" w:type="pct"/>
            <w:vAlign w:val="center"/>
          </w:tcPr>
          <w:p>
            <w:pPr>
              <w:pStyle w:val="53"/>
              <w:jc w:val="center"/>
              <w:rPr>
                <w:rFonts w:eastAsia="仿宋_GB2312"/>
              </w:rPr>
            </w:pPr>
            <w:r>
              <w:rPr>
                <w:rFonts w:eastAsia="仿宋_GB2312"/>
              </w:rPr>
              <w:t>48.71</w:t>
            </w:r>
          </w:p>
        </w:tc>
        <w:tc>
          <w:tcPr>
            <w:tcW w:w="366" w:type="pct"/>
            <w:vAlign w:val="center"/>
          </w:tcPr>
          <w:p>
            <w:pPr>
              <w:pStyle w:val="53"/>
              <w:jc w:val="center"/>
              <w:rPr>
                <w:rFonts w:eastAsia="仿宋_GB2312"/>
              </w:rPr>
            </w:pPr>
            <w:r>
              <w:rPr>
                <w:rFonts w:eastAsia="仿宋_GB2312"/>
              </w:rPr>
              <w:t>1645.94</w:t>
            </w:r>
          </w:p>
        </w:tc>
        <w:tc>
          <w:tcPr>
            <w:tcW w:w="922" w:type="dxa"/>
            <w:vAlign w:val="center"/>
          </w:tcPr>
          <w:p>
            <w:pPr>
              <w:pStyle w:val="53"/>
              <w:jc w:val="center"/>
              <w:rPr>
                <w:rFonts w:eastAsia="仿宋_GB2312"/>
              </w:rPr>
            </w:pPr>
            <w:r>
              <w:rPr>
                <w:rFonts w:eastAsia="仿宋_GB2312"/>
              </w:rPr>
              <w:t>0.00</w:t>
            </w:r>
          </w:p>
        </w:tc>
        <w:tc>
          <w:tcPr>
            <w:tcW w:w="342" w:type="pct"/>
            <w:vAlign w:val="center"/>
          </w:tcPr>
          <w:p>
            <w:pPr>
              <w:pStyle w:val="53"/>
              <w:jc w:val="center"/>
              <w:rPr>
                <w:rFonts w:eastAsia="仿宋_GB2312"/>
              </w:rPr>
            </w:pPr>
          </w:p>
        </w:tc>
        <w:tc>
          <w:tcPr>
            <w:tcW w:w="922" w:type="dxa"/>
            <w:vAlign w:val="center"/>
          </w:tcPr>
          <w:p>
            <w:pPr>
              <w:pStyle w:val="53"/>
              <w:jc w:val="center"/>
              <w:rPr>
                <w:rFonts w:eastAsia="仿宋_GB2312"/>
              </w:rPr>
            </w:pPr>
            <w:r>
              <w:rPr>
                <w:rFonts w:eastAsia="仿宋_GB2312"/>
              </w:rPr>
              <w:t>33.84</w:t>
            </w:r>
          </w:p>
        </w:tc>
        <w:tc>
          <w:tcPr>
            <w:tcW w:w="383" w:type="pct"/>
            <w:vAlign w:val="center"/>
          </w:tcPr>
          <w:p>
            <w:pPr>
              <w:pStyle w:val="53"/>
              <w:jc w:val="center"/>
              <w:rPr>
                <w:rFonts w:eastAsia="仿宋_GB2312"/>
              </w:rPr>
            </w:pPr>
            <w:r>
              <w:rPr>
                <w:rFonts w:eastAsia="仿宋_GB2312"/>
              </w:rPr>
              <w:t>（8、10）</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道路与交通设施用地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（8）</w:t>
            </w:r>
          </w:p>
        </w:tc>
        <w:tc>
          <w:tcPr>
            <w:tcW w:w="360" w:type="pct"/>
            <w:vAlign w:val="center"/>
          </w:tcPr>
          <w:p>
            <w:pPr>
              <w:pStyle w:val="53"/>
              <w:jc w:val="center"/>
              <w:rPr>
                <w:rFonts w:eastAsia="仿宋_GB2312"/>
              </w:rPr>
            </w:pPr>
            <w:r>
              <w:rPr>
                <w:rFonts w:eastAsia="仿宋_GB2312"/>
              </w:rPr>
              <w:t>122.65</w:t>
            </w:r>
          </w:p>
        </w:tc>
        <w:tc>
          <w:tcPr>
            <w:tcW w:w="315" w:type="pct"/>
            <w:vAlign w:val="center"/>
          </w:tcPr>
          <w:p>
            <w:pPr>
              <w:pStyle w:val="53"/>
              <w:jc w:val="center"/>
              <w:rPr>
                <w:rFonts w:eastAsia="仿宋_GB2312"/>
              </w:rPr>
            </w:pPr>
            <w:r>
              <w:rPr>
                <w:rFonts w:eastAsia="仿宋_GB2312"/>
              </w:rPr>
              <w:t>7.04</w:t>
            </w:r>
          </w:p>
        </w:tc>
        <w:tc>
          <w:tcPr>
            <w:tcW w:w="366" w:type="pct"/>
            <w:vAlign w:val="center"/>
          </w:tcPr>
          <w:p>
            <w:pPr>
              <w:pStyle w:val="53"/>
              <w:jc w:val="center"/>
              <w:rPr>
                <w:rFonts w:eastAsia="仿宋_GB2312"/>
              </w:rPr>
            </w:pPr>
            <w:r>
              <w:rPr>
                <w:rFonts w:eastAsia="仿宋_GB2312"/>
              </w:rPr>
              <w:t>129.69</w:t>
            </w:r>
          </w:p>
        </w:tc>
        <w:tc>
          <w:tcPr>
            <w:tcW w:w="360" w:type="pct"/>
            <w:vAlign w:val="center"/>
          </w:tcPr>
          <w:p>
            <w:pPr>
              <w:pStyle w:val="53"/>
              <w:jc w:val="center"/>
              <w:rPr>
                <w:rFonts w:eastAsia="仿宋_GB2312"/>
              </w:rPr>
            </w:pPr>
            <w:r>
              <w:rPr>
                <w:rFonts w:eastAsia="仿宋_GB2312"/>
              </w:rPr>
              <w:t>159.68</w:t>
            </w:r>
          </w:p>
        </w:tc>
        <w:tc>
          <w:tcPr>
            <w:tcW w:w="315" w:type="pct"/>
            <w:vAlign w:val="center"/>
          </w:tcPr>
          <w:p>
            <w:pPr>
              <w:pStyle w:val="53"/>
              <w:jc w:val="center"/>
              <w:rPr>
                <w:rFonts w:eastAsia="仿宋_GB2312"/>
              </w:rPr>
            </w:pPr>
            <w:r>
              <w:rPr>
                <w:rFonts w:eastAsia="仿宋_GB2312"/>
              </w:rPr>
              <w:t>5.77</w:t>
            </w:r>
          </w:p>
        </w:tc>
        <w:tc>
          <w:tcPr>
            <w:tcW w:w="366" w:type="pct"/>
            <w:vAlign w:val="center"/>
          </w:tcPr>
          <w:p>
            <w:pPr>
              <w:pStyle w:val="53"/>
              <w:jc w:val="center"/>
              <w:rPr>
                <w:rFonts w:eastAsia="仿宋_GB2312"/>
              </w:rPr>
            </w:pPr>
            <w:r>
              <w:rPr>
                <w:rFonts w:eastAsia="仿宋_GB2312"/>
              </w:rPr>
              <w:t>165.45</w:t>
            </w:r>
          </w:p>
        </w:tc>
        <w:tc>
          <w:tcPr>
            <w:tcW w:w="922" w:type="dxa"/>
            <w:vAlign w:val="center"/>
          </w:tcPr>
          <w:p>
            <w:pPr>
              <w:pStyle w:val="53"/>
              <w:jc w:val="center"/>
              <w:rPr>
                <w:rFonts w:eastAsia="仿宋_GB2312"/>
              </w:rPr>
            </w:pPr>
            <w:r>
              <w:rPr>
                <w:rFonts w:eastAsia="仿宋_GB2312"/>
              </w:rPr>
              <w:t>37.03</w:t>
            </w:r>
          </w:p>
        </w:tc>
        <w:tc>
          <w:tcPr>
            <w:tcW w:w="342" w:type="pct"/>
            <w:vAlign w:val="center"/>
          </w:tcPr>
          <w:p>
            <w:pPr>
              <w:pStyle w:val="53"/>
              <w:jc w:val="center"/>
              <w:rPr>
                <w:rFonts w:eastAsia="仿宋_GB2312"/>
              </w:rPr>
            </w:pPr>
            <w:r>
              <w:rPr>
                <w:rFonts w:eastAsia="仿宋_GB2312"/>
              </w:rPr>
              <w:t>（7</w:t>
            </w:r>
            <w:r>
              <w:rPr>
                <w:rFonts w:hint="eastAsia" w:eastAsia="仿宋_GB2312"/>
              </w:rPr>
              <w:t>、9、10</w:t>
            </w:r>
            <w:r>
              <w:rPr>
                <w:rFonts w:eastAsia="仿宋_GB2312"/>
              </w:rPr>
              <w:t>）</w:t>
            </w:r>
          </w:p>
        </w:tc>
        <w:tc>
          <w:tcPr>
            <w:tcW w:w="922" w:type="dxa"/>
            <w:vAlign w:val="center"/>
          </w:tcPr>
          <w:p>
            <w:pPr>
              <w:pStyle w:val="53"/>
              <w:jc w:val="center"/>
              <w:rPr>
                <w:rFonts w:eastAsia="仿宋_GB2312"/>
              </w:rPr>
            </w:pPr>
            <w:r>
              <w:rPr>
                <w:rFonts w:eastAsia="仿宋_GB2312"/>
              </w:rPr>
              <w:t>1.27</w:t>
            </w:r>
          </w:p>
        </w:tc>
        <w:tc>
          <w:tcPr>
            <w:tcW w:w="383" w:type="pct"/>
            <w:vAlign w:val="center"/>
          </w:tcPr>
          <w:p>
            <w:pPr>
              <w:pStyle w:val="53"/>
              <w:jc w:val="center"/>
              <w:rPr>
                <w:rFonts w:eastAsia="仿宋_GB2312"/>
              </w:rPr>
            </w:pPr>
            <w:r>
              <w:rPr>
                <w:rFonts w:eastAsia="仿宋_GB2312"/>
              </w:rPr>
              <w:t>（10）</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公用设施用地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（9）</w:t>
            </w:r>
          </w:p>
        </w:tc>
        <w:tc>
          <w:tcPr>
            <w:tcW w:w="360" w:type="pct"/>
            <w:vAlign w:val="center"/>
          </w:tcPr>
          <w:p>
            <w:pPr>
              <w:pStyle w:val="53"/>
              <w:jc w:val="center"/>
              <w:rPr>
                <w:rFonts w:eastAsia="仿宋_GB2312"/>
              </w:rPr>
            </w:pPr>
            <w:r>
              <w:rPr>
                <w:rFonts w:eastAsia="仿宋_GB2312"/>
              </w:rPr>
              <w:t>10.38</w:t>
            </w:r>
          </w:p>
        </w:tc>
        <w:tc>
          <w:tcPr>
            <w:tcW w:w="315" w:type="pct"/>
            <w:vAlign w:val="center"/>
          </w:tcPr>
          <w:p>
            <w:pPr>
              <w:pStyle w:val="53"/>
              <w:jc w:val="center"/>
              <w:rPr>
                <w:rFonts w:eastAsia="仿宋_GB2312"/>
              </w:rPr>
            </w:pPr>
            <w:r>
              <w:rPr>
                <w:rFonts w:eastAsia="仿宋_GB2312"/>
              </w:rPr>
              <w:t>5.90</w:t>
            </w:r>
          </w:p>
        </w:tc>
        <w:tc>
          <w:tcPr>
            <w:tcW w:w="366" w:type="pct"/>
            <w:vAlign w:val="center"/>
          </w:tcPr>
          <w:p>
            <w:pPr>
              <w:pStyle w:val="53"/>
              <w:jc w:val="center"/>
              <w:rPr>
                <w:rFonts w:eastAsia="仿宋_GB2312"/>
              </w:rPr>
            </w:pPr>
            <w:r>
              <w:rPr>
                <w:rFonts w:eastAsia="仿宋_GB2312"/>
              </w:rPr>
              <w:t>16.28</w:t>
            </w:r>
          </w:p>
        </w:tc>
        <w:tc>
          <w:tcPr>
            <w:tcW w:w="360" w:type="pct"/>
            <w:vAlign w:val="center"/>
          </w:tcPr>
          <w:p>
            <w:pPr>
              <w:pStyle w:val="53"/>
              <w:jc w:val="center"/>
              <w:rPr>
                <w:rFonts w:eastAsia="仿宋_GB2312"/>
              </w:rPr>
            </w:pPr>
            <w:r>
              <w:rPr>
                <w:rFonts w:eastAsia="仿宋_GB2312"/>
              </w:rPr>
              <w:t>3.64</w:t>
            </w:r>
          </w:p>
        </w:tc>
        <w:tc>
          <w:tcPr>
            <w:tcW w:w="315" w:type="pct"/>
            <w:vAlign w:val="center"/>
          </w:tcPr>
          <w:p>
            <w:pPr>
              <w:pStyle w:val="53"/>
              <w:jc w:val="center"/>
              <w:rPr>
                <w:rFonts w:eastAsia="仿宋_GB2312"/>
              </w:rPr>
            </w:pPr>
            <w:r>
              <w:rPr>
                <w:rFonts w:eastAsia="仿宋_GB2312"/>
              </w:rPr>
              <w:t>1.47</w:t>
            </w:r>
          </w:p>
        </w:tc>
        <w:tc>
          <w:tcPr>
            <w:tcW w:w="366" w:type="pct"/>
            <w:vAlign w:val="center"/>
          </w:tcPr>
          <w:p>
            <w:pPr>
              <w:pStyle w:val="53"/>
              <w:jc w:val="center"/>
              <w:rPr>
                <w:rFonts w:eastAsia="仿宋_GB2312"/>
              </w:rPr>
            </w:pPr>
            <w:r>
              <w:rPr>
                <w:rFonts w:eastAsia="仿宋_GB2312"/>
              </w:rPr>
              <w:t>5.11</w:t>
            </w:r>
          </w:p>
        </w:tc>
        <w:tc>
          <w:tcPr>
            <w:tcW w:w="922" w:type="dxa"/>
            <w:vAlign w:val="center"/>
          </w:tcPr>
          <w:p>
            <w:pPr>
              <w:pStyle w:val="53"/>
              <w:jc w:val="center"/>
              <w:rPr>
                <w:rFonts w:eastAsia="仿宋_GB2312"/>
              </w:rPr>
            </w:pPr>
            <w:r>
              <w:rPr>
                <w:rFonts w:eastAsia="仿宋_GB2312"/>
              </w:rPr>
              <w:t>0.00</w:t>
            </w:r>
          </w:p>
        </w:tc>
        <w:tc>
          <w:tcPr>
            <w:tcW w:w="342" w:type="pct"/>
            <w:vAlign w:val="center"/>
          </w:tcPr>
          <w:p>
            <w:pPr>
              <w:pStyle w:val="53"/>
              <w:jc w:val="center"/>
              <w:rPr>
                <w:rFonts w:eastAsia="仿宋_GB2312"/>
              </w:rPr>
            </w:pPr>
          </w:p>
        </w:tc>
        <w:tc>
          <w:tcPr>
            <w:tcW w:w="922" w:type="dxa"/>
            <w:vAlign w:val="center"/>
          </w:tcPr>
          <w:p>
            <w:pPr>
              <w:pStyle w:val="53"/>
              <w:jc w:val="center"/>
              <w:rPr>
                <w:rFonts w:eastAsia="仿宋_GB2312"/>
              </w:rPr>
            </w:pPr>
            <w:r>
              <w:rPr>
                <w:rFonts w:eastAsia="仿宋_GB2312"/>
              </w:rPr>
              <w:t>11.17</w:t>
            </w:r>
          </w:p>
        </w:tc>
        <w:tc>
          <w:tcPr>
            <w:tcW w:w="383" w:type="pct"/>
            <w:vAlign w:val="center"/>
          </w:tcPr>
          <w:p>
            <w:pPr>
              <w:pStyle w:val="53"/>
              <w:jc w:val="center"/>
              <w:rPr>
                <w:rFonts w:eastAsia="仿宋_GB2312"/>
              </w:rPr>
            </w:pPr>
            <w:r>
              <w:rPr>
                <w:rFonts w:eastAsia="仿宋_GB2312"/>
              </w:rPr>
              <w:t>（8、10）</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379" w:type="pct"/>
            <w:vAlign w:val="center"/>
          </w:tcPr>
          <w:p>
            <w:pPr>
              <w:pStyle w:val="53"/>
              <w:jc w:val="center"/>
              <w:rPr>
                <w:rFonts w:eastAsia="仿宋_GB2312"/>
              </w:rPr>
            </w:pPr>
            <w:r>
              <w:rPr>
                <w:rFonts w:eastAsia="仿宋_GB2312"/>
              </w:rPr>
              <w:t>绿地与广场用地</w:t>
            </w:r>
          </w:p>
        </w:tc>
        <w:tc>
          <w:tcPr>
            <w:tcW w:w="294" w:type="pct"/>
            <w:vAlign w:val="center"/>
          </w:tcPr>
          <w:p>
            <w:pPr>
              <w:adjustRightInd w:val="0"/>
              <w:snapToGrid w:val="0"/>
              <w:spacing w:line="240" w:lineRule="auto"/>
              <w:ind w:firstLine="0" w:firstLineChars="0"/>
              <w:jc w:val="center"/>
              <w:rPr>
                <w:kern w:val="0"/>
                <w:sz w:val="21"/>
                <w:szCs w:val="21"/>
              </w:rPr>
            </w:pPr>
            <w:r>
              <w:rPr>
                <w:kern w:val="0"/>
                <w:sz w:val="21"/>
                <w:szCs w:val="21"/>
              </w:rPr>
              <w:t>（10）</w:t>
            </w:r>
          </w:p>
        </w:tc>
        <w:tc>
          <w:tcPr>
            <w:tcW w:w="360" w:type="pct"/>
            <w:vAlign w:val="center"/>
          </w:tcPr>
          <w:p>
            <w:pPr>
              <w:pStyle w:val="53"/>
              <w:jc w:val="center"/>
              <w:rPr>
                <w:rFonts w:eastAsia="仿宋_GB2312"/>
              </w:rPr>
            </w:pPr>
            <w:r>
              <w:rPr>
                <w:rFonts w:eastAsia="仿宋_GB2312"/>
              </w:rPr>
              <w:t>24.26</w:t>
            </w:r>
          </w:p>
        </w:tc>
        <w:tc>
          <w:tcPr>
            <w:tcW w:w="315" w:type="pct"/>
            <w:vAlign w:val="center"/>
          </w:tcPr>
          <w:p>
            <w:pPr>
              <w:pStyle w:val="53"/>
              <w:jc w:val="center"/>
              <w:rPr>
                <w:rFonts w:eastAsia="仿宋_GB2312"/>
              </w:rPr>
            </w:pPr>
            <w:r>
              <w:rPr>
                <w:rFonts w:eastAsia="仿宋_GB2312"/>
              </w:rPr>
              <w:t>6.21</w:t>
            </w:r>
          </w:p>
        </w:tc>
        <w:tc>
          <w:tcPr>
            <w:tcW w:w="366" w:type="pct"/>
            <w:vAlign w:val="center"/>
          </w:tcPr>
          <w:p>
            <w:pPr>
              <w:pStyle w:val="53"/>
              <w:jc w:val="center"/>
              <w:rPr>
                <w:rFonts w:eastAsia="仿宋_GB2312"/>
              </w:rPr>
            </w:pPr>
            <w:r>
              <w:rPr>
                <w:rFonts w:eastAsia="仿宋_GB2312"/>
              </w:rPr>
              <w:t>30.47</w:t>
            </w:r>
          </w:p>
        </w:tc>
        <w:tc>
          <w:tcPr>
            <w:tcW w:w="360" w:type="pct"/>
            <w:vAlign w:val="center"/>
          </w:tcPr>
          <w:p>
            <w:pPr>
              <w:pStyle w:val="53"/>
              <w:jc w:val="center"/>
              <w:rPr>
                <w:rFonts w:eastAsia="仿宋_GB2312"/>
              </w:rPr>
            </w:pPr>
            <w:r>
              <w:rPr>
                <w:rFonts w:eastAsia="仿宋_GB2312"/>
              </w:rPr>
              <w:t>14.41</w:t>
            </w:r>
          </w:p>
        </w:tc>
        <w:tc>
          <w:tcPr>
            <w:tcW w:w="315" w:type="pct"/>
            <w:vAlign w:val="center"/>
          </w:tcPr>
          <w:p>
            <w:pPr>
              <w:pStyle w:val="53"/>
              <w:jc w:val="center"/>
              <w:rPr>
                <w:rFonts w:eastAsia="仿宋_GB2312"/>
              </w:rPr>
            </w:pPr>
            <w:r>
              <w:rPr>
                <w:rFonts w:eastAsia="仿宋_GB2312"/>
              </w:rPr>
              <w:t>78.77</w:t>
            </w:r>
          </w:p>
        </w:tc>
        <w:tc>
          <w:tcPr>
            <w:tcW w:w="366" w:type="pct"/>
            <w:vAlign w:val="center"/>
          </w:tcPr>
          <w:p>
            <w:pPr>
              <w:pStyle w:val="53"/>
              <w:jc w:val="center"/>
              <w:rPr>
                <w:rFonts w:eastAsia="仿宋_GB2312"/>
              </w:rPr>
            </w:pPr>
            <w:r>
              <w:rPr>
                <w:rFonts w:eastAsia="仿宋_GB2312"/>
              </w:rPr>
              <w:t>93.18</w:t>
            </w:r>
          </w:p>
        </w:tc>
        <w:tc>
          <w:tcPr>
            <w:tcW w:w="922" w:type="dxa"/>
            <w:vAlign w:val="center"/>
          </w:tcPr>
          <w:p>
            <w:pPr>
              <w:pStyle w:val="53"/>
              <w:jc w:val="center"/>
              <w:rPr>
                <w:rFonts w:eastAsia="仿宋_GB2312"/>
              </w:rPr>
            </w:pPr>
            <w:r>
              <w:rPr>
                <w:rFonts w:eastAsia="仿宋_GB2312"/>
              </w:rPr>
              <w:t>72.56</w:t>
            </w:r>
          </w:p>
        </w:tc>
        <w:tc>
          <w:tcPr>
            <w:tcW w:w="342" w:type="pct"/>
            <w:vAlign w:val="center"/>
          </w:tcPr>
          <w:p>
            <w:pPr>
              <w:pStyle w:val="53"/>
              <w:jc w:val="center"/>
              <w:rPr>
                <w:rFonts w:eastAsia="仿宋_GB2312"/>
              </w:rPr>
            </w:pPr>
            <w:r>
              <w:rPr>
                <w:rFonts w:eastAsia="仿宋_GB2312"/>
              </w:rPr>
              <w:t>（</w:t>
            </w:r>
            <w:r>
              <w:rPr>
                <w:rFonts w:hint="eastAsia" w:eastAsia="仿宋_GB2312"/>
              </w:rPr>
              <w:t>3、</w:t>
            </w:r>
            <w:r>
              <w:rPr>
                <w:rFonts w:eastAsia="仿宋_GB2312"/>
              </w:rPr>
              <w:t>7、8、9）</w:t>
            </w:r>
          </w:p>
        </w:tc>
        <w:tc>
          <w:tcPr>
            <w:tcW w:w="922" w:type="dxa"/>
            <w:vAlign w:val="center"/>
          </w:tcPr>
          <w:p>
            <w:pPr>
              <w:pStyle w:val="53"/>
              <w:jc w:val="center"/>
              <w:rPr>
                <w:rFonts w:eastAsia="仿宋_GB2312"/>
              </w:rPr>
            </w:pPr>
            <w:r>
              <w:rPr>
                <w:rFonts w:eastAsia="仿宋_GB2312"/>
              </w:rPr>
              <w:t>9.85</w:t>
            </w:r>
          </w:p>
        </w:tc>
        <w:tc>
          <w:tcPr>
            <w:tcW w:w="383" w:type="pct"/>
            <w:vAlign w:val="center"/>
          </w:tcPr>
          <w:p>
            <w:pPr>
              <w:pStyle w:val="53"/>
              <w:jc w:val="center"/>
              <w:rPr>
                <w:rFonts w:eastAsia="仿宋_GB2312"/>
              </w:rPr>
            </w:pPr>
            <w:r>
              <w:rPr>
                <w:rFonts w:eastAsia="仿宋_GB2312"/>
              </w:rPr>
              <w:t>（8）</w:t>
            </w:r>
          </w:p>
        </w:tc>
        <w:tc>
          <w:tcPr>
            <w:tcW w:w="312" w:type="pct"/>
            <w:vAlign w:val="center"/>
          </w:tcPr>
          <w:p>
            <w:pPr>
              <w:adjustRightInd w:val="0"/>
              <w:snapToGrid w:val="0"/>
              <w:spacing w:line="240" w:lineRule="auto"/>
              <w:ind w:firstLine="0" w:firstLineChars="0"/>
              <w:jc w:val="center"/>
              <w:rPr>
                <w:kern w:val="0"/>
                <w:sz w:val="21"/>
                <w:szCs w:val="21"/>
              </w:rPr>
            </w:pPr>
          </w:p>
        </w:tc>
        <w:tc>
          <w:tcPr>
            <w:tcW w:w="245" w:type="pct"/>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165" w:type="pct"/>
            <w:vMerge w:val="continue"/>
            <w:vAlign w:val="center"/>
          </w:tcPr>
          <w:p>
            <w:pPr>
              <w:pStyle w:val="53"/>
              <w:jc w:val="center"/>
              <w:rPr>
                <w:rFonts w:eastAsia="仿宋_GB2312"/>
              </w:rPr>
            </w:pPr>
          </w:p>
        </w:tc>
        <w:tc>
          <w:tcPr>
            <w:tcW w:w="673" w:type="pct"/>
            <w:gridSpan w:val="2"/>
            <w:vAlign w:val="center"/>
          </w:tcPr>
          <w:p>
            <w:pPr>
              <w:adjustRightInd w:val="0"/>
              <w:snapToGrid w:val="0"/>
              <w:spacing w:line="240" w:lineRule="auto"/>
              <w:ind w:firstLine="0" w:firstLineChars="0"/>
              <w:jc w:val="center"/>
              <w:rPr>
                <w:b/>
                <w:bCs/>
                <w:kern w:val="0"/>
                <w:sz w:val="21"/>
                <w:szCs w:val="21"/>
              </w:rPr>
            </w:pPr>
            <w:r>
              <w:rPr>
                <w:b/>
                <w:bCs/>
                <w:sz w:val="21"/>
                <w:szCs w:val="21"/>
              </w:rPr>
              <w:t>小计</w:t>
            </w:r>
          </w:p>
        </w:tc>
        <w:tc>
          <w:tcPr>
            <w:tcW w:w="360" w:type="pct"/>
            <w:vAlign w:val="center"/>
          </w:tcPr>
          <w:p>
            <w:pPr>
              <w:pStyle w:val="53"/>
              <w:jc w:val="center"/>
              <w:rPr>
                <w:rFonts w:eastAsia="仿宋_GB2312"/>
                <w:b/>
                <w:bCs/>
              </w:rPr>
            </w:pPr>
            <w:r>
              <w:rPr>
                <w:rFonts w:eastAsia="仿宋_GB2312"/>
                <w:b/>
                <w:bCs/>
              </w:rPr>
              <w:t>1774.96</w:t>
            </w:r>
          </w:p>
        </w:tc>
        <w:tc>
          <w:tcPr>
            <w:tcW w:w="315" w:type="pct"/>
            <w:vAlign w:val="center"/>
          </w:tcPr>
          <w:p>
            <w:pPr>
              <w:pStyle w:val="53"/>
              <w:jc w:val="center"/>
              <w:rPr>
                <w:rFonts w:eastAsia="仿宋_GB2312"/>
                <w:b/>
                <w:bCs/>
              </w:rPr>
            </w:pPr>
            <w:r>
              <w:rPr>
                <w:rFonts w:eastAsia="仿宋_GB2312"/>
                <w:b/>
                <w:bCs/>
              </w:rPr>
              <w:t>81.26</w:t>
            </w:r>
          </w:p>
        </w:tc>
        <w:tc>
          <w:tcPr>
            <w:tcW w:w="366" w:type="pct"/>
            <w:vAlign w:val="center"/>
          </w:tcPr>
          <w:p>
            <w:pPr>
              <w:pStyle w:val="53"/>
              <w:jc w:val="center"/>
              <w:rPr>
                <w:rFonts w:eastAsia="仿宋_GB2312"/>
                <w:b/>
                <w:bCs/>
              </w:rPr>
            </w:pPr>
            <w:r>
              <w:rPr>
                <w:rFonts w:eastAsia="仿宋_GB2312"/>
                <w:b/>
                <w:bCs/>
              </w:rPr>
              <w:t>1856.22</w:t>
            </w:r>
          </w:p>
        </w:tc>
        <w:tc>
          <w:tcPr>
            <w:tcW w:w="360" w:type="pct"/>
            <w:vAlign w:val="center"/>
          </w:tcPr>
          <w:p>
            <w:pPr>
              <w:pStyle w:val="53"/>
              <w:jc w:val="center"/>
              <w:rPr>
                <w:rFonts w:eastAsia="仿宋_GB2312"/>
                <w:b/>
                <w:bCs/>
              </w:rPr>
            </w:pPr>
            <w:r>
              <w:rPr>
                <w:rFonts w:eastAsia="仿宋_GB2312"/>
                <w:b/>
                <w:bCs/>
              </w:rPr>
              <w:t>1774.96</w:t>
            </w:r>
          </w:p>
        </w:tc>
        <w:tc>
          <w:tcPr>
            <w:tcW w:w="315" w:type="pct"/>
            <w:vAlign w:val="center"/>
          </w:tcPr>
          <w:p>
            <w:pPr>
              <w:pStyle w:val="53"/>
              <w:jc w:val="center"/>
              <w:rPr>
                <w:rFonts w:eastAsia="仿宋_GB2312"/>
                <w:b/>
                <w:bCs/>
              </w:rPr>
            </w:pPr>
            <w:r>
              <w:rPr>
                <w:rFonts w:eastAsia="仿宋_GB2312"/>
                <w:b/>
                <w:bCs/>
              </w:rPr>
              <w:t>134.72</w:t>
            </w:r>
          </w:p>
        </w:tc>
        <w:tc>
          <w:tcPr>
            <w:tcW w:w="366" w:type="pct"/>
            <w:vAlign w:val="center"/>
          </w:tcPr>
          <w:p>
            <w:pPr>
              <w:pStyle w:val="53"/>
              <w:jc w:val="center"/>
              <w:rPr>
                <w:rFonts w:eastAsia="仿宋_GB2312"/>
                <w:b/>
                <w:bCs/>
              </w:rPr>
            </w:pPr>
            <w:r>
              <w:rPr>
                <w:rFonts w:eastAsia="仿宋_GB2312"/>
                <w:b/>
                <w:bCs/>
              </w:rPr>
              <w:t>1909.68</w:t>
            </w:r>
          </w:p>
        </w:tc>
        <w:tc>
          <w:tcPr>
            <w:tcW w:w="922" w:type="dxa"/>
            <w:vAlign w:val="center"/>
          </w:tcPr>
          <w:p>
            <w:pPr>
              <w:pStyle w:val="53"/>
              <w:jc w:val="center"/>
              <w:rPr>
                <w:rFonts w:eastAsia="仿宋_GB2312"/>
                <w:b/>
                <w:bCs/>
              </w:rPr>
            </w:pPr>
            <w:r>
              <w:rPr>
                <w:rFonts w:eastAsia="仿宋_GB2312"/>
                <w:b/>
                <w:bCs/>
              </w:rPr>
              <w:t>109.59</w:t>
            </w:r>
          </w:p>
        </w:tc>
        <w:tc>
          <w:tcPr>
            <w:tcW w:w="342" w:type="pct"/>
            <w:vAlign w:val="center"/>
          </w:tcPr>
          <w:p>
            <w:pPr>
              <w:pStyle w:val="53"/>
              <w:jc w:val="center"/>
              <w:rPr>
                <w:rFonts w:eastAsia="仿宋_GB2312"/>
                <w:b/>
                <w:bCs/>
              </w:rPr>
            </w:pPr>
          </w:p>
        </w:tc>
        <w:tc>
          <w:tcPr>
            <w:tcW w:w="922" w:type="dxa"/>
            <w:vAlign w:val="center"/>
          </w:tcPr>
          <w:p>
            <w:pPr>
              <w:pStyle w:val="53"/>
              <w:jc w:val="center"/>
              <w:rPr>
                <w:rFonts w:eastAsia="仿宋_GB2312"/>
                <w:b/>
                <w:bCs/>
              </w:rPr>
            </w:pPr>
            <w:r>
              <w:rPr>
                <w:rFonts w:eastAsia="仿宋_GB2312"/>
                <w:b/>
                <w:bCs/>
              </w:rPr>
              <w:t>56.13</w:t>
            </w:r>
          </w:p>
        </w:tc>
        <w:tc>
          <w:tcPr>
            <w:tcW w:w="383" w:type="pct"/>
            <w:vAlign w:val="center"/>
          </w:tcPr>
          <w:p>
            <w:pPr>
              <w:pStyle w:val="53"/>
              <w:jc w:val="center"/>
              <w:rPr>
                <w:rFonts w:eastAsia="仿宋_GB2312"/>
                <w:b/>
                <w:bCs/>
              </w:rPr>
            </w:pPr>
          </w:p>
        </w:tc>
        <w:tc>
          <w:tcPr>
            <w:tcW w:w="312" w:type="pct"/>
            <w:vAlign w:val="center"/>
          </w:tcPr>
          <w:p>
            <w:pPr>
              <w:adjustRightInd w:val="0"/>
              <w:snapToGrid w:val="0"/>
              <w:spacing w:line="240" w:lineRule="auto"/>
              <w:ind w:firstLine="0" w:firstLineChars="0"/>
              <w:jc w:val="center"/>
              <w:rPr>
                <w:b/>
                <w:bCs/>
                <w:kern w:val="0"/>
                <w:sz w:val="21"/>
                <w:szCs w:val="21"/>
              </w:rPr>
            </w:pPr>
          </w:p>
        </w:tc>
        <w:tc>
          <w:tcPr>
            <w:tcW w:w="245" w:type="pct"/>
            <w:vAlign w:val="center"/>
          </w:tcPr>
          <w:p>
            <w:pPr>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64" w:type="pct"/>
            <w:vMerge w:val="continue"/>
            <w:vAlign w:val="center"/>
          </w:tcPr>
          <w:p>
            <w:pPr>
              <w:pStyle w:val="53"/>
              <w:jc w:val="center"/>
              <w:rPr>
                <w:rFonts w:eastAsia="仿宋_GB2312"/>
                <w:kern w:val="0"/>
              </w:rPr>
            </w:pPr>
          </w:p>
        </w:tc>
        <w:tc>
          <w:tcPr>
            <w:tcW w:w="838" w:type="pct"/>
            <w:gridSpan w:val="3"/>
            <w:vAlign w:val="center"/>
          </w:tcPr>
          <w:p>
            <w:pPr>
              <w:adjustRightInd w:val="0"/>
              <w:snapToGrid w:val="0"/>
              <w:spacing w:line="240" w:lineRule="auto"/>
              <w:ind w:firstLine="0" w:firstLineChars="0"/>
              <w:jc w:val="center"/>
              <w:rPr>
                <w:b/>
                <w:bCs/>
                <w:kern w:val="0"/>
                <w:sz w:val="21"/>
                <w:szCs w:val="21"/>
              </w:rPr>
            </w:pPr>
            <w:r>
              <w:rPr>
                <w:b/>
                <w:bCs/>
                <w:sz w:val="21"/>
                <w:szCs w:val="21"/>
              </w:rPr>
              <w:t>合计</w:t>
            </w:r>
          </w:p>
        </w:tc>
        <w:tc>
          <w:tcPr>
            <w:tcW w:w="360" w:type="pct"/>
            <w:vAlign w:val="center"/>
          </w:tcPr>
          <w:p>
            <w:pPr>
              <w:pStyle w:val="53"/>
              <w:jc w:val="center"/>
              <w:rPr>
                <w:rFonts w:eastAsia="仿宋_GB2312"/>
                <w:b/>
                <w:bCs/>
              </w:rPr>
            </w:pPr>
            <w:r>
              <w:rPr>
                <w:rFonts w:eastAsia="仿宋_GB2312"/>
                <w:b/>
                <w:bCs/>
              </w:rPr>
              <w:t>2847.10</w:t>
            </w:r>
          </w:p>
        </w:tc>
        <w:tc>
          <w:tcPr>
            <w:tcW w:w="315" w:type="pct"/>
            <w:vAlign w:val="center"/>
          </w:tcPr>
          <w:p>
            <w:pPr>
              <w:pStyle w:val="53"/>
              <w:jc w:val="center"/>
              <w:rPr>
                <w:rFonts w:eastAsia="仿宋_GB2312"/>
                <w:b/>
                <w:bCs/>
              </w:rPr>
            </w:pPr>
            <w:r>
              <w:rPr>
                <w:rFonts w:eastAsia="仿宋_GB2312"/>
                <w:b/>
                <w:bCs/>
              </w:rPr>
              <w:t>165.35</w:t>
            </w:r>
          </w:p>
        </w:tc>
        <w:tc>
          <w:tcPr>
            <w:tcW w:w="366" w:type="pct"/>
            <w:vAlign w:val="center"/>
          </w:tcPr>
          <w:p>
            <w:pPr>
              <w:pStyle w:val="53"/>
              <w:jc w:val="center"/>
              <w:rPr>
                <w:rFonts w:eastAsia="仿宋_GB2312"/>
                <w:b/>
                <w:bCs/>
              </w:rPr>
            </w:pPr>
            <w:r>
              <w:rPr>
                <w:rFonts w:eastAsia="仿宋_GB2312"/>
                <w:b/>
                <w:bCs/>
              </w:rPr>
              <w:t>3012.45</w:t>
            </w:r>
          </w:p>
        </w:tc>
        <w:tc>
          <w:tcPr>
            <w:tcW w:w="360" w:type="pct"/>
            <w:vAlign w:val="center"/>
          </w:tcPr>
          <w:p>
            <w:pPr>
              <w:pStyle w:val="53"/>
              <w:jc w:val="center"/>
              <w:rPr>
                <w:rFonts w:eastAsia="仿宋_GB2312"/>
                <w:b/>
                <w:bCs/>
              </w:rPr>
            </w:pPr>
            <w:r>
              <w:rPr>
                <w:rFonts w:eastAsia="仿宋_GB2312"/>
                <w:b/>
                <w:bCs/>
              </w:rPr>
              <w:t>2847.10</w:t>
            </w:r>
          </w:p>
        </w:tc>
        <w:tc>
          <w:tcPr>
            <w:tcW w:w="315" w:type="pct"/>
            <w:vAlign w:val="center"/>
          </w:tcPr>
          <w:p>
            <w:pPr>
              <w:pStyle w:val="53"/>
              <w:jc w:val="center"/>
              <w:rPr>
                <w:rFonts w:eastAsia="仿宋_GB2312"/>
                <w:b/>
                <w:bCs/>
              </w:rPr>
            </w:pPr>
            <w:r>
              <w:rPr>
                <w:rFonts w:eastAsia="仿宋_GB2312"/>
                <w:b/>
                <w:bCs/>
              </w:rPr>
              <w:t>165.35</w:t>
            </w:r>
          </w:p>
        </w:tc>
        <w:tc>
          <w:tcPr>
            <w:tcW w:w="366" w:type="pct"/>
            <w:vAlign w:val="center"/>
          </w:tcPr>
          <w:p>
            <w:pPr>
              <w:pStyle w:val="53"/>
              <w:jc w:val="center"/>
              <w:rPr>
                <w:rFonts w:eastAsia="仿宋_GB2312"/>
                <w:b/>
                <w:bCs/>
              </w:rPr>
            </w:pPr>
            <w:r>
              <w:rPr>
                <w:rFonts w:eastAsia="仿宋_GB2312"/>
                <w:b/>
                <w:bCs/>
              </w:rPr>
              <w:t>3012.45</w:t>
            </w:r>
          </w:p>
        </w:tc>
        <w:tc>
          <w:tcPr>
            <w:tcW w:w="922" w:type="dxa"/>
            <w:vAlign w:val="center"/>
          </w:tcPr>
          <w:p>
            <w:pPr>
              <w:pStyle w:val="53"/>
              <w:jc w:val="center"/>
              <w:rPr>
                <w:rFonts w:eastAsia="仿宋_GB2312"/>
                <w:b/>
                <w:bCs/>
              </w:rPr>
            </w:pPr>
            <w:r>
              <w:rPr>
                <w:rFonts w:eastAsia="仿宋_GB2312"/>
                <w:b/>
                <w:bCs/>
              </w:rPr>
              <w:t>162.15</w:t>
            </w:r>
          </w:p>
        </w:tc>
        <w:tc>
          <w:tcPr>
            <w:tcW w:w="342" w:type="pct"/>
            <w:vAlign w:val="center"/>
          </w:tcPr>
          <w:p>
            <w:pPr>
              <w:pStyle w:val="53"/>
              <w:jc w:val="center"/>
              <w:rPr>
                <w:rFonts w:eastAsia="仿宋_GB2312"/>
                <w:b/>
                <w:bCs/>
              </w:rPr>
            </w:pPr>
          </w:p>
        </w:tc>
        <w:tc>
          <w:tcPr>
            <w:tcW w:w="922" w:type="dxa"/>
            <w:vAlign w:val="center"/>
          </w:tcPr>
          <w:p>
            <w:pPr>
              <w:pStyle w:val="53"/>
              <w:jc w:val="center"/>
              <w:rPr>
                <w:rFonts w:eastAsia="仿宋_GB2312"/>
                <w:b/>
                <w:bCs/>
              </w:rPr>
            </w:pPr>
            <w:r>
              <w:rPr>
                <w:rFonts w:eastAsia="仿宋_GB2312"/>
                <w:b/>
                <w:bCs/>
              </w:rPr>
              <w:t>162.15</w:t>
            </w:r>
          </w:p>
        </w:tc>
        <w:tc>
          <w:tcPr>
            <w:tcW w:w="383" w:type="pct"/>
            <w:vAlign w:val="center"/>
          </w:tcPr>
          <w:p>
            <w:pPr>
              <w:pStyle w:val="53"/>
              <w:jc w:val="center"/>
              <w:rPr>
                <w:rFonts w:eastAsia="仿宋_GB2312"/>
                <w:b/>
                <w:bCs/>
              </w:rPr>
            </w:pPr>
          </w:p>
        </w:tc>
        <w:tc>
          <w:tcPr>
            <w:tcW w:w="312" w:type="pct"/>
            <w:vAlign w:val="center"/>
          </w:tcPr>
          <w:p>
            <w:pPr>
              <w:adjustRightInd w:val="0"/>
              <w:snapToGrid w:val="0"/>
              <w:spacing w:line="240" w:lineRule="auto"/>
              <w:ind w:firstLine="0" w:firstLineChars="0"/>
              <w:jc w:val="center"/>
              <w:rPr>
                <w:b/>
                <w:bCs/>
                <w:kern w:val="0"/>
                <w:sz w:val="21"/>
                <w:szCs w:val="21"/>
              </w:rPr>
            </w:pPr>
            <w:r>
              <w:rPr>
                <w:rFonts w:hint="eastAsia"/>
                <w:b/>
                <w:bCs/>
                <w:kern w:val="0"/>
                <w:sz w:val="21"/>
                <w:szCs w:val="21"/>
              </w:rPr>
              <w:t>0</w:t>
            </w:r>
          </w:p>
        </w:tc>
        <w:tc>
          <w:tcPr>
            <w:tcW w:w="245" w:type="pct"/>
            <w:vAlign w:val="center"/>
          </w:tcPr>
          <w:p>
            <w:pPr>
              <w:adjustRightInd w:val="0"/>
              <w:snapToGrid w:val="0"/>
              <w:spacing w:line="240" w:lineRule="auto"/>
              <w:ind w:firstLine="0" w:firstLineChars="0"/>
              <w:jc w:val="center"/>
              <w:rPr>
                <w:b/>
                <w:bCs/>
                <w:kern w:val="0"/>
                <w:sz w:val="21"/>
                <w:szCs w:val="21"/>
              </w:rPr>
            </w:pPr>
          </w:p>
        </w:tc>
      </w:tr>
    </w:tbl>
    <w:p>
      <w:pPr>
        <w:spacing w:beforeLines="50"/>
        <w:ind w:firstLine="0" w:firstLineChars="0"/>
        <w:jc w:val="left"/>
        <w:rPr>
          <w:szCs w:val="24"/>
        </w:rPr>
      </w:pPr>
      <w:r>
        <w:rPr>
          <w:szCs w:val="24"/>
        </w:rPr>
        <w:t>注：1.表中土石方均为自然方。</w:t>
      </w:r>
    </w:p>
    <w:p>
      <w:pPr>
        <w:ind w:firstLine="480"/>
        <w:jc w:val="left"/>
        <w:rPr>
          <w:szCs w:val="24"/>
        </w:rPr>
      </w:pPr>
      <w:r>
        <w:rPr>
          <w:szCs w:val="24"/>
        </w:rPr>
        <w:t>2.土石方平衡表中的调入调出均为项目内部调运。</w:t>
      </w:r>
    </w:p>
    <w:p>
      <w:pPr>
        <w:ind w:firstLine="480"/>
        <w:jc w:val="left"/>
        <w:rPr>
          <w:szCs w:val="24"/>
        </w:rPr>
      </w:pPr>
      <w:r>
        <w:rPr>
          <w:szCs w:val="24"/>
        </w:rPr>
        <w:t>3.各行均可按“开挖+调入+外借=回填+调出+余方”进行校核。</w:t>
      </w:r>
    </w:p>
    <w:p>
      <w:pPr>
        <w:ind w:firstLine="0" w:firstLineChars="0"/>
        <w:rPr>
          <w:szCs w:val="24"/>
        </w:rPr>
        <w:sectPr>
          <w:pgSz w:w="16838" w:h="11906" w:orient="landscape"/>
          <w:pgMar w:top="1417" w:right="1417" w:bottom="1417" w:left="1417" w:header="850" w:footer="992" w:gutter="0"/>
          <w:cols w:space="720" w:num="1"/>
          <w:docGrid w:linePitch="312" w:charSpace="0"/>
        </w:sectPr>
      </w:pPr>
    </w:p>
    <w:p>
      <w:pPr>
        <w:ind w:firstLine="0" w:firstLineChars="0"/>
        <w:jc w:val="center"/>
        <w:rPr>
          <w:szCs w:val="24"/>
        </w:rPr>
      </w:pPr>
      <w:r>
        <w:rPr>
          <w:rFonts w:hint="eastAsia"/>
          <w:szCs w:val="24"/>
        </w:rPr>
        <w:drawing>
          <wp:inline distT="0" distB="0" distL="114300" distR="114300">
            <wp:extent cx="5758815" cy="5644515"/>
            <wp:effectExtent l="0" t="0" r="13335" b="13335"/>
            <wp:docPr id="33" name="ECB019B1-382A-4266-B25C-5B523AA43C14-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ECB019B1-382A-4266-B25C-5B523AA43C14-1" descr="wps"/>
                    <pic:cNvPicPr>
                      <a:picLocks noChangeAspect="1"/>
                    </pic:cNvPicPr>
                  </pic:nvPicPr>
                  <pic:blipFill>
                    <a:blip r:embed="rId149"/>
                    <a:stretch>
                      <a:fillRect/>
                    </a:stretch>
                  </pic:blipFill>
                  <pic:spPr>
                    <a:xfrm>
                      <a:off x="0" y="0"/>
                      <a:ext cx="5758815" cy="5644515"/>
                    </a:xfrm>
                    <a:prstGeom prst="rect">
                      <a:avLst/>
                    </a:prstGeom>
                  </pic:spPr>
                </pic:pic>
              </a:graphicData>
            </a:graphic>
          </wp:inline>
        </w:drawing>
      </w:r>
    </w:p>
    <w:p>
      <w:pPr>
        <w:ind w:firstLine="0" w:firstLineChars="0"/>
        <w:rPr>
          <w:szCs w:val="24"/>
        </w:rPr>
      </w:pPr>
      <w:r>
        <w:rPr>
          <w:szCs w:val="24"/>
        </w:rPr>
        <w:t>注：图中黑线为土石方调运路线、红线为表土调运路线；</w:t>
      </w:r>
    </w:p>
    <w:p>
      <w:pPr>
        <w:ind w:firstLine="480"/>
        <w:rPr>
          <w:szCs w:val="24"/>
        </w:rPr>
      </w:pPr>
      <w:r>
        <w:rPr>
          <w:szCs w:val="24"/>
        </w:rPr>
        <w:t>图中土石方均为自然方，各行均可按“开挖+调入+外借=回填+调出+余方”进行校核。</w:t>
      </w:r>
    </w:p>
    <w:p>
      <w:pPr>
        <w:ind w:firstLine="0" w:firstLineChars="0"/>
        <w:jc w:val="center"/>
        <w:rPr>
          <w:b/>
        </w:rPr>
      </w:pPr>
      <w:r>
        <w:rPr>
          <w:b/>
        </w:rPr>
        <w:t>图2.4-</w:t>
      </w:r>
      <w:r>
        <w:rPr>
          <w:rFonts w:hint="eastAsia"/>
          <w:b/>
        </w:rPr>
        <w:t>9</w:t>
      </w:r>
      <w:r>
        <w:rPr>
          <w:b/>
        </w:rPr>
        <w:t>项目土建期土石方流向图</w:t>
      </w:r>
    </w:p>
    <w:p>
      <w:pPr>
        <w:ind w:firstLine="480"/>
        <w:jc w:val="left"/>
        <w:sectPr>
          <w:pgSz w:w="11906" w:h="16838"/>
          <w:pgMar w:top="1417" w:right="1417" w:bottom="1417" w:left="1417" w:header="850" w:footer="992" w:gutter="0"/>
          <w:cols w:space="720" w:num="1"/>
          <w:docGrid w:linePitch="312" w:charSpace="0"/>
        </w:sectPr>
      </w:pPr>
    </w:p>
    <w:p>
      <w:pPr>
        <w:pStyle w:val="5"/>
      </w:pPr>
      <w:bookmarkStart w:id="58" w:name="_Toc20453"/>
      <w:r>
        <w:t>2.5拆迁（移民）安置与专项设施改（迁）建</w:t>
      </w:r>
      <w:bookmarkEnd w:id="58"/>
    </w:p>
    <w:p>
      <w:pPr>
        <w:widowControl/>
        <w:ind w:firstLine="480"/>
      </w:pPr>
      <w:r>
        <w:rPr>
          <w:kern w:val="0"/>
          <w:szCs w:val="24"/>
        </w:rPr>
        <w:t>根据园区建设规划，本次园区规划范围内涉及村庄居民点占地面积58.89hm</w:t>
      </w:r>
      <w:r>
        <w:rPr>
          <w:kern w:val="0"/>
          <w:szCs w:val="24"/>
          <w:vertAlign w:val="superscript"/>
        </w:rPr>
        <w:t>2</w:t>
      </w:r>
      <w:r>
        <w:rPr>
          <w:kern w:val="0"/>
          <w:szCs w:val="24"/>
        </w:rPr>
        <w:t>，根据区域建设进度陆续开展拆迁工作。根据地方现行拆迁安置规定，对于园区内拆迁均采取货币安置方式，由被拆迁人购买商品房安置。</w:t>
      </w:r>
      <w:r>
        <w:t>园区拆迁工作由园区管理委员会与当地政府组织实施安置。</w:t>
      </w:r>
    </w:p>
    <w:p>
      <w:pPr>
        <w:ind w:firstLine="480"/>
        <w:rPr>
          <w:bCs/>
        </w:rPr>
      </w:pPr>
      <w:r>
        <w:t>园区内专项设施改（迁）建主要为农村道路、输电线路等，其中农村道路仅在园区建设前期就近修筑临时便道满足周边居民出行，后期园区内部道路完善后不再保留。对于专设设施的改建重新布设新的电力设施与供排水设施，并纳入园区规划的供水供电系统。</w:t>
      </w:r>
    </w:p>
    <w:p>
      <w:pPr>
        <w:pStyle w:val="5"/>
      </w:pPr>
      <w:bookmarkStart w:id="59" w:name="_Toc26444"/>
      <w:r>
        <w:t>2.6施工进度</w:t>
      </w:r>
      <w:bookmarkEnd w:id="59"/>
    </w:p>
    <w:p>
      <w:pPr>
        <w:ind w:firstLine="480"/>
      </w:pPr>
      <w:r>
        <w:t>按照《四川省水利厅关于推进水土保持区域评估制度的通知》（川水函〔2020〕1246号），建设总期限超过5年的开发区，应当分期编报、办理水土保持区域评估批准手续。结合化工园区总规资料，园区近期规划为2022年~2025年，远期规划为2026年~2035年，本次报告规划时间至2025年，即园区建设时间2022年~2025年。</w:t>
      </w:r>
    </w:p>
    <w:p>
      <w:pPr>
        <w:ind w:firstLine="480"/>
        <w:rPr>
          <w:kern w:val="0"/>
          <w:szCs w:val="24"/>
        </w:rPr>
      </w:pPr>
      <w:r>
        <w:t>“五通一平”工程实施时序为先修干路，再修支路，道路建设的同时完成道路下方综合管线；路网基本成型后，依托规划道路作为各地块场平进场道路，地块场平时，由地势较高侧向地势较低侧逐级场平。园区“五通一平”实施进度详见下表。入驻企业的场地平整工作则根据相关企业入驻情况分批逐步推进</w:t>
      </w:r>
      <w:r>
        <w:rPr>
          <w:kern w:val="0"/>
          <w:szCs w:val="24"/>
        </w:rPr>
        <w:t>。园区开发建设进度计划表详见表2.6-1。</w:t>
      </w:r>
    </w:p>
    <w:p>
      <w:pPr>
        <w:ind w:firstLine="0" w:firstLineChars="0"/>
        <w:jc w:val="center"/>
        <w:rPr>
          <w:b/>
          <w:bCs/>
        </w:rPr>
      </w:pPr>
      <w:r>
        <w:rPr>
          <w:b/>
          <w:bCs/>
        </w:rPr>
        <w:t>表2.6-1园区开发建设进度计划表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633"/>
        <w:gridCol w:w="1718"/>
        <w:gridCol w:w="1720"/>
        <w:gridCol w:w="1720"/>
        <w:gridCol w:w="172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959" w:type="pct"/>
            <w:vMerge w:val="restar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时间</w:t>
            </w:r>
          </w:p>
        </w:tc>
        <w:tc>
          <w:tcPr>
            <w:tcW w:w="4040" w:type="pct"/>
            <w:gridSpan w:val="4"/>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近期建设区（2022~2025）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9" w:hRule="atLeast"/>
        </w:trPr>
        <w:tc>
          <w:tcPr>
            <w:tcW w:w="959" w:type="pct"/>
            <w:vMerge w:val="continue"/>
            <w:vAlign w:val="center"/>
          </w:tcPr>
          <w:p>
            <w:pPr>
              <w:widowControl/>
              <w:adjustRightInd w:val="0"/>
              <w:snapToGrid w:val="0"/>
              <w:spacing w:line="240" w:lineRule="auto"/>
              <w:ind w:firstLine="0" w:firstLineChars="0"/>
              <w:jc w:val="center"/>
              <w:rPr>
                <w:b/>
                <w:bCs/>
                <w:kern w:val="0"/>
                <w:sz w:val="21"/>
                <w:szCs w:val="21"/>
              </w:rPr>
            </w:pPr>
          </w:p>
        </w:tc>
        <w:tc>
          <w:tcPr>
            <w:tcW w:w="1008"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2022</w:t>
            </w:r>
          </w:p>
        </w:tc>
        <w:tc>
          <w:tcPr>
            <w:tcW w:w="1009"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2023</w:t>
            </w:r>
          </w:p>
        </w:tc>
        <w:tc>
          <w:tcPr>
            <w:tcW w:w="1009"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2024</w:t>
            </w:r>
          </w:p>
        </w:tc>
        <w:tc>
          <w:tcPr>
            <w:tcW w:w="1012"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2025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道路工程</w:t>
            </w:r>
          </w:p>
        </w:tc>
        <w:tc>
          <w:tcPr>
            <w:tcW w:w="1008" w:type="pct"/>
            <w:vAlign w:val="center"/>
          </w:tcPr>
          <w:p>
            <w:pPr>
              <w:widowControl/>
              <w:adjustRightInd w:val="0"/>
              <w:snapToGrid w:val="0"/>
              <w:spacing w:line="240" w:lineRule="auto"/>
              <w:ind w:firstLine="0" w:firstLineChars="0"/>
              <w:jc w:val="center"/>
              <w:rPr>
                <w:kern w:val="0"/>
                <w:sz w:val="21"/>
                <w:szCs w:val="21"/>
              </w:rPr>
            </w:pPr>
            <w:r>
              <w:rPr>
                <w:bCs/>
                <w:sz w:val="21"/>
                <w:szCs w:val="21"/>
              </w:rPr>
              <w:pict>
                <v:shape id="自选图形 1033" o:spid="_x0000_s1079" o:spt="32" type="#_x0000_t32" style="position:absolute;left:0pt;flip:y;margin-left:2.2pt;margin-top:6.5pt;height:0.5pt;width:212.1pt;z-index:251659264;mso-width-relative:page;mso-height-relative:page;" filled="f" coordsize="21600,21600" o:gfxdata="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zEAiQ9cAAAAHAQAADwAAAAAAAAABACAAAAAiAAAA&#10;ZHJzL2Rvd25yZXYueG1sUEsBAhQAFAAAAAgAh07iQCBpBtsIAgAA/gMAAA4AAAAAAAAAAQAgAAAA&#10;JgEAAGRycy9lMm9Eb2MueG1sUEsFBgAAAAAGAAYAWQEAAKAFAAAAAA==&#10;">
                  <v:path arrowok="t"/>
                  <v:fill on="f" focussize="0,0"/>
                  <v:stroke weight="2pt"/>
                  <v:imagedata o:title=""/>
                  <o:lock v:ext="edit"/>
                </v:shape>
              </w:pict>
            </w: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12" w:type="pct"/>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场地平整</w:t>
            </w:r>
          </w:p>
        </w:tc>
        <w:tc>
          <w:tcPr>
            <w:tcW w:w="1008" w:type="pct"/>
            <w:vAlign w:val="center"/>
          </w:tcPr>
          <w:p>
            <w:pPr>
              <w:widowControl/>
              <w:adjustRightInd w:val="0"/>
              <w:snapToGrid w:val="0"/>
              <w:spacing w:line="240" w:lineRule="auto"/>
              <w:ind w:firstLine="0" w:firstLineChars="0"/>
              <w:jc w:val="center"/>
              <w:rPr>
                <w:kern w:val="0"/>
                <w:sz w:val="21"/>
                <w:szCs w:val="21"/>
              </w:rPr>
            </w:pPr>
            <w:r>
              <w:rPr>
                <w:bCs/>
                <w:sz w:val="21"/>
                <w:szCs w:val="21"/>
              </w:rPr>
              <w:pict>
                <v:shape id="_x0000_s1078" o:spid="_x0000_s1078" o:spt="32" type="#_x0000_t32" style="position:absolute;left:0pt;margin-left:21.8pt;margin-top:7.1pt;height:0.75pt;width:310.05pt;z-index:251689984;mso-width-relative:page;mso-height-relative:page;" filled="f" coordsize="21600,21600" o:gfxdata="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">
                  <v:path arrowok="t"/>
                  <v:fill on="f" focussize="0,0"/>
                  <v:stroke weight="2pt"/>
                  <v:imagedata o:title=""/>
                  <o:lock v:ext="edit"/>
                </v:shape>
              </w:pict>
            </w: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12" w:type="pct"/>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综合管线</w:t>
            </w:r>
          </w:p>
        </w:tc>
        <w:tc>
          <w:tcPr>
            <w:tcW w:w="1008" w:type="pct"/>
            <w:vAlign w:val="center"/>
          </w:tcPr>
          <w:p>
            <w:pPr>
              <w:widowControl/>
              <w:adjustRightInd w:val="0"/>
              <w:snapToGrid w:val="0"/>
              <w:spacing w:line="240" w:lineRule="auto"/>
              <w:ind w:firstLine="0" w:firstLineChars="0"/>
              <w:jc w:val="center"/>
              <w:rPr>
                <w:kern w:val="0"/>
                <w:sz w:val="21"/>
                <w:szCs w:val="21"/>
              </w:rPr>
            </w:pPr>
            <w:r>
              <w:rPr>
                <w:bCs/>
                <w:sz w:val="21"/>
                <w:szCs w:val="21"/>
              </w:rPr>
              <w:pict>
                <v:shape id="_x0000_s1077" o:spid="_x0000_s1077" o:spt="32" type="#_x0000_t32" style="position:absolute;left:0pt;margin-left:21.95pt;margin-top:6.1pt;height:0.75pt;width:178.05pt;z-index:251691008;mso-width-relative:page;mso-height-relative:page;" filled="f" coordsize="21600,21600" o:gfxdata="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Bfx4d41gAAAAgBAAAPAAAAAAAAAAEAIAAAACIAAABkcnMvZG93bnJl&#10;di54bWxQSwECFAAUAAAACACHTuJADFvQnf8BAAD2AwAADgAAAAAAAAABACAAAAAlAQAAZHJzL2Uy&#10;b0RvYy54bWxQSwUGAAAAAAYABgBZAQAAlgUAAAAA&#10;">
                  <v:path arrowok="t"/>
                  <v:fill on="f" focussize="0,0"/>
                  <v:stroke weight="2pt"/>
                  <v:imagedata o:title=""/>
                  <o:lock v:ext="edit"/>
                </v:shape>
              </w:pict>
            </w: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12" w:type="pct"/>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公共设施工程</w:t>
            </w:r>
          </w:p>
        </w:tc>
        <w:tc>
          <w:tcPr>
            <w:tcW w:w="1008" w:type="pct"/>
            <w:vAlign w:val="center"/>
          </w:tcPr>
          <w:p>
            <w:pPr>
              <w:widowControl/>
              <w:adjustRightInd w:val="0"/>
              <w:snapToGrid w:val="0"/>
              <w:spacing w:line="240" w:lineRule="auto"/>
              <w:ind w:firstLine="0" w:firstLineChars="0"/>
              <w:jc w:val="center"/>
              <w:rPr>
                <w:kern w:val="0"/>
                <w:sz w:val="21"/>
                <w:szCs w:val="21"/>
              </w:rPr>
            </w:pPr>
            <w:r>
              <w:rPr>
                <w:bCs/>
                <w:sz w:val="21"/>
                <w:szCs w:val="21"/>
              </w:rPr>
              <w:pict>
                <v:shape id="_x0000_s1076" o:spid="_x0000_s1076" o:spt="32" type="#_x0000_t32" style="position:absolute;left:0pt;flip:y;margin-left:22.05pt;margin-top:5.1pt;height:0.55pt;width:144.2pt;z-index:251692032;mso-width-relative:page;mso-height-relative:page;" filled="f" coordsize="21600,21600" o:gfxdata="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S4vNW9gAAAAIAQAADwAAAAAAAAABACAAAAAiAAAA&#10;ZHJzL2Rvd25yZXYueG1sUEsBAhQAFAAAAAgAh07iQFtoiRQHAgAAAAQAAA4AAAAAAAAAAQAgAAAA&#10;JwEAAGRycy9lMm9Eb2MueG1sUEsFBgAAAAAGAAYAWQEAAKAFAAAAAA==&#10;">
                  <v:path arrowok="t"/>
                  <v:fill on="f" focussize="0,0"/>
                  <v:stroke weight="2pt"/>
                  <v:imagedata o:title=""/>
                  <o:lock v:ext="edit"/>
                </v:shape>
              </w:pict>
            </w: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12" w:type="pct"/>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绿化工程</w:t>
            </w:r>
          </w:p>
        </w:tc>
        <w:tc>
          <w:tcPr>
            <w:tcW w:w="1008" w:type="pct"/>
            <w:vAlign w:val="center"/>
          </w:tcPr>
          <w:p>
            <w:pPr>
              <w:widowControl/>
              <w:adjustRightInd w:val="0"/>
              <w:snapToGrid w:val="0"/>
              <w:spacing w:line="240" w:lineRule="auto"/>
              <w:ind w:firstLine="0" w:firstLineChars="0"/>
              <w:jc w:val="center"/>
              <w:rPr>
                <w:kern w:val="0"/>
                <w:sz w:val="21"/>
                <w:szCs w:val="21"/>
              </w:rPr>
            </w:pPr>
            <w:r>
              <w:rPr>
                <w:bCs/>
                <w:sz w:val="21"/>
                <w:szCs w:val="21"/>
              </w:rPr>
              <w:pict>
                <v:shape id="_x0000_s1075" o:spid="_x0000_s1075" o:spt="32" type="#_x0000_t32" style="position:absolute;left:0pt;margin-left:67.8pt;margin-top:7.05pt;height:0.85pt;width:270.95pt;z-index:251693056;mso-width-relative:page;mso-height-relative:page;" filled="f" coordsize="21600,21600" o:gfxdata="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PY+tHPWAAAACQEAAA8AAAAAAAAAAQAgAAAAIgAAAGRycy9kb3du&#10;cmV2LnhtbFBLAQIUABQAAAAIAIdO4kAcyZtfAQIAAPcDAAAOAAAAAAAAAAEAIAAAACUBAABkcnMv&#10;ZTJvRG9jLnhtbFBLBQYAAAAABgAGAFkBAACYBQAAAAA=&#10;">
                  <v:path arrowok="t"/>
                  <v:fill on="f" focussize="0,0"/>
                  <v:stroke weight="2pt"/>
                  <v:imagedata o:title=""/>
                  <o:lock v:ext="edit"/>
                </v:shape>
              </w:pict>
            </w: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09" w:type="pct"/>
            <w:vAlign w:val="center"/>
          </w:tcPr>
          <w:p>
            <w:pPr>
              <w:widowControl/>
              <w:adjustRightInd w:val="0"/>
              <w:snapToGrid w:val="0"/>
              <w:spacing w:line="240" w:lineRule="auto"/>
              <w:ind w:firstLine="0" w:firstLineChars="0"/>
              <w:jc w:val="center"/>
              <w:rPr>
                <w:kern w:val="0"/>
                <w:sz w:val="21"/>
                <w:szCs w:val="21"/>
              </w:rPr>
            </w:pPr>
          </w:p>
        </w:tc>
        <w:tc>
          <w:tcPr>
            <w:tcW w:w="1012" w:type="pct"/>
            <w:vAlign w:val="center"/>
          </w:tcPr>
          <w:p>
            <w:pPr>
              <w:widowControl/>
              <w:adjustRightInd w:val="0"/>
              <w:snapToGrid w:val="0"/>
              <w:spacing w:line="240" w:lineRule="auto"/>
              <w:ind w:firstLine="0" w:firstLineChars="0"/>
              <w:jc w:val="center"/>
              <w:rPr>
                <w:kern w:val="0"/>
                <w:sz w:val="21"/>
                <w:szCs w:val="21"/>
              </w:rPr>
            </w:pPr>
          </w:p>
        </w:tc>
      </w:tr>
    </w:tbl>
    <w:p>
      <w:pPr>
        <w:pStyle w:val="5"/>
        <w:spacing w:before="120"/>
        <w:sectPr>
          <w:headerReference r:id="rId19" w:type="default"/>
          <w:pgSz w:w="11906" w:h="16838"/>
          <w:pgMar w:top="1440" w:right="1800" w:bottom="1440" w:left="1800" w:header="851" w:footer="992" w:gutter="0"/>
          <w:cols w:space="720" w:num="1"/>
          <w:docGrid w:type="lines" w:linePitch="312" w:charSpace="0"/>
        </w:sectPr>
      </w:pPr>
    </w:p>
    <w:p>
      <w:pPr>
        <w:pStyle w:val="5"/>
        <w:spacing w:before="120"/>
      </w:pPr>
      <w:bookmarkStart w:id="60" w:name="_Toc32132"/>
      <w:r>
        <w:t>2.7自然概况</w:t>
      </w:r>
      <w:bookmarkEnd w:id="60"/>
    </w:p>
    <w:p>
      <w:pPr>
        <w:pStyle w:val="6"/>
      </w:pPr>
      <w:r>
        <w:t>2.7.1地质</w:t>
      </w:r>
    </w:p>
    <w:p>
      <w:pPr>
        <w:pStyle w:val="7"/>
      </w:pPr>
      <w:r>
        <w:t>2.7.1.1地质构造</w:t>
      </w:r>
    </w:p>
    <w:p>
      <w:pPr>
        <w:ind w:firstLine="480"/>
      </w:pPr>
      <w:r>
        <w:t>五通桥区地处四川盆地西南缘，区域上属于三级盆地中切丘陵区。五通桥区地貌以丘陵为主，坝、丘、山兼有，中部是岷江冲积而成的平原，东西部为浅丘，西南部为深丘和低山区。全区地势北高南低，东西两部向中部倾斜。最低海拔为331米（金粟镇的双漩坝末端），最高海拔为735米（石麟镇大桥村高峰寺）。境内陆地以丘陵为主，面积为312.86平方公里，占全区幅员66%；平坝次之，面积为103.33平方公里，占全区幅员21.8%；低山最少，面积为57.84平方公里，占全区幅员12.2%。五通桥区位于峨眉—思蒙向斜与威远背斜的过渡带，以北东向构造为主，主要地质构造为老龙坝背斜，为泉水场背斜延伸部。区基底地层构造条件简单，为平缓的单斜构造，地层倾向南西，倾角6~9度；地层层序正常，无断层通过。区域构造部位上处于川西台陷龙泉褶皱车与川中台拱、威远穹隆的接合部位。新构造运动以来，场地都处于相对下降区。龙泉山褶皱束，主干北起中江西北部，经金堂县中西部、双流和简阳的交接地带向西南延伸进入仁寿。轴部地层为上沙溪庙组，两翼为遂宁组和蓬莱组。岩层走向与背斜延伸方向一致。东缓西陡，局部倒转，轴部地层平缓。川中台拱，分布于龙泉山褶皱东南地域，褶皱轻微，断裂少见，褶皱规模多是穹窿状、鼻状、短轴状，形迹微弱。构造形迹方向散漫不定，岩层倾向为北西倾斜的单斜构造，岩层一般有层间为主的短、浅裂隙。威远穹窿构造，位于县境南部，为扭转构造体系的二级构造。主要构造形迹有：识经岗背斜。分布于威远背斜北翼，主要发育在上、下沙溪庙地级中，走向近南北，南端翘起，向北倾没，为对称鼻状背斜。场地沿断裂带尚未发现第四纪地层被错断的迹象，说明该断裂现今活动性相对较弱，从地壳稳定性来看五通桥地区为稳定区。</w:t>
      </w:r>
    </w:p>
    <w:p>
      <w:pPr>
        <w:ind w:firstLine="480"/>
      </w:pPr>
      <w:r>
        <w:t>园区大地构造位置处于上扬子台拗﹙Ⅱ级﹚，峨眉山断拱（Ⅲ级），峨边穹断穹﹙Ⅳ级﹚与四川台拗﹙Ⅱ级﹚，四川台坳（Ⅲ级），威远～龙女寺台穹﹙Ⅳ级﹚的接合部位的老龙坝背斜的北西冀。构造以近南北向与北东东向穹窿构造为主，断裂不发育。详见图2.7-1。</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pStyle w:val="15"/>
              <w:spacing w:line="240" w:lineRule="auto"/>
              <w:ind w:left="0" w:leftChars="0" w:right="0" w:firstLine="0" w:firstLineChars="0"/>
              <w:jc w:val="center"/>
              <w:rPr>
                <w:rFonts w:ascii="Times New Roman" w:hAnsi="Times New Roman" w:cs="Times New Roman"/>
                <w:sz w:val="21"/>
                <w:szCs w:val="21"/>
              </w:rPr>
            </w:pPr>
            <w:r>
              <w:rPr>
                <w:rFonts w:ascii="Times New Roman" w:hAnsi="Times New Roman" w:cs="Times New Roman"/>
              </w:rPr>
              <w:drawing>
                <wp:inline distT="0" distB="0" distL="114300" distR="114300">
                  <wp:extent cx="5268595" cy="4915535"/>
                  <wp:effectExtent l="0" t="0" r="8255" b="18415"/>
                  <wp:docPr id="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0"/>
                          <pic:cNvPicPr>
                            <a:picLocks noChangeAspect="1"/>
                          </pic:cNvPicPr>
                        </pic:nvPicPr>
                        <pic:blipFill>
                          <a:blip r:embed="rId150"/>
                          <a:stretch>
                            <a:fillRect/>
                          </a:stretch>
                        </pic:blipFill>
                        <pic:spPr>
                          <a:xfrm>
                            <a:off x="0" y="0"/>
                            <a:ext cx="5268595" cy="491553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pStyle w:val="15"/>
              <w:spacing w:line="240" w:lineRule="auto"/>
              <w:ind w:left="0" w:leftChars="0" w:right="0" w:firstLine="0" w:firstLineChars="0"/>
              <w:jc w:val="center"/>
              <w:rPr>
                <w:rFonts w:ascii="Times New Roman" w:hAnsi="Times New Roman" w:cs="Times New Roman"/>
                <w:sz w:val="21"/>
                <w:szCs w:val="21"/>
              </w:rPr>
            </w:pPr>
            <w:r>
              <w:rPr>
                <w:rFonts w:ascii="Times New Roman" w:hAnsi="Times New Roman" w:cs="Times New Roman"/>
                <w:b/>
                <w:bCs/>
                <w:sz w:val="21"/>
                <w:szCs w:val="21"/>
              </w:rPr>
              <w:t>图2.7-1园区地质构造纲要图</w:t>
            </w:r>
          </w:p>
        </w:tc>
      </w:tr>
    </w:tbl>
    <w:p>
      <w:pPr>
        <w:pStyle w:val="7"/>
      </w:pPr>
      <w:r>
        <w:t>2.7.1.2地质岩性</w:t>
      </w:r>
    </w:p>
    <w:p>
      <w:pPr>
        <w:ind w:firstLine="480"/>
      </w:pPr>
      <w:r>
        <w:t>根据1：20万区域地层资料，园区及附近出露地层主要为三迭系、侏罗系、白垩系及第四系地层，现将其区域出露地层由老至新分述如下：</w:t>
      </w:r>
    </w:p>
    <w:p>
      <w:pPr>
        <w:ind w:firstLine="480"/>
      </w:pPr>
      <w:r>
        <w:t>1、侏罗系下统白田坝组（J</w:t>
      </w:r>
      <w:r>
        <w:rPr>
          <w:vertAlign w:val="subscript"/>
        </w:rPr>
        <w:t>1</w:t>
      </w:r>
      <w:r>
        <w:t>b）</w:t>
      </w:r>
    </w:p>
    <w:p>
      <w:pPr>
        <w:ind w:firstLine="480"/>
      </w:pPr>
      <w:r>
        <w:t>中部由粘土岩、砂质泥岩、粉砂岩，下部由石英细砂岩等组成，底部含菱铁矿砾石，厚34~75m。</w:t>
      </w:r>
    </w:p>
    <w:p>
      <w:pPr>
        <w:ind w:firstLine="480"/>
      </w:pPr>
      <w:r>
        <w:t>2、侏罗系中统</w:t>
      </w:r>
    </w:p>
    <w:p>
      <w:pPr>
        <w:ind w:firstLine="480"/>
      </w:pPr>
      <w:r>
        <w:t>1）自流井组（J</w:t>
      </w:r>
      <w:r>
        <w:rPr>
          <w:vertAlign w:val="subscript"/>
        </w:rPr>
        <w:t>1－2</w:t>
      </w:r>
      <w:r>
        <w:rPr>
          <w:vertAlign w:val="superscript"/>
        </w:rPr>
        <w:t>Z</w:t>
      </w:r>
      <w:r>
        <w:t>）</w:t>
      </w:r>
    </w:p>
    <w:p>
      <w:pPr>
        <w:ind w:firstLine="480"/>
      </w:pPr>
      <w:r>
        <w:t>粉砂质粘土岩，钙质粉砂岩，泥质灰岩，上、下部为中厚层状石英砂岩，厚约224~422m。</w:t>
      </w:r>
    </w:p>
    <w:p>
      <w:pPr>
        <w:ind w:firstLine="480"/>
      </w:pPr>
      <w:r>
        <w:t>2）沙溪庙下组（J</w:t>
      </w:r>
      <w:r>
        <w:rPr>
          <w:vertAlign w:val="subscript"/>
        </w:rPr>
        <w:t>2</w:t>
      </w:r>
      <w:r>
        <w:t>s</w:t>
      </w:r>
      <w:r>
        <w:rPr>
          <w:vertAlign w:val="superscript"/>
        </w:rPr>
        <w:t>1</w:t>
      </w:r>
      <w:r>
        <w:t>）</w:t>
      </w:r>
    </w:p>
    <w:p>
      <w:pPr>
        <w:ind w:firstLine="480"/>
      </w:pPr>
      <w:r>
        <w:t>顶部含叶肢介页岩，中上部为粉砂质页岩，泥质粉砂岩，钙质砂岩互层，下部为块状石英砂岩。厚约61~278m。</w:t>
      </w:r>
    </w:p>
    <w:p>
      <w:pPr>
        <w:ind w:firstLine="480"/>
      </w:pPr>
      <w:r>
        <w:t>3）沙溪庙上组（J</w:t>
      </w:r>
      <w:r>
        <w:rPr>
          <w:vertAlign w:val="subscript"/>
        </w:rPr>
        <w:t>2</w:t>
      </w:r>
      <w:r>
        <w:t>s</w:t>
      </w:r>
      <w:r>
        <w:rPr>
          <w:vertAlign w:val="superscript"/>
        </w:rPr>
        <w:t>2</w:t>
      </w:r>
      <w:r>
        <w:t>）</w:t>
      </w:r>
    </w:p>
    <w:p>
      <w:pPr>
        <w:ind w:firstLine="480"/>
      </w:pPr>
      <w:r>
        <w:t>泥岩、页岩、粉砂岩、岩屑砂岩，含钙质结核，厚约507～630m。</w:t>
      </w:r>
    </w:p>
    <w:p>
      <w:pPr>
        <w:ind w:firstLine="480"/>
      </w:pPr>
      <w:r>
        <w:t>3、侏罗系上统</w:t>
      </w:r>
    </w:p>
    <w:p>
      <w:pPr>
        <w:ind w:firstLine="480"/>
      </w:pPr>
      <w:r>
        <w:t>1）遂宁组（J</w:t>
      </w:r>
      <w:r>
        <w:rPr>
          <w:vertAlign w:val="subscript"/>
        </w:rPr>
        <w:t>2</w:t>
      </w:r>
      <w:r>
        <w:t>sn）</w:t>
      </w:r>
    </w:p>
    <w:p>
      <w:pPr>
        <w:ind w:firstLine="480"/>
      </w:pPr>
      <w:r>
        <w:t>泥岩、粉砂岩夹钙质砂岩或砂质灰岩，厚200～335m。</w:t>
      </w:r>
    </w:p>
    <w:p>
      <w:pPr>
        <w:ind w:firstLine="480"/>
      </w:pPr>
      <w:r>
        <w:t>2）蓬莱镇组（J</w:t>
      </w:r>
      <w:r>
        <w:rPr>
          <w:vertAlign w:val="subscript"/>
        </w:rPr>
        <w:t>3</w:t>
      </w:r>
      <w:r>
        <w:t>p）</w:t>
      </w:r>
    </w:p>
    <w:p>
      <w:pPr>
        <w:ind w:firstLine="480"/>
      </w:pPr>
      <w:r>
        <w:t>以泥岩，粉砂质泥岩为主，中、上部偶夹砂岩，泥灰岩，底部为中厚层钙质砂岩，厚144～878m。</w:t>
      </w:r>
    </w:p>
    <w:p>
      <w:pPr>
        <w:ind w:firstLine="480"/>
      </w:pPr>
      <w:r>
        <w:t>4白垩系上统（K）</w:t>
      </w:r>
    </w:p>
    <w:p>
      <w:pPr>
        <w:ind w:firstLine="480"/>
      </w:pPr>
      <w:r>
        <w:t>1）夹关组（K</w:t>
      </w:r>
      <w:r>
        <w:rPr>
          <w:vertAlign w:val="subscript"/>
        </w:rPr>
        <w:t>2</w:t>
      </w:r>
      <w:r>
        <w:t>j）</w:t>
      </w:r>
    </w:p>
    <w:p>
      <w:pPr>
        <w:ind w:firstLine="480"/>
      </w:pPr>
      <w:r>
        <w:t>棕红色厚层状砂岩夹少量同色粉砂质泥岩，底都有数米砾岩层，厚308~401m。</w:t>
      </w:r>
    </w:p>
    <w:p>
      <w:pPr>
        <w:ind w:firstLine="480"/>
      </w:pPr>
      <w:r>
        <w:t>2）灌口组下段（K</w:t>
      </w:r>
      <w:r>
        <w:rPr>
          <w:vertAlign w:val="subscript"/>
        </w:rPr>
        <w:t>2</w:t>
      </w:r>
      <w:r>
        <w:t>g</w:t>
      </w:r>
      <w:r>
        <w:rPr>
          <w:vertAlign w:val="superscript"/>
        </w:rPr>
        <w:t>1</w:t>
      </w:r>
      <w:r>
        <w:t>）</w:t>
      </w:r>
    </w:p>
    <w:p>
      <w:pPr>
        <w:ind w:firstLine="480"/>
      </w:pPr>
      <w:r>
        <w:t>粉砂质泥岩，泥质粉砂岩，上部夹页岩，泥灰岩、灰岩、石膏，厚483~861m。</w:t>
      </w:r>
    </w:p>
    <w:p>
      <w:pPr>
        <w:ind w:firstLine="480"/>
      </w:pPr>
      <w:r>
        <w:t>3）灌口组上段（K</w:t>
      </w:r>
      <w:r>
        <w:rPr>
          <w:vertAlign w:val="subscript"/>
        </w:rPr>
        <w:t>2</w:t>
      </w:r>
      <w:r>
        <w:t>g</w:t>
      </w:r>
      <w:r>
        <w:rPr>
          <w:vertAlign w:val="superscript"/>
        </w:rPr>
        <w:t>2</w:t>
      </w:r>
      <w:r>
        <w:t>）</w:t>
      </w:r>
    </w:p>
    <w:p>
      <w:pPr>
        <w:ind w:firstLine="480"/>
      </w:pPr>
      <w:r>
        <w:t>上部页岩，泥灰岩含石膏，下部砂岩、粉砂岩、泥岩、厚度大于747m。</w:t>
      </w:r>
    </w:p>
    <w:p>
      <w:pPr>
        <w:ind w:firstLine="480"/>
      </w:pPr>
      <w:r>
        <w:t>5、第四系（Q）</w:t>
      </w:r>
    </w:p>
    <w:p>
      <w:pPr>
        <w:ind w:firstLine="480"/>
      </w:pPr>
      <w:r>
        <w:t>1）中更新统（Q</w:t>
      </w:r>
      <w:r>
        <w:rPr>
          <w:vertAlign w:val="subscript"/>
        </w:rPr>
        <w:t>2</w:t>
      </w:r>
      <w:r>
        <w:rPr>
          <w:vertAlign w:val="superscript"/>
        </w:rPr>
        <w:t>fgl</w:t>
      </w:r>
      <w:r>
        <w:t>）：为一套冰水堆积层</w:t>
      </w:r>
    </w:p>
    <w:p>
      <w:pPr>
        <w:ind w:firstLine="480"/>
      </w:pPr>
      <w:r>
        <w:t>下段为橙黄、棕黄与带红色的强风化泥砾层，成分复杂，以酸——碱性侵入岩为主，有明显的扁平状，马鞍状或元宝状冰碛砾石，半胶结状态，厚度5～10m。</w:t>
      </w:r>
    </w:p>
    <w:p>
      <w:pPr>
        <w:ind w:firstLine="480"/>
      </w:pPr>
      <w:r>
        <w:t>上段具二元结构，下部为卵石、砾石层构成，泥质充填，略有分选性，磨圆度较好，上覆粉土、粘土。分布于峨眉、夹江平原，青衣江两岸的Ⅱ、I级阶地之上，厚度15～30m。</w:t>
      </w:r>
    </w:p>
    <w:p>
      <w:pPr>
        <w:ind w:firstLine="480"/>
      </w:pPr>
      <w:r>
        <w:t>2）全新统冲洪积（Q</w:t>
      </w:r>
      <w:r>
        <w:rPr>
          <w:vertAlign w:val="subscript"/>
        </w:rPr>
        <w:t>4</w:t>
      </w:r>
      <w:r>
        <w:rPr>
          <w:vertAlign w:val="superscript"/>
        </w:rPr>
        <w:t>al+pl</w:t>
      </w:r>
      <w:r>
        <w:t>）</w:t>
      </w:r>
    </w:p>
    <w:p>
      <w:pPr>
        <w:ind w:firstLine="480"/>
      </w:pPr>
      <w:r>
        <w:t>由近代河流相沉积以漂、卵石、砾石夹砂、含泥石等组成。部分地段上部为粉土层、粉质粘土、细砂层，分布于近代河流I级阶地和古河道及现代河床之中，厚2~～30m。</w:t>
      </w:r>
    </w:p>
    <w:p>
      <w:pPr>
        <w:ind w:firstLine="480"/>
      </w:pPr>
      <w:r>
        <w:t>3）全新统坡残积（Q</w:t>
      </w:r>
      <w:r>
        <w:rPr>
          <w:vertAlign w:val="subscript"/>
        </w:rPr>
        <w:t>4</w:t>
      </w:r>
      <w:r>
        <w:rPr>
          <w:vertAlign w:val="superscript"/>
        </w:rPr>
        <w:t>dl+el</w:t>
      </w:r>
      <w:r>
        <w:t>）</w:t>
      </w:r>
    </w:p>
    <w:p>
      <w:pPr>
        <w:ind w:firstLine="480"/>
      </w:pPr>
      <w:r>
        <w:t>分布于山区边坡坡脚及坡面等地段，为块石、碎石夹粉土等组成，厚2～10m。</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261"/>
        <w:gridCol w:w="42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61" w:type="dxa"/>
          </w:tcPr>
          <w:p>
            <w:pPr>
              <w:spacing w:line="240" w:lineRule="auto"/>
              <w:ind w:firstLine="0" w:firstLineChars="0"/>
              <w:rPr>
                <w:sz w:val="21"/>
                <w:szCs w:val="21"/>
              </w:rPr>
            </w:pPr>
            <w:r>
              <w:rPr>
                <w:sz w:val="21"/>
                <w:szCs w:val="21"/>
              </w:rPr>
              <w:drawing>
                <wp:inline distT="0" distB="0" distL="114300" distR="114300">
                  <wp:extent cx="2765425" cy="2077085"/>
                  <wp:effectExtent l="0" t="0" r="15875" b="18415"/>
                  <wp:docPr id="204"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72"/>
                          <pic:cNvPicPr>
                            <a:picLocks noChangeAspect="1"/>
                          </pic:cNvPicPr>
                        </pic:nvPicPr>
                        <pic:blipFill>
                          <a:blip r:embed="rId151"/>
                          <a:stretch>
                            <a:fillRect/>
                          </a:stretch>
                        </pic:blipFill>
                        <pic:spPr>
                          <a:xfrm>
                            <a:off x="0" y="0"/>
                            <a:ext cx="2765425" cy="2077085"/>
                          </a:xfrm>
                          <a:prstGeom prst="rect">
                            <a:avLst/>
                          </a:prstGeom>
                          <a:noFill/>
                          <a:ln>
                            <a:noFill/>
                          </a:ln>
                        </pic:spPr>
                      </pic:pic>
                    </a:graphicData>
                  </a:graphic>
                </wp:inline>
              </w:drawing>
            </w:r>
          </w:p>
        </w:tc>
        <w:tc>
          <w:tcPr>
            <w:tcW w:w="4261" w:type="dxa"/>
          </w:tcPr>
          <w:p>
            <w:pPr>
              <w:spacing w:line="240" w:lineRule="auto"/>
              <w:ind w:firstLine="0" w:firstLineChars="0"/>
              <w:rPr>
                <w:sz w:val="21"/>
                <w:szCs w:val="21"/>
              </w:rPr>
            </w:pPr>
            <w:r>
              <w:rPr>
                <w:sz w:val="21"/>
                <w:szCs w:val="21"/>
              </w:rPr>
              <w:drawing>
                <wp:inline distT="0" distB="0" distL="114300" distR="114300">
                  <wp:extent cx="2765425" cy="2077085"/>
                  <wp:effectExtent l="0" t="0" r="15875" b="18415"/>
                  <wp:docPr id="20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73"/>
                          <pic:cNvPicPr>
                            <a:picLocks noChangeAspect="1"/>
                          </pic:cNvPicPr>
                        </pic:nvPicPr>
                        <pic:blipFill>
                          <a:blip r:embed="rId152"/>
                          <a:stretch>
                            <a:fillRect/>
                          </a:stretch>
                        </pic:blipFill>
                        <pic:spPr>
                          <a:xfrm>
                            <a:off x="0" y="0"/>
                            <a:ext cx="2765425" cy="20770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261" w:type="dxa"/>
          </w:tcPr>
          <w:p>
            <w:pPr>
              <w:spacing w:line="240" w:lineRule="auto"/>
              <w:ind w:firstLine="0" w:firstLineChars="0"/>
              <w:jc w:val="center"/>
              <w:rPr>
                <w:b/>
                <w:bCs/>
                <w:sz w:val="21"/>
                <w:szCs w:val="21"/>
              </w:rPr>
            </w:pPr>
            <w:r>
              <w:rPr>
                <w:b/>
                <w:bCs/>
                <w:sz w:val="21"/>
                <w:szCs w:val="21"/>
              </w:rPr>
              <w:t>图2.7-2园区出露砂岩</w:t>
            </w:r>
          </w:p>
        </w:tc>
        <w:tc>
          <w:tcPr>
            <w:tcW w:w="4261" w:type="dxa"/>
          </w:tcPr>
          <w:p>
            <w:pPr>
              <w:spacing w:line="240" w:lineRule="auto"/>
              <w:ind w:firstLine="0" w:firstLineChars="0"/>
              <w:jc w:val="center"/>
              <w:rPr>
                <w:b/>
                <w:bCs/>
                <w:sz w:val="21"/>
                <w:szCs w:val="21"/>
              </w:rPr>
            </w:pPr>
            <w:r>
              <w:rPr>
                <w:b/>
                <w:bCs/>
                <w:sz w:val="21"/>
                <w:szCs w:val="21"/>
              </w:rPr>
              <w:t>图2.7-3园区砂泥岩互层</w:t>
            </w:r>
          </w:p>
        </w:tc>
      </w:tr>
    </w:tbl>
    <w:p>
      <w:pPr>
        <w:ind w:firstLine="480"/>
      </w:pPr>
      <w:r>
        <w:t>根据现有揭露钻孔深度范围内的资料，场地土层主由第四系全新统人工填土（Q4</w:t>
      </w:r>
      <w:r>
        <w:rPr>
          <w:vertAlign w:val="superscript"/>
        </w:rPr>
        <w:t>ml</w:t>
      </w:r>
      <w:r>
        <w:t>）素填土①、坡洪积层（Q4</w:t>
      </w:r>
      <w:r>
        <w:rPr>
          <w:vertAlign w:val="superscript"/>
        </w:rPr>
        <w:t>el+dl</w:t>
      </w:r>
      <w:r>
        <w:t>）粘土②和侏罗系中下统自流井组（J</w:t>
      </w:r>
      <w:r>
        <w:rPr>
          <w:vertAlign w:val="subscript"/>
        </w:rPr>
        <w:t>1~2</w:t>
      </w:r>
      <w:r>
        <w:t>z）组成。下伏基岩层为侏罗系中下统自流井组（J</w:t>
      </w:r>
      <w:r>
        <w:rPr>
          <w:vertAlign w:val="subscript"/>
        </w:rPr>
        <w:t>1~2</w:t>
      </w:r>
      <w:r>
        <w:t>z）紫红色、灰兰、灰白色泥岩，按风化程度可划分为强风化泥岩③、中风化泥岩团和微风化泥岩⑤。各岩土层岩性特征叙述如下：</w:t>
      </w:r>
    </w:p>
    <w:p>
      <w:pPr>
        <w:ind w:firstLine="480"/>
      </w:pPr>
      <w:r>
        <w:t>（1）素填土①</w:t>
      </w:r>
    </w:p>
    <w:p>
      <w:pPr>
        <w:ind w:firstLine="480"/>
      </w:pPr>
      <w:r>
        <w:t>主要分布于低洼沟谷地段，为场平开挖就近开挖堆填，堆填时间短，疏松多孔，压缩变形高。主要成分为砂泥岩块碎石及粉质粘。层厚3~8m，平均层厚4.5m。</w:t>
      </w:r>
    </w:p>
    <w:p>
      <w:pPr>
        <w:ind w:firstLine="480"/>
      </w:pPr>
      <w:r>
        <w:t>（2）粘土②</w:t>
      </w:r>
    </w:p>
    <w:p>
      <w:pPr>
        <w:ind w:firstLine="480"/>
      </w:pPr>
      <w:r>
        <w:t>主要分布于场地斜坡和沟谷地段。主要为粘土，灰刀切面光滑，有较强光泽，无摇振反应，干强度中等。层厚1~5m，平均层厚3m。</w:t>
      </w:r>
    </w:p>
    <w:p>
      <w:pPr>
        <w:ind w:firstLine="480"/>
      </w:pPr>
      <w:r>
        <w:t>（3）强风化泥岩③</w:t>
      </w:r>
    </w:p>
    <w:p>
      <w:pPr>
        <w:ind w:firstLine="480"/>
      </w:pPr>
      <w:r>
        <w:t>暗褐红色、砖红色，风化裂隙较发育，岩体较破碎，岩石质量等级为V级。</w:t>
      </w:r>
    </w:p>
    <w:p>
      <w:pPr>
        <w:tabs>
          <w:tab w:val="left" w:pos="4860"/>
        </w:tabs>
        <w:ind w:firstLine="0" w:firstLineChars="0"/>
      </w:pPr>
      <w:r>
        <w:t>斜坡及丘陵顶部地段，强风化层厚度较大，沟谷地段强风化层厚度较小。层厚1~4m，平均层厚2.5m。</w:t>
      </w:r>
    </w:p>
    <w:p>
      <w:pPr>
        <w:ind w:firstLine="480"/>
      </w:pPr>
      <w:r>
        <w:t>（4）中风化泥岩④</w:t>
      </w:r>
    </w:p>
    <w:p>
      <w:pPr>
        <w:ind w:firstLine="480"/>
      </w:pPr>
      <w:r>
        <w:t>砖红色、灰兰色，裂陳不发育，岩体完整性好，强度高，岩石质量等级为IV级。工程控制厚度8~15m，平均层厚12m。</w:t>
      </w:r>
    </w:p>
    <w:p>
      <w:pPr>
        <w:ind w:firstLine="480"/>
      </w:pPr>
      <w:r>
        <w:t>（5）微风化泥岩⑤</w:t>
      </w:r>
    </w:p>
    <w:p>
      <w:pPr>
        <w:ind w:firstLine="480"/>
      </w:pPr>
      <w:r>
        <w:t>主要分布于场平削坡开挖20~30m的基岩区。砖红色、灰兰色，裂隙不发育，岩体完整性好，强度高，岩石质量等级为IV级。工程控制厚度大于5m。</w:t>
      </w:r>
    </w:p>
    <w:p>
      <w:pPr>
        <w:pStyle w:val="7"/>
      </w:pPr>
      <w:r>
        <w:t>2.7.1.3地震烈度</w:t>
      </w:r>
    </w:p>
    <w:p>
      <w:pPr>
        <w:ind w:firstLine="480"/>
      </w:pPr>
      <w:r>
        <w:t>依据GB18306-2015中华人民共和国国家标准《中国地震动参数区划图》，园区内地震动峰值加速度为0.10g，地震基本烈度为Ⅶ度。</w:t>
      </w:r>
    </w:p>
    <w:p>
      <w:pPr>
        <w:pStyle w:val="7"/>
      </w:pPr>
      <w:r>
        <w:t>2.7.1.4水文地质情况</w:t>
      </w:r>
    </w:p>
    <w:p>
      <w:pPr>
        <w:ind w:firstLine="480"/>
      </w:pPr>
      <w:r>
        <w:t>根据《五通桥化工园区地质灾害危险性评估报告》，园区含水层主要分布于第四系松散堆积层、侏罗系中下统自流井组（J</w:t>
      </w:r>
      <w:r>
        <w:rPr>
          <w:vertAlign w:val="subscript"/>
        </w:rPr>
        <w:t>1－2</w:t>
      </w:r>
      <w:r>
        <w:rPr>
          <w:vertAlign w:val="superscript"/>
        </w:rPr>
        <w:t>Z</w:t>
      </w:r>
      <w:r>
        <w:t>）砂岩与泥岩不等厚互层岩层。第四系松散堆积层主要赋存于粉质黏土夹碎块石地层内，含水层不厚，分布较窄，补给源近，富水性、透水性差。侏罗系中下统自流井组（J</w:t>
      </w:r>
      <w:r>
        <w:rPr>
          <w:vertAlign w:val="subscript"/>
        </w:rPr>
        <w:t>1－2</w:t>
      </w:r>
      <w:r>
        <w:rPr>
          <w:vertAlign w:val="superscript"/>
        </w:rPr>
        <w:t>Z</w:t>
      </w:r>
      <w:r>
        <w:t>）砂泥岩互层以风化带裂隙储水为主，泥岩赋水性差，富水程度差，水量小且不稳定，砂岩则透水性较好。红层地下水类型单一，一般属潜水类型，由于岩性的变化，泥岩隔水以及构造条件的因素，局部砂岩地段可能存在层间承压水。因场地河道两岸为斜坡地形，地表、地下水排泄距离短、迅速，致使基岩裂隙水贫乏。</w:t>
      </w:r>
    </w:p>
    <w:p>
      <w:pPr>
        <w:ind w:firstLine="480"/>
      </w:pPr>
      <w:r>
        <w:t>园区内有两类地下水：松散堆积层孔隙水和基岩裂隙水。</w:t>
      </w:r>
    </w:p>
    <w:p>
      <w:pPr>
        <w:ind w:firstLine="480"/>
      </w:pPr>
      <w:r>
        <w:t>①松散土体类孔隙水：主要赋存于第四系全新统粉质黏土、碎块石及砂卵石地层内，主要接受大气降水和地表水入渗补给，常以上层滞水形式存在，水位变化大，随坡向径流，于地势低凹处排泄，无统一地下水位。</w:t>
      </w:r>
    </w:p>
    <w:p>
      <w:pPr>
        <w:ind w:firstLine="480"/>
      </w:pPr>
      <w:r>
        <w:t>②基岩裂隙水：该类地下水主要侏罗系中下统自流井组（J1－2z）地层基岩裂隙中，由于岩层风化裂隙及构造裂隙发育，地下水在接受补给后，多沿构造裂隙、层面裂隙及风化裂隙自上而下运移，于低洼沟谷排泄，当含水层被切割，以下降泉型式出露地表。总的来说，地下水贫乏，且随季节影响明显，丰、枯季动态变化大。</w:t>
      </w:r>
    </w:p>
    <w:p>
      <w:pPr>
        <w:ind w:firstLine="480"/>
      </w:pPr>
      <w:r>
        <w:t>根据《水利水电工程地质勘察规范》（GB50487-2008）环境水对混凝土腐蚀性及混凝土中的钢筋评价标准，结合场地附近已有水文地质资料及场地所处环境地质条件，区内地下水、地表水化学类型为重碳酸钙（Ca-HCO</w:t>
      </w:r>
      <w:r>
        <w:rPr>
          <w:vertAlign w:val="subscript"/>
        </w:rPr>
        <w:t>3</w:t>
      </w:r>
      <w:r>
        <w:t>）型水。区内环境水对混凝土结构、钢筋混凝土结构中的钢筋不具腐蚀性。</w:t>
      </w:r>
    </w:p>
    <w:p>
      <w:pPr>
        <w:pStyle w:val="7"/>
      </w:pPr>
      <w:r>
        <w:t>2.7.1.5不良地质情况</w:t>
      </w:r>
    </w:p>
    <w:p>
      <w:pPr>
        <w:ind w:firstLine="480"/>
      </w:pPr>
      <w:r>
        <w:t>根据《五通桥化工园区地质灾害危险性评估报告》评价结论，“整个评估区划分为地质灾害危险性小区（Ⅱ区）和地质灾害危险性中等区（Ⅰ区），详见图2.7-4。Ⅱ区总面积9.95km</w:t>
      </w:r>
      <w:r>
        <w:rPr>
          <w:vertAlign w:val="superscript"/>
        </w:rPr>
        <w:t>2</w:t>
      </w:r>
      <w:r>
        <w:t>，占整个评估区面积的58.71%，未发育现状地质灾害。工程建设中、建设后引发地质灾害的危险性小，遭受地质灾害的危险性小。该区地质灾害危险性综合评估为危险性小。Ⅰ区总面积7.0km</w:t>
      </w:r>
      <w:r>
        <w:rPr>
          <w:vertAlign w:val="superscript"/>
        </w:rPr>
        <w:t>2</w:t>
      </w:r>
      <w:r>
        <w:t>，占整个评估区面积的41.29%。现状条件下采空区发育，工程建设中、建设后可能引发采空区塌陷危险性中等，遭受地质灾害的危险性中等。该区地质灾害危险性综合评估为危险性中等”。根据乐山市五通桥区自然资源局“关于乐山市五通桥区化工园区是否位于地质灾害易发区的情况说明”（2022年12月2日）中，明确本区域不在地质灾害易发区。区内矿产资源已停止开采，后期不再继续开采。</w:t>
      </w:r>
    </w:p>
    <w:p>
      <w:pPr>
        <w:ind w:firstLine="480"/>
      </w:pPr>
      <w:r>
        <w:t>评估区不良地质现象弱发育，引发地质灾害的可能性小~中等，工程遭受地质灾害的可能性中等，危险性中等，可采取措施予以治理，建设用地适宜性为基本适宜；采空区对拟建工程影响为中等，若进行一般拟建工程及次要拟建工程建设，同时对变形要求一般的工程建设活动，在规划、建筑、结构等措施中，能有较好的控制采空区剩余变形对拟建工程的影响，该区基本适宜建设。但对重要的、变形要求高的拟建工程适宜性差。即对高层建筑、变形敏感类建筑的适宜性差。其他区域工程建设引发地质灾害的可能性小，工程建设遭受地质灾害危害的可能性小，危险性小，建设用地适宜性为基本适宜。</w:t>
      </w:r>
    </w:p>
    <w:tbl>
      <w:tblPr>
        <w:tblStyle w:val="3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sz w:val="21"/>
                <w:szCs w:val="21"/>
              </w:rPr>
            </w:pPr>
            <w:r>
              <w:drawing>
                <wp:inline distT="0" distB="0" distL="114300" distR="114300">
                  <wp:extent cx="5193665" cy="3283585"/>
                  <wp:effectExtent l="0" t="0" r="6985" b="12065"/>
                  <wp:docPr id="20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75"/>
                          <pic:cNvPicPr>
                            <a:picLocks noChangeAspect="1"/>
                          </pic:cNvPicPr>
                        </pic:nvPicPr>
                        <pic:blipFill>
                          <a:blip r:embed="rId153"/>
                          <a:stretch>
                            <a:fillRect/>
                          </a:stretch>
                        </pic:blipFill>
                        <pic:spPr>
                          <a:xfrm>
                            <a:off x="0" y="0"/>
                            <a:ext cx="5193665" cy="32835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tcPr>
          <w:p>
            <w:pPr>
              <w:spacing w:line="240" w:lineRule="auto"/>
              <w:ind w:firstLine="0" w:firstLineChars="0"/>
              <w:jc w:val="center"/>
              <w:rPr>
                <w:b/>
                <w:bCs/>
                <w:sz w:val="21"/>
                <w:szCs w:val="21"/>
              </w:rPr>
            </w:pPr>
            <w:r>
              <w:rPr>
                <w:b/>
                <w:bCs/>
                <w:sz w:val="21"/>
                <w:szCs w:val="21"/>
              </w:rPr>
              <w:t>图2.7-4五通桥化工园区建设用地地质灾害危险性评估综合平面图</w:t>
            </w:r>
          </w:p>
        </w:tc>
      </w:tr>
    </w:tbl>
    <w:p>
      <w:pPr>
        <w:pStyle w:val="6"/>
      </w:pPr>
      <w:r>
        <w:t>2.7.2地貌</w:t>
      </w:r>
    </w:p>
    <w:p>
      <w:pPr>
        <w:ind w:firstLine="480"/>
        <w:rPr>
          <w:szCs w:val="24"/>
        </w:rPr>
      </w:pPr>
      <w:r>
        <w:t>园区地处四川盆地西南，五通桥区南部，区域上属于三级盆地中切丘陵区。处于岷江左岸，沿江为平坝，往东为丘陵区。总的地势北高南低，北东高南西低。园区北部山顶，海拔452.12m，最低点海拔369.25m，相对高差82.87m。园区地形地貌</w:t>
      </w:r>
      <w:r>
        <w:rPr>
          <w:rFonts w:hint="eastAsia"/>
        </w:rPr>
        <w:t>图详见图2.7-5</w:t>
      </w:r>
      <w:r>
        <w:t>。</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pacing w:line="240" w:lineRule="auto"/>
              <w:ind w:firstLine="0" w:firstLineChars="0"/>
              <w:jc w:val="center"/>
              <w:rPr>
                <w:sz w:val="21"/>
                <w:szCs w:val="21"/>
              </w:rPr>
            </w:pPr>
            <w:r>
              <w:drawing>
                <wp:inline distT="0" distB="0" distL="114300" distR="114300">
                  <wp:extent cx="5122545" cy="4383405"/>
                  <wp:effectExtent l="0" t="0" r="1905" b="17145"/>
                  <wp:docPr id="217"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76"/>
                          <pic:cNvPicPr>
                            <a:picLocks noChangeAspect="1"/>
                          </pic:cNvPicPr>
                        </pic:nvPicPr>
                        <pic:blipFill>
                          <a:blip r:embed="rId154"/>
                          <a:stretch>
                            <a:fillRect/>
                          </a:stretch>
                        </pic:blipFill>
                        <pic:spPr>
                          <a:xfrm>
                            <a:off x="0" y="0"/>
                            <a:ext cx="5122545" cy="438340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pacing w:line="240" w:lineRule="auto"/>
              <w:ind w:firstLine="0" w:firstLineChars="0"/>
              <w:jc w:val="center"/>
              <w:rPr>
                <w:sz w:val="21"/>
                <w:szCs w:val="21"/>
              </w:rPr>
            </w:pPr>
            <w:r>
              <w:rPr>
                <w:b/>
                <w:bCs/>
                <w:sz w:val="21"/>
                <w:szCs w:val="21"/>
              </w:rPr>
              <w:t>图2.7-5园区地形地貌图</w:t>
            </w:r>
          </w:p>
        </w:tc>
      </w:tr>
    </w:tbl>
    <w:p>
      <w:pPr>
        <w:pStyle w:val="6"/>
      </w:pPr>
      <w:r>
        <w:t>2.7.3气象</w:t>
      </w:r>
    </w:p>
    <w:p>
      <w:pPr>
        <w:adjustRightInd w:val="0"/>
        <w:snapToGrid w:val="0"/>
        <w:ind w:firstLine="480"/>
        <w:rPr>
          <w:snapToGrid w:val="0"/>
          <w:kern w:val="0"/>
          <w:szCs w:val="24"/>
        </w:rPr>
      </w:pPr>
      <w:r>
        <w:rPr>
          <w:snapToGrid w:val="0"/>
          <w:kern w:val="0"/>
          <w:szCs w:val="24"/>
        </w:rPr>
        <w:t>根据《</w:t>
      </w:r>
      <w:r>
        <w:rPr>
          <w:bCs/>
          <w:kern w:val="0"/>
          <w:szCs w:val="24"/>
        </w:rPr>
        <w:t>乐山市五通桥区水土保持规划（2015-2030年）</w:t>
      </w:r>
      <w:r>
        <w:rPr>
          <w:snapToGrid w:val="0"/>
          <w:kern w:val="0"/>
          <w:szCs w:val="24"/>
        </w:rPr>
        <w:t>》</w:t>
      </w:r>
      <w:r>
        <w:rPr>
          <w:bCs/>
          <w:kern w:val="0"/>
          <w:szCs w:val="24"/>
        </w:rPr>
        <w:t>，</w:t>
      </w:r>
      <w:r>
        <w:rPr>
          <w:snapToGrid w:val="0"/>
          <w:kern w:val="0"/>
          <w:szCs w:val="24"/>
        </w:rPr>
        <w:t>五通桥区属</w:t>
      </w:r>
      <w:r>
        <w:rPr>
          <w:rFonts w:hint="eastAsia"/>
          <w:snapToGrid w:val="0"/>
          <w:kern w:val="0"/>
          <w:szCs w:val="24"/>
        </w:rPr>
        <w:t>亚热带季风湿润气候区</w:t>
      </w:r>
      <w:r>
        <w:rPr>
          <w:snapToGrid w:val="0"/>
          <w:kern w:val="0"/>
          <w:szCs w:val="24"/>
        </w:rPr>
        <w:t>，四季分明，气候温和，冬无严寒，夏无酷暑，湿度大，雨量充沛，年际变化大，具有冬干春旱、夏洪秋涝、旱洪交替的特点。</w:t>
      </w:r>
    </w:p>
    <w:p>
      <w:pPr>
        <w:adjustRightInd w:val="0"/>
        <w:snapToGrid w:val="0"/>
        <w:ind w:firstLine="480"/>
        <w:rPr>
          <w:snapToGrid w:val="0"/>
          <w:kern w:val="0"/>
          <w:szCs w:val="24"/>
        </w:rPr>
        <w:sectPr>
          <w:pgSz w:w="11906" w:h="16838"/>
          <w:pgMar w:top="1440" w:right="1800" w:bottom="1440" w:left="1800" w:header="851" w:footer="992" w:gutter="0"/>
          <w:cols w:space="720" w:num="1"/>
          <w:docGrid w:type="lines" w:linePitch="312" w:charSpace="0"/>
        </w:sectPr>
      </w:pPr>
      <w:r>
        <w:rPr>
          <w:snapToGrid w:val="0"/>
          <w:kern w:val="0"/>
          <w:szCs w:val="24"/>
        </w:rPr>
        <w:t>五通桥区多年年平均气温17.4℃，历年最高、最低气温分别为39.7℃和-1.9℃，多年平均降雨量1231.5mm，历年一日最大雨量326.8mm，相对湿度79.8%，无霜期333天，平均风速1.2m/s，历年最大风速17.0m/s。受气候类型影响，区内雨量年内分配极不均匀，降雨量集中在汛期4～9月，约占年降水量的85.08%。五通桥区各气象特征值详见下表。</w:t>
      </w:r>
    </w:p>
    <w:p>
      <w:pPr>
        <w:ind w:firstLine="482"/>
        <w:jc w:val="center"/>
        <w:rPr>
          <w:b/>
          <w:szCs w:val="24"/>
        </w:rPr>
      </w:pPr>
      <w:r>
        <w:rPr>
          <w:b/>
          <w:bCs/>
          <w:szCs w:val="24"/>
        </w:rPr>
        <w:t>表2.7-1</w:t>
      </w:r>
      <w:r>
        <w:rPr>
          <w:b/>
          <w:szCs w:val="24"/>
        </w:rPr>
        <w:t>五通桥区历年气象要素特征值统计表（1959－2014年）</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108"/>
        <w:gridCol w:w="1559"/>
        <w:gridCol w:w="872"/>
        <w:gridCol w:w="872"/>
        <w:gridCol w:w="872"/>
        <w:gridCol w:w="872"/>
        <w:gridCol w:w="872"/>
        <w:gridCol w:w="872"/>
        <w:gridCol w:w="872"/>
        <w:gridCol w:w="872"/>
        <w:gridCol w:w="872"/>
        <w:gridCol w:w="872"/>
        <w:gridCol w:w="872"/>
        <w:gridCol w:w="872"/>
        <w:gridCol w:w="87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34" w:hRule="atLeast"/>
        </w:trPr>
        <w:tc>
          <w:tcPr>
            <w:tcW w:w="1108" w:type="dxa"/>
            <w:vAlign w:val="center"/>
          </w:tcPr>
          <w:p>
            <w:pPr>
              <w:widowControl/>
              <w:spacing w:line="240" w:lineRule="auto"/>
              <w:ind w:firstLine="0" w:firstLineChars="0"/>
              <w:jc w:val="center"/>
              <w:rPr>
                <w:b/>
                <w:bCs/>
                <w:kern w:val="0"/>
                <w:sz w:val="21"/>
                <w:szCs w:val="21"/>
              </w:rPr>
            </w:pPr>
            <w:r>
              <w:rPr>
                <w:b/>
                <w:bCs/>
                <w:kern w:val="0"/>
                <w:sz w:val="21"/>
                <w:szCs w:val="21"/>
              </w:rPr>
              <w:t>项目</w:t>
            </w:r>
          </w:p>
        </w:tc>
        <w:tc>
          <w:tcPr>
            <w:tcW w:w="1559" w:type="dxa"/>
            <w:vAlign w:val="center"/>
          </w:tcPr>
          <w:p>
            <w:pPr>
              <w:snapToGrid w:val="0"/>
              <w:spacing w:line="240" w:lineRule="auto"/>
              <w:ind w:firstLine="0" w:firstLineChars="0"/>
              <w:jc w:val="center"/>
              <w:rPr>
                <w:b/>
                <w:bCs/>
                <w:kern w:val="0"/>
                <w:sz w:val="21"/>
                <w:szCs w:val="21"/>
              </w:rPr>
            </w:pPr>
            <w:r>
              <w:rPr>
                <w:b/>
                <w:bCs/>
                <w:kern w:val="0"/>
                <w:sz w:val="21"/>
                <w:szCs w:val="21"/>
              </w:rPr>
              <w:t>统计值</w:t>
            </w:r>
          </w:p>
          <w:p>
            <w:pPr>
              <w:spacing w:line="240" w:lineRule="auto"/>
              <w:ind w:firstLine="0" w:firstLineChars="0"/>
              <w:jc w:val="center"/>
              <w:rPr>
                <w:b/>
                <w:bCs/>
                <w:kern w:val="0"/>
                <w:sz w:val="21"/>
                <w:szCs w:val="21"/>
              </w:rPr>
            </w:pPr>
            <w:r>
              <w:rPr>
                <w:b/>
                <w:bCs/>
                <w:kern w:val="0"/>
                <w:sz w:val="21"/>
                <w:szCs w:val="21"/>
              </w:rPr>
              <w:t>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1月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2月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3月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4月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5月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6月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7月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8月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9月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10月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11月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12月</w:t>
            </w:r>
          </w:p>
        </w:tc>
        <w:tc>
          <w:tcPr>
            <w:tcW w:w="872" w:type="dxa"/>
            <w:vAlign w:val="center"/>
          </w:tcPr>
          <w:p>
            <w:pPr>
              <w:widowControl/>
              <w:spacing w:line="240" w:lineRule="auto"/>
              <w:ind w:firstLine="0" w:firstLineChars="0"/>
              <w:jc w:val="center"/>
              <w:rPr>
                <w:b/>
                <w:bCs/>
                <w:kern w:val="0"/>
                <w:sz w:val="21"/>
                <w:szCs w:val="21"/>
              </w:rPr>
            </w:pPr>
            <w:r>
              <w:rPr>
                <w:b/>
                <w:bCs/>
                <w:kern w:val="0"/>
                <w:sz w:val="21"/>
                <w:szCs w:val="21"/>
              </w:rPr>
              <w:t>全年</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restart"/>
            <w:vAlign w:val="center"/>
          </w:tcPr>
          <w:p>
            <w:pPr>
              <w:widowControl/>
              <w:spacing w:line="240" w:lineRule="auto"/>
              <w:ind w:firstLine="0" w:firstLineChars="0"/>
              <w:jc w:val="center"/>
              <w:rPr>
                <w:kern w:val="0"/>
                <w:sz w:val="21"/>
                <w:szCs w:val="21"/>
              </w:rPr>
            </w:pPr>
            <w:r>
              <w:rPr>
                <w:kern w:val="0"/>
                <w:sz w:val="21"/>
                <w:szCs w:val="21"/>
              </w:rPr>
              <w:t>气温（℃）</w:t>
            </w:r>
          </w:p>
        </w:tc>
        <w:tc>
          <w:tcPr>
            <w:tcW w:w="1559" w:type="dxa"/>
            <w:vAlign w:val="center"/>
          </w:tcPr>
          <w:p>
            <w:pPr>
              <w:widowControl/>
              <w:spacing w:line="240" w:lineRule="auto"/>
              <w:ind w:firstLine="0" w:firstLineChars="0"/>
              <w:jc w:val="center"/>
              <w:rPr>
                <w:kern w:val="0"/>
                <w:sz w:val="21"/>
                <w:szCs w:val="21"/>
              </w:rPr>
            </w:pPr>
            <w:r>
              <w:rPr>
                <w:kern w:val="0"/>
                <w:sz w:val="21"/>
                <w:szCs w:val="21"/>
              </w:rPr>
              <w:t>多年平均</w:t>
            </w:r>
          </w:p>
        </w:tc>
        <w:tc>
          <w:tcPr>
            <w:tcW w:w="872" w:type="dxa"/>
            <w:vAlign w:val="center"/>
          </w:tcPr>
          <w:p>
            <w:pPr>
              <w:widowControl/>
              <w:spacing w:line="240" w:lineRule="auto"/>
              <w:ind w:firstLine="0" w:firstLineChars="0"/>
              <w:jc w:val="center"/>
              <w:rPr>
                <w:kern w:val="0"/>
                <w:sz w:val="21"/>
                <w:szCs w:val="21"/>
              </w:rPr>
            </w:pPr>
            <w:r>
              <w:rPr>
                <w:kern w:val="0"/>
                <w:sz w:val="21"/>
                <w:szCs w:val="21"/>
              </w:rPr>
              <w:t>7.2</w:t>
            </w:r>
          </w:p>
        </w:tc>
        <w:tc>
          <w:tcPr>
            <w:tcW w:w="872" w:type="dxa"/>
            <w:vAlign w:val="center"/>
          </w:tcPr>
          <w:p>
            <w:pPr>
              <w:widowControl/>
              <w:spacing w:line="240" w:lineRule="auto"/>
              <w:ind w:firstLine="0" w:firstLineChars="0"/>
              <w:jc w:val="center"/>
              <w:rPr>
                <w:kern w:val="0"/>
                <w:sz w:val="21"/>
                <w:szCs w:val="21"/>
              </w:rPr>
            </w:pPr>
            <w:r>
              <w:rPr>
                <w:kern w:val="0"/>
                <w:sz w:val="21"/>
                <w:szCs w:val="21"/>
              </w:rPr>
              <w:t>9.4</w:t>
            </w:r>
          </w:p>
        </w:tc>
        <w:tc>
          <w:tcPr>
            <w:tcW w:w="872" w:type="dxa"/>
            <w:vAlign w:val="center"/>
          </w:tcPr>
          <w:p>
            <w:pPr>
              <w:widowControl/>
              <w:spacing w:line="240" w:lineRule="auto"/>
              <w:ind w:firstLine="0" w:firstLineChars="0"/>
              <w:jc w:val="center"/>
              <w:rPr>
                <w:kern w:val="0"/>
                <w:sz w:val="21"/>
                <w:szCs w:val="21"/>
              </w:rPr>
            </w:pPr>
            <w:r>
              <w:rPr>
                <w:kern w:val="0"/>
                <w:sz w:val="21"/>
                <w:szCs w:val="21"/>
              </w:rPr>
              <w:t>13.1</w:t>
            </w:r>
          </w:p>
        </w:tc>
        <w:tc>
          <w:tcPr>
            <w:tcW w:w="872" w:type="dxa"/>
            <w:vAlign w:val="center"/>
          </w:tcPr>
          <w:p>
            <w:pPr>
              <w:widowControl/>
              <w:spacing w:line="240" w:lineRule="auto"/>
              <w:ind w:firstLine="0" w:firstLineChars="0"/>
              <w:jc w:val="center"/>
              <w:rPr>
                <w:kern w:val="0"/>
                <w:sz w:val="21"/>
                <w:szCs w:val="21"/>
              </w:rPr>
            </w:pPr>
            <w:r>
              <w:rPr>
                <w:kern w:val="0"/>
                <w:sz w:val="21"/>
                <w:szCs w:val="21"/>
              </w:rPr>
              <w:t>18.1</w:t>
            </w:r>
          </w:p>
        </w:tc>
        <w:tc>
          <w:tcPr>
            <w:tcW w:w="872" w:type="dxa"/>
            <w:vAlign w:val="center"/>
          </w:tcPr>
          <w:p>
            <w:pPr>
              <w:widowControl/>
              <w:spacing w:line="240" w:lineRule="auto"/>
              <w:ind w:firstLine="0" w:firstLineChars="0"/>
              <w:jc w:val="center"/>
              <w:rPr>
                <w:kern w:val="0"/>
                <w:sz w:val="21"/>
                <w:szCs w:val="21"/>
              </w:rPr>
            </w:pPr>
            <w:r>
              <w:rPr>
                <w:kern w:val="0"/>
                <w:sz w:val="21"/>
                <w:szCs w:val="21"/>
              </w:rPr>
              <w:t>22.1</w:t>
            </w:r>
          </w:p>
        </w:tc>
        <w:tc>
          <w:tcPr>
            <w:tcW w:w="872" w:type="dxa"/>
            <w:vAlign w:val="center"/>
          </w:tcPr>
          <w:p>
            <w:pPr>
              <w:widowControl/>
              <w:spacing w:line="240" w:lineRule="auto"/>
              <w:ind w:firstLine="0" w:firstLineChars="0"/>
              <w:jc w:val="center"/>
              <w:rPr>
                <w:kern w:val="0"/>
                <w:sz w:val="21"/>
                <w:szCs w:val="21"/>
              </w:rPr>
            </w:pPr>
            <w:r>
              <w:rPr>
                <w:kern w:val="0"/>
                <w:sz w:val="21"/>
                <w:szCs w:val="21"/>
              </w:rPr>
              <w:t>24.1</w:t>
            </w:r>
          </w:p>
        </w:tc>
        <w:tc>
          <w:tcPr>
            <w:tcW w:w="872" w:type="dxa"/>
            <w:vAlign w:val="center"/>
          </w:tcPr>
          <w:p>
            <w:pPr>
              <w:widowControl/>
              <w:spacing w:line="240" w:lineRule="auto"/>
              <w:ind w:firstLine="0" w:firstLineChars="0"/>
              <w:jc w:val="center"/>
              <w:rPr>
                <w:kern w:val="0"/>
                <w:sz w:val="21"/>
                <w:szCs w:val="21"/>
              </w:rPr>
            </w:pPr>
            <w:r>
              <w:rPr>
                <w:kern w:val="0"/>
                <w:sz w:val="21"/>
                <w:szCs w:val="21"/>
              </w:rPr>
              <w:t>26.2</w:t>
            </w:r>
          </w:p>
        </w:tc>
        <w:tc>
          <w:tcPr>
            <w:tcW w:w="872" w:type="dxa"/>
            <w:vAlign w:val="center"/>
          </w:tcPr>
          <w:p>
            <w:pPr>
              <w:widowControl/>
              <w:spacing w:line="240" w:lineRule="auto"/>
              <w:ind w:firstLine="0" w:firstLineChars="0"/>
              <w:jc w:val="center"/>
              <w:rPr>
                <w:kern w:val="0"/>
                <w:sz w:val="21"/>
                <w:szCs w:val="21"/>
              </w:rPr>
            </w:pPr>
            <w:r>
              <w:rPr>
                <w:kern w:val="0"/>
                <w:sz w:val="21"/>
                <w:szCs w:val="21"/>
              </w:rPr>
              <w:t>25.8</w:t>
            </w:r>
          </w:p>
        </w:tc>
        <w:tc>
          <w:tcPr>
            <w:tcW w:w="872" w:type="dxa"/>
            <w:vAlign w:val="center"/>
          </w:tcPr>
          <w:p>
            <w:pPr>
              <w:widowControl/>
              <w:spacing w:line="240" w:lineRule="auto"/>
              <w:ind w:firstLine="0" w:firstLineChars="0"/>
              <w:jc w:val="center"/>
              <w:rPr>
                <w:kern w:val="0"/>
                <w:sz w:val="21"/>
                <w:szCs w:val="21"/>
              </w:rPr>
            </w:pPr>
            <w:r>
              <w:rPr>
                <w:kern w:val="0"/>
                <w:sz w:val="21"/>
                <w:szCs w:val="21"/>
              </w:rPr>
              <w:t>22.3</w:t>
            </w:r>
          </w:p>
        </w:tc>
        <w:tc>
          <w:tcPr>
            <w:tcW w:w="872" w:type="dxa"/>
            <w:vAlign w:val="center"/>
          </w:tcPr>
          <w:p>
            <w:pPr>
              <w:widowControl/>
              <w:spacing w:line="240" w:lineRule="auto"/>
              <w:ind w:firstLine="0" w:firstLineChars="0"/>
              <w:jc w:val="center"/>
              <w:rPr>
                <w:kern w:val="0"/>
                <w:sz w:val="21"/>
                <w:szCs w:val="21"/>
              </w:rPr>
            </w:pPr>
            <w:r>
              <w:rPr>
                <w:kern w:val="0"/>
                <w:sz w:val="21"/>
                <w:szCs w:val="21"/>
              </w:rPr>
              <w:t>17.9</w:t>
            </w:r>
          </w:p>
        </w:tc>
        <w:tc>
          <w:tcPr>
            <w:tcW w:w="872" w:type="dxa"/>
            <w:vAlign w:val="center"/>
          </w:tcPr>
          <w:p>
            <w:pPr>
              <w:widowControl/>
              <w:spacing w:line="240" w:lineRule="auto"/>
              <w:ind w:firstLine="0" w:firstLineChars="0"/>
              <w:jc w:val="center"/>
              <w:rPr>
                <w:kern w:val="0"/>
                <w:sz w:val="21"/>
                <w:szCs w:val="21"/>
              </w:rPr>
            </w:pPr>
            <w:r>
              <w:rPr>
                <w:kern w:val="0"/>
                <w:sz w:val="21"/>
                <w:szCs w:val="21"/>
              </w:rPr>
              <w:t>13.7</w:t>
            </w:r>
          </w:p>
        </w:tc>
        <w:tc>
          <w:tcPr>
            <w:tcW w:w="872" w:type="dxa"/>
            <w:vAlign w:val="center"/>
          </w:tcPr>
          <w:p>
            <w:pPr>
              <w:widowControl/>
              <w:spacing w:line="240" w:lineRule="auto"/>
              <w:ind w:firstLine="0" w:firstLineChars="0"/>
              <w:jc w:val="center"/>
              <w:rPr>
                <w:kern w:val="0"/>
                <w:sz w:val="21"/>
                <w:szCs w:val="21"/>
              </w:rPr>
            </w:pPr>
            <w:r>
              <w:rPr>
                <w:kern w:val="0"/>
                <w:sz w:val="21"/>
                <w:szCs w:val="21"/>
              </w:rPr>
              <w:t>8.6</w:t>
            </w:r>
          </w:p>
        </w:tc>
        <w:tc>
          <w:tcPr>
            <w:tcW w:w="872" w:type="dxa"/>
            <w:vAlign w:val="center"/>
          </w:tcPr>
          <w:p>
            <w:pPr>
              <w:widowControl/>
              <w:spacing w:line="240" w:lineRule="auto"/>
              <w:ind w:firstLine="0" w:firstLineChars="0"/>
              <w:jc w:val="center"/>
              <w:rPr>
                <w:kern w:val="0"/>
                <w:sz w:val="21"/>
                <w:szCs w:val="21"/>
              </w:rPr>
            </w:pPr>
            <w:r>
              <w:rPr>
                <w:kern w:val="0"/>
                <w:sz w:val="21"/>
                <w:szCs w:val="21"/>
              </w:rPr>
              <w:t>17.4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continue"/>
            <w:vAlign w:val="center"/>
          </w:tcPr>
          <w:p>
            <w:pPr>
              <w:widowControl/>
              <w:spacing w:line="240" w:lineRule="auto"/>
              <w:ind w:firstLine="0" w:firstLineChars="0"/>
              <w:jc w:val="center"/>
              <w:rPr>
                <w:kern w:val="0"/>
                <w:sz w:val="21"/>
                <w:szCs w:val="21"/>
              </w:rPr>
            </w:pPr>
          </w:p>
        </w:tc>
        <w:tc>
          <w:tcPr>
            <w:tcW w:w="1559" w:type="dxa"/>
            <w:vAlign w:val="center"/>
          </w:tcPr>
          <w:p>
            <w:pPr>
              <w:widowControl/>
              <w:spacing w:line="240" w:lineRule="auto"/>
              <w:ind w:firstLine="0" w:firstLineChars="0"/>
              <w:jc w:val="center"/>
              <w:rPr>
                <w:kern w:val="0"/>
                <w:sz w:val="21"/>
                <w:szCs w:val="21"/>
              </w:rPr>
            </w:pPr>
            <w:r>
              <w:rPr>
                <w:kern w:val="0"/>
                <w:sz w:val="21"/>
                <w:szCs w:val="21"/>
              </w:rPr>
              <w:t>极端最高</w:t>
            </w:r>
          </w:p>
        </w:tc>
        <w:tc>
          <w:tcPr>
            <w:tcW w:w="872" w:type="dxa"/>
            <w:vAlign w:val="center"/>
          </w:tcPr>
          <w:p>
            <w:pPr>
              <w:widowControl/>
              <w:spacing w:line="240" w:lineRule="auto"/>
              <w:ind w:firstLine="0" w:firstLineChars="0"/>
              <w:jc w:val="center"/>
              <w:rPr>
                <w:kern w:val="0"/>
                <w:sz w:val="21"/>
                <w:szCs w:val="21"/>
              </w:rPr>
            </w:pPr>
            <w:r>
              <w:rPr>
                <w:kern w:val="0"/>
                <w:sz w:val="21"/>
                <w:szCs w:val="21"/>
              </w:rPr>
              <w:t>19.3</w:t>
            </w:r>
          </w:p>
        </w:tc>
        <w:tc>
          <w:tcPr>
            <w:tcW w:w="872" w:type="dxa"/>
            <w:vAlign w:val="center"/>
          </w:tcPr>
          <w:p>
            <w:pPr>
              <w:widowControl/>
              <w:spacing w:line="240" w:lineRule="auto"/>
              <w:ind w:firstLine="0" w:firstLineChars="0"/>
              <w:jc w:val="center"/>
              <w:rPr>
                <w:kern w:val="0"/>
                <w:sz w:val="21"/>
                <w:szCs w:val="21"/>
              </w:rPr>
            </w:pPr>
            <w:r>
              <w:rPr>
                <w:kern w:val="0"/>
                <w:sz w:val="21"/>
                <w:szCs w:val="21"/>
              </w:rPr>
              <w:t>23.9</w:t>
            </w:r>
          </w:p>
        </w:tc>
        <w:tc>
          <w:tcPr>
            <w:tcW w:w="872" w:type="dxa"/>
            <w:vAlign w:val="center"/>
          </w:tcPr>
          <w:p>
            <w:pPr>
              <w:widowControl/>
              <w:spacing w:line="240" w:lineRule="auto"/>
              <w:ind w:firstLine="0" w:firstLineChars="0"/>
              <w:jc w:val="center"/>
              <w:rPr>
                <w:kern w:val="0"/>
                <w:sz w:val="21"/>
                <w:szCs w:val="21"/>
              </w:rPr>
            </w:pPr>
            <w:r>
              <w:rPr>
                <w:kern w:val="0"/>
                <w:sz w:val="21"/>
                <w:szCs w:val="21"/>
              </w:rPr>
              <w:t>32.5</w:t>
            </w:r>
          </w:p>
        </w:tc>
        <w:tc>
          <w:tcPr>
            <w:tcW w:w="872" w:type="dxa"/>
            <w:vAlign w:val="center"/>
          </w:tcPr>
          <w:p>
            <w:pPr>
              <w:widowControl/>
              <w:spacing w:line="240" w:lineRule="auto"/>
              <w:ind w:firstLine="0" w:firstLineChars="0"/>
              <w:jc w:val="center"/>
              <w:rPr>
                <w:kern w:val="0"/>
                <w:sz w:val="21"/>
                <w:szCs w:val="21"/>
              </w:rPr>
            </w:pPr>
            <w:r>
              <w:rPr>
                <w:kern w:val="0"/>
                <w:sz w:val="21"/>
                <w:szCs w:val="21"/>
              </w:rPr>
              <w:t>33.8</w:t>
            </w:r>
          </w:p>
        </w:tc>
        <w:tc>
          <w:tcPr>
            <w:tcW w:w="872" w:type="dxa"/>
            <w:vAlign w:val="center"/>
          </w:tcPr>
          <w:p>
            <w:pPr>
              <w:widowControl/>
              <w:spacing w:line="240" w:lineRule="auto"/>
              <w:ind w:firstLine="0" w:firstLineChars="0"/>
              <w:jc w:val="center"/>
              <w:rPr>
                <w:kern w:val="0"/>
                <w:sz w:val="21"/>
                <w:szCs w:val="21"/>
              </w:rPr>
            </w:pPr>
            <w:r>
              <w:rPr>
                <w:kern w:val="0"/>
                <w:sz w:val="21"/>
                <w:szCs w:val="21"/>
              </w:rPr>
              <w:t>36.5</w:t>
            </w:r>
          </w:p>
        </w:tc>
        <w:tc>
          <w:tcPr>
            <w:tcW w:w="872" w:type="dxa"/>
            <w:vAlign w:val="center"/>
          </w:tcPr>
          <w:p>
            <w:pPr>
              <w:widowControl/>
              <w:spacing w:line="240" w:lineRule="auto"/>
              <w:ind w:firstLine="0" w:firstLineChars="0"/>
              <w:jc w:val="center"/>
              <w:rPr>
                <w:kern w:val="0"/>
                <w:sz w:val="21"/>
                <w:szCs w:val="21"/>
              </w:rPr>
            </w:pPr>
            <w:r>
              <w:rPr>
                <w:kern w:val="0"/>
                <w:sz w:val="21"/>
                <w:szCs w:val="21"/>
              </w:rPr>
              <w:t>36.8</w:t>
            </w:r>
          </w:p>
        </w:tc>
        <w:tc>
          <w:tcPr>
            <w:tcW w:w="872" w:type="dxa"/>
            <w:vAlign w:val="center"/>
          </w:tcPr>
          <w:p>
            <w:pPr>
              <w:widowControl/>
              <w:spacing w:line="240" w:lineRule="auto"/>
              <w:ind w:firstLine="0" w:firstLineChars="0"/>
              <w:jc w:val="center"/>
              <w:rPr>
                <w:kern w:val="0"/>
                <w:sz w:val="21"/>
                <w:szCs w:val="21"/>
              </w:rPr>
            </w:pPr>
            <w:r>
              <w:rPr>
                <w:kern w:val="0"/>
                <w:sz w:val="21"/>
                <w:szCs w:val="21"/>
              </w:rPr>
              <w:t>37.6</w:t>
            </w:r>
          </w:p>
        </w:tc>
        <w:tc>
          <w:tcPr>
            <w:tcW w:w="872" w:type="dxa"/>
            <w:vAlign w:val="center"/>
          </w:tcPr>
          <w:p>
            <w:pPr>
              <w:widowControl/>
              <w:spacing w:line="240" w:lineRule="auto"/>
              <w:ind w:firstLine="0" w:firstLineChars="0"/>
              <w:jc w:val="center"/>
              <w:rPr>
                <w:kern w:val="0"/>
                <w:sz w:val="21"/>
                <w:szCs w:val="21"/>
              </w:rPr>
            </w:pPr>
            <w:r>
              <w:rPr>
                <w:kern w:val="0"/>
                <w:sz w:val="21"/>
                <w:szCs w:val="21"/>
              </w:rPr>
              <w:t>39.7</w:t>
            </w:r>
          </w:p>
        </w:tc>
        <w:tc>
          <w:tcPr>
            <w:tcW w:w="872" w:type="dxa"/>
            <w:vAlign w:val="center"/>
          </w:tcPr>
          <w:p>
            <w:pPr>
              <w:widowControl/>
              <w:spacing w:line="240" w:lineRule="auto"/>
              <w:ind w:firstLine="0" w:firstLineChars="0"/>
              <w:jc w:val="center"/>
              <w:rPr>
                <w:kern w:val="0"/>
                <w:sz w:val="21"/>
                <w:szCs w:val="21"/>
              </w:rPr>
            </w:pPr>
            <w:r>
              <w:rPr>
                <w:kern w:val="0"/>
                <w:sz w:val="21"/>
                <w:szCs w:val="21"/>
              </w:rPr>
              <w:t>36.3</w:t>
            </w:r>
          </w:p>
        </w:tc>
        <w:tc>
          <w:tcPr>
            <w:tcW w:w="872" w:type="dxa"/>
            <w:vAlign w:val="center"/>
          </w:tcPr>
          <w:p>
            <w:pPr>
              <w:widowControl/>
              <w:spacing w:line="240" w:lineRule="auto"/>
              <w:ind w:firstLine="0" w:firstLineChars="0"/>
              <w:jc w:val="center"/>
              <w:rPr>
                <w:kern w:val="0"/>
                <w:sz w:val="21"/>
                <w:szCs w:val="21"/>
              </w:rPr>
            </w:pPr>
            <w:r>
              <w:rPr>
                <w:kern w:val="0"/>
                <w:sz w:val="21"/>
                <w:szCs w:val="21"/>
              </w:rPr>
              <w:t>30.1</w:t>
            </w:r>
          </w:p>
        </w:tc>
        <w:tc>
          <w:tcPr>
            <w:tcW w:w="872" w:type="dxa"/>
            <w:vAlign w:val="center"/>
          </w:tcPr>
          <w:p>
            <w:pPr>
              <w:widowControl/>
              <w:spacing w:line="240" w:lineRule="auto"/>
              <w:ind w:firstLine="0" w:firstLineChars="0"/>
              <w:jc w:val="center"/>
              <w:rPr>
                <w:kern w:val="0"/>
                <w:sz w:val="21"/>
                <w:szCs w:val="21"/>
              </w:rPr>
            </w:pPr>
            <w:r>
              <w:rPr>
                <w:kern w:val="0"/>
                <w:sz w:val="21"/>
                <w:szCs w:val="21"/>
              </w:rPr>
              <w:t>25.7</w:t>
            </w:r>
          </w:p>
        </w:tc>
        <w:tc>
          <w:tcPr>
            <w:tcW w:w="872" w:type="dxa"/>
            <w:vAlign w:val="center"/>
          </w:tcPr>
          <w:p>
            <w:pPr>
              <w:widowControl/>
              <w:spacing w:line="240" w:lineRule="auto"/>
              <w:ind w:firstLine="0" w:firstLineChars="0"/>
              <w:jc w:val="center"/>
              <w:rPr>
                <w:kern w:val="0"/>
                <w:sz w:val="21"/>
                <w:szCs w:val="21"/>
              </w:rPr>
            </w:pPr>
            <w:r>
              <w:rPr>
                <w:kern w:val="0"/>
                <w:sz w:val="21"/>
                <w:szCs w:val="21"/>
              </w:rPr>
              <w:t>19.3</w:t>
            </w:r>
          </w:p>
        </w:tc>
        <w:tc>
          <w:tcPr>
            <w:tcW w:w="872" w:type="dxa"/>
            <w:vAlign w:val="center"/>
          </w:tcPr>
          <w:p>
            <w:pPr>
              <w:widowControl/>
              <w:spacing w:line="240" w:lineRule="auto"/>
              <w:ind w:firstLine="0" w:firstLineChars="0"/>
              <w:jc w:val="center"/>
              <w:rPr>
                <w:kern w:val="0"/>
                <w:sz w:val="21"/>
                <w:szCs w:val="21"/>
              </w:rPr>
            </w:pPr>
            <w:r>
              <w:rPr>
                <w:kern w:val="0"/>
                <w:sz w:val="21"/>
                <w:szCs w:val="21"/>
              </w:rPr>
              <w:t>39.7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continue"/>
            <w:vAlign w:val="center"/>
          </w:tcPr>
          <w:p>
            <w:pPr>
              <w:widowControl/>
              <w:spacing w:line="240" w:lineRule="auto"/>
              <w:ind w:firstLine="0" w:firstLineChars="0"/>
              <w:jc w:val="center"/>
              <w:rPr>
                <w:kern w:val="0"/>
                <w:sz w:val="21"/>
                <w:szCs w:val="21"/>
              </w:rPr>
            </w:pPr>
          </w:p>
        </w:tc>
        <w:tc>
          <w:tcPr>
            <w:tcW w:w="1559" w:type="dxa"/>
            <w:vAlign w:val="center"/>
          </w:tcPr>
          <w:p>
            <w:pPr>
              <w:widowControl/>
              <w:spacing w:line="240" w:lineRule="auto"/>
              <w:ind w:firstLine="0" w:firstLineChars="0"/>
              <w:jc w:val="center"/>
              <w:rPr>
                <w:kern w:val="0"/>
                <w:sz w:val="21"/>
                <w:szCs w:val="21"/>
              </w:rPr>
            </w:pPr>
            <w:r>
              <w:rPr>
                <w:kern w:val="0"/>
                <w:sz w:val="21"/>
                <w:szCs w:val="21"/>
              </w:rPr>
              <w:t>极端最低</w:t>
            </w:r>
          </w:p>
        </w:tc>
        <w:tc>
          <w:tcPr>
            <w:tcW w:w="872" w:type="dxa"/>
            <w:vAlign w:val="center"/>
          </w:tcPr>
          <w:p>
            <w:pPr>
              <w:widowControl/>
              <w:spacing w:line="240" w:lineRule="auto"/>
              <w:ind w:firstLine="0" w:firstLineChars="0"/>
              <w:jc w:val="center"/>
              <w:rPr>
                <w:kern w:val="0"/>
                <w:sz w:val="21"/>
                <w:szCs w:val="21"/>
              </w:rPr>
            </w:pPr>
            <w:r>
              <w:rPr>
                <w:kern w:val="0"/>
                <w:sz w:val="21"/>
                <w:szCs w:val="21"/>
              </w:rPr>
              <w:t>-1.4</w:t>
            </w:r>
          </w:p>
        </w:tc>
        <w:tc>
          <w:tcPr>
            <w:tcW w:w="872" w:type="dxa"/>
            <w:vAlign w:val="center"/>
          </w:tcPr>
          <w:p>
            <w:pPr>
              <w:widowControl/>
              <w:spacing w:line="240" w:lineRule="auto"/>
              <w:ind w:firstLine="0" w:firstLineChars="0"/>
              <w:jc w:val="center"/>
              <w:rPr>
                <w:kern w:val="0"/>
                <w:sz w:val="21"/>
                <w:szCs w:val="21"/>
              </w:rPr>
            </w:pPr>
            <w:r>
              <w:rPr>
                <w:kern w:val="0"/>
                <w:sz w:val="21"/>
                <w:szCs w:val="21"/>
              </w:rPr>
              <w:t>0.1</w:t>
            </w:r>
          </w:p>
        </w:tc>
        <w:tc>
          <w:tcPr>
            <w:tcW w:w="872" w:type="dxa"/>
            <w:vAlign w:val="center"/>
          </w:tcPr>
          <w:p>
            <w:pPr>
              <w:widowControl/>
              <w:spacing w:line="240" w:lineRule="auto"/>
              <w:ind w:firstLine="0" w:firstLineChars="0"/>
              <w:jc w:val="center"/>
              <w:rPr>
                <w:kern w:val="0"/>
                <w:sz w:val="21"/>
                <w:szCs w:val="21"/>
              </w:rPr>
            </w:pPr>
            <w:r>
              <w:rPr>
                <w:kern w:val="0"/>
                <w:sz w:val="21"/>
                <w:szCs w:val="21"/>
              </w:rPr>
              <w:t>0.2</w:t>
            </w:r>
          </w:p>
        </w:tc>
        <w:tc>
          <w:tcPr>
            <w:tcW w:w="872" w:type="dxa"/>
            <w:vAlign w:val="center"/>
          </w:tcPr>
          <w:p>
            <w:pPr>
              <w:widowControl/>
              <w:spacing w:line="240" w:lineRule="auto"/>
              <w:ind w:firstLine="0" w:firstLineChars="0"/>
              <w:jc w:val="center"/>
              <w:rPr>
                <w:kern w:val="0"/>
                <w:sz w:val="21"/>
                <w:szCs w:val="21"/>
              </w:rPr>
            </w:pPr>
            <w:r>
              <w:rPr>
                <w:kern w:val="0"/>
                <w:sz w:val="21"/>
                <w:szCs w:val="21"/>
              </w:rPr>
              <w:t>6.0</w:t>
            </w:r>
          </w:p>
        </w:tc>
        <w:tc>
          <w:tcPr>
            <w:tcW w:w="872" w:type="dxa"/>
            <w:vAlign w:val="center"/>
          </w:tcPr>
          <w:p>
            <w:pPr>
              <w:widowControl/>
              <w:spacing w:line="240" w:lineRule="auto"/>
              <w:ind w:firstLine="0" w:firstLineChars="0"/>
              <w:jc w:val="center"/>
              <w:rPr>
                <w:kern w:val="0"/>
                <w:sz w:val="21"/>
                <w:szCs w:val="21"/>
              </w:rPr>
            </w:pPr>
            <w:r>
              <w:rPr>
                <w:kern w:val="0"/>
                <w:sz w:val="21"/>
                <w:szCs w:val="21"/>
              </w:rPr>
              <w:t>10.5</w:t>
            </w:r>
          </w:p>
        </w:tc>
        <w:tc>
          <w:tcPr>
            <w:tcW w:w="872" w:type="dxa"/>
            <w:vAlign w:val="center"/>
          </w:tcPr>
          <w:p>
            <w:pPr>
              <w:widowControl/>
              <w:spacing w:line="240" w:lineRule="auto"/>
              <w:ind w:firstLine="0" w:firstLineChars="0"/>
              <w:jc w:val="center"/>
              <w:rPr>
                <w:kern w:val="0"/>
                <w:sz w:val="21"/>
                <w:szCs w:val="21"/>
              </w:rPr>
            </w:pPr>
            <w:r>
              <w:rPr>
                <w:kern w:val="0"/>
                <w:sz w:val="21"/>
                <w:szCs w:val="21"/>
              </w:rPr>
              <w:t>15.4</w:t>
            </w:r>
          </w:p>
        </w:tc>
        <w:tc>
          <w:tcPr>
            <w:tcW w:w="872" w:type="dxa"/>
            <w:vAlign w:val="center"/>
          </w:tcPr>
          <w:p>
            <w:pPr>
              <w:widowControl/>
              <w:spacing w:line="240" w:lineRule="auto"/>
              <w:ind w:firstLine="0" w:firstLineChars="0"/>
              <w:jc w:val="center"/>
              <w:rPr>
                <w:kern w:val="0"/>
                <w:sz w:val="21"/>
                <w:szCs w:val="21"/>
              </w:rPr>
            </w:pPr>
            <w:r>
              <w:rPr>
                <w:kern w:val="0"/>
                <w:sz w:val="21"/>
                <w:szCs w:val="21"/>
              </w:rPr>
              <w:t>18.5</w:t>
            </w:r>
          </w:p>
        </w:tc>
        <w:tc>
          <w:tcPr>
            <w:tcW w:w="872" w:type="dxa"/>
            <w:vAlign w:val="center"/>
          </w:tcPr>
          <w:p>
            <w:pPr>
              <w:widowControl/>
              <w:spacing w:line="240" w:lineRule="auto"/>
              <w:ind w:firstLine="0" w:firstLineChars="0"/>
              <w:jc w:val="center"/>
              <w:rPr>
                <w:kern w:val="0"/>
                <w:sz w:val="21"/>
                <w:szCs w:val="21"/>
              </w:rPr>
            </w:pPr>
            <w:r>
              <w:rPr>
                <w:kern w:val="0"/>
                <w:sz w:val="21"/>
                <w:szCs w:val="21"/>
              </w:rPr>
              <w:t>17.3</w:t>
            </w:r>
          </w:p>
        </w:tc>
        <w:tc>
          <w:tcPr>
            <w:tcW w:w="872" w:type="dxa"/>
            <w:vAlign w:val="center"/>
          </w:tcPr>
          <w:p>
            <w:pPr>
              <w:widowControl/>
              <w:spacing w:line="240" w:lineRule="auto"/>
              <w:ind w:firstLine="0" w:firstLineChars="0"/>
              <w:jc w:val="center"/>
              <w:rPr>
                <w:kern w:val="0"/>
                <w:sz w:val="21"/>
                <w:szCs w:val="21"/>
              </w:rPr>
            </w:pPr>
            <w:r>
              <w:rPr>
                <w:kern w:val="0"/>
                <w:sz w:val="21"/>
                <w:szCs w:val="21"/>
              </w:rPr>
              <w:t>13.6</w:t>
            </w:r>
          </w:p>
        </w:tc>
        <w:tc>
          <w:tcPr>
            <w:tcW w:w="872" w:type="dxa"/>
            <w:vAlign w:val="center"/>
          </w:tcPr>
          <w:p>
            <w:pPr>
              <w:widowControl/>
              <w:spacing w:line="240" w:lineRule="auto"/>
              <w:ind w:firstLine="0" w:firstLineChars="0"/>
              <w:jc w:val="center"/>
              <w:rPr>
                <w:kern w:val="0"/>
                <w:sz w:val="21"/>
                <w:szCs w:val="21"/>
              </w:rPr>
            </w:pPr>
            <w:r>
              <w:rPr>
                <w:kern w:val="0"/>
                <w:sz w:val="21"/>
                <w:szCs w:val="21"/>
              </w:rPr>
              <w:t>5.3</w:t>
            </w:r>
          </w:p>
        </w:tc>
        <w:tc>
          <w:tcPr>
            <w:tcW w:w="872" w:type="dxa"/>
            <w:vAlign w:val="center"/>
          </w:tcPr>
          <w:p>
            <w:pPr>
              <w:widowControl/>
              <w:spacing w:line="240" w:lineRule="auto"/>
              <w:ind w:firstLine="0" w:firstLineChars="0"/>
              <w:jc w:val="center"/>
              <w:rPr>
                <w:kern w:val="0"/>
                <w:sz w:val="21"/>
                <w:szCs w:val="21"/>
              </w:rPr>
            </w:pPr>
            <w:r>
              <w:rPr>
                <w:kern w:val="0"/>
                <w:sz w:val="21"/>
                <w:szCs w:val="21"/>
              </w:rPr>
              <w:t>2.2</w:t>
            </w:r>
          </w:p>
        </w:tc>
        <w:tc>
          <w:tcPr>
            <w:tcW w:w="872" w:type="dxa"/>
            <w:vAlign w:val="center"/>
          </w:tcPr>
          <w:p>
            <w:pPr>
              <w:widowControl/>
              <w:spacing w:line="240" w:lineRule="auto"/>
              <w:ind w:firstLine="0" w:firstLineChars="0"/>
              <w:jc w:val="center"/>
              <w:rPr>
                <w:kern w:val="0"/>
                <w:sz w:val="21"/>
                <w:szCs w:val="21"/>
              </w:rPr>
            </w:pPr>
            <w:r>
              <w:rPr>
                <w:kern w:val="0"/>
                <w:sz w:val="21"/>
                <w:szCs w:val="21"/>
              </w:rPr>
              <w:t>-1.9</w:t>
            </w:r>
          </w:p>
        </w:tc>
        <w:tc>
          <w:tcPr>
            <w:tcW w:w="872" w:type="dxa"/>
            <w:vAlign w:val="center"/>
          </w:tcPr>
          <w:p>
            <w:pPr>
              <w:widowControl/>
              <w:spacing w:line="240" w:lineRule="auto"/>
              <w:ind w:firstLine="0" w:firstLineChars="0"/>
              <w:jc w:val="center"/>
              <w:rPr>
                <w:kern w:val="0"/>
                <w:sz w:val="21"/>
                <w:szCs w:val="21"/>
              </w:rPr>
            </w:pPr>
            <w:r>
              <w:rPr>
                <w:kern w:val="0"/>
                <w:sz w:val="21"/>
                <w:szCs w:val="21"/>
              </w:rPr>
              <w:t>-1.9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restart"/>
            <w:vAlign w:val="center"/>
          </w:tcPr>
          <w:p>
            <w:pPr>
              <w:widowControl/>
              <w:spacing w:line="240" w:lineRule="auto"/>
              <w:ind w:firstLine="0" w:firstLineChars="0"/>
              <w:jc w:val="center"/>
              <w:rPr>
                <w:kern w:val="0"/>
                <w:sz w:val="21"/>
                <w:szCs w:val="21"/>
              </w:rPr>
            </w:pPr>
            <w:r>
              <w:rPr>
                <w:kern w:val="0"/>
                <w:sz w:val="21"/>
                <w:szCs w:val="21"/>
              </w:rPr>
              <w:t>降水量（mm）</w:t>
            </w:r>
          </w:p>
        </w:tc>
        <w:tc>
          <w:tcPr>
            <w:tcW w:w="1559" w:type="dxa"/>
            <w:vAlign w:val="center"/>
          </w:tcPr>
          <w:p>
            <w:pPr>
              <w:widowControl/>
              <w:spacing w:line="240" w:lineRule="auto"/>
              <w:ind w:firstLine="0" w:firstLineChars="0"/>
              <w:jc w:val="center"/>
              <w:rPr>
                <w:kern w:val="0"/>
                <w:sz w:val="21"/>
                <w:szCs w:val="21"/>
              </w:rPr>
            </w:pPr>
            <w:r>
              <w:rPr>
                <w:kern w:val="0"/>
                <w:sz w:val="21"/>
                <w:szCs w:val="21"/>
              </w:rPr>
              <w:t>多年平均</w:t>
            </w:r>
          </w:p>
        </w:tc>
        <w:tc>
          <w:tcPr>
            <w:tcW w:w="872" w:type="dxa"/>
            <w:vAlign w:val="center"/>
          </w:tcPr>
          <w:p>
            <w:pPr>
              <w:widowControl/>
              <w:spacing w:line="240" w:lineRule="auto"/>
              <w:ind w:firstLine="0" w:firstLineChars="0"/>
              <w:jc w:val="center"/>
              <w:rPr>
                <w:kern w:val="0"/>
                <w:sz w:val="21"/>
                <w:szCs w:val="21"/>
              </w:rPr>
            </w:pPr>
            <w:r>
              <w:rPr>
                <w:kern w:val="0"/>
                <w:sz w:val="21"/>
                <w:szCs w:val="21"/>
              </w:rPr>
              <w:t>15.0</w:t>
            </w:r>
          </w:p>
        </w:tc>
        <w:tc>
          <w:tcPr>
            <w:tcW w:w="872" w:type="dxa"/>
            <w:vAlign w:val="center"/>
          </w:tcPr>
          <w:p>
            <w:pPr>
              <w:widowControl/>
              <w:spacing w:line="240" w:lineRule="auto"/>
              <w:ind w:firstLine="0" w:firstLineChars="0"/>
              <w:jc w:val="center"/>
              <w:rPr>
                <w:kern w:val="0"/>
                <w:sz w:val="21"/>
                <w:szCs w:val="21"/>
              </w:rPr>
            </w:pPr>
            <w:r>
              <w:rPr>
                <w:kern w:val="0"/>
                <w:sz w:val="21"/>
                <w:szCs w:val="21"/>
              </w:rPr>
              <w:t>24.1</w:t>
            </w:r>
          </w:p>
        </w:tc>
        <w:tc>
          <w:tcPr>
            <w:tcW w:w="872" w:type="dxa"/>
            <w:vAlign w:val="center"/>
          </w:tcPr>
          <w:p>
            <w:pPr>
              <w:widowControl/>
              <w:spacing w:line="240" w:lineRule="auto"/>
              <w:ind w:firstLine="0" w:firstLineChars="0"/>
              <w:jc w:val="center"/>
              <w:rPr>
                <w:kern w:val="0"/>
                <w:sz w:val="21"/>
                <w:szCs w:val="21"/>
              </w:rPr>
            </w:pPr>
            <w:r>
              <w:rPr>
                <w:kern w:val="0"/>
                <w:sz w:val="21"/>
                <w:szCs w:val="21"/>
              </w:rPr>
              <w:t>43.8</w:t>
            </w:r>
          </w:p>
        </w:tc>
        <w:tc>
          <w:tcPr>
            <w:tcW w:w="872" w:type="dxa"/>
            <w:vAlign w:val="center"/>
          </w:tcPr>
          <w:p>
            <w:pPr>
              <w:widowControl/>
              <w:spacing w:line="240" w:lineRule="auto"/>
              <w:ind w:firstLine="0" w:firstLineChars="0"/>
              <w:jc w:val="center"/>
              <w:rPr>
                <w:kern w:val="0"/>
                <w:sz w:val="21"/>
                <w:szCs w:val="21"/>
              </w:rPr>
            </w:pPr>
            <w:r>
              <w:rPr>
                <w:kern w:val="0"/>
                <w:sz w:val="21"/>
                <w:szCs w:val="21"/>
              </w:rPr>
              <w:t>86.7</w:t>
            </w:r>
          </w:p>
        </w:tc>
        <w:tc>
          <w:tcPr>
            <w:tcW w:w="872" w:type="dxa"/>
            <w:vAlign w:val="center"/>
          </w:tcPr>
          <w:p>
            <w:pPr>
              <w:widowControl/>
              <w:spacing w:line="240" w:lineRule="auto"/>
              <w:ind w:firstLine="0" w:firstLineChars="0"/>
              <w:jc w:val="center"/>
              <w:rPr>
                <w:kern w:val="0"/>
                <w:sz w:val="21"/>
                <w:szCs w:val="21"/>
              </w:rPr>
            </w:pPr>
            <w:r>
              <w:rPr>
                <w:kern w:val="0"/>
                <w:sz w:val="21"/>
                <w:szCs w:val="21"/>
              </w:rPr>
              <w:t>99.1</w:t>
            </w:r>
          </w:p>
        </w:tc>
        <w:tc>
          <w:tcPr>
            <w:tcW w:w="872" w:type="dxa"/>
            <w:vAlign w:val="center"/>
          </w:tcPr>
          <w:p>
            <w:pPr>
              <w:widowControl/>
              <w:spacing w:line="240" w:lineRule="auto"/>
              <w:ind w:firstLine="0" w:firstLineChars="0"/>
              <w:jc w:val="center"/>
              <w:rPr>
                <w:kern w:val="0"/>
                <w:sz w:val="21"/>
                <w:szCs w:val="21"/>
              </w:rPr>
            </w:pPr>
            <w:r>
              <w:rPr>
                <w:kern w:val="0"/>
                <w:sz w:val="21"/>
                <w:szCs w:val="21"/>
              </w:rPr>
              <w:t>154.0</w:t>
            </w:r>
          </w:p>
        </w:tc>
        <w:tc>
          <w:tcPr>
            <w:tcW w:w="872" w:type="dxa"/>
            <w:vAlign w:val="center"/>
          </w:tcPr>
          <w:p>
            <w:pPr>
              <w:widowControl/>
              <w:spacing w:line="240" w:lineRule="auto"/>
              <w:ind w:firstLine="0" w:firstLineChars="0"/>
              <w:jc w:val="center"/>
              <w:rPr>
                <w:kern w:val="0"/>
                <w:sz w:val="21"/>
                <w:szCs w:val="21"/>
              </w:rPr>
            </w:pPr>
            <w:r>
              <w:rPr>
                <w:kern w:val="0"/>
                <w:sz w:val="21"/>
                <w:szCs w:val="21"/>
              </w:rPr>
              <w:t>266.6</w:t>
            </w:r>
          </w:p>
        </w:tc>
        <w:tc>
          <w:tcPr>
            <w:tcW w:w="872" w:type="dxa"/>
            <w:vAlign w:val="center"/>
          </w:tcPr>
          <w:p>
            <w:pPr>
              <w:widowControl/>
              <w:spacing w:line="240" w:lineRule="auto"/>
              <w:ind w:firstLine="0" w:firstLineChars="0"/>
              <w:jc w:val="center"/>
              <w:rPr>
                <w:kern w:val="0"/>
                <w:sz w:val="21"/>
                <w:szCs w:val="21"/>
              </w:rPr>
            </w:pPr>
            <w:r>
              <w:rPr>
                <w:kern w:val="0"/>
                <w:sz w:val="21"/>
                <w:szCs w:val="21"/>
              </w:rPr>
              <w:t>294.4</w:t>
            </w:r>
          </w:p>
        </w:tc>
        <w:tc>
          <w:tcPr>
            <w:tcW w:w="872" w:type="dxa"/>
            <w:vAlign w:val="center"/>
          </w:tcPr>
          <w:p>
            <w:pPr>
              <w:widowControl/>
              <w:spacing w:line="240" w:lineRule="auto"/>
              <w:ind w:firstLine="0" w:firstLineChars="0"/>
              <w:jc w:val="center"/>
              <w:rPr>
                <w:kern w:val="0"/>
                <w:sz w:val="21"/>
                <w:szCs w:val="21"/>
              </w:rPr>
            </w:pPr>
            <w:r>
              <w:rPr>
                <w:kern w:val="0"/>
                <w:sz w:val="21"/>
                <w:szCs w:val="21"/>
              </w:rPr>
              <w:t>147.0</w:t>
            </w:r>
          </w:p>
        </w:tc>
        <w:tc>
          <w:tcPr>
            <w:tcW w:w="872" w:type="dxa"/>
            <w:vAlign w:val="center"/>
          </w:tcPr>
          <w:p>
            <w:pPr>
              <w:widowControl/>
              <w:spacing w:line="240" w:lineRule="auto"/>
              <w:ind w:firstLine="0" w:firstLineChars="0"/>
              <w:jc w:val="center"/>
              <w:rPr>
                <w:kern w:val="0"/>
                <w:sz w:val="21"/>
                <w:szCs w:val="21"/>
              </w:rPr>
            </w:pPr>
            <w:r>
              <w:rPr>
                <w:kern w:val="0"/>
                <w:sz w:val="21"/>
                <w:szCs w:val="21"/>
              </w:rPr>
              <w:t>58.3</w:t>
            </w:r>
          </w:p>
        </w:tc>
        <w:tc>
          <w:tcPr>
            <w:tcW w:w="872" w:type="dxa"/>
            <w:vAlign w:val="center"/>
          </w:tcPr>
          <w:p>
            <w:pPr>
              <w:widowControl/>
              <w:spacing w:line="240" w:lineRule="auto"/>
              <w:ind w:firstLine="0" w:firstLineChars="0"/>
              <w:jc w:val="center"/>
              <w:rPr>
                <w:kern w:val="0"/>
                <w:sz w:val="21"/>
                <w:szCs w:val="21"/>
              </w:rPr>
            </w:pPr>
            <w:r>
              <w:rPr>
                <w:kern w:val="0"/>
                <w:sz w:val="21"/>
                <w:szCs w:val="21"/>
              </w:rPr>
              <w:t>30.7</w:t>
            </w:r>
          </w:p>
        </w:tc>
        <w:tc>
          <w:tcPr>
            <w:tcW w:w="872" w:type="dxa"/>
            <w:vAlign w:val="center"/>
          </w:tcPr>
          <w:p>
            <w:pPr>
              <w:widowControl/>
              <w:spacing w:line="240" w:lineRule="auto"/>
              <w:ind w:firstLine="0" w:firstLineChars="0"/>
              <w:jc w:val="center"/>
              <w:rPr>
                <w:kern w:val="0"/>
                <w:sz w:val="21"/>
                <w:szCs w:val="21"/>
              </w:rPr>
            </w:pPr>
            <w:r>
              <w:rPr>
                <w:kern w:val="0"/>
                <w:sz w:val="21"/>
                <w:szCs w:val="21"/>
              </w:rPr>
              <w:t>11.8</w:t>
            </w:r>
          </w:p>
        </w:tc>
        <w:tc>
          <w:tcPr>
            <w:tcW w:w="872" w:type="dxa"/>
            <w:vAlign w:val="center"/>
          </w:tcPr>
          <w:p>
            <w:pPr>
              <w:widowControl/>
              <w:spacing w:line="240" w:lineRule="auto"/>
              <w:ind w:firstLine="0" w:firstLineChars="0"/>
              <w:jc w:val="center"/>
              <w:rPr>
                <w:kern w:val="0"/>
                <w:sz w:val="21"/>
                <w:szCs w:val="21"/>
              </w:rPr>
            </w:pPr>
            <w:r>
              <w:rPr>
                <w:kern w:val="0"/>
                <w:sz w:val="21"/>
                <w:szCs w:val="21"/>
              </w:rPr>
              <w:t>1231.5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9" w:hRule="atLeast"/>
        </w:trPr>
        <w:tc>
          <w:tcPr>
            <w:tcW w:w="1108" w:type="dxa"/>
            <w:vMerge w:val="continue"/>
            <w:vAlign w:val="center"/>
          </w:tcPr>
          <w:p>
            <w:pPr>
              <w:widowControl/>
              <w:spacing w:line="240" w:lineRule="auto"/>
              <w:ind w:firstLine="0" w:firstLineChars="0"/>
              <w:jc w:val="center"/>
              <w:rPr>
                <w:kern w:val="0"/>
                <w:sz w:val="21"/>
                <w:szCs w:val="21"/>
              </w:rPr>
            </w:pPr>
          </w:p>
        </w:tc>
        <w:tc>
          <w:tcPr>
            <w:tcW w:w="1559" w:type="dxa"/>
            <w:vAlign w:val="center"/>
          </w:tcPr>
          <w:p>
            <w:pPr>
              <w:widowControl/>
              <w:spacing w:line="240" w:lineRule="auto"/>
              <w:ind w:firstLine="0" w:firstLineChars="0"/>
              <w:jc w:val="center"/>
              <w:rPr>
                <w:kern w:val="0"/>
                <w:sz w:val="21"/>
                <w:szCs w:val="21"/>
              </w:rPr>
            </w:pPr>
            <w:r>
              <w:rPr>
                <w:kern w:val="0"/>
                <w:sz w:val="21"/>
                <w:szCs w:val="21"/>
              </w:rPr>
              <w:t>历年一日最大</w:t>
            </w:r>
          </w:p>
        </w:tc>
        <w:tc>
          <w:tcPr>
            <w:tcW w:w="872" w:type="dxa"/>
            <w:vAlign w:val="center"/>
          </w:tcPr>
          <w:p>
            <w:pPr>
              <w:widowControl/>
              <w:spacing w:line="240" w:lineRule="auto"/>
              <w:ind w:firstLine="0" w:firstLineChars="0"/>
              <w:jc w:val="center"/>
              <w:rPr>
                <w:kern w:val="0"/>
                <w:sz w:val="21"/>
                <w:szCs w:val="21"/>
              </w:rPr>
            </w:pPr>
            <w:r>
              <w:rPr>
                <w:kern w:val="0"/>
                <w:sz w:val="21"/>
                <w:szCs w:val="21"/>
              </w:rPr>
              <w:t>8.9</w:t>
            </w:r>
          </w:p>
        </w:tc>
        <w:tc>
          <w:tcPr>
            <w:tcW w:w="872" w:type="dxa"/>
            <w:vAlign w:val="center"/>
          </w:tcPr>
          <w:p>
            <w:pPr>
              <w:widowControl/>
              <w:spacing w:line="240" w:lineRule="auto"/>
              <w:ind w:firstLine="0" w:firstLineChars="0"/>
              <w:jc w:val="center"/>
              <w:rPr>
                <w:kern w:val="0"/>
                <w:sz w:val="21"/>
                <w:szCs w:val="21"/>
              </w:rPr>
            </w:pPr>
            <w:r>
              <w:rPr>
                <w:kern w:val="0"/>
                <w:sz w:val="21"/>
                <w:szCs w:val="21"/>
              </w:rPr>
              <w:t>19.2</w:t>
            </w:r>
          </w:p>
        </w:tc>
        <w:tc>
          <w:tcPr>
            <w:tcW w:w="872" w:type="dxa"/>
            <w:vAlign w:val="center"/>
          </w:tcPr>
          <w:p>
            <w:pPr>
              <w:widowControl/>
              <w:spacing w:line="240" w:lineRule="auto"/>
              <w:ind w:firstLine="0" w:firstLineChars="0"/>
              <w:jc w:val="center"/>
              <w:rPr>
                <w:kern w:val="0"/>
                <w:sz w:val="21"/>
                <w:szCs w:val="21"/>
              </w:rPr>
            </w:pPr>
            <w:r>
              <w:rPr>
                <w:kern w:val="0"/>
                <w:sz w:val="21"/>
                <w:szCs w:val="21"/>
              </w:rPr>
              <w:t>24.3</w:t>
            </w:r>
          </w:p>
        </w:tc>
        <w:tc>
          <w:tcPr>
            <w:tcW w:w="872" w:type="dxa"/>
            <w:vAlign w:val="center"/>
          </w:tcPr>
          <w:p>
            <w:pPr>
              <w:widowControl/>
              <w:spacing w:line="240" w:lineRule="auto"/>
              <w:ind w:firstLine="0" w:firstLineChars="0"/>
              <w:jc w:val="center"/>
              <w:rPr>
                <w:kern w:val="0"/>
                <w:sz w:val="21"/>
                <w:szCs w:val="21"/>
              </w:rPr>
            </w:pPr>
            <w:r>
              <w:rPr>
                <w:kern w:val="0"/>
                <w:sz w:val="21"/>
                <w:szCs w:val="21"/>
              </w:rPr>
              <w:t>106.0</w:t>
            </w:r>
          </w:p>
        </w:tc>
        <w:tc>
          <w:tcPr>
            <w:tcW w:w="872" w:type="dxa"/>
            <w:vAlign w:val="center"/>
          </w:tcPr>
          <w:p>
            <w:pPr>
              <w:widowControl/>
              <w:spacing w:line="240" w:lineRule="auto"/>
              <w:ind w:firstLine="0" w:firstLineChars="0"/>
              <w:jc w:val="center"/>
              <w:rPr>
                <w:kern w:val="0"/>
                <w:sz w:val="21"/>
                <w:szCs w:val="21"/>
              </w:rPr>
            </w:pPr>
            <w:r>
              <w:rPr>
                <w:kern w:val="0"/>
                <w:sz w:val="21"/>
                <w:szCs w:val="21"/>
              </w:rPr>
              <w:t>92.2</w:t>
            </w:r>
          </w:p>
        </w:tc>
        <w:tc>
          <w:tcPr>
            <w:tcW w:w="872" w:type="dxa"/>
            <w:vAlign w:val="center"/>
          </w:tcPr>
          <w:p>
            <w:pPr>
              <w:widowControl/>
              <w:spacing w:line="240" w:lineRule="auto"/>
              <w:ind w:firstLine="0" w:firstLineChars="0"/>
              <w:jc w:val="center"/>
              <w:rPr>
                <w:kern w:val="0"/>
                <w:sz w:val="21"/>
                <w:szCs w:val="21"/>
              </w:rPr>
            </w:pPr>
            <w:r>
              <w:rPr>
                <w:kern w:val="0"/>
                <w:sz w:val="21"/>
                <w:szCs w:val="21"/>
              </w:rPr>
              <w:t>210.4</w:t>
            </w:r>
          </w:p>
        </w:tc>
        <w:tc>
          <w:tcPr>
            <w:tcW w:w="872" w:type="dxa"/>
            <w:vAlign w:val="center"/>
          </w:tcPr>
          <w:p>
            <w:pPr>
              <w:widowControl/>
              <w:spacing w:line="240" w:lineRule="auto"/>
              <w:ind w:firstLine="0" w:firstLineChars="0"/>
              <w:jc w:val="center"/>
              <w:rPr>
                <w:kern w:val="0"/>
                <w:sz w:val="21"/>
                <w:szCs w:val="21"/>
              </w:rPr>
            </w:pPr>
            <w:r>
              <w:rPr>
                <w:kern w:val="0"/>
                <w:sz w:val="21"/>
                <w:szCs w:val="21"/>
              </w:rPr>
              <w:t>326.8</w:t>
            </w:r>
          </w:p>
        </w:tc>
        <w:tc>
          <w:tcPr>
            <w:tcW w:w="872" w:type="dxa"/>
            <w:vAlign w:val="center"/>
          </w:tcPr>
          <w:p>
            <w:pPr>
              <w:widowControl/>
              <w:spacing w:line="240" w:lineRule="auto"/>
              <w:ind w:firstLine="0" w:firstLineChars="0"/>
              <w:jc w:val="center"/>
              <w:rPr>
                <w:kern w:val="0"/>
                <w:sz w:val="21"/>
                <w:szCs w:val="21"/>
              </w:rPr>
            </w:pPr>
            <w:r>
              <w:rPr>
                <w:kern w:val="0"/>
                <w:sz w:val="21"/>
                <w:szCs w:val="21"/>
              </w:rPr>
              <w:t>187.5</w:t>
            </w:r>
          </w:p>
        </w:tc>
        <w:tc>
          <w:tcPr>
            <w:tcW w:w="872" w:type="dxa"/>
            <w:vAlign w:val="center"/>
          </w:tcPr>
          <w:p>
            <w:pPr>
              <w:widowControl/>
              <w:spacing w:line="240" w:lineRule="auto"/>
              <w:ind w:firstLine="0" w:firstLineChars="0"/>
              <w:jc w:val="center"/>
              <w:rPr>
                <w:kern w:val="0"/>
                <w:sz w:val="21"/>
                <w:szCs w:val="21"/>
              </w:rPr>
            </w:pPr>
            <w:r>
              <w:rPr>
                <w:kern w:val="0"/>
                <w:sz w:val="21"/>
                <w:szCs w:val="21"/>
              </w:rPr>
              <w:t>247.3</w:t>
            </w:r>
          </w:p>
        </w:tc>
        <w:tc>
          <w:tcPr>
            <w:tcW w:w="872" w:type="dxa"/>
            <w:vAlign w:val="center"/>
          </w:tcPr>
          <w:p>
            <w:pPr>
              <w:widowControl/>
              <w:spacing w:line="240" w:lineRule="auto"/>
              <w:ind w:firstLine="0" w:firstLineChars="0"/>
              <w:jc w:val="center"/>
              <w:rPr>
                <w:kern w:val="0"/>
                <w:sz w:val="21"/>
                <w:szCs w:val="21"/>
              </w:rPr>
            </w:pPr>
            <w:r>
              <w:rPr>
                <w:kern w:val="0"/>
                <w:sz w:val="21"/>
                <w:szCs w:val="21"/>
              </w:rPr>
              <w:t>81.1</w:t>
            </w:r>
          </w:p>
        </w:tc>
        <w:tc>
          <w:tcPr>
            <w:tcW w:w="872" w:type="dxa"/>
            <w:vAlign w:val="center"/>
          </w:tcPr>
          <w:p>
            <w:pPr>
              <w:widowControl/>
              <w:spacing w:line="240" w:lineRule="auto"/>
              <w:ind w:firstLine="0" w:firstLineChars="0"/>
              <w:jc w:val="center"/>
              <w:rPr>
                <w:kern w:val="0"/>
                <w:sz w:val="21"/>
                <w:szCs w:val="21"/>
              </w:rPr>
            </w:pPr>
            <w:r>
              <w:rPr>
                <w:kern w:val="0"/>
                <w:sz w:val="21"/>
                <w:szCs w:val="21"/>
              </w:rPr>
              <w:t>42.5</w:t>
            </w:r>
          </w:p>
        </w:tc>
        <w:tc>
          <w:tcPr>
            <w:tcW w:w="872" w:type="dxa"/>
            <w:vAlign w:val="center"/>
          </w:tcPr>
          <w:p>
            <w:pPr>
              <w:widowControl/>
              <w:spacing w:line="240" w:lineRule="auto"/>
              <w:ind w:firstLine="0" w:firstLineChars="0"/>
              <w:jc w:val="center"/>
              <w:rPr>
                <w:kern w:val="0"/>
                <w:sz w:val="21"/>
                <w:szCs w:val="21"/>
              </w:rPr>
            </w:pPr>
            <w:r>
              <w:rPr>
                <w:kern w:val="0"/>
                <w:sz w:val="21"/>
                <w:szCs w:val="21"/>
              </w:rPr>
              <w:t>14.8</w:t>
            </w:r>
          </w:p>
        </w:tc>
        <w:tc>
          <w:tcPr>
            <w:tcW w:w="872" w:type="dxa"/>
            <w:vAlign w:val="center"/>
          </w:tcPr>
          <w:p>
            <w:pPr>
              <w:widowControl/>
              <w:spacing w:line="240" w:lineRule="auto"/>
              <w:ind w:firstLine="0" w:firstLineChars="0"/>
              <w:jc w:val="center"/>
              <w:rPr>
                <w:kern w:val="0"/>
                <w:sz w:val="21"/>
                <w:szCs w:val="21"/>
              </w:rPr>
            </w:pPr>
            <w:r>
              <w:rPr>
                <w:kern w:val="0"/>
                <w:sz w:val="21"/>
                <w:szCs w:val="21"/>
              </w:rPr>
              <w:t>326.8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9" w:hRule="atLeast"/>
        </w:trPr>
        <w:tc>
          <w:tcPr>
            <w:tcW w:w="1108" w:type="dxa"/>
            <w:vMerge w:val="restart"/>
            <w:vAlign w:val="center"/>
          </w:tcPr>
          <w:p>
            <w:pPr>
              <w:widowControl/>
              <w:spacing w:line="240" w:lineRule="auto"/>
              <w:ind w:firstLine="0" w:firstLineChars="0"/>
              <w:jc w:val="center"/>
              <w:rPr>
                <w:kern w:val="0"/>
                <w:sz w:val="21"/>
                <w:szCs w:val="21"/>
              </w:rPr>
            </w:pPr>
            <w:r>
              <w:rPr>
                <w:kern w:val="0"/>
                <w:sz w:val="21"/>
                <w:szCs w:val="21"/>
              </w:rPr>
              <w:t>相对湿度（%）</w:t>
            </w:r>
          </w:p>
        </w:tc>
        <w:tc>
          <w:tcPr>
            <w:tcW w:w="1559" w:type="dxa"/>
            <w:vAlign w:val="center"/>
          </w:tcPr>
          <w:p>
            <w:pPr>
              <w:widowControl/>
              <w:spacing w:line="240" w:lineRule="auto"/>
              <w:ind w:firstLine="0" w:firstLineChars="0"/>
              <w:jc w:val="center"/>
              <w:rPr>
                <w:kern w:val="0"/>
                <w:sz w:val="21"/>
                <w:szCs w:val="21"/>
              </w:rPr>
            </w:pPr>
            <w:r>
              <w:rPr>
                <w:kern w:val="0"/>
                <w:sz w:val="21"/>
                <w:szCs w:val="21"/>
              </w:rPr>
              <w:t>多年平均</w:t>
            </w:r>
          </w:p>
        </w:tc>
        <w:tc>
          <w:tcPr>
            <w:tcW w:w="872" w:type="dxa"/>
            <w:vAlign w:val="center"/>
          </w:tcPr>
          <w:p>
            <w:pPr>
              <w:widowControl/>
              <w:spacing w:line="240" w:lineRule="auto"/>
              <w:ind w:firstLine="0" w:firstLineChars="0"/>
              <w:jc w:val="center"/>
              <w:rPr>
                <w:kern w:val="0"/>
                <w:sz w:val="21"/>
                <w:szCs w:val="21"/>
              </w:rPr>
            </w:pPr>
            <w:r>
              <w:rPr>
                <w:kern w:val="0"/>
                <w:sz w:val="21"/>
                <w:szCs w:val="21"/>
              </w:rPr>
              <w:t>81.7</w:t>
            </w:r>
          </w:p>
        </w:tc>
        <w:tc>
          <w:tcPr>
            <w:tcW w:w="872" w:type="dxa"/>
            <w:vAlign w:val="center"/>
          </w:tcPr>
          <w:p>
            <w:pPr>
              <w:widowControl/>
              <w:spacing w:line="240" w:lineRule="auto"/>
              <w:ind w:firstLine="0" w:firstLineChars="0"/>
              <w:jc w:val="center"/>
              <w:rPr>
                <w:kern w:val="0"/>
                <w:sz w:val="21"/>
                <w:szCs w:val="21"/>
              </w:rPr>
            </w:pPr>
            <w:r>
              <w:rPr>
                <w:kern w:val="0"/>
                <w:sz w:val="21"/>
                <w:szCs w:val="21"/>
              </w:rPr>
              <w:t>79.4</w:t>
            </w:r>
          </w:p>
        </w:tc>
        <w:tc>
          <w:tcPr>
            <w:tcW w:w="872" w:type="dxa"/>
            <w:vAlign w:val="center"/>
          </w:tcPr>
          <w:p>
            <w:pPr>
              <w:widowControl/>
              <w:spacing w:line="240" w:lineRule="auto"/>
              <w:ind w:firstLine="0" w:firstLineChars="0"/>
              <w:jc w:val="center"/>
              <w:rPr>
                <w:kern w:val="0"/>
                <w:sz w:val="21"/>
                <w:szCs w:val="21"/>
              </w:rPr>
            </w:pPr>
            <w:r>
              <w:rPr>
                <w:kern w:val="0"/>
                <w:sz w:val="21"/>
                <w:szCs w:val="21"/>
              </w:rPr>
              <w:t>76.2</w:t>
            </w:r>
          </w:p>
        </w:tc>
        <w:tc>
          <w:tcPr>
            <w:tcW w:w="872" w:type="dxa"/>
            <w:vAlign w:val="center"/>
          </w:tcPr>
          <w:p>
            <w:pPr>
              <w:widowControl/>
              <w:spacing w:line="240" w:lineRule="auto"/>
              <w:ind w:firstLine="0" w:firstLineChars="0"/>
              <w:jc w:val="center"/>
              <w:rPr>
                <w:kern w:val="0"/>
                <w:sz w:val="21"/>
                <w:szCs w:val="21"/>
              </w:rPr>
            </w:pPr>
            <w:r>
              <w:rPr>
                <w:kern w:val="0"/>
                <w:sz w:val="21"/>
                <w:szCs w:val="21"/>
              </w:rPr>
              <w:t>74.1</w:t>
            </w:r>
          </w:p>
        </w:tc>
        <w:tc>
          <w:tcPr>
            <w:tcW w:w="872" w:type="dxa"/>
            <w:vAlign w:val="center"/>
          </w:tcPr>
          <w:p>
            <w:pPr>
              <w:widowControl/>
              <w:spacing w:line="240" w:lineRule="auto"/>
              <w:ind w:firstLine="0" w:firstLineChars="0"/>
              <w:jc w:val="center"/>
              <w:rPr>
                <w:kern w:val="0"/>
                <w:sz w:val="21"/>
                <w:szCs w:val="21"/>
              </w:rPr>
            </w:pPr>
            <w:r>
              <w:rPr>
                <w:kern w:val="0"/>
                <w:sz w:val="21"/>
                <w:szCs w:val="21"/>
              </w:rPr>
              <w:t>72.8</w:t>
            </w:r>
          </w:p>
        </w:tc>
        <w:tc>
          <w:tcPr>
            <w:tcW w:w="872" w:type="dxa"/>
            <w:vAlign w:val="center"/>
          </w:tcPr>
          <w:p>
            <w:pPr>
              <w:widowControl/>
              <w:spacing w:line="240" w:lineRule="auto"/>
              <w:ind w:firstLine="0" w:firstLineChars="0"/>
              <w:jc w:val="center"/>
              <w:rPr>
                <w:kern w:val="0"/>
                <w:sz w:val="21"/>
                <w:szCs w:val="21"/>
              </w:rPr>
            </w:pPr>
            <w:r>
              <w:rPr>
                <w:kern w:val="0"/>
                <w:sz w:val="21"/>
                <w:szCs w:val="21"/>
              </w:rPr>
              <w:t>79.0</w:t>
            </w:r>
          </w:p>
        </w:tc>
        <w:tc>
          <w:tcPr>
            <w:tcW w:w="872" w:type="dxa"/>
            <w:vAlign w:val="center"/>
          </w:tcPr>
          <w:p>
            <w:pPr>
              <w:widowControl/>
              <w:spacing w:line="240" w:lineRule="auto"/>
              <w:ind w:firstLine="0" w:firstLineChars="0"/>
              <w:jc w:val="center"/>
              <w:rPr>
                <w:kern w:val="0"/>
                <w:sz w:val="21"/>
                <w:szCs w:val="21"/>
              </w:rPr>
            </w:pPr>
            <w:r>
              <w:rPr>
                <w:kern w:val="0"/>
                <w:sz w:val="21"/>
                <w:szCs w:val="21"/>
              </w:rPr>
              <w:t>81.1</w:t>
            </w:r>
          </w:p>
        </w:tc>
        <w:tc>
          <w:tcPr>
            <w:tcW w:w="872" w:type="dxa"/>
            <w:vAlign w:val="center"/>
          </w:tcPr>
          <w:p>
            <w:pPr>
              <w:widowControl/>
              <w:spacing w:line="240" w:lineRule="auto"/>
              <w:ind w:firstLine="0" w:firstLineChars="0"/>
              <w:jc w:val="center"/>
              <w:rPr>
                <w:kern w:val="0"/>
                <w:sz w:val="21"/>
                <w:szCs w:val="21"/>
              </w:rPr>
            </w:pPr>
            <w:r>
              <w:rPr>
                <w:kern w:val="0"/>
                <w:sz w:val="21"/>
                <w:szCs w:val="21"/>
              </w:rPr>
              <w:t>81.5</w:t>
            </w:r>
          </w:p>
        </w:tc>
        <w:tc>
          <w:tcPr>
            <w:tcW w:w="872" w:type="dxa"/>
            <w:vAlign w:val="center"/>
          </w:tcPr>
          <w:p>
            <w:pPr>
              <w:widowControl/>
              <w:spacing w:line="240" w:lineRule="auto"/>
              <w:ind w:firstLine="0" w:firstLineChars="0"/>
              <w:jc w:val="center"/>
              <w:rPr>
                <w:kern w:val="0"/>
                <w:sz w:val="21"/>
                <w:szCs w:val="21"/>
              </w:rPr>
            </w:pPr>
            <w:r>
              <w:rPr>
                <w:kern w:val="0"/>
                <w:sz w:val="21"/>
                <w:szCs w:val="21"/>
              </w:rPr>
              <w:t>82.9</w:t>
            </w:r>
          </w:p>
        </w:tc>
        <w:tc>
          <w:tcPr>
            <w:tcW w:w="872" w:type="dxa"/>
            <w:vAlign w:val="center"/>
          </w:tcPr>
          <w:p>
            <w:pPr>
              <w:widowControl/>
              <w:spacing w:line="240" w:lineRule="auto"/>
              <w:ind w:firstLine="0" w:firstLineChars="0"/>
              <w:jc w:val="center"/>
              <w:rPr>
                <w:kern w:val="0"/>
                <w:sz w:val="21"/>
                <w:szCs w:val="21"/>
              </w:rPr>
            </w:pPr>
            <w:r>
              <w:rPr>
                <w:kern w:val="0"/>
                <w:sz w:val="21"/>
                <w:szCs w:val="21"/>
              </w:rPr>
              <w:t>84.0</w:t>
            </w:r>
          </w:p>
        </w:tc>
        <w:tc>
          <w:tcPr>
            <w:tcW w:w="872" w:type="dxa"/>
            <w:vAlign w:val="center"/>
          </w:tcPr>
          <w:p>
            <w:pPr>
              <w:widowControl/>
              <w:spacing w:line="240" w:lineRule="auto"/>
              <w:ind w:firstLine="0" w:firstLineChars="0"/>
              <w:jc w:val="center"/>
              <w:rPr>
                <w:kern w:val="0"/>
                <w:sz w:val="21"/>
                <w:szCs w:val="21"/>
              </w:rPr>
            </w:pPr>
            <w:r>
              <w:rPr>
                <w:kern w:val="0"/>
                <w:sz w:val="21"/>
                <w:szCs w:val="21"/>
              </w:rPr>
              <w:t>82.0</w:t>
            </w:r>
          </w:p>
        </w:tc>
        <w:tc>
          <w:tcPr>
            <w:tcW w:w="872" w:type="dxa"/>
            <w:vAlign w:val="center"/>
          </w:tcPr>
          <w:p>
            <w:pPr>
              <w:widowControl/>
              <w:spacing w:line="240" w:lineRule="auto"/>
              <w:ind w:firstLine="0" w:firstLineChars="0"/>
              <w:jc w:val="center"/>
              <w:rPr>
                <w:kern w:val="0"/>
                <w:sz w:val="21"/>
                <w:szCs w:val="21"/>
              </w:rPr>
            </w:pPr>
            <w:r>
              <w:rPr>
                <w:kern w:val="0"/>
                <w:sz w:val="21"/>
                <w:szCs w:val="21"/>
              </w:rPr>
              <w:t>82.5</w:t>
            </w:r>
          </w:p>
        </w:tc>
        <w:tc>
          <w:tcPr>
            <w:tcW w:w="872" w:type="dxa"/>
            <w:vAlign w:val="center"/>
          </w:tcPr>
          <w:p>
            <w:pPr>
              <w:widowControl/>
              <w:spacing w:line="240" w:lineRule="auto"/>
              <w:ind w:firstLine="0" w:firstLineChars="0"/>
              <w:jc w:val="center"/>
              <w:rPr>
                <w:kern w:val="0"/>
                <w:sz w:val="21"/>
                <w:szCs w:val="21"/>
              </w:rPr>
            </w:pPr>
            <w:r>
              <w:rPr>
                <w:kern w:val="0"/>
                <w:sz w:val="21"/>
                <w:szCs w:val="21"/>
              </w:rPr>
              <w:t>79.8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continue"/>
            <w:vAlign w:val="center"/>
          </w:tcPr>
          <w:p>
            <w:pPr>
              <w:widowControl/>
              <w:spacing w:line="240" w:lineRule="auto"/>
              <w:ind w:firstLine="0" w:firstLineChars="0"/>
              <w:jc w:val="center"/>
              <w:rPr>
                <w:kern w:val="0"/>
                <w:sz w:val="21"/>
                <w:szCs w:val="21"/>
              </w:rPr>
            </w:pPr>
          </w:p>
        </w:tc>
        <w:tc>
          <w:tcPr>
            <w:tcW w:w="1559" w:type="dxa"/>
            <w:vAlign w:val="center"/>
          </w:tcPr>
          <w:p>
            <w:pPr>
              <w:widowControl/>
              <w:spacing w:line="240" w:lineRule="auto"/>
              <w:ind w:firstLine="0" w:firstLineChars="0"/>
              <w:jc w:val="center"/>
              <w:rPr>
                <w:kern w:val="0"/>
                <w:sz w:val="21"/>
                <w:szCs w:val="21"/>
              </w:rPr>
            </w:pPr>
            <w:r>
              <w:rPr>
                <w:kern w:val="0"/>
                <w:sz w:val="21"/>
                <w:szCs w:val="21"/>
              </w:rPr>
              <w:t>历年最小</w:t>
            </w:r>
          </w:p>
        </w:tc>
        <w:tc>
          <w:tcPr>
            <w:tcW w:w="872" w:type="dxa"/>
            <w:vAlign w:val="center"/>
          </w:tcPr>
          <w:p>
            <w:pPr>
              <w:widowControl/>
              <w:spacing w:line="240" w:lineRule="auto"/>
              <w:ind w:firstLine="0" w:firstLineChars="0"/>
              <w:jc w:val="center"/>
              <w:rPr>
                <w:kern w:val="0"/>
                <w:sz w:val="21"/>
                <w:szCs w:val="21"/>
              </w:rPr>
            </w:pPr>
            <w:r>
              <w:rPr>
                <w:kern w:val="0"/>
                <w:sz w:val="21"/>
                <w:szCs w:val="21"/>
              </w:rPr>
              <w:t>23.0</w:t>
            </w:r>
          </w:p>
        </w:tc>
        <w:tc>
          <w:tcPr>
            <w:tcW w:w="872" w:type="dxa"/>
            <w:vAlign w:val="center"/>
          </w:tcPr>
          <w:p>
            <w:pPr>
              <w:widowControl/>
              <w:spacing w:line="240" w:lineRule="auto"/>
              <w:ind w:firstLine="0" w:firstLineChars="0"/>
              <w:jc w:val="center"/>
              <w:rPr>
                <w:kern w:val="0"/>
                <w:sz w:val="21"/>
                <w:szCs w:val="21"/>
              </w:rPr>
            </w:pPr>
            <w:r>
              <w:rPr>
                <w:kern w:val="0"/>
                <w:sz w:val="21"/>
                <w:szCs w:val="21"/>
              </w:rPr>
              <w:t>22.0</w:t>
            </w:r>
          </w:p>
        </w:tc>
        <w:tc>
          <w:tcPr>
            <w:tcW w:w="872" w:type="dxa"/>
            <w:vAlign w:val="center"/>
          </w:tcPr>
          <w:p>
            <w:pPr>
              <w:widowControl/>
              <w:spacing w:line="240" w:lineRule="auto"/>
              <w:ind w:firstLine="0" w:firstLineChars="0"/>
              <w:jc w:val="center"/>
              <w:rPr>
                <w:kern w:val="0"/>
                <w:sz w:val="21"/>
                <w:szCs w:val="21"/>
              </w:rPr>
            </w:pPr>
            <w:r>
              <w:rPr>
                <w:kern w:val="0"/>
                <w:sz w:val="21"/>
                <w:szCs w:val="21"/>
              </w:rPr>
              <w:t>21.0</w:t>
            </w:r>
          </w:p>
        </w:tc>
        <w:tc>
          <w:tcPr>
            <w:tcW w:w="872" w:type="dxa"/>
            <w:vAlign w:val="center"/>
          </w:tcPr>
          <w:p>
            <w:pPr>
              <w:widowControl/>
              <w:spacing w:line="240" w:lineRule="auto"/>
              <w:ind w:firstLine="0" w:firstLineChars="0"/>
              <w:jc w:val="center"/>
              <w:rPr>
                <w:kern w:val="0"/>
                <w:sz w:val="21"/>
                <w:szCs w:val="21"/>
              </w:rPr>
            </w:pPr>
            <w:r>
              <w:rPr>
                <w:kern w:val="0"/>
                <w:sz w:val="21"/>
                <w:szCs w:val="21"/>
              </w:rPr>
              <w:t>19.0</w:t>
            </w:r>
          </w:p>
        </w:tc>
        <w:tc>
          <w:tcPr>
            <w:tcW w:w="872" w:type="dxa"/>
            <w:vAlign w:val="center"/>
          </w:tcPr>
          <w:p>
            <w:pPr>
              <w:widowControl/>
              <w:spacing w:line="240" w:lineRule="auto"/>
              <w:ind w:firstLine="0" w:firstLineChars="0"/>
              <w:jc w:val="center"/>
              <w:rPr>
                <w:kern w:val="0"/>
                <w:sz w:val="21"/>
                <w:szCs w:val="21"/>
              </w:rPr>
            </w:pPr>
            <w:r>
              <w:rPr>
                <w:kern w:val="0"/>
                <w:sz w:val="21"/>
                <w:szCs w:val="21"/>
              </w:rPr>
              <w:t>19.0</w:t>
            </w:r>
          </w:p>
        </w:tc>
        <w:tc>
          <w:tcPr>
            <w:tcW w:w="872" w:type="dxa"/>
            <w:vAlign w:val="center"/>
          </w:tcPr>
          <w:p>
            <w:pPr>
              <w:widowControl/>
              <w:spacing w:line="240" w:lineRule="auto"/>
              <w:ind w:firstLine="0" w:firstLineChars="0"/>
              <w:jc w:val="center"/>
              <w:rPr>
                <w:kern w:val="0"/>
                <w:sz w:val="21"/>
                <w:szCs w:val="21"/>
              </w:rPr>
            </w:pPr>
            <w:r>
              <w:rPr>
                <w:kern w:val="0"/>
                <w:sz w:val="21"/>
                <w:szCs w:val="21"/>
              </w:rPr>
              <w:t>21.0</w:t>
            </w:r>
          </w:p>
        </w:tc>
        <w:tc>
          <w:tcPr>
            <w:tcW w:w="872" w:type="dxa"/>
            <w:vAlign w:val="center"/>
          </w:tcPr>
          <w:p>
            <w:pPr>
              <w:widowControl/>
              <w:spacing w:line="240" w:lineRule="auto"/>
              <w:ind w:firstLine="0" w:firstLineChars="0"/>
              <w:jc w:val="center"/>
              <w:rPr>
                <w:kern w:val="0"/>
                <w:sz w:val="21"/>
                <w:szCs w:val="21"/>
              </w:rPr>
            </w:pPr>
            <w:r>
              <w:rPr>
                <w:kern w:val="0"/>
                <w:sz w:val="21"/>
                <w:szCs w:val="21"/>
              </w:rPr>
              <w:t>25.0</w:t>
            </w:r>
          </w:p>
        </w:tc>
        <w:tc>
          <w:tcPr>
            <w:tcW w:w="872" w:type="dxa"/>
            <w:vAlign w:val="center"/>
          </w:tcPr>
          <w:p>
            <w:pPr>
              <w:widowControl/>
              <w:spacing w:line="240" w:lineRule="auto"/>
              <w:ind w:firstLine="0" w:firstLineChars="0"/>
              <w:jc w:val="center"/>
              <w:rPr>
                <w:kern w:val="0"/>
                <w:sz w:val="21"/>
                <w:szCs w:val="21"/>
              </w:rPr>
            </w:pPr>
            <w:r>
              <w:rPr>
                <w:kern w:val="0"/>
                <w:sz w:val="21"/>
                <w:szCs w:val="21"/>
              </w:rPr>
              <w:t>24.0</w:t>
            </w:r>
          </w:p>
        </w:tc>
        <w:tc>
          <w:tcPr>
            <w:tcW w:w="872" w:type="dxa"/>
            <w:vAlign w:val="center"/>
          </w:tcPr>
          <w:p>
            <w:pPr>
              <w:widowControl/>
              <w:spacing w:line="240" w:lineRule="auto"/>
              <w:ind w:firstLine="0" w:firstLineChars="0"/>
              <w:jc w:val="center"/>
              <w:rPr>
                <w:kern w:val="0"/>
                <w:sz w:val="21"/>
                <w:szCs w:val="21"/>
              </w:rPr>
            </w:pPr>
            <w:r>
              <w:rPr>
                <w:kern w:val="0"/>
                <w:sz w:val="21"/>
                <w:szCs w:val="21"/>
              </w:rPr>
              <w:t>23.0</w:t>
            </w:r>
          </w:p>
        </w:tc>
        <w:tc>
          <w:tcPr>
            <w:tcW w:w="872" w:type="dxa"/>
            <w:vAlign w:val="center"/>
          </w:tcPr>
          <w:p>
            <w:pPr>
              <w:widowControl/>
              <w:spacing w:line="240" w:lineRule="auto"/>
              <w:ind w:firstLine="0" w:firstLineChars="0"/>
              <w:jc w:val="center"/>
              <w:rPr>
                <w:kern w:val="0"/>
                <w:sz w:val="21"/>
                <w:szCs w:val="21"/>
              </w:rPr>
            </w:pPr>
            <w:r>
              <w:rPr>
                <w:kern w:val="0"/>
                <w:sz w:val="21"/>
                <w:szCs w:val="21"/>
              </w:rPr>
              <w:t>23.0</w:t>
            </w:r>
          </w:p>
        </w:tc>
        <w:tc>
          <w:tcPr>
            <w:tcW w:w="872" w:type="dxa"/>
            <w:vAlign w:val="center"/>
          </w:tcPr>
          <w:p>
            <w:pPr>
              <w:widowControl/>
              <w:spacing w:line="240" w:lineRule="auto"/>
              <w:ind w:firstLine="0" w:firstLineChars="0"/>
              <w:jc w:val="center"/>
              <w:rPr>
                <w:kern w:val="0"/>
                <w:sz w:val="21"/>
                <w:szCs w:val="21"/>
              </w:rPr>
            </w:pPr>
            <w:r>
              <w:rPr>
                <w:kern w:val="0"/>
                <w:sz w:val="21"/>
                <w:szCs w:val="21"/>
              </w:rPr>
              <w:t>-35.0</w:t>
            </w:r>
          </w:p>
        </w:tc>
        <w:tc>
          <w:tcPr>
            <w:tcW w:w="872" w:type="dxa"/>
            <w:vAlign w:val="center"/>
          </w:tcPr>
          <w:p>
            <w:pPr>
              <w:widowControl/>
              <w:spacing w:line="240" w:lineRule="auto"/>
              <w:ind w:firstLine="0" w:firstLineChars="0"/>
              <w:jc w:val="center"/>
              <w:rPr>
                <w:kern w:val="0"/>
                <w:sz w:val="21"/>
                <w:szCs w:val="21"/>
              </w:rPr>
            </w:pPr>
            <w:r>
              <w:rPr>
                <w:kern w:val="0"/>
                <w:sz w:val="21"/>
                <w:szCs w:val="21"/>
              </w:rPr>
              <w:t>21.0</w:t>
            </w:r>
          </w:p>
        </w:tc>
        <w:tc>
          <w:tcPr>
            <w:tcW w:w="872" w:type="dxa"/>
            <w:vAlign w:val="center"/>
          </w:tcPr>
          <w:p>
            <w:pPr>
              <w:widowControl/>
              <w:spacing w:line="240" w:lineRule="auto"/>
              <w:ind w:firstLine="0" w:firstLineChars="0"/>
              <w:jc w:val="center"/>
              <w:rPr>
                <w:kern w:val="0"/>
                <w:sz w:val="21"/>
                <w:szCs w:val="21"/>
              </w:rPr>
            </w:pPr>
            <w:r>
              <w:rPr>
                <w:kern w:val="0"/>
                <w:sz w:val="21"/>
                <w:szCs w:val="21"/>
              </w:rPr>
              <w:t>19.0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2667" w:type="dxa"/>
            <w:gridSpan w:val="2"/>
            <w:vAlign w:val="center"/>
          </w:tcPr>
          <w:p>
            <w:pPr>
              <w:widowControl/>
              <w:spacing w:line="240" w:lineRule="auto"/>
              <w:ind w:firstLine="0" w:firstLineChars="0"/>
              <w:jc w:val="center"/>
              <w:rPr>
                <w:kern w:val="0"/>
                <w:sz w:val="21"/>
                <w:szCs w:val="21"/>
              </w:rPr>
            </w:pPr>
            <w:r>
              <w:rPr>
                <w:kern w:val="0"/>
                <w:sz w:val="21"/>
                <w:szCs w:val="21"/>
              </w:rPr>
              <w:t>多年平均蒸发量（mm）</w:t>
            </w:r>
          </w:p>
        </w:tc>
        <w:tc>
          <w:tcPr>
            <w:tcW w:w="872" w:type="dxa"/>
            <w:vAlign w:val="center"/>
          </w:tcPr>
          <w:p>
            <w:pPr>
              <w:widowControl/>
              <w:spacing w:line="240" w:lineRule="auto"/>
              <w:ind w:firstLine="0" w:firstLineChars="0"/>
              <w:jc w:val="center"/>
              <w:rPr>
                <w:kern w:val="0"/>
                <w:sz w:val="21"/>
                <w:szCs w:val="21"/>
              </w:rPr>
            </w:pPr>
            <w:r>
              <w:rPr>
                <w:kern w:val="0"/>
                <w:sz w:val="21"/>
                <w:szCs w:val="21"/>
              </w:rPr>
              <w:t>32.2</w:t>
            </w:r>
          </w:p>
        </w:tc>
        <w:tc>
          <w:tcPr>
            <w:tcW w:w="872" w:type="dxa"/>
            <w:vAlign w:val="center"/>
          </w:tcPr>
          <w:p>
            <w:pPr>
              <w:widowControl/>
              <w:spacing w:line="240" w:lineRule="auto"/>
              <w:ind w:firstLine="0" w:firstLineChars="0"/>
              <w:jc w:val="center"/>
              <w:rPr>
                <w:kern w:val="0"/>
                <w:sz w:val="21"/>
                <w:szCs w:val="21"/>
              </w:rPr>
            </w:pPr>
            <w:r>
              <w:rPr>
                <w:kern w:val="0"/>
                <w:sz w:val="21"/>
                <w:szCs w:val="21"/>
              </w:rPr>
              <w:t>39.5</w:t>
            </w:r>
          </w:p>
        </w:tc>
        <w:tc>
          <w:tcPr>
            <w:tcW w:w="872" w:type="dxa"/>
            <w:vAlign w:val="center"/>
          </w:tcPr>
          <w:p>
            <w:pPr>
              <w:widowControl/>
              <w:spacing w:line="240" w:lineRule="auto"/>
              <w:ind w:firstLine="0" w:firstLineChars="0"/>
              <w:jc w:val="center"/>
              <w:rPr>
                <w:kern w:val="0"/>
                <w:sz w:val="21"/>
                <w:szCs w:val="21"/>
              </w:rPr>
            </w:pPr>
            <w:r>
              <w:rPr>
                <w:kern w:val="0"/>
                <w:sz w:val="21"/>
                <w:szCs w:val="21"/>
              </w:rPr>
              <w:t>69.7</w:t>
            </w:r>
          </w:p>
        </w:tc>
        <w:tc>
          <w:tcPr>
            <w:tcW w:w="872" w:type="dxa"/>
            <w:vAlign w:val="center"/>
          </w:tcPr>
          <w:p>
            <w:pPr>
              <w:widowControl/>
              <w:spacing w:line="240" w:lineRule="auto"/>
              <w:ind w:firstLine="0" w:firstLineChars="0"/>
              <w:jc w:val="center"/>
              <w:rPr>
                <w:kern w:val="0"/>
                <w:sz w:val="21"/>
                <w:szCs w:val="21"/>
              </w:rPr>
            </w:pPr>
            <w:r>
              <w:rPr>
                <w:kern w:val="0"/>
                <w:sz w:val="21"/>
                <w:szCs w:val="21"/>
              </w:rPr>
              <w:t>101.0</w:t>
            </w:r>
          </w:p>
        </w:tc>
        <w:tc>
          <w:tcPr>
            <w:tcW w:w="872" w:type="dxa"/>
            <w:vAlign w:val="center"/>
          </w:tcPr>
          <w:p>
            <w:pPr>
              <w:widowControl/>
              <w:spacing w:line="240" w:lineRule="auto"/>
              <w:ind w:firstLine="0" w:firstLineChars="0"/>
              <w:jc w:val="center"/>
              <w:rPr>
                <w:kern w:val="0"/>
                <w:sz w:val="21"/>
                <w:szCs w:val="21"/>
              </w:rPr>
            </w:pPr>
            <w:r>
              <w:rPr>
                <w:kern w:val="0"/>
                <w:sz w:val="21"/>
                <w:szCs w:val="21"/>
              </w:rPr>
              <w:t>133.8</w:t>
            </w:r>
          </w:p>
        </w:tc>
        <w:tc>
          <w:tcPr>
            <w:tcW w:w="872" w:type="dxa"/>
            <w:vAlign w:val="center"/>
          </w:tcPr>
          <w:p>
            <w:pPr>
              <w:widowControl/>
              <w:spacing w:line="240" w:lineRule="auto"/>
              <w:ind w:firstLine="0" w:firstLineChars="0"/>
              <w:jc w:val="center"/>
              <w:rPr>
                <w:kern w:val="0"/>
                <w:sz w:val="21"/>
                <w:szCs w:val="21"/>
              </w:rPr>
            </w:pPr>
            <w:r>
              <w:rPr>
                <w:kern w:val="0"/>
                <w:sz w:val="21"/>
                <w:szCs w:val="21"/>
              </w:rPr>
              <w:t>115.8</w:t>
            </w:r>
          </w:p>
        </w:tc>
        <w:tc>
          <w:tcPr>
            <w:tcW w:w="872" w:type="dxa"/>
            <w:vAlign w:val="center"/>
          </w:tcPr>
          <w:p>
            <w:pPr>
              <w:widowControl/>
              <w:spacing w:line="240" w:lineRule="auto"/>
              <w:ind w:firstLine="0" w:firstLineChars="0"/>
              <w:jc w:val="center"/>
              <w:rPr>
                <w:kern w:val="0"/>
                <w:sz w:val="21"/>
                <w:szCs w:val="21"/>
              </w:rPr>
            </w:pPr>
            <w:r>
              <w:rPr>
                <w:kern w:val="0"/>
                <w:sz w:val="21"/>
                <w:szCs w:val="21"/>
              </w:rPr>
              <w:t>131.2</w:t>
            </w:r>
          </w:p>
        </w:tc>
        <w:tc>
          <w:tcPr>
            <w:tcW w:w="872" w:type="dxa"/>
            <w:vAlign w:val="center"/>
          </w:tcPr>
          <w:p>
            <w:pPr>
              <w:widowControl/>
              <w:spacing w:line="240" w:lineRule="auto"/>
              <w:ind w:firstLine="0" w:firstLineChars="0"/>
              <w:jc w:val="center"/>
              <w:rPr>
                <w:kern w:val="0"/>
                <w:sz w:val="21"/>
                <w:szCs w:val="21"/>
              </w:rPr>
            </w:pPr>
            <w:r>
              <w:rPr>
                <w:kern w:val="0"/>
                <w:sz w:val="21"/>
                <w:szCs w:val="21"/>
              </w:rPr>
              <w:t>125.4</w:t>
            </w:r>
          </w:p>
        </w:tc>
        <w:tc>
          <w:tcPr>
            <w:tcW w:w="872" w:type="dxa"/>
            <w:vAlign w:val="center"/>
          </w:tcPr>
          <w:p>
            <w:pPr>
              <w:widowControl/>
              <w:spacing w:line="240" w:lineRule="auto"/>
              <w:ind w:firstLine="0" w:firstLineChars="0"/>
              <w:jc w:val="center"/>
              <w:rPr>
                <w:kern w:val="0"/>
                <w:sz w:val="21"/>
                <w:szCs w:val="21"/>
              </w:rPr>
            </w:pPr>
            <w:r>
              <w:rPr>
                <w:kern w:val="0"/>
                <w:sz w:val="21"/>
                <w:szCs w:val="21"/>
              </w:rPr>
              <w:t>83.6</w:t>
            </w:r>
          </w:p>
        </w:tc>
        <w:tc>
          <w:tcPr>
            <w:tcW w:w="872" w:type="dxa"/>
            <w:vAlign w:val="center"/>
          </w:tcPr>
          <w:p>
            <w:pPr>
              <w:widowControl/>
              <w:spacing w:line="240" w:lineRule="auto"/>
              <w:ind w:firstLine="0" w:firstLineChars="0"/>
              <w:jc w:val="center"/>
              <w:rPr>
                <w:kern w:val="0"/>
                <w:sz w:val="21"/>
                <w:szCs w:val="21"/>
              </w:rPr>
            </w:pPr>
            <w:r>
              <w:rPr>
                <w:kern w:val="0"/>
                <w:sz w:val="21"/>
                <w:szCs w:val="21"/>
              </w:rPr>
              <w:t>58.2</w:t>
            </w:r>
          </w:p>
        </w:tc>
        <w:tc>
          <w:tcPr>
            <w:tcW w:w="872" w:type="dxa"/>
            <w:vAlign w:val="center"/>
          </w:tcPr>
          <w:p>
            <w:pPr>
              <w:widowControl/>
              <w:spacing w:line="240" w:lineRule="auto"/>
              <w:ind w:firstLine="0" w:firstLineChars="0"/>
              <w:jc w:val="center"/>
              <w:rPr>
                <w:kern w:val="0"/>
                <w:sz w:val="21"/>
                <w:szCs w:val="21"/>
              </w:rPr>
            </w:pPr>
            <w:r>
              <w:rPr>
                <w:kern w:val="0"/>
                <w:sz w:val="21"/>
                <w:szCs w:val="21"/>
              </w:rPr>
              <w:t>46.5</w:t>
            </w:r>
          </w:p>
        </w:tc>
        <w:tc>
          <w:tcPr>
            <w:tcW w:w="872" w:type="dxa"/>
            <w:vAlign w:val="center"/>
          </w:tcPr>
          <w:p>
            <w:pPr>
              <w:widowControl/>
              <w:spacing w:line="240" w:lineRule="auto"/>
              <w:ind w:firstLine="0" w:firstLineChars="0"/>
              <w:jc w:val="center"/>
              <w:rPr>
                <w:kern w:val="0"/>
                <w:sz w:val="21"/>
                <w:szCs w:val="21"/>
              </w:rPr>
            </w:pPr>
            <w:r>
              <w:rPr>
                <w:kern w:val="0"/>
                <w:sz w:val="21"/>
                <w:szCs w:val="21"/>
              </w:rPr>
              <w:t>32.8</w:t>
            </w:r>
          </w:p>
        </w:tc>
        <w:tc>
          <w:tcPr>
            <w:tcW w:w="872" w:type="dxa"/>
            <w:vAlign w:val="center"/>
          </w:tcPr>
          <w:p>
            <w:pPr>
              <w:widowControl/>
              <w:spacing w:line="240" w:lineRule="auto"/>
              <w:ind w:firstLine="0" w:firstLineChars="0"/>
              <w:jc w:val="center"/>
              <w:rPr>
                <w:kern w:val="0"/>
                <w:sz w:val="21"/>
                <w:szCs w:val="21"/>
              </w:rPr>
            </w:pPr>
            <w:r>
              <w:rPr>
                <w:kern w:val="0"/>
                <w:sz w:val="21"/>
                <w:szCs w:val="21"/>
              </w:rPr>
              <w:t>967.7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restart"/>
            <w:vAlign w:val="center"/>
          </w:tcPr>
          <w:p>
            <w:pPr>
              <w:widowControl/>
              <w:spacing w:line="240" w:lineRule="auto"/>
              <w:ind w:firstLine="0" w:firstLineChars="0"/>
              <w:jc w:val="center"/>
              <w:rPr>
                <w:kern w:val="0"/>
                <w:sz w:val="21"/>
                <w:szCs w:val="21"/>
              </w:rPr>
            </w:pPr>
            <w:r>
              <w:rPr>
                <w:kern w:val="0"/>
                <w:sz w:val="21"/>
                <w:szCs w:val="21"/>
              </w:rPr>
              <w:t>风速（m/s）</w:t>
            </w:r>
          </w:p>
        </w:tc>
        <w:tc>
          <w:tcPr>
            <w:tcW w:w="1559" w:type="dxa"/>
            <w:vAlign w:val="center"/>
          </w:tcPr>
          <w:p>
            <w:pPr>
              <w:widowControl/>
              <w:spacing w:line="240" w:lineRule="auto"/>
              <w:ind w:firstLine="0" w:firstLineChars="0"/>
              <w:jc w:val="center"/>
              <w:rPr>
                <w:kern w:val="0"/>
                <w:sz w:val="21"/>
                <w:szCs w:val="21"/>
              </w:rPr>
            </w:pPr>
            <w:r>
              <w:rPr>
                <w:kern w:val="0"/>
                <w:sz w:val="21"/>
                <w:szCs w:val="21"/>
              </w:rPr>
              <w:t>多年平均</w:t>
            </w:r>
          </w:p>
        </w:tc>
        <w:tc>
          <w:tcPr>
            <w:tcW w:w="872" w:type="dxa"/>
            <w:vAlign w:val="center"/>
          </w:tcPr>
          <w:p>
            <w:pPr>
              <w:widowControl/>
              <w:spacing w:line="240" w:lineRule="auto"/>
              <w:ind w:firstLine="0" w:firstLineChars="0"/>
              <w:jc w:val="center"/>
              <w:rPr>
                <w:kern w:val="0"/>
                <w:sz w:val="21"/>
                <w:szCs w:val="21"/>
              </w:rPr>
            </w:pPr>
            <w:r>
              <w:rPr>
                <w:kern w:val="0"/>
                <w:sz w:val="21"/>
                <w:szCs w:val="21"/>
              </w:rPr>
              <w:t>0.9</w:t>
            </w:r>
          </w:p>
        </w:tc>
        <w:tc>
          <w:tcPr>
            <w:tcW w:w="872" w:type="dxa"/>
            <w:vAlign w:val="center"/>
          </w:tcPr>
          <w:p>
            <w:pPr>
              <w:widowControl/>
              <w:spacing w:line="240" w:lineRule="auto"/>
              <w:ind w:firstLine="0" w:firstLineChars="0"/>
              <w:jc w:val="center"/>
              <w:rPr>
                <w:kern w:val="0"/>
                <w:sz w:val="21"/>
                <w:szCs w:val="21"/>
              </w:rPr>
            </w:pPr>
            <w:r>
              <w:rPr>
                <w:kern w:val="0"/>
                <w:sz w:val="21"/>
                <w:szCs w:val="21"/>
              </w:rPr>
              <w:t>1.1</w:t>
            </w:r>
          </w:p>
        </w:tc>
        <w:tc>
          <w:tcPr>
            <w:tcW w:w="872" w:type="dxa"/>
            <w:vAlign w:val="center"/>
          </w:tcPr>
          <w:p>
            <w:pPr>
              <w:widowControl/>
              <w:spacing w:line="240" w:lineRule="auto"/>
              <w:ind w:firstLine="0" w:firstLineChars="0"/>
              <w:jc w:val="center"/>
              <w:rPr>
                <w:kern w:val="0"/>
                <w:sz w:val="21"/>
                <w:szCs w:val="21"/>
              </w:rPr>
            </w:pPr>
            <w:r>
              <w:rPr>
                <w:kern w:val="0"/>
                <w:sz w:val="21"/>
                <w:szCs w:val="21"/>
              </w:rPr>
              <w:t>1.3</w:t>
            </w:r>
          </w:p>
        </w:tc>
        <w:tc>
          <w:tcPr>
            <w:tcW w:w="872" w:type="dxa"/>
            <w:vAlign w:val="center"/>
          </w:tcPr>
          <w:p>
            <w:pPr>
              <w:widowControl/>
              <w:spacing w:line="240" w:lineRule="auto"/>
              <w:ind w:firstLine="0" w:firstLineChars="0"/>
              <w:jc w:val="center"/>
              <w:rPr>
                <w:kern w:val="0"/>
                <w:sz w:val="21"/>
                <w:szCs w:val="21"/>
              </w:rPr>
            </w:pPr>
            <w:r>
              <w:rPr>
                <w:kern w:val="0"/>
                <w:sz w:val="21"/>
                <w:szCs w:val="21"/>
              </w:rPr>
              <w:t>1.4</w:t>
            </w:r>
          </w:p>
        </w:tc>
        <w:tc>
          <w:tcPr>
            <w:tcW w:w="872" w:type="dxa"/>
            <w:vAlign w:val="center"/>
          </w:tcPr>
          <w:p>
            <w:pPr>
              <w:widowControl/>
              <w:spacing w:line="240" w:lineRule="auto"/>
              <w:ind w:firstLine="0" w:firstLineChars="0"/>
              <w:jc w:val="center"/>
              <w:rPr>
                <w:kern w:val="0"/>
                <w:sz w:val="21"/>
                <w:szCs w:val="21"/>
              </w:rPr>
            </w:pPr>
            <w:r>
              <w:rPr>
                <w:kern w:val="0"/>
                <w:sz w:val="21"/>
                <w:szCs w:val="21"/>
              </w:rPr>
              <w:t>1.4</w:t>
            </w:r>
          </w:p>
        </w:tc>
        <w:tc>
          <w:tcPr>
            <w:tcW w:w="872" w:type="dxa"/>
            <w:vAlign w:val="center"/>
          </w:tcPr>
          <w:p>
            <w:pPr>
              <w:widowControl/>
              <w:spacing w:line="240" w:lineRule="auto"/>
              <w:ind w:firstLine="0" w:firstLineChars="0"/>
              <w:jc w:val="center"/>
              <w:rPr>
                <w:kern w:val="0"/>
                <w:sz w:val="21"/>
                <w:szCs w:val="21"/>
              </w:rPr>
            </w:pPr>
            <w:r>
              <w:rPr>
                <w:kern w:val="0"/>
                <w:sz w:val="21"/>
                <w:szCs w:val="21"/>
              </w:rPr>
              <w:t>1.3</w:t>
            </w:r>
          </w:p>
        </w:tc>
        <w:tc>
          <w:tcPr>
            <w:tcW w:w="872" w:type="dxa"/>
            <w:vAlign w:val="center"/>
          </w:tcPr>
          <w:p>
            <w:pPr>
              <w:widowControl/>
              <w:spacing w:line="240" w:lineRule="auto"/>
              <w:ind w:firstLine="0" w:firstLineChars="0"/>
              <w:jc w:val="center"/>
              <w:rPr>
                <w:kern w:val="0"/>
                <w:sz w:val="21"/>
                <w:szCs w:val="21"/>
              </w:rPr>
            </w:pPr>
            <w:r>
              <w:rPr>
                <w:kern w:val="0"/>
                <w:sz w:val="21"/>
                <w:szCs w:val="21"/>
              </w:rPr>
              <w:t>1.3</w:t>
            </w:r>
          </w:p>
        </w:tc>
        <w:tc>
          <w:tcPr>
            <w:tcW w:w="872" w:type="dxa"/>
            <w:vAlign w:val="center"/>
          </w:tcPr>
          <w:p>
            <w:pPr>
              <w:widowControl/>
              <w:spacing w:line="240" w:lineRule="auto"/>
              <w:ind w:firstLine="0" w:firstLineChars="0"/>
              <w:jc w:val="center"/>
              <w:rPr>
                <w:kern w:val="0"/>
                <w:sz w:val="21"/>
                <w:szCs w:val="21"/>
              </w:rPr>
            </w:pPr>
            <w:r>
              <w:rPr>
                <w:kern w:val="0"/>
                <w:sz w:val="21"/>
                <w:szCs w:val="21"/>
              </w:rPr>
              <w:t>1.3</w:t>
            </w:r>
          </w:p>
        </w:tc>
        <w:tc>
          <w:tcPr>
            <w:tcW w:w="872" w:type="dxa"/>
            <w:vAlign w:val="center"/>
          </w:tcPr>
          <w:p>
            <w:pPr>
              <w:widowControl/>
              <w:spacing w:line="240" w:lineRule="auto"/>
              <w:ind w:firstLine="0" w:firstLineChars="0"/>
              <w:jc w:val="center"/>
              <w:rPr>
                <w:kern w:val="0"/>
                <w:sz w:val="21"/>
                <w:szCs w:val="21"/>
              </w:rPr>
            </w:pPr>
            <w:r>
              <w:rPr>
                <w:kern w:val="0"/>
                <w:sz w:val="21"/>
                <w:szCs w:val="21"/>
              </w:rPr>
              <w:t>1.2</w:t>
            </w:r>
          </w:p>
        </w:tc>
        <w:tc>
          <w:tcPr>
            <w:tcW w:w="872" w:type="dxa"/>
            <w:vAlign w:val="center"/>
          </w:tcPr>
          <w:p>
            <w:pPr>
              <w:widowControl/>
              <w:spacing w:line="240" w:lineRule="auto"/>
              <w:ind w:firstLine="0" w:firstLineChars="0"/>
              <w:jc w:val="center"/>
              <w:rPr>
                <w:kern w:val="0"/>
                <w:sz w:val="21"/>
                <w:szCs w:val="21"/>
              </w:rPr>
            </w:pPr>
            <w:r>
              <w:rPr>
                <w:kern w:val="0"/>
                <w:sz w:val="21"/>
                <w:szCs w:val="21"/>
              </w:rPr>
              <w:t>1.0</w:t>
            </w:r>
          </w:p>
        </w:tc>
        <w:tc>
          <w:tcPr>
            <w:tcW w:w="872" w:type="dxa"/>
            <w:vAlign w:val="center"/>
          </w:tcPr>
          <w:p>
            <w:pPr>
              <w:widowControl/>
              <w:spacing w:line="240" w:lineRule="auto"/>
              <w:ind w:firstLine="0" w:firstLineChars="0"/>
              <w:jc w:val="center"/>
              <w:rPr>
                <w:kern w:val="0"/>
                <w:sz w:val="21"/>
                <w:szCs w:val="21"/>
              </w:rPr>
            </w:pPr>
            <w:r>
              <w:rPr>
                <w:kern w:val="0"/>
                <w:sz w:val="21"/>
                <w:szCs w:val="21"/>
              </w:rPr>
              <w:t>1.0</w:t>
            </w:r>
          </w:p>
        </w:tc>
        <w:tc>
          <w:tcPr>
            <w:tcW w:w="872" w:type="dxa"/>
            <w:vAlign w:val="center"/>
          </w:tcPr>
          <w:p>
            <w:pPr>
              <w:widowControl/>
              <w:spacing w:line="240" w:lineRule="auto"/>
              <w:ind w:firstLine="0" w:firstLineChars="0"/>
              <w:jc w:val="center"/>
              <w:rPr>
                <w:kern w:val="0"/>
                <w:sz w:val="21"/>
                <w:szCs w:val="21"/>
              </w:rPr>
            </w:pPr>
            <w:r>
              <w:rPr>
                <w:kern w:val="0"/>
                <w:sz w:val="21"/>
                <w:szCs w:val="21"/>
              </w:rPr>
              <w:t>0.9</w:t>
            </w:r>
          </w:p>
        </w:tc>
        <w:tc>
          <w:tcPr>
            <w:tcW w:w="872" w:type="dxa"/>
            <w:vAlign w:val="center"/>
          </w:tcPr>
          <w:p>
            <w:pPr>
              <w:widowControl/>
              <w:spacing w:line="240" w:lineRule="auto"/>
              <w:ind w:firstLine="0" w:firstLineChars="0"/>
              <w:jc w:val="center"/>
              <w:rPr>
                <w:kern w:val="0"/>
                <w:sz w:val="21"/>
                <w:szCs w:val="21"/>
              </w:rPr>
            </w:pPr>
            <w:r>
              <w:rPr>
                <w:kern w:val="0"/>
                <w:sz w:val="21"/>
                <w:szCs w:val="21"/>
              </w:rPr>
              <w:t>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07" w:hRule="atLeast"/>
        </w:trPr>
        <w:tc>
          <w:tcPr>
            <w:tcW w:w="1108" w:type="dxa"/>
            <w:vMerge w:val="continue"/>
            <w:vAlign w:val="center"/>
          </w:tcPr>
          <w:p>
            <w:pPr>
              <w:widowControl/>
              <w:spacing w:line="240" w:lineRule="auto"/>
              <w:ind w:firstLine="0" w:firstLineChars="0"/>
              <w:jc w:val="center"/>
              <w:rPr>
                <w:kern w:val="0"/>
                <w:sz w:val="21"/>
                <w:szCs w:val="21"/>
              </w:rPr>
            </w:pPr>
          </w:p>
        </w:tc>
        <w:tc>
          <w:tcPr>
            <w:tcW w:w="1559" w:type="dxa"/>
            <w:vMerge w:val="restart"/>
            <w:vAlign w:val="center"/>
          </w:tcPr>
          <w:p>
            <w:pPr>
              <w:widowControl/>
              <w:spacing w:line="240" w:lineRule="auto"/>
              <w:ind w:firstLine="0" w:firstLineChars="0"/>
              <w:jc w:val="center"/>
              <w:rPr>
                <w:kern w:val="0"/>
                <w:sz w:val="21"/>
                <w:szCs w:val="21"/>
              </w:rPr>
            </w:pPr>
            <w:r>
              <w:rPr>
                <w:kern w:val="0"/>
                <w:sz w:val="21"/>
                <w:szCs w:val="21"/>
              </w:rPr>
              <w:t>历年最大及相应风向</w:t>
            </w:r>
          </w:p>
        </w:tc>
        <w:tc>
          <w:tcPr>
            <w:tcW w:w="872" w:type="dxa"/>
            <w:vAlign w:val="center"/>
          </w:tcPr>
          <w:p>
            <w:pPr>
              <w:widowControl/>
              <w:spacing w:line="240" w:lineRule="auto"/>
              <w:ind w:firstLine="0" w:firstLineChars="0"/>
              <w:jc w:val="center"/>
              <w:rPr>
                <w:kern w:val="0"/>
                <w:sz w:val="21"/>
                <w:szCs w:val="21"/>
              </w:rPr>
            </w:pPr>
            <w:r>
              <w:rPr>
                <w:kern w:val="0"/>
                <w:sz w:val="21"/>
                <w:szCs w:val="21"/>
              </w:rPr>
              <w:t>7.3</w:t>
            </w:r>
          </w:p>
        </w:tc>
        <w:tc>
          <w:tcPr>
            <w:tcW w:w="872" w:type="dxa"/>
            <w:vAlign w:val="center"/>
          </w:tcPr>
          <w:p>
            <w:pPr>
              <w:widowControl/>
              <w:spacing w:line="240" w:lineRule="auto"/>
              <w:ind w:firstLine="0" w:firstLineChars="0"/>
              <w:jc w:val="center"/>
              <w:rPr>
                <w:kern w:val="0"/>
                <w:sz w:val="21"/>
                <w:szCs w:val="21"/>
              </w:rPr>
            </w:pPr>
            <w:r>
              <w:rPr>
                <w:kern w:val="0"/>
                <w:sz w:val="21"/>
                <w:szCs w:val="21"/>
              </w:rPr>
              <w:t>7.3</w:t>
            </w:r>
          </w:p>
        </w:tc>
        <w:tc>
          <w:tcPr>
            <w:tcW w:w="872" w:type="dxa"/>
            <w:vAlign w:val="center"/>
          </w:tcPr>
          <w:p>
            <w:pPr>
              <w:widowControl/>
              <w:spacing w:line="240" w:lineRule="auto"/>
              <w:ind w:firstLine="0" w:firstLineChars="0"/>
              <w:jc w:val="center"/>
              <w:rPr>
                <w:kern w:val="0"/>
                <w:sz w:val="21"/>
                <w:szCs w:val="21"/>
              </w:rPr>
            </w:pPr>
            <w:r>
              <w:rPr>
                <w:kern w:val="0"/>
                <w:sz w:val="21"/>
                <w:szCs w:val="21"/>
              </w:rPr>
              <w:t>10.0</w:t>
            </w:r>
          </w:p>
        </w:tc>
        <w:tc>
          <w:tcPr>
            <w:tcW w:w="872" w:type="dxa"/>
            <w:vAlign w:val="center"/>
          </w:tcPr>
          <w:p>
            <w:pPr>
              <w:widowControl/>
              <w:spacing w:line="240" w:lineRule="auto"/>
              <w:ind w:firstLine="0" w:firstLineChars="0"/>
              <w:jc w:val="center"/>
              <w:rPr>
                <w:kern w:val="0"/>
                <w:sz w:val="21"/>
                <w:szCs w:val="21"/>
              </w:rPr>
            </w:pPr>
            <w:r>
              <w:rPr>
                <w:kern w:val="0"/>
                <w:sz w:val="21"/>
                <w:szCs w:val="21"/>
              </w:rPr>
              <w:t>10.3</w:t>
            </w:r>
          </w:p>
        </w:tc>
        <w:tc>
          <w:tcPr>
            <w:tcW w:w="872" w:type="dxa"/>
            <w:vAlign w:val="center"/>
          </w:tcPr>
          <w:p>
            <w:pPr>
              <w:widowControl/>
              <w:spacing w:line="240" w:lineRule="auto"/>
              <w:ind w:firstLine="0" w:firstLineChars="0"/>
              <w:jc w:val="center"/>
              <w:rPr>
                <w:kern w:val="0"/>
                <w:sz w:val="21"/>
                <w:szCs w:val="21"/>
              </w:rPr>
            </w:pPr>
            <w:r>
              <w:rPr>
                <w:kern w:val="0"/>
                <w:sz w:val="21"/>
                <w:szCs w:val="21"/>
              </w:rPr>
              <w:t>17.0</w:t>
            </w:r>
          </w:p>
        </w:tc>
        <w:tc>
          <w:tcPr>
            <w:tcW w:w="872" w:type="dxa"/>
            <w:vAlign w:val="center"/>
          </w:tcPr>
          <w:p>
            <w:pPr>
              <w:widowControl/>
              <w:spacing w:line="240" w:lineRule="auto"/>
              <w:ind w:firstLine="0" w:firstLineChars="0"/>
              <w:jc w:val="center"/>
              <w:rPr>
                <w:kern w:val="0"/>
                <w:sz w:val="21"/>
                <w:szCs w:val="21"/>
              </w:rPr>
            </w:pPr>
            <w:r>
              <w:rPr>
                <w:kern w:val="0"/>
                <w:sz w:val="21"/>
                <w:szCs w:val="21"/>
              </w:rPr>
              <w:t>13.7</w:t>
            </w:r>
          </w:p>
        </w:tc>
        <w:tc>
          <w:tcPr>
            <w:tcW w:w="872" w:type="dxa"/>
            <w:vAlign w:val="center"/>
          </w:tcPr>
          <w:p>
            <w:pPr>
              <w:widowControl/>
              <w:spacing w:line="240" w:lineRule="auto"/>
              <w:ind w:firstLine="0" w:firstLineChars="0"/>
              <w:jc w:val="center"/>
              <w:rPr>
                <w:kern w:val="0"/>
                <w:sz w:val="21"/>
                <w:szCs w:val="21"/>
              </w:rPr>
            </w:pPr>
            <w:r>
              <w:rPr>
                <w:kern w:val="0"/>
                <w:sz w:val="21"/>
                <w:szCs w:val="21"/>
              </w:rPr>
              <w:t>14.0</w:t>
            </w:r>
          </w:p>
        </w:tc>
        <w:tc>
          <w:tcPr>
            <w:tcW w:w="872" w:type="dxa"/>
            <w:vAlign w:val="center"/>
          </w:tcPr>
          <w:p>
            <w:pPr>
              <w:widowControl/>
              <w:spacing w:line="240" w:lineRule="auto"/>
              <w:ind w:firstLine="0" w:firstLineChars="0"/>
              <w:jc w:val="center"/>
              <w:rPr>
                <w:kern w:val="0"/>
                <w:sz w:val="21"/>
                <w:szCs w:val="21"/>
              </w:rPr>
            </w:pPr>
            <w:r>
              <w:rPr>
                <w:kern w:val="0"/>
                <w:sz w:val="21"/>
                <w:szCs w:val="21"/>
              </w:rPr>
              <w:t>15.0</w:t>
            </w:r>
          </w:p>
        </w:tc>
        <w:tc>
          <w:tcPr>
            <w:tcW w:w="872" w:type="dxa"/>
            <w:vAlign w:val="center"/>
          </w:tcPr>
          <w:p>
            <w:pPr>
              <w:widowControl/>
              <w:spacing w:line="240" w:lineRule="auto"/>
              <w:ind w:firstLine="0" w:firstLineChars="0"/>
              <w:jc w:val="center"/>
              <w:rPr>
                <w:kern w:val="0"/>
                <w:sz w:val="21"/>
                <w:szCs w:val="21"/>
              </w:rPr>
            </w:pPr>
            <w:r>
              <w:rPr>
                <w:kern w:val="0"/>
                <w:sz w:val="21"/>
                <w:szCs w:val="21"/>
              </w:rPr>
              <w:t>9.7</w:t>
            </w:r>
          </w:p>
        </w:tc>
        <w:tc>
          <w:tcPr>
            <w:tcW w:w="872" w:type="dxa"/>
            <w:vAlign w:val="center"/>
          </w:tcPr>
          <w:p>
            <w:pPr>
              <w:widowControl/>
              <w:spacing w:line="240" w:lineRule="auto"/>
              <w:ind w:firstLine="0" w:firstLineChars="0"/>
              <w:jc w:val="center"/>
              <w:rPr>
                <w:kern w:val="0"/>
                <w:sz w:val="21"/>
                <w:szCs w:val="21"/>
              </w:rPr>
            </w:pPr>
            <w:r>
              <w:rPr>
                <w:kern w:val="0"/>
                <w:sz w:val="21"/>
                <w:szCs w:val="21"/>
              </w:rPr>
              <w:t>10.3</w:t>
            </w:r>
          </w:p>
        </w:tc>
        <w:tc>
          <w:tcPr>
            <w:tcW w:w="872" w:type="dxa"/>
            <w:vAlign w:val="center"/>
          </w:tcPr>
          <w:p>
            <w:pPr>
              <w:widowControl/>
              <w:spacing w:line="240" w:lineRule="auto"/>
              <w:ind w:firstLine="0" w:firstLineChars="0"/>
              <w:jc w:val="center"/>
              <w:rPr>
                <w:kern w:val="0"/>
                <w:sz w:val="21"/>
                <w:szCs w:val="21"/>
              </w:rPr>
            </w:pPr>
            <w:r>
              <w:rPr>
                <w:kern w:val="0"/>
                <w:sz w:val="21"/>
                <w:szCs w:val="21"/>
              </w:rPr>
              <w:t>11.7</w:t>
            </w:r>
          </w:p>
        </w:tc>
        <w:tc>
          <w:tcPr>
            <w:tcW w:w="872" w:type="dxa"/>
            <w:vAlign w:val="center"/>
          </w:tcPr>
          <w:p>
            <w:pPr>
              <w:widowControl/>
              <w:spacing w:line="240" w:lineRule="auto"/>
              <w:ind w:firstLine="0" w:firstLineChars="0"/>
              <w:jc w:val="center"/>
              <w:rPr>
                <w:kern w:val="0"/>
                <w:sz w:val="21"/>
                <w:szCs w:val="21"/>
              </w:rPr>
            </w:pPr>
            <w:r>
              <w:rPr>
                <w:kern w:val="0"/>
                <w:sz w:val="21"/>
                <w:szCs w:val="21"/>
              </w:rPr>
              <w:t>7.3</w:t>
            </w:r>
          </w:p>
        </w:tc>
        <w:tc>
          <w:tcPr>
            <w:tcW w:w="872" w:type="dxa"/>
            <w:vAlign w:val="center"/>
          </w:tcPr>
          <w:p>
            <w:pPr>
              <w:widowControl/>
              <w:spacing w:line="240" w:lineRule="auto"/>
              <w:ind w:firstLine="0" w:firstLineChars="0"/>
              <w:jc w:val="center"/>
              <w:rPr>
                <w:kern w:val="0"/>
                <w:sz w:val="21"/>
                <w:szCs w:val="21"/>
              </w:rPr>
            </w:pPr>
            <w:r>
              <w:rPr>
                <w:kern w:val="0"/>
                <w:sz w:val="21"/>
                <w:szCs w:val="21"/>
              </w:rPr>
              <w:t>17.0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7" w:hRule="atLeast"/>
        </w:trPr>
        <w:tc>
          <w:tcPr>
            <w:tcW w:w="1108" w:type="dxa"/>
            <w:vMerge w:val="continue"/>
            <w:vAlign w:val="center"/>
          </w:tcPr>
          <w:p>
            <w:pPr>
              <w:widowControl/>
              <w:spacing w:line="240" w:lineRule="auto"/>
              <w:ind w:firstLine="0" w:firstLineChars="0"/>
              <w:jc w:val="center"/>
              <w:rPr>
                <w:kern w:val="0"/>
                <w:sz w:val="21"/>
                <w:szCs w:val="21"/>
              </w:rPr>
            </w:pPr>
          </w:p>
        </w:tc>
        <w:tc>
          <w:tcPr>
            <w:tcW w:w="1559" w:type="dxa"/>
            <w:vMerge w:val="continue"/>
            <w:vAlign w:val="center"/>
          </w:tcPr>
          <w:p>
            <w:pPr>
              <w:widowControl/>
              <w:spacing w:line="240" w:lineRule="auto"/>
              <w:ind w:firstLine="0" w:firstLineChars="0"/>
              <w:jc w:val="center"/>
              <w:rPr>
                <w:kern w:val="0"/>
                <w:sz w:val="21"/>
                <w:szCs w:val="21"/>
              </w:rPr>
            </w:pPr>
          </w:p>
        </w:tc>
        <w:tc>
          <w:tcPr>
            <w:tcW w:w="872" w:type="dxa"/>
            <w:vAlign w:val="center"/>
          </w:tcPr>
          <w:p>
            <w:pPr>
              <w:widowControl/>
              <w:spacing w:line="240" w:lineRule="auto"/>
              <w:ind w:firstLine="0" w:firstLineChars="0"/>
              <w:jc w:val="center"/>
              <w:rPr>
                <w:kern w:val="0"/>
                <w:sz w:val="21"/>
                <w:szCs w:val="21"/>
              </w:rPr>
            </w:pPr>
            <w:r>
              <w:rPr>
                <w:kern w:val="0"/>
                <w:sz w:val="21"/>
                <w:szCs w:val="21"/>
              </w:rPr>
              <w:t>N</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c>
          <w:tcPr>
            <w:tcW w:w="872" w:type="dxa"/>
            <w:vAlign w:val="center"/>
          </w:tcPr>
          <w:p>
            <w:pPr>
              <w:widowControl/>
              <w:spacing w:line="240" w:lineRule="auto"/>
              <w:ind w:firstLine="0" w:firstLineChars="0"/>
              <w:jc w:val="center"/>
              <w:rPr>
                <w:kern w:val="0"/>
                <w:sz w:val="21"/>
                <w:szCs w:val="21"/>
              </w:rPr>
            </w:pPr>
            <w:r>
              <w:rPr>
                <w:kern w:val="0"/>
                <w:sz w:val="21"/>
                <w:szCs w:val="21"/>
              </w:rPr>
              <w:t>2G</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c>
          <w:tcPr>
            <w:tcW w:w="872" w:type="dxa"/>
            <w:vAlign w:val="center"/>
          </w:tcPr>
          <w:p>
            <w:pPr>
              <w:widowControl/>
              <w:spacing w:line="240" w:lineRule="auto"/>
              <w:ind w:firstLine="0" w:firstLineChars="0"/>
              <w:jc w:val="center"/>
              <w:rPr>
                <w:kern w:val="0"/>
                <w:sz w:val="21"/>
                <w:szCs w:val="21"/>
              </w:rPr>
            </w:pPr>
            <w:r>
              <w:rPr>
                <w:kern w:val="0"/>
                <w:sz w:val="21"/>
                <w:szCs w:val="21"/>
              </w:rPr>
              <w:t>ENE</w:t>
            </w:r>
          </w:p>
        </w:tc>
        <w:tc>
          <w:tcPr>
            <w:tcW w:w="872" w:type="dxa"/>
            <w:vAlign w:val="center"/>
          </w:tcPr>
          <w:p>
            <w:pPr>
              <w:widowControl/>
              <w:spacing w:line="240" w:lineRule="auto"/>
              <w:ind w:firstLine="0" w:firstLineChars="0"/>
              <w:jc w:val="center"/>
              <w:rPr>
                <w:kern w:val="0"/>
                <w:sz w:val="21"/>
                <w:szCs w:val="21"/>
              </w:rPr>
            </w:pPr>
            <w:r>
              <w:rPr>
                <w:kern w:val="0"/>
                <w:sz w:val="21"/>
                <w:szCs w:val="21"/>
              </w:rPr>
              <w:t>2G</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c>
          <w:tcPr>
            <w:tcW w:w="872" w:type="dxa"/>
            <w:vAlign w:val="center"/>
          </w:tcPr>
          <w:p>
            <w:pPr>
              <w:widowControl/>
              <w:spacing w:line="240" w:lineRule="auto"/>
              <w:ind w:firstLine="0" w:firstLineChars="0"/>
              <w:jc w:val="center"/>
              <w:rPr>
                <w:kern w:val="0"/>
                <w:sz w:val="21"/>
                <w:szCs w:val="21"/>
              </w:rPr>
            </w:pPr>
            <w:r>
              <w:rPr>
                <w:kern w:val="0"/>
                <w:sz w:val="21"/>
                <w:szCs w:val="21"/>
              </w:rPr>
              <w:t>N</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c>
          <w:tcPr>
            <w:tcW w:w="872" w:type="dxa"/>
            <w:vAlign w:val="center"/>
          </w:tcPr>
          <w:p>
            <w:pPr>
              <w:widowControl/>
              <w:spacing w:line="240" w:lineRule="auto"/>
              <w:ind w:firstLine="0" w:firstLineChars="0"/>
              <w:jc w:val="center"/>
              <w:rPr>
                <w:kern w:val="0"/>
                <w:sz w:val="21"/>
                <w:szCs w:val="21"/>
              </w:rPr>
            </w:pPr>
            <w:r>
              <w:rPr>
                <w:kern w:val="0"/>
                <w:sz w:val="21"/>
                <w:szCs w:val="21"/>
              </w:rPr>
              <w:t>N</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c>
          <w:tcPr>
            <w:tcW w:w="872" w:type="dxa"/>
            <w:vAlign w:val="center"/>
          </w:tcPr>
          <w:p>
            <w:pPr>
              <w:widowControl/>
              <w:spacing w:line="240" w:lineRule="auto"/>
              <w:ind w:firstLine="0" w:firstLineChars="0"/>
              <w:jc w:val="center"/>
              <w:rPr>
                <w:kern w:val="0"/>
                <w:sz w:val="21"/>
                <w:szCs w:val="21"/>
              </w:rPr>
            </w:pPr>
            <w:r>
              <w:rPr>
                <w:kern w:val="0"/>
                <w:sz w:val="21"/>
                <w:szCs w:val="21"/>
              </w:rPr>
              <w:t>NNE</w:t>
            </w:r>
          </w:p>
        </w:tc>
      </w:tr>
    </w:tbl>
    <w:p>
      <w:pPr>
        <w:spacing w:beforeLines="50"/>
        <w:ind w:firstLine="480"/>
        <w:sectPr>
          <w:headerReference r:id="rId20" w:type="default"/>
          <w:footerReference r:id="rId22" w:type="default"/>
          <w:headerReference r:id="rId21" w:type="even"/>
          <w:pgSz w:w="16838" w:h="11905" w:orient="landscape"/>
          <w:pgMar w:top="1417" w:right="1417" w:bottom="1417" w:left="1417" w:header="850" w:footer="992" w:gutter="0"/>
          <w:cols w:space="720" w:num="1"/>
          <w:docGrid w:linePitch="312" w:charSpace="0"/>
        </w:sectPr>
      </w:pPr>
      <w:r>
        <w:rPr>
          <w:bCs/>
          <w:kern w:val="0"/>
          <w:szCs w:val="24"/>
        </w:rPr>
        <w:t>注：本资料来源于《乐山市五通桥区水土保持规划（2015-2030年）》。</w:t>
      </w:r>
    </w:p>
    <w:p>
      <w:pPr>
        <w:pStyle w:val="6"/>
      </w:pPr>
      <w:r>
        <w:t>2.7.4水文</w:t>
      </w:r>
    </w:p>
    <w:p>
      <w:pPr>
        <w:ind w:firstLine="480"/>
      </w:pPr>
      <w:r>
        <w:t>五通桥区地表水属岷江水系。岷江为长江上游一级支流，四川盆地内五大水系之一，源于川西北高原，于宜宾入长江，全长735km，流域面积约13.6万km</w:t>
      </w:r>
      <w:r>
        <w:rPr>
          <w:vertAlign w:val="superscript"/>
        </w:rPr>
        <w:t>2</w:t>
      </w:r>
      <w:r>
        <w:t>，河源—都江堰为上游，都江堰市—乐山为中游，乐山—宜宾段为下游。岷江在乐山市区纳大渡河后，水量增大，河宽达300-1000m，水深达10m。五通桥区境内岷江流长27.1km，流域面积205.18km</w:t>
      </w:r>
      <w:r>
        <w:rPr>
          <w:vertAlign w:val="superscript"/>
        </w:rPr>
        <w:t>2</w:t>
      </w:r>
      <w:r>
        <w:t>，岷江自北向南，从冠英镇马桑村入境，流经冠英镇、牛华镇、竹根镇、西坝镇、桥沟镇、金粟镇，从金粟镇双漩坝南端出境。五通桥区境内除岷江外还有茫溪河、涌斯江、沫溪河等河流，河流总长96.25km。园区边界与岷江岸距离1.05km。</w:t>
      </w:r>
    </w:p>
    <w:p>
      <w:pPr>
        <w:ind w:firstLine="480"/>
      </w:pPr>
      <w:r>
        <w:t>涌斯江属岷江岔流，从区境内牛华镇红岩子分流，经杨柳镇、竹根镇在四望关口与茫溪河汇合后，向南到桥沟镇流入岷江，为境内一条独特完整的河流，流长15.5km。</w:t>
      </w:r>
    </w:p>
    <w:p>
      <w:pPr>
        <w:ind w:firstLine="480"/>
      </w:pPr>
      <w:r>
        <w:t>根据《五通桥新型工业基地防洪排涝专项规划》，园区规划范围内涉及2条支沟均为岷江左岸一级支沟，即棉花沟和黄鳝洞沟。</w:t>
      </w:r>
    </w:p>
    <w:p>
      <w:pPr>
        <w:ind w:firstLine="480"/>
      </w:pPr>
      <w:r>
        <w:t>棉花沟位于乐山市五通桥区境内，处于园区西北部，为岷江左岸一级小支沟，发源于井房坳~碾盘山~牛叫山一带，分左、右两源，右源为主源，源头海拔高程在522m。发源后经雀儿肉、下房子，在马桑扁处纳左支沟，后流经共裕村最后在东风桥处汇入岷江。棉花沟总体自北向南而流，流域呈不规则矩形，流域面积8.48km</w:t>
      </w:r>
      <w:r>
        <w:rPr>
          <w:vertAlign w:val="superscript"/>
        </w:rPr>
        <w:t>2</w:t>
      </w:r>
      <w:r>
        <w:t>，主河道长度7.5km。</w:t>
      </w:r>
    </w:p>
    <w:p>
      <w:pPr>
        <w:ind w:firstLine="480"/>
      </w:pPr>
      <w:r>
        <w:t>黄鳝洞沟为岷江左岸一级支沟，发源于五通桥区辉山镇罗家山~鸡公山一带，源头海拔高程在520m左右，总体流向自东北向西南而流，在金粟镇金粟桥以下汇入岷江。黄鳝洞沟在河口以上约0.6km处分为左、右两支，左支为主源，全流域面积为30.6km</w:t>
      </w:r>
      <w:r>
        <w:rPr>
          <w:vertAlign w:val="superscript"/>
        </w:rPr>
        <w:t>2</w:t>
      </w:r>
      <w:r>
        <w:t>，其中左支流域面积为22.7km</w:t>
      </w:r>
      <w:r>
        <w:rPr>
          <w:vertAlign w:val="superscript"/>
        </w:rPr>
        <w:t>2</w:t>
      </w:r>
      <w:r>
        <w:t>，右支为7.52km</w:t>
      </w:r>
      <w:r>
        <w:rPr>
          <w:vertAlign w:val="superscript"/>
        </w:rPr>
        <w:t>2</w:t>
      </w:r>
      <w:r>
        <w:t>。</w:t>
      </w:r>
    </w:p>
    <w:p>
      <w:pPr>
        <w:ind w:firstLine="480"/>
      </w:pPr>
      <w:r>
        <w:t>在黄鳝洞左支（主源）干流源头有一小（二）型水库战备水库，地处辉山镇红十月村，处于规划园区范围外，其控制流域面积为0.68km</w:t>
      </w:r>
      <w:r>
        <w:rPr>
          <w:vertAlign w:val="superscript"/>
        </w:rPr>
        <w:t>2</w:t>
      </w:r>
      <w:r>
        <w:t>，总库容99万m</w:t>
      </w:r>
      <w:r>
        <w:rPr>
          <w:vertAlign w:val="superscript"/>
        </w:rPr>
        <w:t>3</w:t>
      </w:r>
      <w:r>
        <w:t>，兴利库容87万m</w:t>
      </w:r>
      <w:r>
        <w:rPr>
          <w:vertAlign w:val="superscript"/>
        </w:rPr>
        <w:t>3</w:t>
      </w:r>
      <w:r>
        <w:t>，坝址处年径流量37.4万m</w:t>
      </w:r>
      <w:r>
        <w:rPr>
          <w:vertAlign w:val="superscript"/>
        </w:rPr>
        <w:t>3</w:t>
      </w:r>
      <w:r>
        <w:t>，具有多年调节能力。</w:t>
      </w:r>
    </w:p>
    <w:p>
      <w:pPr>
        <w:ind w:firstLine="480"/>
      </w:pPr>
      <w:r>
        <w:t>园区现有防洪排涝主要依托棉花沟和黄山洞沟，园区内尚无防洪工程，沿沟零星建有挡墙、护坡主要为道路、桥梁工程服务，并不具备防洪功能，绝大部分沟道两岸均为自然岸坡，沟道内淤积较严重，现有沟道无法满足防洪排涝的要求。同时因园区的建设，原有水系受建设影响，多处水系被阻断，已按照的排水管涵淤堵，造成汛期洪水泛滥，水土流失加剧，因此主体在棉花沟和黄山洞沟的基础上进行加固及改道处理。园区管委会委托了浙江省水利水电勘测设计院，正在开展防洪沟工程的设计工作。</w:t>
      </w:r>
    </w:p>
    <w:p>
      <w:pPr>
        <w:ind w:firstLine="480"/>
      </w:pPr>
      <w:r>
        <w:t>另外，在黄鳝洞左支（主源）右岸支沟上有高笋坝水库，等级为小（二）型，地处辉山镇六塘村，处于规划园区范围内，其控制流域面积为0.54km</w:t>
      </w:r>
      <w:r>
        <w:rPr>
          <w:vertAlign w:val="superscript"/>
        </w:rPr>
        <w:t>2</w:t>
      </w:r>
      <w:r>
        <w:t>，总库容27.29万m</w:t>
      </w:r>
      <w:r>
        <w:rPr>
          <w:vertAlign w:val="superscript"/>
        </w:rPr>
        <w:t>3</w:t>
      </w:r>
      <w:r>
        <w:t>，兴利库容12.67万m</w:t>
      </w:r>
      <w:r>
        <w:rPr>
          <w:vertAlign w:val="superscript"/>
        </w:rPr>
        <w:t>3</w:t>
      </w:r>
      <w:r>
        <w:t>，坝址处年径流量30.6万m</w:t>
      </w:r>
      <w:r>
        <w:rPr>
          <w:vertAlign w:val="superscript"/>
        </w:rPr>
        <w:t>3</w:t>
      </w:r>
      <w:r>
        <w:t>，具有多年调节能力。由于其灌面均处于本次规划园区内，规划工业园区实施后，将丧失其灌溉作用，拟由五通桥区水利局办理退出手续，并作回填处置后作为工业用地，其软弱基础的处理方式为原位填筑混合料满足其基础承载力</w:t>
      </w:r>
      <w:r>
        <w:rPr>
          <w:rFonts w:hint="eastAsia"/>
        </w:rPr>
        <w:t>，</w:t>
      </w:r>
      <w:r>
        <w:t>回填土石方量一并计入近期园区土石方挖填总量。</w:t>
      </w:r>
      <w:r>
        <w:rPr>
          <w:rFonts w:hint="eastAsia"/>
        </w:rPr>
        <w:t>若经检测，该软基存在特殊物质未达到环保要求，则须委托专业环保单位进行专项处置。</w:t>
      </w:r>
    </w:p>
    <w:p>
      <w:pPr>
        <w:ind w:firstLine="480"/>
      </w:pPr>
      <w:r>
        <w:t>园区范围内水系位置关系详见图2.7-6。园区外10km范围内水系位置关系详见图2.7-7。乐山市水务局关于乐山五通桥化工园区周边10公里内长江干支河流情况的复函详见附件6。</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52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pacing w:line="240" w:lineRule="auto"/>
              <w:ind w:firstLine="0" w:firstLineChars="0"/>
              <w:jc w:val="center"/>
              <w:rPr>
                <w:sz w:val="21"/>
                <w:szCs w:val="21"/>
              </w:rPr>
            </w:pPr>
            <w:r>
              <w:drawing>
                <wp:inline distT="0" distB="0" distL="114300" distR="114300">
                  <wp:extent cx="5252720" cy="3788410"/>
                  <wp:effectExtent l="0" t="0" r="5080" b="2540"/>
                  <wp:docPr id="222"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图片 78"/>
                          <pic:cNvPicPr>
                            <a:picLocks noChangeAspect="1"/>
                          </pic:cNvPicPr>
                        </pic:nvPicPr>
                        <pic:blipFill>
                          <a:blip r:embed="rId155"/>
                          <a:stretch>
                            <a:fillRect/>
                          </a:stretch>
                        </pic:blipFill>
                        <pic:spPr>
                          <a:xfrm>
                            <a:off x="0" y="0"/>
                            <a:ext cx="5252720" cy="378841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24" w:hRule="atLeast"/>
        </w:trPr>
        <w:tc>
          <w:tcPr>
            <w:tcW w:w="8522" w:type="dxa"/>
          </w:tcPr>
          <w:p>
            <w:pPr>
              <w:spacing w:line="240" w:lineRule="auto"/>
              <w:ind w:firstLine="0" w:firstLineChars="0"/>
              <w:jc w:val="center"/>
              <w:rPr>
                <w:sz w:val="21"/>
                <w:szCs w:val="21"/>
              </w:rPr>
            </w:pPr>
            <w:r>
              <w:rPr>
                <w:b/>
                <w:bCs/>
              </w:rPr>
              <w:t>图2.7-6园区范围内水系位置关系</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pacing w:line="240" w:lineRule="auto"/>
              <w:ind w:firstLine="0" w:firstLineChars="0"/>
              <w:jc w:val="center"/>
              <w:rPr>
                <w:b/>
                <w:bCs/>
                <w:sz w:val="21"/>
                <w:szCs w:val="21"/>
              </w:rPr>
            </w:pPr>
            <w:r>
              <w:drawing>
                <wp:inline distT="0" distB="0" distL="114300" distR="114300">
                  <wp:extent cx="5273675" cy="4701540"/>
                  <wp:effectExtent l="0" t="0" r="3175" b="3810"/>
                  <wp:docPr id="221"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图片 77"/>
                          <pic:cNvPicPr>
                            <a:picLocks noChangeAspect="1"/>
                          </pic:cNvPicPr>
                        </pic:nvPicPr>
                        <pic:blipFill>
                          <a:blip r:embed="rId156"/>
                          <a:stretch>
                            <a:fillRect/>
                          </a:stretch>
                        </pic:blipFill>
                        <pic:spPr>
                          <a:xfrm>
                            <a:off x="0" y="0"/>
                            <a:ext cx="5273675" cy="470154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522" w:type="dxa"/>
          </w:tcPr>
          <w:p>
            <w:pPr>
              <w:spacing w:line="240" w:lineRule="auto"/>
              <w:ind w:firstLine="0" w:firstLineChars="0"/>
              <w:jc w:val="center"/>
              <w:rPr>
                <w:b/>
                <w:bCs/>
                <w:sz w:val="21"/>
                <w:szCs w:val="21"/>
              </w:rPr>
            </w:pPr>
            <w:r>
              <w:rPr>
                <w:b/>
                <w:bCs/>
                <w:sz w:val="21"/>
                <w:szCs w:val="21"/>
              </w:rPr>
              <w:t>图2.7-7园区外10km范围内水系位置关系图</w:t>
            </w:r>
          </w:p>
        </w:tc>
      </w:tr>
    </w:tbl>
    <w:p>
      <w:pPr>
        <w:pStyle w:val="6"/>
      </w:pPr>
      <w:r>
        <w:t>2.7.5土壤</w:t>
      </w:r>
    </w:p>
    <w:p>
      <w:pPr>
        <w:adjustRightInd w:val="0"/>
        <w:snapToGrid w:val="0"/>
        <w:ind w:firstLine="480"/>
      </w:pPr>
      <w:r>
        <w:t>根据土壤普查所供资料，五通桥区土壤类型主要有水稻土、潮土、紫色土、黄壤、盐土等5个土类、10个亚类、21个土属、41个土种。除黄壤和盐土较差外，其余3个土类酸碱度呈中性，质地中壤至重壤，自然养分含量高，无机养分丰富，保水保肥力较强，是全区主要耕作土壤，主要分布在沿江河地带及石麟、杨柳、辉山等地部分村组。</w:t>
      </w:r>
    </w:p>
    <w:p>
      <w:pPr>
        <w:adjustRightInd w:val="0"/>
        <w:snapToGrid w:val="0"/>
        <w:ind w:firstLine="476"/>
      </w:pPr>
      <w:r>
        <w:rPr>
          <w:snapToGrid w:val="0"/>
          <w:spacing w:val="-2"/>
        </w:rPr>
        <w:t>根据园区</w:t>
      </w:r>
      <w:r>
        <w:rPr>
          <w:kern w:val="0"/>
          <w:szCs w:val="24"/>
        </w:rPr>
        <w:t>三调数据图斑中耕地、园地、林地和草地分布情况</w:t>
      </w:r>
      <w:r>
        <w:rPr>
          <w:snapToGrid w:val="0"/>
          <w:spacing w:val="-2"/>
        </w:rPr>
        <w:t>并结合现场调查，</w:t>
      </w:r>
      <w:r>
        <w:rPr>
          <w:snapToGrid w:val="0"/>
          <w:kern w:val="0"/>
          <w:szCs w:val="24"/>
        </w:rPr>
        <w:t>项目区</w:t>
      </w:r>
      <w:r>
        <w:rPr>
          <w:kern w:val="0"/>
        </w:rPr>
        <w:t>可剥离表土面积</w:t>
      </w:r>
      <w:r>
        <w:rPr>
          <w:rFonts w:hint="eastAsia"/>
          <w:kern w:val="0"/>
        </w:rPr>
        <w:t>603.19</w:t>
      </w:r>
      <w:r>
        <w:rPr>
          <w:kern w:val="0"/>
        </w:rPr>
        <w:t>hm</w:t>
      </w:r>
      <w:r>
        <w:rPr>
          <w:vertAlign w:val="superscript"/>
        </w:rPr>
        <w:t>2</w:t>
      </w:r>
      <w:r>
        <w:rPr>
          <w:kern w:val="0"/>
        </w:rPr>
        <w:t>，可剥离厚度0.2~0.4cm，可剥离表土量为</w:t>
      </w:r>
      <w:r>
        <w:rPr>
          <w:rFonts w:hint="eastAsia"/>
          <w:kern w:val="0"/>
        </w:rPr>
        <w:t>179.13万m</w:t>
      </w:r>
      <w:r>
        <w:rPr>
          <w:szCs w:val="24"/>
          <w:vertAlign w:val="superscript"/>
        </w:rPr>
        <w:t>3</w:t>
      </w:r>
      <w:r>
        <w:rPr>
          <w:kern w:val="0"/>
          <w:szCs w:val="24"/>
        </w:rPr>
        <w:t>。</w:t>
      </w:r>
      <w:r>
        <w:rPr>
          <w:rFonts w:hint="eastAsia"/>
          <w:kern w:val="0"/>
          <w:szCs w:val="24"/>
        </w:rPr>
        <w:t>现状调查情况详见下图。</w:t>
      </w:r>
    </w:p>
    <w:tbl>
      <w:tblPr>
        <w:tblStyle w:val="37"/>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645"/>
        <w:gridCol w:w="46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vAlign w:val="center"/>
          </w:tcPr>
          <w:p>
            <w:pPr>
              <w:spacing w:line="240" w:lineRule="auto"/>
              <w:ind w:firstLine="0" w:firstLineChars="0"/>
              <w:jc w:val="center"/>
              <w:rPr>
                <w:sz w:val="21"/>
                <w:szCs w:val="21"/>
              </w:rPr>
            </w:pPr>
            <w:r>
              <w:rPr>
                <w:sz w:val="21"/>
                <w:szCs w:val="21"/>
              </w:rPr>
              <w:drawing>
                <wp:inline distT="0" distB="0" distL="114300" distR="114300">
                  <wp:extent cx="3502660" cy="2626995"/>
                  <wp:effectExtent l="0" t="0" r="1905" b="2540"/>
                  <wp:docPr id="53" name="图片 53" descr="7da04eb821fefbda72dc275ff6b22a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7da04eb821fefbda72dc275ff6b22a6"/>
                          <pic:cNvPicPr>
                            <a:picLocks noChangeAspect="1"/>
                          </pic:cNvPicPr>
                        </pic:nvPicPr>
                        <pic:blipFill>
                          <a:blip r:embed="rId157"/>
                          <a:stretch>
                            <a:fillRect/>
                          </a:stretch>
                        </pic:blipFill>
                        <pic:spPr>
                          <a:xfrm rot="5400000">
                            <a:off x="0" y="0"/>
                            <a:ext cx="3502660" cy="2626995"/>
                          </a:xfrm>
                          <a:prstGeom prst="rect">
                            <a:avLst/>
                          </a:prstGeom>
                        </pic:spPr>
                      </pic:pic>
                    </a:graphicData>
                  </a:graphic>
                </wp:inline>
              </w:drawing>
            </w:r>
          </w:p>
        </w:tc>
        <w:tc>
          <w:tcPr>
            <w:tcW w:w="4644" w:type="dxa"/>
            <w:vAlign w:val="center"/>
          </w:tcPr>
          <w:p>
            <w:pPr>
              <w:spacing w:line="240" w:lineRule="auto"/>
              <w:ind w:firstLine="0" w:firstLineChars="0"/>
              <w:jc w:val="center"/>
              <w:rPr>
                <w:sz w:val="21"/>
                <w:szCs w:val="21"/>
              </w:rPr>
            </w:pPr>
            <w:r>
              <w:rPr>
                <w:sz w:val="21"/>
                <w:szCs w:val="21"/>
              </w:rPr>
              <w:drawing>
                <wp:inline distT="0" distB="0" distL="114300" distR="114300">
                  <wp:extent cx="3491865" cy="2618740"/>
                  <wp:effectExtent l="0" t="0" r="10160" b="13335"/>
                  <wp:docPr id="70" name="图片 70" descr="6982957b39959bbb2f92d039d72a2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6982957b39959bbb2f92d039d72a2c0"/>
                          <pic:cNvPicPr>
                            <a:picLocks noChangeAspect="1"/>
                          </pic:cNvPicPr>
                        </pic:nvPicPr>
                        <pic:blipFill>
                          <a:blip r:embed="rId158"/>
                          <a:stretch>
                            <a:fillRect/>
                          </a:stretch>
                        </pic:blipFill>
                        <pic:spPr>
                          <a:xfrm rot="5400000">
                            <a:off x="0" y="0"/>
                            <a:ext cx="3491865" cy="2618740"/>
                          </a:xfrm>
                          <a:prstGeom prst="rect">
                            <a:avLst/>
                          </a:prstGeom>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643" w:type="dxa"/>
            <w:vAlign w:val="center"/>
          </w:tcPr>
          <w:p>
            <w:pPr>
              <w:spacing w:line="240" w:lineRule="auto"/>
              <w:ind w:firstLine="0" w:firstLineChars="0"/>
              <w:jc w:val="center"/>
              <w:rPr>
                <w:b/>
                <w:bCs/>
                <w:sz w:val="21"/>
                <w:szCs w:val="21"/>
              </w:rPr>
            </w:pPr>
            <w:r>
              <w:rPr>
                <w:b/>
                <w:bCs/>
                <w:sz w:val="21"/>
                <w:szCs w:val="21"/>
              </w:rPr>
              <w:t>图2.7-8耕地表土厚度</w:t>
            </w:r>
          </w:p>
        </w:tc>
        <w:tc>
          <w:tcPr>
            <w:tcW w:w="4644" w:type="dxa"/>
            <w:vAlign w:val="center"/>
          </w:tcPr>
          <w:p>
            <w:pPr>
              <w:spacing w:line="240" w:lineRule="auto"/>
              <w:ind w:firstLine="0" w:firstLineChars="0"/>
              <w:jc w:val="center"/>
              <w:rPr>
                <w:b/>
                <w:bCs/>
                <w:sz w:val="21"/>
                <w:szCs w:val="21"/>
              </w:rPr>
            </w:pPr>
            <w:r>
              <w:rPr>
                <w:b/>
                <w:bCs/>
                <w:sz w:val="21"/>
                <w:szCs w:val="21"/>
              </w:rPr>
              <w:t>图2.7-9林地表土厚度</w:t>
            </w:r>
          </w:p>
        </w:tc>
      </w:tr>
    </w:tbl>
    <w:p>
      <w:pPr>
        <w:pStyle w:val="6"/>
        <w:spacing w:beforeLines="50"/>
      </w:pPr>
      <w:r>
        <w:t>2.7.6植被</w:t>
      </w:r>
    </w:p>
    <w:p>
      <w:pPr>
        <w:adjustRightInd w:val="0"/>
        <w:snapToGrid w:val="0"/>
        <w:ind w:firstLine="480"/>
        <w:rPr>
          <w:bCs/>
          <w:szCs w:val="24"/>
        </w:rPr>
      </w:pPr>
      <w:r>
        <w:rPr>
          <w:bCs/>
          <w:szCs w:val="24"/>
        </w:rPr>
        <w:t>五通桥区地带性植被为亚热带常绿阔叶林，境内林区大部分分布在岷江河西部丘陵、低山区，即蔡金、石麟、西坝、冠英等镇。林区乔木树种有马尾松、山麻柳、柏树、桉树、青岗、楠木、雪松、板栗等，竹类有慈竹、水竹、斑竹、楠竹、苦竹、硬头黄等，灌木有黄荆、马桑、矮桐子、映山红、山茶等。根据五通桥区自然资源局通报，2022年五通桥区全区森林覆盖率为36.93%。</w:t>
      </w:r>
    </w:p>
    <w:p>
      <w:pPr>
        <w:ind w:firstLine="480"/>
      </w:pPr>
      <w:r>
        <w:br w:type="page"/>
      </w:r>
    </w:p>
    <w:p>
      <w:pPr>
        <w:pStyle w:val="102"/>
      </w:pPr>
      <w:r>
        <w:t>表2.7-2园区适生植物特性表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774"/>
        <w:gridCol w:w="4232"/>
        <w:gridCol w:w="3123"/>
        <w:gridCol w:w="115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b/>
                <w:bCs/>
                <w:sz w:val="21"/>
                <w:szCs w:val="21"/>
              </w:rPr>
            </w:pPr>
            <w:r>
              <w:rPr>
                <w:b/>
                <w:bCs/>
                <w:sz w:val="21"/>
                <w:szCs w:val="21"/>
              </w:rPr>
              <w:t>树草种</w:t>
            </w:r>
          </w:p>
        </w:tc>
        <w:tc>
          <w:tcPr>
            <w:tcW w:w="2278" w:type="pct"/>
            <w:vAlign w:val="center"/>
          </w:tcPr>
          <w:p>
            <w:pPr>
              <w:pStyle w:val="99"/>
              <w:spacing w:line="240" w:lineRule="auto"/>
              <w:rPr>
                <w:b/>
                <w:bCs/>
                <w:sz w:val="21"/>
                <w:szCs w:val="21"/>
              </w:rPr>
            </w:pPr>
            <w:r>
              <w:rPr>
                <w:b/>
                <w:bCs/>
                <w:sz w:val="21"/>
                <w:szCs w:val="21"/>
              </w:rPr>
              <w:t>特性</w:t>
            </w:r>
          </w:p>
        </w:tc>
        <w:tc>
          <w:tcPr>
            <w:tcW w:w="1681" w:type="pct"/>
            <w:vAlign w:val="center"/>
          </w:tcPr>
          <w:p>
            <w:pPr>
              <w:pStyle w:val="99"/>
              <w:spacing w:line="240" w:lineRule="auto"/>
              <w:rPr>
                <w:b/>
                <w:bCs/>
                <w:sz w:val="21"/>
                <w:szCs w:val="21"/>
              </w:rPr>
            </w:pPr>
            <w:r>
              <w:rPr>
                <w:b/>
                <w:bCs/>
                <w:sz w:val="21"/>
                <w:szCs w:val="21"/>
              </w:rPr>
              <w:t>种植方式及规格</w:t>
            </w:r>
          </w:p>
        </w:tc>
        <w:tc>
          <w:tcPr>
            <w:tcW w:w="621" w:type="pct"/>
            <w:vAlign w:val="center"/>
          </w:tcPr>
          <w:p>
            <w:pPr>
              <w:pStyle w:val="99"/>
              <w:spacing w:line="240" w:lineRule="auto"/>
              <w:rPr>
                <w:b/>
                <w:bCs/>
                <w:sz w:val="21"/>
                <w:szCs w:val="21"/>
              </w:rPr>
            </w:pPr>
            <w:r>
              <w:rPr>
                <w:b/>
                <w:bCs/>
                <w:sz w:val="21"/>
                <w:szCs w:val="21"/>
              </w:rPr>
              <w:t>可用于部位</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紫叶</w:t>
            </w:r>
          </w:p>
          <w:p>
            <w:pPr>
              <w:pStyle w:val="99"/>
              <w:spacing w:line="240" w:lineRule="auto"/>
              <w:rPr>
                <w:sz w:val="21"/>
                <w:szCs w:val="21"/>
              </w:rPr>
            </w:pPr>
            <w:r>
              <w:rPr>
                <w:sz w:val="21"/>
                <w:szCs w:val="21"/>
              </w:rPr>
              <w:t>小蘖</w:t>
            </w:r>
          </w:p>
        </w:tc>
        <w:tc>
          <w:tcPr>
            <w:tcW w:w="2278" w:type="pct"/>
            <w:vAlign w:val="center"/>
          </w:tcPr>
          <w:p>
            <w:pPr>
              <w:pStyle w:val="99"/>
              <w:spacing w:line="240" w:lineRule="auto"/>
              <w:rPr>
                <w:sz w:val="21"/>
                <w:szCs w:val="21"/>
              </w:rPr>
            </w:pPr>
            <w:r>
              <w:rPr>
                <w:sz w:val="21"/>
                <w:szCs w:val="21"/>
              </w:rPr>
              <w:t>常绿灌木，小蘖科，小蘖属，喜凉爽、湿润气候</w:t>
            </w:r>
          </w:p>
        </w:tc>
        <w:tc>
          <w:tcPr>
            <w:tcW w:w="1681" w:type="pct"/>
            <w:vAlign w:val="center"/>
          </w:tcPr>
          <w:p>
            <w:pPr>
              <w:pStyle w:val="99"/>
              <w:spacing w:line="240" w:lineRule="auto"/>
              <w:rPr>
                <w:sz w:val="21"/>
                <w:szCs w:val="21"/>
              </w:rPr>
            </w:pPr>
            <w:r>
              <w:rPr>
                <w:sz w:val="21"/>
                <w:szCs w:val="21"/>
              </w:rPr>
              <w:t>株、行距为2.0m</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金叶</w:t>
            </w:r>
          </w:p>
          <w:p>
            <w:pPr>
              <w:pStyle w:val="99"/>
              <w:spacing w:line="240" w:lineRule="auto"/>
              <w:rPr>
                <w:sz w:val="21"/>
                <w:szCs w:val="21"/>
              </w:rPr>
            </w:pPr>
            <w:r>
              <w:rPr>
                <w:sz w:val="21"/>
                <w:szCs w:val="21"/>
              </w:rPr>
              <w:t>女贞</w:t>
            </w:r>
          </w:p>
        </w:tc>
        <w:tc>
          <w:tcPr>
            <w:tcW w:w="2278" w:type="pct"/>
            <w:vAlign w:val="center"/>
          </w:tcPr>
          <w:p>
            <w:pPr>
              <w:pStyle w:val="99"/>
              <w:spacing w:line="240" w:lineRule="auto"/>
              <w:rPr>
                <w:sz w:val="21"/>
                <w:szCs w:val="21"/>
              </w:rPr>
            </w:pPr>
            <w:r>
              <w:rPr>
                <w:sz w:val="21"/>
                <w:szCs w:val="21"/>
              </w:rPr>
              <w:t>半常绿灌木，喜光，稍耐湿，不耐严寒及干旱，适生微酸性土壤，萌发力强，耐修剪</w:t>
            </w:r>
          </w:p>
        </w:tc>
        <w:tc>
          <w:tcPr>
            <w:tcW w:w="1681" w:type="pct"/>
            <w:vAlign w:val="center"/>
          </w:tcPr>
          <w:p>
            <w:pPr>
              <w:pStyle w:val="99"/>
              <w:spacing w:line="240" w:lineRule="auto"/>
              <w:rPr>
                <w:sz w:val="21"/>
                <w:szCs w:val="21"/>
              </w:rPr>
            </w:pPr>
            <w:r>
              <w:rPr>
                <w:sz w:val="21"/>
                <w:szCs w:val="21"/>
              </w:rPr>
              <w:t>有硬枝、嫩枝扦插，易成活，2年生苗即可，从植，株、行距为0.5m</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紫穗槐</w:t>
            </w:r>
          </w:p>
        </w:tc>
        <w:tc>
          <w:tcPr>
            <w:tcW w:w="2278" w:type="pct"/>
            <w:vAlign w:val="center"/>
          </w:tcPr>
          <w:p>
            <w:pPr>
              <w:pStyle w:val="99"/>
              <w:spacing w:line="240" w:lineRule="auto"/>
              <w:rPr>
                <w:sz w:val="21"/>
                <w:szCs w:val="21"/>
              </w:rPr>
            </w:pPr>
            <w:r>
              <w:rPr>
                <w:sz w:val="21"/>
                <w:szCs w:val="21"/>
              </w:rPr>
              <w:t>豆科小灌木，耐盐、耐旱、耐涝、耐寒、耐荫</w:t>
            </w:r>
          </w:p>
        </w:tc>
        <w:tc>
          <w:tcPr>
            <w:tcW w:w="1681" w:type="pct"/>
            <w:vAlign w:val="center"/>
          </w:tcPr>
          <w:p>
            <w:pPr>
              <w:pStyle w:val="99"/>
              <w:spacing w:line="240" w:lineRule="auto"/>
              <w:rPr>
                <w:sz w:val="21"/>
                <w:szCs w:val="21"/>
              </w:rPr>
            </w:pPr>
            <w:r>
              <w:rPr>
                <w:sz w:val="21"/>
                <w:szCs w:val="21"/>
              </w:rPr>
              <w:t>株、行距为2.0m</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黑麦草</w:t>
            </w:r>
          </w:p>
        </w:tc>
        <w:tc>
          <w:tcPr>
            <w:tcW w:w="2278" w:type="pct"/>
            <w:vAlign w:val="center"/>
          </w:tcPr>
          <w:p>
            <w:pPr>
              <w:pStyle w:val="99"/>
              <w:spacing w:line="240" w:lineRule="auto"/>
              <w:rPr>
                <w:sz w:val="21"/>
                <w:szCs w:val="21"/>
              </w:rPr>
            </w:pPr>
            <w:r>
              <w:rPr>
                <w:sz w:val="21"/>
                <w:szCs w:val="21"/>
              </w:rPr>
              <w:t>喜温暖湿润气候，适于冬无严寒，夏无酷暑的地区生长，可与草地早熟禾、紫羊茅等混播</w:t>
            </w:r>
          </w:p>
        </w:tc>
        <w:tc>
          <w:tcPr>
            <w:tcW w:w="1681" w:type="pct"/>
            <w:vAlign w:val="center"/>
          </w:tcPr>
          <w:p>
            <w:pPr>
              <w:pStyle w:val="99"/>
              <w:spacing w:line="240" w:lineRule="auto"/>
              <w:rPr>
                <w:sz w:val="21"/>
                <w:szCs w:val="21"/>
              </w:rPr>
            </w:pPr>
            <w:r>
              <w:rPr>
                <w:sz w:val="21"/>
                <w:szCs w:val="21"/>
              </w:rPr>
              <w:t>播种量为25-35g/m²</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高羊茅</w:t>
            </w:r>
          </w:p>
        </w:tc>
        <w:tc>
          <w:tcPr>
            <w:tcW w:w="2278" w:type="pct"/>
            <w:vAlign w:val="center"/>
          </w:tcPr>
          <w:p>
            <w:pPr>
              <w:pStyle w:val="99"/>
              <w:spacing w:line="240" w:lineRule="auto"/>
              <w:rPr>
                <w:sz w:val="21"/>
                <w:szCs w:val="21"/>
              </w:rPr>
            </w:pPr>
            <w:r>
              <w:rPr>
                <w:sz w:val="21"/>
                <w:szCs w:val="21"/>
              </w:rPr>
              <w:t>年生草本植物，丛生型，须根发达，具有广泛的适应性，耐寒能力强，耐热性好，耐践踏性强，抗病性强</w:t>
            </w:r>
          </w:p>
        </w:tc>
        <w:tc>
          <w:tcPr>
            <w:tcW w:w="1681" w:type="pct"/>
            <w:vAlign w:val="center"/>
          </w:tcPr>
          <w:p>
            <w:pPr>
              <w:pStyle w:val="99"/>
              <w:spacing w:line="240" w:lineRule="auto"/>
              <w:rPr>
                <w:sz w:val="21"/>
                <w:szCs w:val="21"/>
              </w:rPr>
            </w:pPr>
            <w:r>
              <w:rPr>
                <w:sz w:val="21"/>
                <w:szCs w:val="21"/>
              </w:rPr>
              <w:t>播种量为25-35g/m²</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狗牙根</w:t>
            </w:r>
          </w:p>
        </w:tc>
        <w:tc>
          <w:tcPr>
            <w:tcW w:w="2278" w:type="pct"/>
            <w:vAlign w:val="center"/>
          </w:tcPr>
          <w:p>
            <w:pPr>
              <w:pStyle w:val="99"/>
              <w:spacing w:line="240" w:lineRule="auto"/>
              <w:rPr>
                <w:sz w:val="21"/>
                <w:szCs w:val="21"/>
              </w:rPr>
            </w:pPr>
            <w:r>
              <w:rPr>
                <w:sz w:val="21"/>
                <w:szCs w:val="21"/>
              </w:rPr>
              <w:t>多年生草本植物，喜光，耐践踏，侵占性强</w:t>
            </w:r>
          </w:p>
        </w:tc>
        <w:tc>
          <w:tcPr>
            <w:tcW w:w="1681" w:type="pct"/>
            <w:vAlign w:val="center"/>
          </w:tcPr>
          <w:p>
            <w:pPr>
              <w:pStyle w:val="99"/>
              <w:spacing w:line="240" w:lineRule="auto"/>
              <w:rPr>
                <w:sz w:val="21"/>
                <w:szCs w:val="21"/>
              </w:rPr>
            </w:pPr>
            <w:r>
              <w:rPr>
                <w:sz w:val="21"/>
                <w:szCs w:val="21"/>
              </w:rPr>
              <w:t>播种量为10-15g/m²</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白三叶</w:t>
            </w:r>
          </w:p>
        </w:tc>
        <w:tc>
          <w:tcPr>
            <w:tcW w:w="2278" w:type="pct"/>
            <w:vAlign w:val="center"/>
          </w:tcPr>
          <w:p>
            <w:pPr>
              <w:pStyle w:val="99"/>
              <w:spacing w:line="240" w:lineRule="auto"/>
              <w:rPr>
                <w:sz w:val="21"/>
                <w:szCs w:val="21"/>
              </w:rPr>
            </w:pPr>
            <w:r>
              <w:rPr>
                <w:sz w:val="21"/>
                <w:szCs w:val="21"/>
              </w:rPr>
              <w:t>耐热、耐旱性较强。耐瘠、耐酸，适宜在PH5.6~7的土壤生长，侵占性强，适应性广</w:t>
            </w:r>
          </w:p>
        </w:tc>
        <w:tc>
          <w:tcPr>
            <w:tcW w:w="1681" w:type="pct"/>
            <w:vAlign w:val="center"/>
          </w:tcPr>
          <w:p>
            <w:pPr>
              <w:pStyle w:val="99"/>
              <w:spacing w:line="240" w:lineRule="auto"/>
              <w:rPr>
                <w:sz w:val="21"/>
                <w:szCs w:val="21"/>
              </w:rPr>
            </w:pPr>
            <w:r>
              <w:rPr>
                <w:sz w:val="21"/>
                <w:szCs w:val="21"/>
              </w:rPr>
              <w:t>播种量应为7.5-10g/m²</w:t>
            </w:r>
          </w:p>
        </w:tc>
        <w:tc>
          <w:tcPr>
            <w:tcW w:w="621" w:type="pct"/>
            <w:vAlign w:val="center"/>
          </w:tcPr>
          <w:p>
            <w:pPr>
              <w:pStyle w:val="99"/>
              <w:spacing w:line="240" w:lineRule="auto"/>
              <w:rPr>
                <w:sz w:val="21"/>
                <w:szCs w:val="21"/>
              </w:rPr>
            </w:pPr>
            <w:r>
              <w:rPr>
                <w:sz w:val="21"/>
                <w:szCs w:val="21"/>
              </w:rPr>
              <w:t>绿化及美化</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爬山虎</w:t>
            </w:r>
          </w:p>
        </w:tc>
        <w:tc>
          <w:tcPr>
            <w:tcW w:w="2278" w:type="pct"/>
            <w:vAlign w:val="center"/>
          </w:tcPr>
          <w:p>
            <w:pPr>
              <w:pStyle w:val="99"/>
              <w:spacing w:line="240" w:lineRule="auto"/>
              <w:rPr>
                <w:sz w:val="21"/>
                <w:szCs w:val="21"/>
              </w:rPr>
            </w:pPr>
            <w:r>
              <w:rPr>
                <w:sz w:val="21"/>
                <w:szCs w:val="21"/>
              </w:rPr>
              <w:t>年生木质藤本植物，性喜阴湿环境，耐寒，耐旱，耐贫瘠，耐修剪，怕积水，对土壤要求不严，但在阴湿、肥沃的土壤中生长最佳</w:t>
            </w:r>
          </w:p>
        </w:tc>
        <w:tc>
          <w:tcPr>
            <w:tcW w:w="1681" w:type="pct"/>
            <w:vAlign w:val="center"/>
          </w:tcPr>
          <w:p>
            <w:pPr>
              <w:pStyle w:val="99"/>
              <w:spacing w:line="240" w:lineRule="auto"/>
              <w:rPr>
                <w:sz w:val="21"/>
                <w:szCs w:val="21"/>
              </w:rPr>
            </w:pPr>
            <w:r>
              <w:rPr>
                <w:sz w:val="21"/>
                <w:szCs w:val="21"/>
              </w:rPr>
              <w:t>一般早春剪取茎蔓20~30cm，插入露地苗床，灌水，保持湿润，扦插成活率较高</w:t>
            </w:r>
          </w:p>
        </w:tc>
        <w:tc>
          <w:tcPr>
            <w:tcW w:w="621" w:type="pct"/>
            <w:vAlign w:val="center"/>
          </w:tcPr>
          <w:p>
            <w:pPr>
              <w:pStyle w:val="99"/>
              <w:spacing w:line="240" w:lineRule="auto"/>
              <w:rPr>
                <w:sz w:val="21"/>
                <w:szCs w:val="21"/>
              </w:rPr>
            </w:pPr>
            <w:r>
              <w:rPr>
                <w:sz w:val="21"/>
                <w:szCs w:val="21"/>
              </w:rPr>
              <w:t>护坡挡土墙</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97" w:hRule="atLeast"/>
        </w:trPr>
        <w:tc>
          <w:tcPr>
            <w:tcW w:w="417" w:type="pct"/>
            <w:vAlign w:val="center"/>
          </w:tcPr>
          <w:p>
            <w:pPr>
              <w:pStyle w:val="99"/>
              <w:spacing w:line="240" w:lineRule="auto"/>
              <w:rPr>
                <w:sz w:val="21"/>
                <w:szCs w:val="21"/>
              </w:rPr>
            </w:pPr>
            <w:r>
              <w:rPr>
                <w:sz w:val="21"/>
                <w:szCs w:val="21"/>
              </w:rPr>
              <w:t>长春藤</w:t>
            </w:r>
          </w:p>
        </w:tc>
        <w:tc>
          <w:tcPr>
            <w:tcW w:w="2278" w:type="pct"/>
            <w:vAlign w:val="center"/>
          </w:tcPr>
          <w:p>
            <w:pPr>
              <w:pStyle w:val="99"/>
              <w:spacing w:line="240" w:lineRule="auto"/>
              <w:rPr>
                <w:sz w:val="21"/>
                <w:szCs w:val="21"/>
              </w:rPr>
            </w:pPr>
            <w:r>
              <w:rPr>
                <w:sz w:val="21"/>
                <w:szCs w:val="21"/>
              </w:rPr>
              <w:t>常绿木质藤本植物，长春藤原产亚洲、欧洲和北非，他对环境的适应性强，喜冷凉气候，耐寒力较强，可采用扦插法、分株法和压条法进行繁殖</w:t>
            </w:r>
          </w:p>
        </w:tc>
        <w:tc>
          <w:tcPr>
            <w:tcW w:w="1681" w:type="pct"/>
            <w:vAlign w:val="center"/>
          </w:tcPr>
          <w:p>
            <w:pPr>
              <w:pStyle w:val="99"/>
              <w:spacing w:line="240" w:lineRule="auto"/>
              <w:rPr>
                <w:sz w:val="21"/>
                <w:szCs w:val="21"/>
              </w:rPr>
            </w:pPr>
            <w:r>
              <w:rPr>
                <w:sz w:val="21"/>
                <w:szCs w:val="21"/>
              </w:rPr>
              <w:t>扦插法、分株法和压条法进行繁殖</w:t>
            </w:r>
          </w:p>
        </w:tc>
        <w:tc>
          <w:tcPr>
            <w:tcW w:w="621" w:type="pct"/>
            <w:vAlign w:val="center"/>
          </w:tcPr>
          <w:p>
            <w:pPr>
              <w:pStyle w:val="99"/>
              <w:spacing w:line="240" w:lineRule="auto"/>
              <w:rPr>
                <w:sz w:val="21"/>
                <w:szCs w:val="21"/>
              </w:rPr>
            </w:pPr>
            <w:r>
              <w:rPr>
                <w:sz w:val="21"/>
                <w:szCs w:val="21"/>
              </w:rPr>
              <w:t>护坡挡土墙</w:t>
            </w:r>
          </w:p>
        </w:tc>
      </w:tr>
    </w:tbl>
    <w:p>
      <w:pPr>
        <w:pStyle w:val="6"/>
        <w:spacing w:beforeLines="50"/>
      </w:pPr>
      <w:r>
        <w:t>2.7.7项目与水土保持敏感区的关系</w:t>
      </w:r>
    </w:p>
    <w:p>
      <w:pPr>
        <w:pStyle w:val="7"/>
      </w:pPr>
      <w:r>
        <w:t>2.7.7.1水土流失重点预防区和重点治理区</w:t>
      </w:r>
    </w:p>
    <w:p>
      <w:pPr>
        <w:ind w:firstLine="480"/>
      </w:pPr>
      <w:r>
        <w:t>园区地处五通桥区辖区，根据《全国水土保持规划国家级水土流失重点预防区和重点治理区复核划分成果》（办水保〔2013〕188号），五通桥区不属于国家级水土流失重点预防区和重点治理区。根据《四川省水利厅关于印发四川省省级水土流失重点预防区和重点治理区划分成果的通知》（川水函〔2017〕482号），五通桥区不属于省级水土流失重点预防区及水土流失重点治理区。根据《乐山市水土保持规划》（2015-2030年），五通桥区不属于市级水土流失重点预防区及水土流失重点治理区。根据《乐山市五通桥区水土保持规划》（2015-2030年），园区涉及的金粟镇、金山镇属于县级水土流失重点治理区。</w:t>
      </w:r>
    </w:p>
    <w:p>
      <w:pPr>
        <w:pStyle w:val="7"/>
      </w:pPr>
      <w:r>
        <w:t>2.7.7.2生态保护红线</w:t>
      </w:r>
    </w:p>
    <w:p>
      <w:pPr>
        <w:ind w:firstLine="480"/>
      </w:pPr>
      <w:r>
        <w:t>根据对照乐山市生态红线图，园区范围不涉及生态红线保护范围。</w:t>
      </w:r>
      <w:r>
        <w:rPr>
          <w:sz w:val="21"/>
          <w:szCs w:val="21"/>
        </w:rPr>
        <w:t>园区与乐山市生态红线保护范围</w:t>
      </w:r>
      <w:r>
        <w:t>位置关系详见图2.7-10。</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drawing>
                <wp:inline distT="0" distB="0" distL="114300" distR="114300">
                  <wp:extent cx="5756910" cy="7271385"/>
                  <wp:effectExtent l="0" t="0" r="15240" b="5715"/>
                  <wp:docPr id="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9"/>
                          <pic:cNvPicPr>
                            <a:picLocks noChangeAspect="1"/>
                          </pic:cNvPicPr>
                        </pic:nvPicPr>
                        <pic:blipFill>
                          <a:blip r:embed="rId159"/>
                          <a:stretch>
                            <a:fillRect/>
                          </a:stretch>
                        </pic:blipFill>
                        <pic:spPr>
                          <a:xfrm>
                            <a:off x="0" y="0"/>
                            <a:ext cx="5756910" cy="727138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t>图2.7-10园区与乐山市生态红线关系图</w:t>
            </w:r>
          </w:p>
        </w:tc>
      </w:tr>
    </w:tbl>
    <w:p>
      <w:pPr>
        <w:pStyle w:val="7"/>
      </w:pPr>
      <w:r>
        <w:t>2.7.7.3其他敏感区</w:t>
      </w:r>
    </w:p>
    <w:p>
      <w:pPr>
        <w:ind w:firstLine="480"/>
        <w:rPr>
          <w:szCs w:val="24"/>
        </w:rPr>
      </w:pPr>
      <w:r>
        <w:t>园区不涉及饮用水水源保护区、河流两岸植被保护带、水功能一级区的保护区和保留区、自然保护区、世界文化和自然遗产地、风景名胜区、地质公园、森林公园以及重要湿地等，无国家水土保持监测网络中的水土保持监测站点和重点试验区。</w:t>
      </w:r>
    </w:p>
    <w:p>
      <w:pPr>
        <w:ind w:firstLine="480"/>
        <w:rPr>
          <w:szCs w:val="24"/>
        </w:rPr>
        <w:sectPr>
          <w:pgSz w:w="11905" w:h="16838"/>
          <w:pgMar w:top="1417" w:right="1417" w:bottom="1417" w:left="1417" w:header="850" w:footer="992" w:gutter="0"/>
          <w:cols w:space="720" w:num="1"/>
          <w:docGrid w:linePitch="312" w:charSpace="0"/>
        </w:sectPr>
      </w:pPr>
    </w:p>
    <w:p>
      <w:pPr>
        <w:pStyle w:val="4"/>
      </w:pPr>
      <w:bookmarkStart w:id="61" w:name="_Toc27270"/>
      <w:r>
        <w:t>3项目水土保持评价</w:t>
      </w:r>
      <w:bookmarkEnd w:id="61"/>
    </w:p>
    <w:p>
      <w:pPr>
        <w:pStyle w:val="5"/>
      </w:pPr>
      <w:bookmarkStart w:id="62" w:name="_Toc1455"/>
      <w:r>
        <w:t>3.1主体工程选址（线）水土保持评价</w:t>
      </w:r>
      <w:bookmarkEnd w:id="62"/>
    </w:p>
    <w:p>
      <w:pPr>
        <w:ind w:firstLine="480"/>
        <w:rPr>
          <w:bCs/>
        </w:rPr>
      </w:pPr>
      <w:r>
        <w:rPr>
          <w:bCs/>
        </w:rPr>
        <w:t>根据主体规划等设计资料，本园区选址位于乐山市五通桥区</w:t>
      </w:r>
      <w:r>
        <w:rPr>
          <w:szCs w:val="21"/>
          <w:lang w:val="zh-CN"/>
        </w:rPr>
        <w:t>金粟镇、竹根镇、金山镇</w:t>
      </w:r>
      <w:r>
        <w:rPr>
          <w:bCs/>
        </w:rPr>
        <w:t>。对照《中华人民共和国水土保持法》</w:t>
      </w:r>
      <w:r>
        <w:t>（2011年3月1日实施）</w:t>
      </w:r>
      <w:r>
        <w:rPr>
          <w:bCs/>
        </w:rPr>
        <w:t>、《生产建设项目水土保持技术标准》（GB50433－2018）、《中华人民共和国长江保护法》（2021年3月1日</w:t>
      </w:r>
      <w:r>
        <w:t>实施</w:t>
      </w:r>
      <w:r>
        <w:rPr>
          <w:bCs/>
        </w:rPr>
        <w:t>）中的关于园区选址的强制性条款，具体分析如下：</w:t>
      </w:r>
    </w:p>
    <w:p>
      <w:pPr>
        <w:pStyle w:val="6"/>
      </w:pPr>
      <w:r>
        <w:t>3.1.1与《中华人民共和国水土保持法》的符合性分析</w:t>
      </w:r>
    </w:p>
    <w:p>
      <w:pPr>
        <w:ind w:firstLine="480"/>
      </w:pPr>
      <w:r>
        <w:t>根据《中华人民共和国水土保持法》（2011年3月1日实施）规定，对照分析园区与水土保持法规定的符合性，详见表3.1-1。</w:t>
      </w:r>
    </w:p>
    <w:p>
      <w:pPr>
        <w:pStyle w:val="68"/>
        <w:spacing w:after="120"/>
      </w:pPr>
      <w:r>
        <w:t>表3.1-1与《中华人民共和国水土保持法》的符合性对照分析表</w:t>
      </w:r>
    </w:p>
    <w:tbl>
      <w:tblPr>
        <w:tblStyle w:val="110"/>
        <w:tblW w:w="9413"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4147"/>
        <w:gridCol w:w="4311"/>
        <w:gridCol w:w="95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4147" w:type="dxa"/>
            <w:vAlign w:val="center"/>
          </w:tcPr>
          <w:p>
            <w:pPr>
              <w:pStyle w:val="53"/>
              <w:rPr>
                <w:rFonts w:eastAsia="仿宋_GB2312"/>
                <w:b/>
                <w:bCs/>
              </w:rPr>
            </w:pPr>
            <w:r>
              <w:rPr>
                <w:rFonts w:eastAsia="仿宋_GB2312"/>
                <w:b/>
                <w:bCs/>
              </w:rPr>
              <w:t>《中华人民共和国水土保持法》规定</w:t>
            </w:r>
          </w:p>
        </w:tc>
        <w:tc>
          <w:tcPr>
            <w:tcW w:w="4311" w:type="dxa"/>
            <w:vAlign w:val="center"/>
          </w:tcPr>
          <w:p>
            <w:pPr>
              <w:pStyle w:val="53"/>
              <w:rPr>
                <w:rFonts w:eastAsia="仿宋_GB2312"/>
                <w:b/>
                <w:bCs/>
              </w:rPr>
            </w:pPr>
            <w:r>
              <w:rPr>
                <w:rFonts w:eastAsia="仿宋_GB2312"/>
                <w:b/>
                <w:bCs/>
              </w:rPr>
              <w:t>园区情况</w:t>
            </w:r>
          </w:p>
        </w:tc>
        <w:tc>
          <w:tcPr>
            <w:tcW w:w="955" w:type="dxa"/>
            <w:vAlign w:val="center"/>
          </w:tcPr>
          <w:p>
            <w:pPr>
              <w:pStyle w:val="53"/>
              <w:rPr>
                <w:rFonts w:eastAsia="仿宋_GB2312"/>
                <w:b/>
                <w:bCs/>
              </w:rPr>
            </w:pPr>
            <w:r>
              <w:rPr>
                <w:rFonts w:eastAsia="仿宋_GB2312"/>
                <w:b/>
                <w:bCs/>
              </w:rPr>
              <w:t>相符性分析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4147" w:type="dxa"/>
            <w:vAlign w:val="center"/>
          </w:tcPr>
          <w:p>
            <w:pPr>
              <w:pStyle w:val="53"/>
              <w:jc w:val="both"/>
              <w:rPr>
                <w:rFonts w:eastAsia="仿宋_GB2312"/>
              </w:rPr>
            </w:pPr>
            <w:r>
              <w:rPr>
                <w:rFonts w:eastAsia="仿宋_GB2312"/>
              </w:rPr>
              <w:t>第十七条：地方各级人民政府应当加强对取土、挖砂、采石等活动的管理，预防和减轻水土流失。</w:t>
            </w:r>
          </w:p>
          <w:p>
            <w:pPr>
              <w:pStyle w:val="53"/>
              <w:jc w:val="both"/>
              <w:rPr>
                <w:rFonts w:eastAsia="仿宋_GB2312"/>
              </w:rPr>
            </w:pPr>
            <w:r>
              <w:rPr>
                <w:rFonts w:eastAsia="仿宋_GB2312"/>
              </w:rPr>
              <w:t>禁止在崩塌、滑坡危险区和泥石流易发区从事取土、挖砂、采石等可能造成水土流失的活动。</w:t>
            </w:r>
          </w:p>
        </w:tc>
        <w:tc>
          <w:tcPr>
            <w:tcW w:w="4311" w:type="dxa"/>
            <w:vAlign w:val="center"/>
          </w:tcPr>
          <w:p>
            <w:pPr>
              <w:pStyle w:val="53"/>
              <w:jc w:val="both"/>
              <w:rPr>
                <w:rFonts w:eastAsia="仿宋_GB2312"/>
              </w:rPr>
            </w:pPr>
            <w:r>
              <w:rPr>
                <w:rFonts w:eastAsia="仿宋_GB2312"/>
              </w:rPr>
              <w:t>①园区不单独设取土场、取沙场和石料场，在周边合法的商品料场采购，“取土、挖沙、采石等”活动造成的水土流失由料场业主负责治理。</w:t>
            </w:r>
          </w:p>
          <w:p>
            <w:pPr>
              <w:pStyle w:val="53"/>
              <w:jc w:val="both"/>
              <w:rPr>
                <w:rFonts w:eastAsia="仿宋_GB2312"/>
              </w:rPr>
            </w:pPr>
            <w:r>
              <w:rPr>
                <w:rFonts w:eastAsia="仿宋_GB2312"/>
              </w:rPr>
              <w:t>②园区内无崩塌、滑坡及泥石流等地质灾害易发区。</w:t>
            </w:r>
          </w:p>
        </w:tc>
        <w:tc>
          <w:tcPr>
            <w:tcW w:w="955" w:type="dxa"/>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4147" w:type="dxa"/>
            <w:vAlign w:val="center"/>
          </w:tcPr>
          <w:p>
            <w:pPr>
              <w:pStyle w:val="53"/>
              <w:jc w:val="both"/>
              <w:rPr>
                <w:rFonts w:eastAsia="仿宋_GB2312"/>
              </w:rPr>
            </w:pPr>
            <w:r>
              <w:rPr>
                <w:rFonts w:eastAsia="仿宋_GB2312"/>
              </w:rPr>
              <w:t>第十八条：水土流失严重、生态脆弱的地区，应当限制或者禁止可能造成水土流失的生产建设活动，严格保护植物、沙壳、结皮、地衣等。</w:t>
            </w:r>
          </w:p>
        </w:tc>
        <w:tc>
          <w:tcPr>
            <w:tcW w:w="4311" w:type="dxa"/>
            <w:vAlign w:val="center"/>
          </w:tcPr>
          <w:p>
            <w:pPr>
              <w:pStyle w:val="53"/>
              <w:jc w:val="both"/>
              <w:rPr>
                <w:rFonts w:eastAsia="仿宋_GB2312"/>
              </w:rPr>
            </w:pPr>
            <w:r>
              <w:rPr>
                <w:rFonts w:eastAsia="仿宋_GB2312"/>
              </w:rPr>
              <w:t>园区不属于水土流失严重、生态脆弱的地区。</w:t>
            </w:r>
          </w:p>
        </w:tc>
        <w:tc>
          <w:tcPr>
            <w:tcW w:w="955" w:type="dxa"/>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4147" w:type="dxa"/>
            <w:vAlign w:val="center"/>
          </w:tcPr>
          <w:p>
            <w:pPr>
              <w:pStyle w:val="53"/>
              <w:jc w:val="both"/>
              <w:rPr>
                <w:rFonts w:eastAsia="仿宋_GB2312"/>
              </w:rPr>
            </w:pPr>
            <w:r>
              <w:rPr>
                <w:rFonts w:eastAsia="仿宋_GB2312"/>
              </w:rPr>
              <w:t>第二十四条：生产建设项目选址、选线应当避让水土流失重点预防区和重点治理区；无法避让的，应当提高防治标准，优化施工工艺，减少地表扰动和植被损坏范围，有效控制可能造成的水土流失。</w:t>
            </w:r>
          </w:p>
        </w:tc>
        <w:tc>
          <w:tcPr>
            <w:tcW w:w="4311" w:type="dxa"/>
            <w:vAlign w:val="center"/>
          </w:tcPr>
          <w:p>
            <w:pPr>
              <w:pStyle w:val="53"/>
              <w:jc w:val="both"/>
              <w:rPr>
                <w:rFonts w:eastAsia="仿宋_GB2312"/>
              </w:rPr>
            </w:pPr>
            <w:r>
              <w:rPr>
                <w:rFonts w:eastAsia="仿宋_GB2312"/>
              </w:rPr>
              <w:t>园区所在的五通桥区不属于国家级、省级、市级水土流失重点预防区及治理区，园区所涉及的金粟镇、金山镇属于县级水土流失重点治理区。本报告将通过执行水土流失防治一级标准，并优化施工设计等措施，防治水土流失。</w:t>
            </w:r>
          </w:p>
        </w:tc>
        <w:tc>
          <w:tcPr>
            <w:tcW w:w="955" w:type="dxa"/>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4147" w:type="dxa"/>
            <w:vAlign w:val="center"/>
          </w:tcPr>
          <w:p>
            <w:pPr>
              <w:pStyle w:val="53"/>
              <w:jc w:val="both"/>
              <w:rPr>
                <w:rFonts w:eastAsia="仿宋_GB2312"/>
              </w:rPr>
            </w:pPr>
            <w:r>
              <w:rPr>
                <w:rFonts w:eastAsia="仿宋_GB2312"/>
              </w:rPr>
              <w:t>第二十八条：依法应当编制水土保持方案的生产建设项目，其生产建设活动中排弃的砂、石、土、矸石、尾矿、废渣等应当综合利用；不能综合利用，确需废弃的，应当堆放在水土保持方案确定的专门存放地，并采取措施保证不产生新的危害。</w:t>
            </w:r>
          </w:p>
        </w:tc>
        <w:tc>
          <w:tcPr>
            <w:tcW w:w="4311" w:type="dxa"/>
            <w:vAlign w:val="center"/>
          </w:tcPr>
          <w:p>
            <w:pPr>
              <w:widowControl/>
              <w:spacing w:line="240" w:lineRule="auto"/>
              <w:ind w:firstLine="0" w:firstLineChars="0"/>
            </w:pPr>
            <w:r>
              <w:rPr>
                <w:kern w:val="0"/>
                <w:sz w:val="21"/>
                <w:szCs w:val="21"/>
              </w:rPr>
              <w:t>园区不设置永久弃土场；场平及园区后期建设临时堆存的土石方在土石方临时中转场内堆存，临时堆存的表土在表土临时中转场内堆存，后期在防护绿地等区域综合利用。</w:t>
            </w:r>
          </w:p>
        </w:tc>
        <w:tc>
          <w:tcPr>
            <w:tcW w:w="955" w:type="dxa"/>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36" w:hRule="atLeast"/>
        </w:trPr>
        <w:tc>
          <w:tcPr>
            <w:tcW w:w="4147" w:type="dxa"/>
            <w:vAlign w:val="center"/>
          </w:tcPr>
          <w:p>
            <w:pPr>
              <w:pStyle w:val="53"/>
              <w:jc w:val="both"/>
              <w:rPr>
                <w:rFonts w:eastAsia="仿宋_GB2312"/>
              </w:rPr>
            </w:pPr>
            <w:r>
              <w:rPr>
                <w:rFonts w:eastAsia="仿宋_GB2312"/>
              </w:rPr>
              <w:t>第三十二条：开办生产建设项目或者从事其他生产建设活动造成水土流失的，应当进行治理。在山区、丘陵区、风沙区以及水土保持规划确定的容易发生水土流失的其他区域开办生产建设项目或从事其他生产建设活动，损坏水土保持设施、地貌植被，不能恢复原有水土保持功能的，应当缴纳水土保持补偿费，专项用于水土流失预防和治理。</w:t>
            </w:r>
          </w:p>
        </w:tc>
        <w:tc>
          <w:tcPr>
            <w:tcW w:w="4311" w:type="dxa"/>
            <w:vAlign w:val="center"/>
          </w:tcPr>
          <w:p>
            <w:pPr>
              <w:widowControl/>
              <w:spacing w:line="240" w:lineRule="auto"/>
              <w:ind w:firstLine="0" w:firstLineChars="0"/>
              <w:rPr>
                <w:kern w:val="0"/>
                <w:sz w:val="21"/>
                <w:szCs w:val="21"/>
              </w:rPr>
            </w:pPr>
            <w:r>
              <w:rPr>
                <w:kern w:val="0"/>
                <w:sz w:val="21"/>
                <w:szCs w:val="21"/>
              </w:rPr>
              <w:t>主体设计了水土保持防治措施，本报告针对不足之处进一步补充完善了水土保持措施防治体系，由此以防治工程建设造成的水土流失；园区公用设施项目由园区管委会在项目动工前填写《水土保持补偿费缴纳申请表》，经所在地水行政主管部门审核后，向所在地税务部门缴纳。入驻开发区的生产建设项目水土保持补偿费由生产建设单位在项目开工前根据水行政主管部门或行政审批局出具的《水土保持补偿费信息表》向所在地税务部门缴纳。</w:t>
            </w:r>
          </w:p>
        </w:tc>
        <w:tc>
          <w:tcPr>
            <w:tcW w:w="955" w:type="dxa"/>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8" w:hRule="atLeast"/>
        </w:trPr>
        <w:tc>
          <w:tcPr>
            <w:tcW w:w="4147" w:type="dxa"/>
            <w:vAlign w:val="center"/>
          </w:tcPr>
          <w:p>
            <w:pPr>
              <w:pStyle w:val="53"/>
              <w:jc w:val="both"/>
              <w:rPr>
                <w:rFonts w:eastAsia="仿宋_GB2312"/>
              </w:rPr>
            </w:pPr>
            <w:r>
              <w:rPr>
                <w:rFonts w:eastAsia="仿宋_GB2312"/>
              </w:rPr>
              <w:t>第三十八条：对生产建设活动所占用土地的地表土应当进行分层剥离、保存和利用，做到土石方挖填平衡，减少地表扰动范围；对废弃的沙、石、土、矸石、尾矿、废渣等存放地，应当采取拦挡、坡面防护、防洪排导等措施。生产建设活动结束后应当及时在取土场、开挖面和存放地的裸露土地上种树植草、恢复植被。</w:t>
            </w:r>
          </w:p>
        </w:tc>
        <w:tc>
          <w:tcPr>
            <w:tcW w:w="4311" w:type="dxa"/>
            <w:vAlign w:val="center"/>
          </w:tcPr>
          <w:p>
            <w:pPr>
              <w:widowControl/>
              <w:spacing w:line="240" w:lineRule="auto"/>
              <w:ind w:firstLine="0" w:firstLineChars="0"/>
              <w:rPr>
                <w:kern w:val="0"/>
                <w:sz w:val="21"/>
                <w:szCs w:val="21"/>
              </w:rPr>
            </w:pPr>
            <w:r>
              <w:rPr>
                <w:kern w:val="0"/>
                <w:sz w:val="21"/>
                <w:szCs w:val="21"/>
              </w:rPr>
              <w:t>对未建设区可剥离表土进行剥离保护，集中堆存在表土临时堆放场内进行保护，采取完善的水土保持措施进行防护；后期生产建设项目按需进行取用；表土临时堆场使用结束对地表进行绿化保护。</w:t>
            </w:r>
          </w:p>
        </w:tc>
        <w:tc>
          <w:tcPr>
            <w:tcW w:w="955" w:type="dxa"/>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9413" w:type="dxa"/>
            <w:gridSpan w:val="3"/>
            <w:vAlign w:val="center"/>
          </w:tcPr>
          <w:p>
            <w:pPr>
              <w:pStyle w:val="53"/>
              <w:rPr>
                <w:rFonts w:eastAsia="仿宋_GB2312"/>
              </w:rPr>
            </w:pPr>
            <w:r>
              <w:rPr>
                <w:rFonts w:eastAsia="仿宋_GB2312"/>
              </w:rPr>
              <w:t>综上所述，园区符合《中华人民共和国水土保持法》的相关规定要求。</w:t>
            </w:r>
          </w:p>
        </w:tc>
      </w:tr>
    </w:tbl>
    <w:p>
      <w:pPr>
        <w:pStyle w:val="6"/>
        <w:spacing w:beforeLines="50"/>
      </w:pPr>
      <w:r>
        <w:t>3.1.2与国标GB50433-2018的符合性分析</w:t>
      </w:r>
    </w:p>
    <w:p>
      <w:pPr>
        <w:ind w:firstLine="480"/>
      </w:pPr>
      <w:r>
        <w:t>根据</w:t>
      </w:r>
      <w:r>
        <w:rPr>
          <w:bCs/>
        </w:rPr>
        <w:t>《生产建设项目水土保持技术标准》（GB50433－2018）</w:t>
      </w:r>
      <w:r>
        <w:t>规定，对照分析园区与</w:t>
      </w:r>
      <w:r>
        <w:rPr>
          <w:bCs/>
        </w:rPr>
        <w:t>《生产建设项目水土保持技术标准》</w:t>
      </w:r>
      <w:r>
        <w:t>规定的符合性，详见表3.1-2。</w:t>
      </w:r>
    </w:p>
    <w:p>
      <w:pPr>
        <w:pStyle w:val="68"/>
        <w:spacing w:after="120"/>
      </w:pPr>
      <w:r>
        <w:t>表3.1-2与</w:t>
      </w:r>
      <w:r>
        <w:rPr>
          <w:bCs/>
        </w:rPr>
        <w:t>《生产建设项目水土保持技术标准》</w:t>
      </w:r>
      <w:r>
        <w:t>的选址符合性对照分析表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893"/>
        <w:gridCol w:w="2729"/>
        <w:gridCol w:w="4142"/>
        <w:gridCol w:w="151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81" w:type="pct"/>
            <w:vAlign w:val="center"/>
          </w:tcPr>
          <w:p>
            <w:pPr>
              <w:pStyle w:val="53"/>
              <w:rPr>
                <w:rFonts w:eastAsia="仿宋_GB2312"/>
                <w:b/>
                <w:bCs/>
              </w:rPr>
            </w:pPr>
            <w:r>
              <w:rPr>
                <w:rFonts w:eastAsia="仿宋_GB2312"/>
                <w:b/>
                <w:bCs/>
              </w:rPr>
              <w:t>类别</w:t>
            </w:r>
          </w:p>
        </w:tc>
        <w:tc>
          <w:tcPr>
            <w:tcW w:w="1470" w:type="pct"/>
            <w:vAlign w:val="center"/>
          </w:tcPr>
          <w:p>
            <w:pPr>
              <w:pStyle w:val="53"/>
              <w:rPr>
                <w:rFonts w:eastAsia="仿宋_GB2312"/>
                <w:b/>
                <w:bCs/>
              </w:rPr>
            </w:pPr>
            <w:r>
              <w:rPr>
                <w:rFonts w:eastAsia="仿宋_GB2312"/>
                <w:b/>
                <w:bCs/>
              </w:rPr>
              <w:t>约束性规定</w:t>
            </w:r>
          </w:p>
        </w:tc>
        <w:tc>
          <w:tcPr>
            <w:tcW w:w="2231" w:type="pct"/>
            <w:vAlign w:val="center"/>
          </w:tcPr>
          <w:p>
            <w:pPr>
              <w:pStyle w:val="53"/>
              <w:rPr>
                <w:rFonts w:eastAsia="仿宋_GB2312"/>
                <w:b/>
                <w:bCs/>
              </w:rPr>
            </w:pPr>
            <w:r>
              <w:rPr>
                <w:rFonts w:eastAsia="仿宋_GB2312"/>
                <w:b/>
                <w:bCs/>
              </w:rPr>
              <w:t>园区情况</w:t>
            </w:r>
          </w:p>
        </w:tc>
        <w:tc>
          <w:tcPr>
            <w:tcW w:w="817" w:type="pct"/>
            <w:vAlign w:val="center"/>
          </w:tcPr>
          <w:p>
            <w:pPr>
              <w:pStyle w:val="53"/>
              <w:rPr>
                <w:rFonts w:eastAsia="仿宋_GB2312"/>
                <w:b/>
                <w:bCs/>
              </w:rPr>
            </w:pPr>
            <w:r>
              <w:rPr>
                <w:rFonts w:eastAsia="仿宋_GB2312"/>
                <w:b/>
                <w:bCs/>
              </w:rPr>
              <w:t>相符性分析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3" w:hRule="atLeast"/>
        </w:trPr>
        <w:tc>
          <w:tcPr>
            <w:tcW w:w="481" w:type="pct"/>
            <w:vMerge w:val="restart"/>
            <w:vAlign w:val="center"/>
          </w:tcPr>
          <w:p>
            <w:pPr>
              <w:pStyle w:val="53"/>
              <w:rPr>
                <w:rFonts w:eastAsia="仿宋_GB2312"/>
              </w:rPr>
            </w:pPr>
            <w:r>
              <w:rPr>
                <w:rFonts w:eastAsia="仿宋_GB2312"/>
              </w:rPr>
              <w:t>工程</w:t>
            </w:r>
          </w:p>
          <w:p>
            <w:pPr>
              <w:pStyle w:val="53"/>
              <w:rPr>
                <w:rFonts w:eastAsia="仿宋_GB2312"/>
              </w:rPr>
            </w:pPr>
            <w:r>
              <w:rPr>
                <w:rFonts w:eastAsia="仿宋_GB2312"/>
              </w:rPr>
              <w:t>选址（线）分析</w:t>
            </w:r>
          </w:p>
        </w:tc>
        <w:tc>
          <w:tcPr>
            <w:tcW w:w="1470" w:type="pct"/>
            <w:vAlign w:val="center"/>
          </w:tcPr>
          <w:p>
            <w:pPr>
              <w:pStyle w:val="53"/>
              <w:jc w:val="both"/>
              <w:rPr>
                <w:rFonts w:eastAsia="仿宋_GB2312"/>
              </w:rPr>
            </w:pPr>
            <w:r>
              <w:rPr>
                <w:rFonts w:eastAsia="仿宋_GB2312"/>
              </w:rPr>
              <w:t>工程选址（线）应避让水土流失重点预防区和重点治理区。</w:t>
            </w:r>
          </w:p>
        </w:tc>
        <w:tc>
          <w:tcPr>
            <w:tcW w:w="2231" w:type="pct"/>
            <w:vAlign w:val="center"/>
          </w:tcPr>
          <w:p>
            <w:pPr>
              <w:pStyle w:val="53"/>
              <w:jc w:val="both"/>
              <w:rPr>
                <w:rFonts w:eastAsia="仿宋_GB2312"/>
              </w:rPr>
            </w:pPr>
            <w:r>
              <w:rPr>
                <w:rFonts w:eastAsia="仿宋_GB2312"/>
              </w:rPr>
              <w:t>园区所在的五通桥区不属于国家级、省级、市级水土流失重点预防区及治理区，园区所涉及的金粟镇、金山镇属于县级水土流失重点治理区。本报告将通过执行水土流失防治一级标准，并优化施工设计等措施，防治水土流失。</w:t>
            </w:r>
          </w:p>
        </w:tc>
        <w:tc>
          <w:tcPr>
            <w:tcW w:w="817" w:type="pct"/>
            <w:vAlign w:val="center"/>
          </w:tcPr>
          <w:p>
            <w:pPr>
              <w:pStyle w:val="53"/>
              <w:rPr>
                <w:rFonts w:eastAsia="仿宋_GB2312"/>
              </w:rPr>
            </w:pPr>
            <w:r>
              <w:rPr>
                <w:rFonts w:eastAsia="仿宋_GB2312"/>
              </w:rPr>
              <w:t>工程选址能满足约束性规定的要求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7" w:hRule="atLeast"/>
        </w:trPr>
        <w:tc>
          <w:tcPr>
            <w:tcW w:w="481" w:type="pct"/>
            <w:vMerge w:val="continue"/>
            <w:vAlign w:val="center"/>
          </w:tcPr>
          <w:p>
            <w:pPr>
              <w:pStyle w:val="53"/>
              <w:rPr>
                <w:rFonts w:eastAsia="仿宋_GB2312"/>
              </w:rPr>
            </w:pPr>
          </w:p>
        </w:tc>
        <w:tc>
          <w:tcPr>
            <w:tcW w:w="1470" w:type="pct"/>
            <w:vAlign w:val="center"/>
          </w:tcPr>
          <w:p>
            <w:pPr>
              <w:pStyle w:val="53"/>
              <w:jc w:val="both"/>
              <w:rPr>
                <w:rFonts w:eastAsia="仿宋_GB2312"/>
              </w:rPr>
            </w:pPr>
            <w:r>
              <w:rPr>
                <w:rFonts w:eastAsia="仿宋_GB2312"/>
              </w:rPr>
              <w:t>工程选址（线）应避让河流两岸、湖泊和水库周边的植物保护带。</w:t>
            </w:r>
          </w:p>
        </w:tc>
        <w:tc>
          <w:tcPr>
            <w:tcW w:w="2231" w:type="pct"/>
            <w:vAlign w:val="center"/>
          </w:tcPr>
          <w:p>
            <w:pPr>
              <w:pStyle w:val="53"/>
              <w:jc w:val="both"/>
              <w:rPr>
                <w:rFonts w:eastAsia="仿宋_GB2312"/>
              </w:rPr>
            </w:pPr>
            <w:r>
              <w:rPr>
                <w:rFonts w:eastAsia="仿宋_GB2312"/>
              </w:rPr>
              <w:t>园区范围内有一小（二）型水库，即高笋坝水库，根据园区规划资料，将对其进行填平用作工业用地使用，拟由五通桥区水利局办理退出手续，并作回填处置。</w:t>
            </w:r>
          </w:p>
          <w:p>
            <w:pPr>
              <w:pStyle w:val="53"/>
              <w:jc w:val="both"/>
              <w:rPr>
                <w:rFonts w:eastAsia="仿宋_GB2312"/>
              </w:rPr>
            </w:pPr>
            <w:r>
              <w:rPr>
                <w:rFonts w:eastAsia="仿宋_GB2312"/>
              </w:rPr>
              <w:t>园区范围内支沟有2条一级支沟，即棉花沟、黄鳝洞沟，沟道两岸多为杂草。根据基地防洪排涝专项规划，将对其进行改道，原有自然沟道将有新建排涝沟道取代。</w:t>
            </w:r>
          </w:p>
        </w:tc>
        <w:tc>
          <w:tcPr>
            <w:tcW w:w="817" w:type="pct"/>
            <w:vAlign w:val="center"/>
          </w:tcPr>
          <w:p>
            <w:pPr>
              <w:pStyle w:val="53"/>
              <w:rPr>
                <w:rFonts w:eastAsia="仿宋_GB2312"/>
              </w:rPr>
            </w:pPr>
            <w:r>
              <w:rPr>
                <w:rFonts w:eastAsia="仿宋_GB2312"/>
              </w:rPr>
              <w:t>工程选址能满足约束性规定的要求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71" w:hRule="atLeast"/>
        </w:trPr>
        <w:tc>
          <w:tcPr>
            <w:tcW w:w="481" w:type="pct"/>
            <w:vMerge w:val="continue"/>
            <w:vAlign w:val="center"/>
          </w:tcPr>
          <w:p>
            <w:pPr>
              <w:pStyle w:val="53"/>
              <w:rPr>
                <w:rFonts w:eastAsia="仿宋_GB2312"/>
              </w:rPr>
            </w:pPr>
          </w:p>
        </w:tc>
        <w:tc>
          <w:tcPr>
            <w:tcW w:w="1470" w:type="pct"/>
            <w:vAlign w:val="center"/>
          </w:tcPr>
          <w:p>
            <w:pPr>
              <w:pStyle w:val="53"/>
              <w:jc w:val="both"/>
              <w:rPr>
                <w:rFonts w:eastAsia="仿宋_GB2312"/>
              </w:rPr>
            </w:pPr>
            <w:r>
              <w:rPr>
                <w:rFonts w:eastAsia="仿宋_GB2312"/>
              </w:rPr>
              <w:t>工程选址（线）应避让全国水土保持监测网络中的水土保持监测站点、重点试验区及国家确定的水土保持长期定位观测站。</w:t>
            </w:r>
          </w:p>
        </w:tc>
        <w:tc>
          <w:tcPr>
            <w:tcW w:w="2231" w:type="pct"/>
            <w:vAlign w:val="center"/>
          </w:tcPr>
          <w:p>
            <w:pPr>
              <w:pStyle w:val="53"/>
              <w:jc w:val="both"/>
              <w:rPr>
                <w:rFonts w:eastAsia="仿宋_GB2312"/>
              </w:rPr>
            </w:pPr>
            <w:r>
              <w:rPr>
                <w:rFonts w:eastAsia="仿宋_GB2312"/>
              </w:rPr>
              <w:t>园区范围内无全国水土保持监测网络中的水土保持监测站点、重点试验区及国家确定的水土保持长期定位观测站。</w:t>
            </w:r>
          </w:p>
        </w:tc>
        <w:tc>
          <w:tcPr>
            <w:tcW w:w="817" w:type="pct"/>
            <w:vAlign w:val="center"/>
          </w:tcPr>
          <w:p>
            <w:pPr>
              <w:pStyle w:val="53"/>
              <w:rPr>
                <w:rFonts w:eastAsia="仿宋_GB2312"/>
              </w:rPr>
            </w:pPr>
            <w:r>
              <w:rPr>
                <w:rFonts w:eastAsia="仿宋_GB2312"/>
              </w:rPr>
              <w:t>工程选址能满足约束性规定的要求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66" w:hRule="atLeast"/>
        </w:trPr>
        <w:tc>
          <w:tcPr>
            <w:tcW w:w="5000" w:type="pct"/>
            <w:gridSpan w:val="4"/>
            <w:vAlign w:val="center"/>
          </w:tcPr>
          <w:p>
            <w:pPr>
              <w:pStyle w:val="53"/>
              <w:rPr>
                <w:rFonts w:eastAsia="仿宋_GB2312"/>
              </w:rPr>
            </w:pPr>
            <w:r>
              <w:rPr>
                <w:rFonts w:eastAsia="仿宋_GB2312"/>
              </w:rPr>
              <w:t>综上所述，园区选址符合</w:t>
            </w:r>
            <w:r>
              <w:rPr>
                <w:rFonts w:eastAsia="仿宋_GB2312"/>
                <w:bCs/>
              </w:rPr>
              <w:t>《生产建设项目水土保持技术标准》</w:t>
            </w:r>
            <w:r>
              <w:rPr>
                <w:rFonts w:eastAsia="仿宋_GB2312"/>
              </w:rPr>
              <w:t>要求。</w:t>
            </w:r>
          </w:p>
        </w:tc>
      </w:tr>
    </w:tbl>
    <w:p>
      <w:pPr>
        <w:spacing w:beforeLines="50"/>
        <w:ind w:firstLine="480"/>
      </w:pPr>
      <w:r>
        <w:t>通过逐条对照分析评价，本项目选址无水土保持制约因素。</w:t>
      </w:r>
    </w:p>
    <w:p>
      <w:pPr>
        <w:pStyle w:val="6"/>
      </w:pPr>
      <w:r>
        <w:t>3.1.3与《中华人民共和国长江保护法》的符合性分析</w:t>
      </w:r>
    </w:p>
    <w:p>
      <w:pPr>
        <w:ind w:firstLine="480"/>
      </w:pPr>
      <w:r>
        <w:t>根据</w:t>
      </w:r>
      <w:r>
        <w:rPr>
          <w:bCs/>
        </w:rPr>
        <w:t>《中华人民共和国长江保护法》（2021年3月1日</w:t>
      </w:r>
      <w:r>
        <w:t>实施</w:t>
      </w:r>
      <w:r>
        <w:rPr>
          <w:bCs/>
        </w:rPr>
        <w:t>）</w:t>
      </w:r>
      <w:r>
        <w:t>规定，对照分析园区与</w:t>
      </w:r>
      <w:r>
        <w:rPr>
          <w:bCs/>
        </w:rPr>
        <w:t>《中华人民共和国长江保护法》</w:t>
      </w:r>
      <w:r>
        <w:t>规定的符合性，详见表3.1-3。</w:t>
      </w:r>
    </w:p>
    <w:p>
      <w:pPr>
        <w:pStyle w:val="68"/>
        <w:spacing w:after="120"/>
      </w:pPr>
      <w:r>
        <w:t>表3.1-3与</w:t>
      </w:r>
      <w:r>
        <w:rPr>
          <w:bCs/>
        </w:rPr>
        <w:t>《中华人民共和国长江保护法》</w:t>
      </w:r>
      <w:r>
        <w:t>的选址符合性对照分析表</w:t>
      </w:r>
    </w:p>
    <w:tbl>
      <w:tblPr>
        <w:tblStyle w:val="110"/>
        <w:tblW w:w="4997"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3818"/>
        <w:gridCol w:w="3768"/>
        <w:gridCol w:w="169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057" w:type="pct"/>
            <w:vAlign w:val="center"/>
          </w:tcPr>
          <w:p>
            <w:pPr>
              <w:pStyle w:val="53"/>
              <w:rPr>
                <w:rFonts w:eastAsia="仿宋_GB2312"/>
                <w:b/>
                <w:bCs/>
              </w:rPr>
            </w:pPr>
            <w:r>
              <w:rPr>
                <w:rFonts w:eastAsia="仿宋_GB2312"/>
                <w:b/>
                <w:bCs/>
              </w:rPr>
              <w:t>《中华人民共和国长江保护法》规定</w:t>
            </w:r>
          </w:p>
        </w:tc>
        <w:tc>
          <w:tcPr>
            <w:tcW w:w="2030" w:type="pct"/>
            <w:vAlign w:val="center"/>
          </w:tcPr>
          <w:p>
            <w:pPr>
              <w:pStyle w:val="53"/>
              <w:rPr>
                <w:rFonts w:eastAsia="仿宋_GB2312"/>
                <w:b/>
                <w:bCs/>
              </w:rPr>
            </w:pPr>
            <w:r>
              <w:rPr>
                <w:rFonts w:eastAsia="仿宋_GB2312"/>
                <w:b/>
                <w:bCs/>
              </w:rPr>
              <w:t>园区情况</w:t>
            </w:r>
          </w:p>
        </w:tc>
        <w:tc>
          <w:tcPr>
            <w:tcW w:w="912" w:type="pct"/>
            <w:vAlign w:val="center"/>
          </w:tcPr>
          <w:p>
            <w:pPr>
              <w:pStyle w:val="53"/>
              <w:rPr>
                <w:rFonts w:eastAsia="仿宋_GB2312"/>
                <w:b/>
                <w:bCs/>
              </w:rPr>
            </w:pPr>
            <w:r>
              <w:rPr>
                <w:rFonts w:eastAsia="仿宋_GB2312"/>
                <w:b/>
                <w:bCs/>
              </w:rPr>
              <w:t>相符性分析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93" w:hRule="atLeast"/>
        </w:trPr>
        <w:tc>
          <w:tcPr>
            <w:tcW w:w="2057" w:type="pct"/>
            <w:vAlign w:val="center"/>
          </w:tcPr>
          <w:p>
            <w:pPr>
              <w:pStyle w:val="53"/>
              <w:jc w:val="both"/>
              <w:rPr>
                <w:rFonts w:eastAsia="仿宋_GB2312"/>
              </w:rPr>
            </w:pPr>
            <w:r>
              <w:rPr>
                <w:rFonts w:eastAsia="仿宋_GB2312"/>
              </w:rPr>
              <w:t>第二十六条：禁止在长江干支流岸线一公里范围内新建、扩建化工园区和化工项目。</w:t>
            </w:r>
          </w:p>
        </w:tc>
        <w:tc>
          <w:tcPr>
            <w:tcW w:w="2030" w:type="pct"/>
            <w:vAlign w:val="center"/>
          </w:tcPr>
          <w:p>
            <w:pPr>
              <w:pStyle w:val="53"/>
              <w:jc w:val="both"/>
              <w:rPr>
                <w:rFonts w:eastAsia="仿宋_GB2312"/>
              </w:rPr>
            </w:pPr>
            <w:r>
              <w:rPr>
                <w:rFonts w:eastAsia="仿宋_GB2312"/>
              </w:rPr>
              <w:t>园区范围线距离岷江干流最小距离为1.009km。不在长江干支流岸线一公里范围内。</w:t>
            </w:r>
          </w:p>
        </w:tc>
        <w:tc>
          <w:tcPr>
            <w:tcW w:w="912" w:type="pct"/>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7" w:hRule="atLeast"/>
        </w:trPr>
        <w:tc>
          <w:tcPr>
            <w:tcW w:w="2057" w:type="pct"/>
            <w:vAlign w:val="center"/>
          </w:tcPr>
          <w:p>
            <w:pPr>
              <w:pStyle w:val="53"/>
              <w:jc w:val="both"/>
              <w:rPr>
                <w:rFonts w:eastAsia="仿宋_GB2312"/>
              </w:rPr>
            </w:pPr>
            <w:r>
              <w:rPr>
                <w:rFonts w:eastAsia="仿宋_GB2312"/>
              </w:rPr>
              <w:t>第五十五条：禁止违法利用、占用长江流域河湖岸线。</w:t>
            </w:r>
          </w:p>
        </w:tc>
        <w:tc>
          <w:tcPr>
            <w:tcW w:w="2030" w:type="pct"/>
            <w:vAlign w:val="center"/>
          </w:tcPr>
          <w:p>
            <w:pPr>
              <w:pStyle w:val="53"/>
              <w:jc w:val="both"/>
              <w:rPr>
                <w:rFonts w:eastAsia="仿宋_GB2312"/>
              </w:rPr>
            </w:pPr>
            <w:r>
              <w:rPr>
                <w:rFonts w:eastAsia="仿宋_GB2312"/>
              </w:rPr>
              <w:t>园区范围线距离岷江干流最小距离为1.009km。不在长江干支流岸线一公里范围内。</w:t>
            </w:r>
          </w:p>
        </w:tc>
        <w:tc>
          <w:tcPr>
            <w:tcW w:w="912" w:type="pct"/>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71" w:hRule="atLeast"/>
        </w:trPr>
        <w:tc>
          <w:tcPr>
            <w:tcW w:w="2057" w:type="pct"/>
            <w:vAlign w:val="center"/>
          </w:tcPr>
          <w:p>
            <w:pPr>
              <w:pStyle w:val="53"/>
              <w:jc w:val="both"/>
              <w:rPr>
                <w:rFonts w:eastAsia="仿宋_GB2312"/>
              </w:rPr>
            </w:pPr>
            <w:r>
              <w:rPr>
                <w:rFonts w:eastAsia="仿宋_GB2312"/>
              </w:rPr>
              <w:t>第六十一条：禁止在长江流域水土流失严重、生态脆弱的区域开展可能造成水土流失的生产建设活动。确因国家发展战略和国计民生需要建设的，应当经科学论证，并依法办理审批手续。</w:t>
            </w:r>
          </w:p>
        </w:tc>
        <w:tc>
          <w:tcPr>
            <w:tcW w:w="2030" w:type="pct"/>
            <w:vAlign w:val="center"/>
          </w:tcPr>
          <w:p>
            <w:pPr>
              <w:pStyle w:val="53"/>
              <w:jc w:val="both"/>
              <w:rPr>
                <w:rFonts w:eastAsia="仿宋_GB2312"/>
              </w:rPr>
            </w:pPr>
            <w:r>
              <w:rPr>
                <w:rFonts w:eastAsia="仿宋_GB2312"/>
              </w:rPr>
              <w:t>园区不涉及长江流域水土流失严重、生态脆弱区域。</w:t>
            </w:r>
          </w:p>
        </w:tc>
        <w:tc>
          <w:tcPr>
            <w:tcW w:w="912" w:type="pct"/>
            <w:vAlign w:val="center"/>
          </w:tcPr>
          <w:p>
            <w:pPr>
              <w:pStyle w:val="53"/>
              <w:rPr>
                <w:rFonts w:eastAsia="仿宋_GB2312"/>
              </w:rPr>
            </w:pPr>
            <w:r>
              <w:rPr>
                <w:rFonts w:eastAsia="仿宋_GB2312"/>
              </w:rPr>
              <w:t>符合</w:t>
            </w:r>
          </w:p>
          <w:p>
            <w:pPr>
              <w:pStyle w:val="53"/>
              <w:rPr>
                <w:rFonts w:eastAsia="仿宋_GB2312"/>
              </w:rPr>
            </w:pPr>
            <w:r>
              <w:rPr>
                <w:rFonts w:eastAsia="仿宋_GB2312"/>
              </w:rPr>
              <w:t>法律要求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66" w:hRule="atLeast"/>
        </w:trPr>
        <w:tc>
          <w:tcPr>
            <w:tcW w:w="5000" w:type="pct"/>
            <w:gridSpan w:val="3"/>
            <w:vAlign w:val="center"/>
          </w:tcPr>
          <w:p>
            <w:pPr>
              <w:pStyle w:val="53"/>
              <w:rPr>
                <w:rFonts w:eastAsia="仿宋_GB2312"/>
              </w:rPr>
            </w:pPr>
            <w:r>
              <w:rPr>
                <w:rFonts w:eastAsia="仿宋_GB2312"/>
              </w:rPr>
              <w:t>综上所述，园区选址符合</w:t>
            </w:r>
            <w:r>
              <w:rPr>
                <w:rFonts w:eastAsia="仿宋_GB2312"/>
                <w:bCs/>
              </w:rPr>
              <w:t>《中华人民共和国长江保护法》</w:t>
            </w:r>
            <w:r>
              <w:rPr>
                <w:rFonts w:eastAsia="仿宋_GB2312"/>
              </w:rPr>
              <w:t>要求。</w:t>
            </w:r>
          </w:p>
        </w:tc>
      </w:tr>
    </w:tbl>
    <w:p>
      <w:pPr>
        <w:pStyle w:val="6"/>
        <w:spacing w:beforeLines="50"/>
      </w:pPr>
      <w:r>
        <w:t>3.1.4主体工程选址（线）水土保持评价结论</w:t>
      </w:r>
    </w:p>
    <w:p>
      <w:pPr>
        <w:ind w:firstLine="480"/>
      </w:pPr>
      <w:r>
        <w:t>通过上述园区与《中华人民共和国水土保持法》、《生产建设项目水土保持技术标准》、《中华人民共和国长江保护法》等相关限制性规定的分析。</w:t>
      </w:r>
    </w:p>
    <w:p>
      <w:pPr>
        <w:ind w:firstLine="480"/>
      </w:pPr>
      <w:r>
        <w:t>园区所在的五通桥区不属于国家级、省级、市级水土流失重点预防区及治理区，园区所涉及的金粟镇、金山镇属于县级水土流失重点治理区。本报告将通过执行水土流失防治一级标准，并优化施工设计等措施，防治水土流失。</w:t>
      </w:r>
    </w:p>
    <w:p>
      <w:pPr>
        <w:ind w:firstLine="480"/>
      </w:pPr>
      <w:r>
        <w:t>园区范围内有一小（Ⅱ）型水库，即高笋坝水库，具有灌溉功能。根据园区规划，该水库灌面已基本划作工业工地，其不再承担灌溉功能，园区后续建设将对其进行填平用作工业用地使用，拟由五通桥区水利局办理退出手续，并作回填处置</w:t>
      </w:r>
      <w:r>
        <w:rPr>
          <w:rFonts w:hint="eastAsia"/>
        </w:rPr>
        <w:t>，</w:t>
      </w:r>
      <w:r>
        <w:t>回填土石方量一并计入近期园区土石方挖填总量。</w:t>
      </w:r>
      <w:r>
        <w:rPr>
          <w:rFonts w:hint="eastAsia"/>
        </w:rPr>
        <w:t>若经检测，该软基存在特殊物质未达到环保要求，则须委托专业环保单位进行专项处置。</w:t>
      </w:r>
      <w:r>
        <w:t>园区范围内支沟有2条一级支沟，即棉花沟、黄鳝洞沟，沟道两岸多为杂草。根据基地防洪排涝专项规划，将对其进行改道，原有自然沟道将有新建排涝沟道取代。园区范围内无湖泊。</w:t>
      </w:r>
    </w:p>
    <w:p>
      <w:pPr>
        <w:ind w:firstLine="480"/>
      </w:pPr>
      <w:r>
        <w:t>园区范围线距离岷江干流最小距离为1.009km。</w:t>
      </w:r>
    </w:p>
    <w:p>
      <w:pPr>
        <w:ind w:firstLine="480"/>
      </w:pPr>
      <w:r>
        <w:t>园区不涉及饮用水水源保护区、水功能一级区的保护区和保留区、自然保护区、世界文化和自然遗产地、风景名胜区、地质公园、森林公园以及重要湿地等水土保持敏感区。无全国水土保持监测网络中的水土保持监测站点、重点试验区及国家确定的水土保持长期定位观测站，场地及周边不涉及滑坡、崩塌、泥石流等不良地质地段。</w:t>
      </w:r>
    </w:p>
    <w:p>
      <w:pPr>
        <w:ind w:firstLine="480"/>
      </w:pPr>
      <w:r>
        <w:t>综上所述，园区选址满足相关法律法规及水土保持要求，园区选址合理，无水土保持制约性因素。</w:t>
      </w:r>
    </w:p>
    <w:p>
      <w:pPr>
        <w:pStyle w:val="5"/>
      </w:pPr>
      <w:bookmarkStart w:id="63" w:name="_Toc31253"/>
      <w:r>
        <w:t>3.2建设方案与布局水土保持评价</w:t>
      </w:r>
      <w:bookmarkEnd w:id="63"/>
    </w:p>
    <w:p>
      <w:pPr>
        <w:pStyle w:val="6"/>
      </w:pPr>
      <w:r>
        <w:t>3.2.1建设方案评价</w:t>
      </w:r>
    </w:p>
    <w:p>
      <w:pPr>
        <w:pStyle w:val="7"/>
      </w:pPr>
      <w:r>
        <w:t>3.2.1.1已建、在建项目建设方案评价</w:t>
      </w:r>
    </w:p>
    <w:p>
      <w:pPr>
        <w:ind w:firstLine="480"/>
      </w:pPr>
      <w:r>
        <w:t>园区已建、在建项目部分编报了水土保持方案，根据批复的水土保持方案相应的采取了优化方案，以减少工程占地和土石方量；已建项目截排水工程等级总体按高一级标准设计，植物措施标准普遍较高，林草覆盖率一般已按高标准设置，满足林草覆盖率提高要求，园区已建、在建项目的建设方案总体满足水土保持技术规范有关规定。</w:t>
      </w:r>
    </w:p>
    <w:p>
      <w:pPr>
        <w:pStyle w:val="7"/>
      </w:pPr>
      <w:r>
        <w:t>3.2.1.2待建项目建设方案评价</w:t>
      </w:r>
    </w:p>
    <w:p>
      <w:pPr>
        <w:ind w:firstLine="480"/>
      </w:pPr>
      <w:r>
        <w:t>对照《生产建设项目水土保持技术标准》（GB50433-2018）对园区建设方案的水土保持分析评价详见表3.2-1。</w:t>
      </w:r>
    </w:p>
    <w:p>
      <w:pPr>
        <w:ind w:firstLine="0" w:firstLineChars="0"/>
        <w:jc w:val="center"/>
        <w:rPr>
          <w:b/>
          <w:bCs/>
        </w:rPr>
      </w:pPr>
      <w:r>
        <w:rPr>
          <w:b/>
          <w:bCs/>
        </w:rPr>
        <w:t>表3.2-1园区建设方案水土保持分析评价表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020"/>
        <w:gridCol w:w="3750"/>
        <w:gridCol w:w="1517"/>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020" w:type="dxa"/>
            <w:vAlign w:val="center"/>
          </w:tcPr>
          <w:p>
            <w:pPr>
              <w:spacing w:line="240" w:lineRule="auto"/>
              <w:ind w:firstLine="0" w:firstLineChars="0"/>
              <w:jc w:val="center"/>
              <w:rPr>
                <w:b/>
                <w:bCs/>
                <w:sz w:val="21"/>
                <w:szCs w:val="21"/>
              </w:rPr>
            </w:pPr>
            <w:r>
              <w:rPr>
                <w:b/>
                <w:bCs/>
                <w:sz w:val="21"/>
                <w:szCs w:val="21"/>
              </w:rPr>
              <w:t>标准要求</w:t>
            </w:r>
          </w:p>
        </w:tc>
        <w:tc>
          <w:tcPr>
            <w:tcW w:w="3750" w:type="dxa"/>
            <w:vAlign w:val="center"/>
          </w:tcPr>
          <w:p>
            <w:pPr>
              <w:spacing w:line="240" w:lineRule="auto"/>
              <w:ind w:firstLine="0" w:firstLineChars="0"/>
              <w:jc w:val="center"/>
              <w:rPr>
                <w:b/>
                <w:bCs/>
                <w:sz w:val="21"/>
                <w:szCs w:val="21"/>
              </w:rPr>
            </w:pPr>
            <w:r>
              <w:rPr>
                <w:b/>
                <w:bCs/>
                <w:sz w:val="21"/>
                <w:szCs w:val="21"/>
              </w:rPr>
              <w:t>园区情况</w:t>
            </w:r>
          </w:p>
        </w:tc>
        <w:tc>
          <w:tcPr>
            <w:tcW w:w="1517" w:type="dxa"/>
            <w:vAlign w:val="center"/>
          </w:tcPr>
          <w:p>
            <w:pPr>
              <w:spacing w:line="240" w:lineRule="auto"/>
              <w:ind w:firstLine="0" w:firstLineChars="0"/>
              <w:jc w:val="center"/>
              <w:rPr>
                <w:b/>
                <w:bCs/>
                <w:sz w:val="21"/>
                <w:szCs w:val="21"/>
              </w:rPr>
            </w:pPr>
            <w:r>
              <w:rPr>
                <w:b/>
                <w:bCs/>
                <w:sz w:val="21"/>
                <w:szCs w:val="21"/>
              </w:rPr>
              <w:t>相符性分析</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020" w:type="dxa"/>
            <w:vAlign w:val="center"/>
          </w:tcPr>
          <w:p>
            <w:pPr>
              <w:spacing w:line="240" w:lineRule="auto"/>
              <w:ind w:firstLine="0" w:firstLineChars="0"/>
              <w:rPr>
                <w:sz w:val="21"/>
                <w:szCs w:val="21"/>
              </w:rPr>
            </w:pPr>
            <w:r>
              <w:rPr>
                <w:sz w:val="21"/>
                <w:szCs w:val="21"/>
              </w:rPr>
              <w:t>1、公路、铁路工程在高填深挖路段，应采用加大桥隧比的方案，减少大填大挖；填高大于20m，挖深大于30m的，应进行桥隧替代方案论证；路堤、路堑在保证边坡稳定的基础上，应采用植物防护或工程与植物防护相结合的设计方案。</w:t>
            </w:r>
          </w:p>
        </w:tc>
        <w:tc>
          <w:tcPr>
            <w:tcW w:w="3750" w:type="dxa"/>
            <w:vAlign w:val="center"/>
          </w:tcPr>
          <w:p>
            <w:pPr>
              <w:spacing w:line="240" w:lineRule="auto"/>
              <w:ind w:firstLine="0" w:firstLineChars="0"/>
              <w:rPr>
                <w:sz w:val="21"/>
                <w:szCs w:val="21"/>
              </w:rPr>
            </w:pPr>
            <w:r>
              <w:rPr>
                <w:sz w:val="21"/>
                <w:szCs w:val="21"/>
              </w:rPr>
              <w:t>园区建设整体不属于公路、铁路工程，但园区内配套建设有园区道路，根据调查，园区道路不存在填高大于20m，挖深大于30m的路段。通过现场调查，凤翔路存在300m长度的架桥段，架桥段原始地貌高差10m，园区采用架桥通过减少了填方。园区对道路边坡高度＞4米时采用挂三维网植草进行防护，边坡分级高度为8m的无外倾结构面的岩质边坡采用锚杆框架梁进行防护。</w:t>
            </w:r>
          </w:p>
        </w:tc>
        <w:tc>
          <w:tcPr>
            <w:tcW w:w="1517" w:type="dxa"/>
            <w:vAlign w:val="center"/>
          </w:tcPr>
          <w:p>
            <w:pPr>
              <w:spacing w:line="240" w:lineRule="auto"/>
              <w:ind w:firstLine="0" w:firstLineChars="0"/>
              <w:rPr>
                <w:sz w:val="21"/>
                <w:szCs w:val="21"/>
              </w:rPr>
            </w:pPr>
            <w:r>
              <w:rPr>
                <w:sz w:val="21"/>
                <w:szCs w:val="21"/>
              </w:rPr>
              <w:t>符合标准要求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020" w:type="dxa"/>
            <w:vAlign w:val="center"/>
          </w:tcPr>
          <w:p>
            <w:pPr>
              <w:spacing w:line="240" w:lineRule="auto"/>
              <w:ind w:firstLine="0" w:firstLineChars="0"/>
              <w:rPr>
                <w:sz w:val="21"/>
                <w:szCs w:val="21"/>
              </w:rPr>
            </w:pPr>
            <w:r>
              <w:rPr>
                <w:sz w:val="21"/>
                <w:szCs w:val="21"/>
              </w:rPr>
              <w:t>2、城镇区的建设项目应提高植被建设标准，注重景观效果，配套建设灌溉、排水和雨水利用设施。</w:t>
            </w:r>
          </w:p>
        </w:tc>
        <w:tc>
          <w:tcPr>
            <w:tcW w:w="3750" w:type="dxa"/>
            <w:vAlign w:val="center"/>
          </w:tcPr>
          <w:p>
            <w:pPr>
              <w:spacing w:line="240" w:lineRule="auto"/>
              <w:ind w:firstLine="0" w:firstLineChars="0"/>
              <w:rPr>
                <w:sz w:val="21"/>
                <w:szCs w:val="21"/>
              </w:rPr>
            </w:pPr>
            <w:r>
              <w:rPr>
                <w:sz w:val="21"/>
                <w:szCs w:val="21"/>
              </w:rPr>
              <w:t>园区绿地用地面积为55.45hm</w:t>
            </w:r>
            <w:r>
              <w:rPr>
                <w:sz w:val="21"/>
                <w:szCs w:val="21"/>
                <w:vertAlign w:val="superscript"/>
              </w:rPr>
              <w:t>2</w:t>
            </w:r>
            <w:r>
              <w:rPr>
                <w:sz w:val="21"/>
                <w:szCs w:val="21"/>
              </w:rPr>
              <w:t>，其中公园绿地22.05hm</w:t>
            </w:r>
            <w:r>
              <w:rPr>
                <w:sz w:val="21"/>
                <w:szCs w:val="21"/>
                <w:vertAlign w:val="superscript"/>
              </w:rPr>
              <w:t>2</w:t>
            </w:r>
            <w:r>
              <w:rPr>
                <w:sz w:val="21"/>
                <w:szCs w:val="21"/>
              </w:rPr>
              <w:t>，防护绿地30.41hm</w:t>
            </w:r>
            <w:r>
              <w:rPr>
                <w:sz w:val="21"/>
                <w:szCs w:val="21"/>
                <w:vertAlign w:val="superscript"/>
              </w:rPr>
              <w:t>2</w:t>
            </w:r>
            <w:r>
              <w:rPr>
                <w:sz w:val="21"/>
                <w:szCs w:val="21"/>
              </w:rPr>
              <w:t>。园区配套有雨水管网、雨水井、雨水口、排洪沟等防洪排导设施。</w:t>
            </w:r>
          </w:p>
        </w:tc>
        <w:tc>
          <w:tcPr>
            <w:tcW w:w="1517" w:type="dxa"/>
            <w:vAlign w:val="center"/>
          </w:tcPr>
          <w:p>
            <w:pPr>
              <w:spacing w:line="240" w:lineRule="auto"/>
              <w:ind w:firstLine="0" w:firstLineChars="0"/>
              <w:rPr>
                <w:sz w:val="21"/>
                <w:szCs w:val="21"/>
              </w:rPr>
            </w:pPr>
            <w:r>
              <w:rPr>
                <w:sz w:val="21"/>
                <w:szCs w:val="21"/>
              </w:rPr>
              <w:t>符合标准要求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020" w:type="dxa"/>
            <w:vAlign w:val="center"/>
          </w:tcPr>
          <w:p>
            <w:pPr>
              <w:spacing w:line="240" w:lineRule="auto"/>
              <w:ind w:firstLine="0" w:firstLineChars="0"/>
              <w:rPr>
                <w:sz w:val="21"/>
                <w:szCs w:val="21"/>
              </w:rPr>
            </w:pPr>
            <w:r>
              <w:rPr>
                <w:sz w:val="21"/>
                <w:szCs w:val="21"/>
              </w:rPr>
              <w:t>3、山丘区输电工程塔基应优先考虑不等高础，经过林区的采用加高杆塔跨越方式。</w:t>
            </w:r>
          </w:p>
        </w:tc>
        <w:tc>
          <w:tcPr>
            <w:tcW w:w="3750" w:type="dxa"/>
            <w:vAlign w:val="center"/>
          </w:tcPr>
          <w:p>
            <w:pPr>
              <w:spacing w:line="240" w:lineRule="auto"/>
              <w:ind w:firstLine="0" w:firstLineChars="0"/>
              <w:rPr>
                <w:sz w:val="21"/>
                <w:szCs w:val="21"/>
              </w:rPr>
            </w:pPr>
            <w:r>
              <w:rPr>
                <w:sz w:val="21"/>
                <w:szCs w:val="21"/>
              </w:rPr>
              <w:t>园区内配套建设的供电工程塔基基础均按高低基础规划设计修建并配合铁塔长短腿较少了土石方挖填量。</w:t>
            </w:r>
          </w:p>
        </w:tc>
        <w:tc>
          <w:tcPr>
            <w:tcW w:w="1517" w:type="dxa"/>
            <w:vAlign w:val="center"/>
          </w:tcPr>
          <w:p>
            <w:pPr>
              <w:spacing w:line="240" w:lineRule="auto"/>
              <w:ind w:firstLine="0" w:firstLineChars="0"/>
              <w:rPr>
                <w:sz w:val="21"/>
                <w:szCs w:val="21"/>
              </w:rPr>
            </w:pPr>
            <w:r>
              <w:rPr>
                <w:sz w:val="21"/>
                <w:szCs w:val="21"/>
              </w:rPr>
              <w:t>符合标准要求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020" w:type="dxa"/>
            <w:vAlign w:val="center"/>
          </w:tcPr>
          <w:p>
            <w:pPr>
              <w:spacing w:line="240" w:lineRule="auto"/>
              <w:ind w:firstLine="0" w:firstLineChars="0"/>
              <w:rPr>
                <w:sz w:val="21"/>
                <w:szCs w:val="21"/>
              </w:rPr>
            </w:pPr>
            <w:r>
              <w:rPr>
                <w:sz w:val="21"/>
                <w:szCs w:val="21"/>
              </w:rPr>
              <w:t>4、对无法避让水土流失重点预防区和重点治理区的生产建设项目，建设方案应符合下列规定：</w:t>
            </w:r>
          </w:p>
          <w:p>
            <w:pPr>
              <w:spacing w:line="240" w:lineRule="auto"/>
              <w:ind w:firstLine="0" w:firstLineChars="0"/>
              <w:rPr>
                <w:sz w:val="21"/>
                <w:szCs w:val="21"/>
              </w:rPr>
            </w:pPr>
            <w:r>
              <w:rPr>
                <w:sz w:val="21"/>
                <w:szCs w:val="21"/>
              </w:rPr>
              <w:t>①应优化方案，减少工程占地和土石方量；公路、铁路等项目填高大于8m宜采用桥梁方案；管道工程穿越宜采用隧道、定向钻、顶管等方式；山丘区工业场地宜优先采取阶梯式布置。</w:t>
            </w:r>
          </w:p>
          <w:p>
            <w:pPr>
              <w:spacing w:line="240" w:lineRule="auto"/>
              <w:ind w:firstLine="0" w:firstLineChars="0"/>
              <w:rPr>
                <w:sz w:val="21"/>
                <w:szCs w:val="21"/>
              </w:rPr>
            </w:pPr>
            <w:r>
              <w:rPr>
                <w:sz w:val="21"/>
                <w:szCs w:val="21"/>
              </w:rPr>
              <w:t>②截排水工程、拦挡工程的工程等级和防洪标准应该提高一级。</w:t>
            </w:r>
          </w:p>
          <w:p>
            <w:pPr>
              <w:spacing w:line="240" w:lineRule="auto"/>
              <w:ind w:firstLine="0" w:firstLineChars="0"/>
              <w:rPr>
                <w:sz w:val="21"/>
                <w:szCs w:val="21"/>
              </w:rPr>
            </w:pPr>
            <w:r>
              <w:rPr>
                <w:sz w:val="21"/>
                <w:szCs w:val="21"/>
              </w:rPr>
              <w:t>③宜布设雨洪集蓄、沉沙设施。</w:t>
            </w:r>
          </w:p>
          <w:p>
            <w:pPr>
              <w:spacing w:line="240" w:lineRule="auto"/>
              <w:ind w:firstLine="0" w:firstLineChars="0"/>
              <w:rPr>
                <w:sz w:val="21"/>
                <w:szCs w:val="21"/>
              </w:rPr>
            </w:pPr>
            <w:r>
              <w:rPr>
                <w:sz w:val="21"/>
                <w:szCs w:val="21"/>
              </w:rPr>
              <w:t>④提高植物措施标准，林草覆盖率应适当提高。</w:t>
            </w:r>
          </w:p>
        </w:tc>
        <w:tc>
          <w:tcPr>
            <w:tcW w:w="3750" w:type="dxa"/>
            <w:vAlign w:val="center"/>
          </w:tcPr>
          <w:p>
            <w:pPr>
              <w:spacing w:line="240" w:lineRule="auto"/>
              <w:ind w:firstLine="0" w:firstLineChars="0"/>
              <w:rPr>
                <w:sz w:val="21"/>
                <w:szCs w:val="21"/>
              </w:rPr>
            </w:pPr>
            <w:r>
              <w:rPr>
                <w:sz w:val="21"/>
                <w:szCs w:val="21"/>
              </w:rPr>
              <w:t>园区所在的五通桥区不属于国家级、省级、市级水土流失重点预防区及治理区，园区所涉及的金粟镇、金山镇属于县级水土流失重点治理区。本报告将通过执行水土流失防治一级标准，并优化施工设计等措施，防治水土流失。</w:t>
            </w:r>
          </w:p>
          <w:p>
            <w:pPr>
              <w:spacing w:line="240" w:lineRule="auto"/>
              <w:ind w:firstLine="0" w:firstLineChars="0"/>
              <w:rPr>
                <w:sz w:val="21"/>
                <w:szCs w:val="21"/>
              </w:rPr>
            </w:pPr>
            <w:r>
              <w:rPr>
                <w:sz w:val="21"/>
                <w:szCs w:val="21"/>
              </w:rPr>
              <w:t>由于园区目前控规阶段深度限制，暂无细致的建设方案，因此园区及入驻项目建设方案应满足以下要求：</w:t>
            </w:r>
          </w:p>
          <w:p>
            <w:pPr>
              <w:spacing w:line="240" w:lineRule="auto"/>
              <w:ind w:firstLine="0" w:firstLineChars="0"/>
              <w:rPr>
                <w:sz w:val="21"/>
                <w:szCs w:val="21"/>
              </w:rPr>
            </w:pPr>
            <w:r>
              <w:rPr>
                <w:sz w:val="21"/>
                <w:szCs w:val="21"/>
              </w:rPr>
              <w:t>①应优化方案，减少工程占地和土石方量；管道工程穿越宜采用隧道、定向钻、顶管等方式；</w:t>
            </w:r>
          </w:p>
          <w:p>
            <w:pPr>
              <w:spacing w:line="240" w:lineRule="auto"/>
              <w:ind w:firstLine="0" w:firstLineChars="0"/>
              <w:rPr>
                <w:sz w:val="21"/>
                <w:szCs w:val="21"/>
              </w:rPr>
            </w:pPr>
            <w:r>
              <w:rPr>
                <w:sz w:val="21"/>
                <w:szCs w:val="21"/>
              </w:rPr>
              <w:t>②截排水工程、拦挡工程的工程等级和防洪标准提高一级。</w:t>
            </w:r>
          </w:p>
          <w:p>
            <w:pPr>
              <w:spacing w:line="240" w:lineRule="auto"/>
              <w:ind w:firstLine="0" w:firstLineChars="0"/>
              <w:rPr>
                <w:sz w:val="21"/>
                <w:szCs w:val="21"/>
              </w:rPr>
            </w:pPr>
            <w:r>
              <w:rPr>
                <w:sz w:val="21"/>
                <w:szCs w:val="21"/>
              </w:rPr>
              <w:t>③优先布设雨洪集蓄、沉沙设施。</w:t>
            </w:r>
          </w:p>
          <w:p>
            <w:pPr>
              <w:spacing w:line="240" w:lineRule="auto"/>
              <w:ind w:firstLine="0" w:firstLineChars="0"/>
              <w:rPr>
                <w:sz w:val="21"/>
                <w:szCs w:val="21"/>
              </w:rPr>
            </w:pPr>
            <w:r>
              <w:rPr>
                <w:sz w:val="21"/>
                <w:szCs w:val="21"/>
              </w:rPr>
              <w:t>④提高植物措施标准，林草覆盖率除工业厂房及道路等项目因行业限制外应适当提高。</w:t>
            </w:r>
          </w:p>
        </w:tc>
        <w:tc>
          <w:tcPr>
            <w:tcW w:w="1517" w:type="dxa"/>
            <w:vAlign w:val="center"/>
          </w:tcPr>
          <w:p>
            <w:pPr>
              <w:spacing w:line="240" w:lineRule="auto"/>
              <w:ind w:firstLine="0" w:firstLineChars="0"/>
              <w:rPr>
                <w:sz w:val="21"/>
                <w:szCs w:val="21"/>
              </w:rPr>
            </w:pPr>
            <w:r>
              <w:rPr>
                <w:sz w:val="21"/>
                <w:szCs w:val="21"/>
              </w:rPr>
              <w:t>符合标准要求</w:t>
            </w:r>
          </w:p>
        </w:tc>
      </w:tr>
    </w:tbl>
    <w:p>
      <w:pPr>
        <w:spacing w:beforeLines="50"/>
        <w:ind w:firstLine="480"/>
      </w:pPr>
      <w:r>
        <w:t>园区现状地形较为复杂，多深丘、低山，整体呈北高南低、中间高两侧低的态势，由岷江河向山地逐步增加，高程在海拔最低海拔为286米，最高海拔为506米。海拔在340m~420m之间的用地，占总面积的86%。园区规划道路为纵横网络，将园区划分为面积不等的多个小地块，园区市政道路根据近、远期建设规划，入驻企业情况，合理规划修建，道路设计标高按照“尽量利用原有地形”原则设计，竖向规划综合考虑场地土方挖填平衡，避免高填深挖，减少弃方及外借土方量，并结合园区地形情况，同时满足城市道路设计规范等的要求。园区建设整体不属于公路、铁路工程，但园区内配套建设有园区道路，根据调查，园区道路不存在填高大于20m，挖深大于30m的路段。通过现场调查，凤翔路存在300m长度的架桥段，架桥段原始地貌高差10m，园区采用架桥通过减少了填方。园区对道路边坡高度＞4米时采用挂三维网植草进行防护，边坡分级高度为8m的无外倾结构面的岩质边坡采用锚杆框架梁进行防护。符合水土保持要求。</w:t>
      </w:r>
    </w:p>
    <w:p>
      <w:pPr>
        <w:ind w:firstLine="480"/>
      </w:pPr>
      <w:r>
        <w:t>园区所在的五通桥区不属于国家级、省级、市级水土流失重点预防区及治理区，园区所涉及的金粟镇、金山镇属于县级水土流失重点治理区。本报告将通过执行水土流失防治一级标准，并优化施工设计等措施，防治水土流失。园区已提高植被建设标准，绿地系统由公园绿地、防护绿地构成。园区绿地用地面积为55.45hm</w:t>
      </w:r>
      <w:r>
        <w:rPr>
          <w:vertAlign w:val="superscript"/>
        </w:rPr>
        <w:t>2</w:t>
      </w:r>
      <w:r>
        <w:t>，其中公园绿地22.05hm</w:t>
      </w:r>
      <w:r>
        <w:rPr>
          <w:vertAlign w:val="superscript"/>
        </w:rPr>
        <w:t>2</w:t>
      </w:r>
      <w:r>
        <w:t>，防护绿地30.41hm</w:t>
      </w:r>
      <w:r>
        <w:rPr>
          <w:vertAlign w:val="superscript"/>
        </w:rPr>
        <w:t>2</w:t>
      </w:r>
      <w:r>
        <w:t>。园区配套建设有市政雨水管网系统，可有效的排放园区雨水。园区配套绿化及排水设计，满足水土保持要求。</w:t>
      </w:r>
    </w:p>
    <w:p>
      <w:pPr>
        <w:ind w:firstLine="480"/>
      </w:pPr>
      <w:r>
        <w:t>园区内配套修建的供电工程塔基基础均按高低基础规划设计，配合铁塔长短腿，尽可能减少土石方的开挖量，有效防止水土流失，以利保护环境。园区配套输变电线路设计，满足水土保持要求。</w:t>
      </w:r>
    </w:p>
    <w:p>
      <w:pPr>
        <w:ind w:firstLine="480"/>
      </w:pPr>
      <w:r>
        <w:t>综上所述，园区的建设方案基本合理，满足水土保持技术标准的要求。</w:t>
      </w:r>
    </w:p>
    <w:p>
      <w:pPr>
        <w:pStyle w:val="6"/>
      </w:pPr>
      <w:r>
        <w:t>3.2.2工程占地评价</w:t>
      </w:r>
    </w:p>
    <w:p>
      <w:pPr>
        <w:pStyle w:val="7"/>
      </w:pPr>
      <w:r>
        <w:t>3.2.2.1占地面积及性质评价</w:t>
      </w:r>
    </w:p>
    <w:p>
      <w:pPr>
        <w:widowControl/>
        <w:ind w:firstLine="480"/>
      </w:pPr>
      <w:r>
        <w:rPr>
          <w:kern w:val="0"/>
          <w:szCs w:val="24"/>
        </w:rPr>
        <w:t>根据项目规划资料，确定园区评估范围面积共计1129.18hm</w:t>
      </w:r>
      <w:r>
        <w:rPr>
          <w:kern w:val="0"/>
          <w:szCs w:val="24"/>
          <w:vertAlign w:val="superscript"/>
        </w:rPr>
        <w:t>2</w:t>
      </w:r>
      <w:r>
        <w:rPr>
          <w:kern w:val="0"/>
          <w:szCs w:val="24"/>
        </w:rPr>
        <w:t>，均为永久占地。通过现场调查，入驻项目永久占地均满足行业用地指标，且控制在其征地红线内并实行围档封闭施工，控制了扰动范围，场外施工道路利用现有周边道路，园区配套基础设施、施工生产生活区及临时堆土区均布设在工程永久占地范围内。本报告要求后期规划项目建设时永久占地内无法布置施工临时设施确需新增临时占地的，应控制在园区规划范围内，且应符合节约用地和减少扰动的要求，临时占地应能满足施工要求且应尽量多项目共用，减少土地扰动破坏。</w:t>
      </w:r>
      <w:r>
        <w:t>从水土保持角度分析，园区占地全面，园区占地不存在漏项。从占地性质上看，园区建设占地均为永久占地，建设过程中，将扰动原有地貌破坏原有水土保持设施，园区规划建设完成后，除永久建筑物、硬化地面及水体等占用地外，均进行植被恢复。永久建筑物、硬化地面及水体等占地区域基本不产生水土流失，植被恢复区由于植被具有较好的水土保持功能和景观效果，不仅有效防治了区域内水土流失，而且在一定程度上美化了区域，满足水土保持的要求。</w:t>
      </w:r>
    </w:p>
    <w:p>
      <w:pPr>
        <w:pStyle w:val="7"/>
      </w:pPr>
      <w:r>
        <w:t>3.2.2.2占地类型评价</w:t>
      </w:r>
    </w:p>
    <w:p>
      <w:pPr>
        <w:ind w:firstLine="480"/>
        <w:rPr>
          <w:kern w:val="0"/>
          <w:szCs w:val="24"/>
        </w:rPr>
      </w:pPr>
      <w:r>
        <w:t>园区</w:t>
      </w:r>
      <w:r>
        <w:rPr>
          <w:kern w:val="0"/>
          <w:szCs w:val="24"/>
        </w:rPr>
        <w:t>范围共计1129.18hm</w:t>
      </w:r>
      <w:r>
        <w:rPr>
          <w:kern w:val="0"/>
          <w:szCs w:val="24"/>
          <w:vertAlign w:val="superscript"/>
        </w:rPr>
        <w:t>2</w:t>
      </w:r>
      <w:r>
        <w:rPr>
          <w:kern w:val="0"/>
          <w:szCs w:val="24"/>
        </w:rPr>
        <w:t>，其中林地380.03hm</w:t>
      </w:r>
      <w:r>
        <w:rPr>
          <w:kern w:val="0"/>
          <w:szCs w:val="24"/>
          <w:vertAlign w:val="superscript"/>
        </w:rPr>
        <w:t>2</w:t>
      </w:r>
      <w:r>
        <w:rPr>
          <w:kern w:val="0"/>
          <w:szCs w:val="24"/>
        </w:rPr>
        <w:t>，占总占地的33.66%；耕地384.65hm</w:t>
      </w:r>
      <w:r>
        <w:rPr>
          <w:kern w:val="0"/>
          <w:szCs w:val="24"/>
          <w:vertAlign w:val="superscript"/>
        </w:rPr>
        <w:t>2</w:t>
      </w:r>
      <w:r>
        <w:rPr>
          <w:kern w:val="0"/>
          <w:szCs w:val="24"/>
        </w:rPr>
        <w:t>，占总占地的34.06%；草地3.36hm</w:t>
      </w:r>
      <w:r>
        <w:rPr>
          <w:kern w:val="0"/>
          <w:szCs w:val="24"/>
          <w:vertAlign w:val="superscript"/>
        </w:rPr>
        <w:t>2</w:t>
      </w:r>
      <w:r>
        <w:rPr>
          <w:kern w:val="0"/>
          <w:szCs w:val="24"/>
        </w:rPr>
        <w:t>，占总占地的0.30%；园地183.18hm</w:t>
      </w:r>
      <w:r>
        <w:rPr>
          <w:kern w:val="0"/>
          <w:szCs w:val="24"/>
          <w:vertAlign w:val="superscript"/>
        </w:rPr>
        <w:t>2</w:t>
      </w:r>
      <w:r>
        <w:rPr>
          <w:kern w:val="0"/>
          <w:szCs w:val="24"/>
        </w:rPr>
        <w:t>，占总占地的16.22%；住宅用地58.89hm</w:t>
      </w:r>
      <w:r>
        <w:rPr>
          <w:kern w:val="0"/>
          <w:szCs w:val="24"/>
          <w:vertAlign w:val="superscript"/>
        </w:rPr>
        <w:t>2</w:t>
      </w:r>
      <w:r>
        <w:rPr>
          <w:kern w:val="0"/>
          <w:szCs w:val="24"/>
        </w:rPr>
        <w:t>，占总占地的5.22%；交通运输用地26.35hm</w:t>
      </w:r>
      <w:r>
        <w:rPr>
          <w:kern w:val="0"/>
          <w:szCs w:val="24"/>
          <w:vertAlign w:val="superscript"/>
        </w:rPr>
        <w:t>2</w:t>
      </w:r>
      <w:r>
        <w:rPr>
          <w:kern w:val="0"/>
          <w:szCs w:val="24"/>
        </w:rPr>
        <w:t>，占总占地的2.33%；水域及水利设施用地26.19hm</w:t>
      </w:r>
      <w:r>
        <w:rPr>
          <w:kern w:val="0"/>
          <w:szCs w:val="24"/>
          <w:vertAlign w:val="superscript"/>
        </w:rPr>
        <w:t>2</w:t>
      </w:r>
      <w:r>
        <w:rPr>
          <w:kern w:val="0"/>
          <w:szCs w:val="24"/>
        </w:rPr>
        <w:t>，占总占地的2.32%；公共管理与公共服务用地0.70hm</w:t>
      </w:r>
      <w:r>
        <w:rPr>
          <w:kern w:val="0"/>
          <w:szCs w:val="24"/>
          <w:vertAlign w:val="superscript"/>
        </w:rPr>
        <w:t>2</w:t>
      </w:r>
      <w:r>
        <w:rPr>
          <w:kern w:val="0"/>
          <w:szCs w:val="24"/>
        </w:rPr>
        <w:t>，占总占地的0.06%；工矿仓储用地63.61hm</w:t>
      </w:r>
      <w:r>
        <w:rPr>
          <w:kern w:val="0"/>
          <w:szCs w:val="24"/>
          <w:vertAlign w:val="superscript"/>
        </w:rPr>
        <w:t>2</w:t>
      </w:r>
      <w:r>
        <w:rPr>
          <w:kern w:val="0"/>
          <w:szCs w:val="24"/>
        </w:rPr>
        <w:t>，占总占地的5.63%。其他土地1.94hm</w:t>
      </w:r>
      <w:r>
        <w:rPr>
          <w:kern w:val="0"/>
          <w:szCs w:val="24"/>
          <w:vertAlign w:val="superscript"/>
        </w:rPr>
        <w:t>2</w:t>
      </w:r>
      <w:r>
        <w:rPr>
          <w:kern w:val="0"/>
          <w:szCs w:val="24"/>
        </w:rPr>
        <w:t>，占总占地的0.17%。园区占地类型汇总详见表3.2-1。</w:t>
      </w:r>
    </w:p>
    <w:p>
      <w:pPr>
        <w:ind w:firstLine="0" w:firstLineChars="0"/>
        <w:jc w:val="center"/>
      </w:pPr>
      <w:r>
        <w:rPr>
          <w:b/>
          <w:bCs/>
        </w:rPr>
        <w:t>表3.2-1园区占地类型汇总表（单位：hm</w:t>
      </w:r>
      <w:r>
        <w:rPr>
          <w:b/>
          <w:bCs/>
          <w:vertAlign w:val="superscript"/>
        </w:rPr>
        <w:t>2</w:t>
      </w:r>
      <w:r>
        <w:rPr>
          <w:b/>
          <w:bCs/>
        </w:rPr>
        <w:t>）</w:t>
      </w:r>
    </w:p>
    <w:tbl>
      <w:tblPr>
        <w:tblStyle w:val="110"/>
        <w:tblW w:w="537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990"/>
        <w:gridCol w:w="731"/>
        <w:gridCol w:w="748"/>
        <w:gridCol w:w="786"/>
        <w:gridCol w:w="535"/>
        <w:gridCol w:w="543"/>
        <w:gridCol w:w="654"/>
        <w:gridCol w:w="682"/>
        <w:gridCol w:w="814"/>
        <w:gridCol w:w="571"/>
        <w:gridCol w:w="702"/>
        <w:gridCol w:w="730"/>
        <w:gridCol w:w="614"/>
        <w:gridCol w:w="87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7" w:hRule="atLeast"/>
        </w:trPr>
        <w:tc>
          <w:tcPr>
            <w:tcW w:w="496" w:type="pct"/>
            <w:vMerge w:val="restart"/>
            <w:vAlign w:val="center"/>
          </w:tcPr>
          <w:p>
            <w:pPr>
              <w:tabs>
                <w:tab w:val="left" w:pos="1050"/>
              </w:tabs>
              <w:adjustRightInd w:val="0"/>
              <w:snapToGrid w:val="0"/>
              <w:spacing w:line="240" w:lineRule="auto"/>
              <w:ind w:firstLine="0" w:firstLineChars="0"/>
              <w:jc w:val="center"/>
              <w:rPr>
                <w:b/>
                <w:bCs/>
                <w:sz w:val="18"/>
              </w:rPr>
            </w:pPr>
            <w:r>
              <w:rPr>
                <w:b/>
                <w:bCs/>
                <w:sz w:val="18"/>
              </w:rPr>
              <w:t>占地面积及比例</w:t>
            </w:r>
          </w:p>
        </w:tc>
        <w:tc>
          <w:tcPr>
            <w:tcW w:w="4065" w:type="pct"/>
            <w:gridSpan w:val="12"/>
            <w:vAlign w:val="center"/>
          </w:tcPr>
          <w:p>
            <w:pPr>
              <w:tabs>
                <w:tab w:val="left" w:pos="1050"/>
              </w:tabs>
              <w:adjustRightInd w:val="0"/>
              <w:snapToGrid w:val="0"/>
              <w:spacing w:line="240" w:lineRule="auto"/>
              <w:ind w:firstLine="0" w:firstLineChars="0"/>
              <w:jc w:val="center"/>
              <w:rPr>
                <w:b/>
                <w:bCs/>
                <w:sz w:val="18"/>
              </w:rPr>
            </w:pPr>
            <w:r>
              <w:rPr>
                <w:b/>
                <w:bCs/>
                <w:sz w:val="18"/>
              </w:rPr>
              <w:t>占地类型</w:t>
            </w:r>
          </w:p>
        </w:tc>
        <w:tc>
          <w:tcPr>
            <w:tcW w:w="438" w:type="pct"/>
            <w:vMerge w:val="restart"/>
            <w:vAlign w:val="center"/>
          </w:tcPr>
          <w:p>
            <w:pPr>
              <w:tabs>
                <w:tab w:val="left" w:pos="1050"/>
              </w:tabs>
              <w:adjustRightInd w:val="0"/>
              <w:snapToGrid w:val="0"/>
              <w:spacing w:line="240" w:lineRule="auto"/>
              <w:ind w:firstLine="0" w:firstLineChars="0"/>
              <w:jc w:val="center"/>
              <w:rPr>
                <w:b/>
                <w:bCs/>
                <w:sz w:val="18"/>
              </w:rPr>
            </w:pPr>
            <w:r>
              <w:rPr>
                <w:b/>
                <w:bCs/>
                <w:sz w:val="18"/>
              </w:rPr>
              <w:t>合计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 w:hRule="atLeast"/>
        </w:trPr>
        <w:tc>
          <w:tcPr>
            <w:tcW w:w="496" w:type="pct"/>
            <w:vMerge w:val="continue"/>
            <w:vAlign w:val="center"/>
          </w:tcPr>
          <w:p>
            <w:pPr>
              <w:tabs>
                <w:tab w:val="left" w:pos="1050"/>
              </w:tabs>
              <w:adjustRightInd w:val="0"/>
              <w:snapToGrid w:val="0"/>
              <w:spacing w:line="240" w:lineRule="auto"/>
              <w:ind w:firstLine="0" w:firstLineChars="0"/>
              <w:jc w:val="center"/>
              <w:rPr>
                <w:b/>
                <w:bCs/>
                <w:sz w:val="18"/>
              </w:rPr>
            </w:pPr>
          </w:p>
        </w:tc>
        <w:tc>
          <w:tcPr>
            <w:tcW w:w="366" w:type="pct"/>
            <w:vAlign w:val="center"/>
          </w:tcPr>
          <w:p>
            <w:pPr>
              <w:widowControl/>
              <w:spacing w:line="240" w:lineRule="auto"/>
              <w:ind w:firstLine="0" w:firstLineChars="0"/>
              <w:jc w:val="center"/>
              <w:textAlignment w:val="center"/>
              <w:rPr>
                <w:b/>
                <w:bCs/>
                <w:sz w:val="18"/>
              </w:rPr>
            </w:pPr>
            <w:r>
              <w:rPr>
                <w:b/>
                <w:bCs/>
                <w:kern w:val="0"/>
                <w:sz w:val="18"/>
              </w:rPr>
              <w:t>耕地</w:t>
            </w:r>
          </w:p>
        </w:tc>
        <w:tc>
          <w:tcPr>
            <w:tcW w:w="375" w:type="pct"/>
            <w:vAlign w:val="center"/>
          </w:tcPr>
          <w:p>
            <w:pPr>
              <w:widowControl/>
              <w:spacing w:line="240" w:lineRule="auto"/>
              <w:ind w:firstLine="0" w:firstLineChars="0"/>
              <w:jc w:val="center"/>
              <w:textAlignment w:val="center"/>
              <w:rPr>
                <w:b/>
                <w:bCs/>
                <w:sz w:val="18"/>
              </w:rPr>
            </w:pPr>
            <w:r>
              <w:rPr>
                <w:b/>
                <w:bCs/>
                <w:kern w:val="0"/>
                <w:sz w:val="18"/>
              </w:rPr>
              <w:t>园地</w:t>
            </w:r>
          </w:p>
        </w:tc>
        <w:tc>
          <w:tcPr>
            <w:tcW w:w="394" w:type="pct"/>
            <w:vAlign w:val="center"/>
          </w:tcPr>
          <w:p>
            <w:pPr>
              <w:widowControl/>
              <w:spacing w:line="240" w:lineRule="auto"/>
              <w:ind w:firstLine="0" w:firstLineChars="0"/>
              <w:jc w:val="center"/>
              <w:textAlignment w:val="center"/>
              <w:rPr>
                <w:b/>
                <w:bCs/>
                <w:sz w:val="18"/>
              </w:rPr>
            </w:pPr>
            <w:r>
              <w:rPr>
                <w:b/>
                <w:bCs/>
                <w:kern w:val="0"/>
                <w:sz w:val="18"/>
              </w:rPr>
              <w:t>林地</w:t>
            </w:r>
          </w:p>
        </w:tc>
        <w:tc>
          <w:tcPr>
            <w:tcW w:w="268" w:type="pct"/>
            <w:vAlign w:val="center"/>
          </w:tcPr>
          <w:p>
            <w:pPr>
              <w:widowControl/>
              <w:spacing w:line="240" w:lineRule="auto"/>
              <w:ind w:firstLine="0" w:firstLineChars="0"/>
              <w:jc w:val="center"/>
              <w:textAlignment w:val="center"/>
              <w:rPr>
                <w:b/>
                <w:bCs/>
                <w:sz w:val="18"/>
              </w:rPr>
            </w:pPr>
            <w:r>
              <w:rPr>
                <w:b/>
                <w:bCs/>
                <w:kern w:val="0"/>
                <w:sz w:val="18"/>
              </w:rPr>
              <w:t>草地</w:t>
            </w:r>
          </w:p>
        </w:tc>
        <w:tc>
          <w:tcPr>
            <w:tcW w:w="272" w:type="pct"/>
            <w:vAlign w:val="center"/>
          </w:tcPr>
          <w:p>
            <w:pPr>
              <w:widowControl/>
              <w:spacing w:line="240" w:lineRule="auto"/>
              <w:ind w:firstLine="0" w:firstLineChars="0"/>
              <w:jc w:val="center"/>
              <w:textAlignment w:val="center"/>
              <w:rPr>
                <w:b/>
                <w:bCs/>
                <w:sz w:val="18"/>
              </w:rPr>
            </w:pPr>
            <w:r>
              <w:rPr>
                <w:b/>
                <w:bCs/>
                <w:kern w:val="0"/>
                <w:sz w:val="18"/>
              </w:rPr>
              <w:t>商服用地</w:t>
            </w:r>
          </w:p>
        </w:tc>
        <w:tc>
          <w:tcPr>
            <w:tcW w:w="328" w:type="pct"/>
            <w:vAlign w:val="center"/>
          </w:tcPr>
          <w:p>
            <w:pPr>
              <w:widowControl/>
              <w:spacing w:line="240" w:lineRule="auto"/>
              <w:ind w:firstLine="0" w:firstLineChars="0"/>
              <w:jc w:val="center"/>
              <w:textAlignment w:val="center"/>
              <w:rPr>
                <w:b/>
                <w:bCs/>
                <w:sz w:val="18"/>
              </w:rPr>
            </w:pPr>
            <w:r>
              <w:rPr>
                <w:b/>
                <w:bCs/>
                <w:kern w:val="0"/>
                <w:sz w:val="18"/>
              </w:rPr>
              <w:t>工矿仓储用地</w:t>
            </w:r>
          </w:p>
        </w:tc>
        <w:tc>
          <w:tcPr>
            <w:tcW w:w="342" w:type="pct"/>
            <w:vAlign w:val="center"/>
          </w:tcPr>
          <w:p>
            <w:pPr>
              <w:widowControl/>
              <w:spacing w:line="240" w:lineRule="auto"/>
              <w:ind w:firstLine="0" w:firstLineChars="0"/>
              <w:jc w:val="center"/>
              <w:textAlignment w:val="center"/>
              <w:rPr>
                <w:b/>
                <w:bCs/>
                <w:sz w:val="18"/>
              </w:rPr>
            </w:pPr>
            <w:r>
              <w:rPr>
                <w:b/>
                <w:bCs/>
                <w:kern w:val="0"/>
                <w:sz w:val="18"/>
              </w:rPr>
              <w:t>住宅用地</w:t>
            </w:r>
          </w:p>
        </w:tc>
        <w:tc>
          <w:tcPr>
            <w:tcW w:w="408" w:type="pct"/>
            <w:vAlign w:val="center"/>
          </w:tcPr>
          <w:p>
            <w:pPr>
              <w:widowControl/>
              <w:spacing w:line="240" w:lineRule="auto"/>
              <w:ind w:firstLine="0" w:firstLineChars="0"/>
              <w:jc w:val="center"/>
              <w:textAlignment w:val="center"/>
              <w:rPr>
                <w:b/>
                <w:bCs/>
                <w:sz w:val="18"/>
              </w:rPr>
            </w:pPr>
            <w:r>
              <w:rPr>
                <w:b/>
                <w:bCs/>
                <w:kern w:val="0"/>
                <w:sz w:val="18"/>
              </w:rPr>
              <w:t>公共管理与公共服务用地</w:t>
            </w:r>
          </w:p>
        </w:tc>
        <w:tc>
          <w:tcPr>
            <w:tcW w:w="286" w:type="pct"/>
            <w:vAlign w:val="center"/>
          </w:tcPr>
          <w:p>
            <w:pPr>
              <w:widowControl/>
              <w:spacing w:line="240" w:lineRule="auto"/>
              <w:ind w:firstLine="0" w:firstLineChars="0"/>
              <w:jc w:val="center"/>
              <w:textAlignment w:val="center"/>
              <w:rPr>
                <w:b/>
                <w:bCs/>
                <w:sz w:val="18"/>
              </w:rPr>
            </w:pPr>
            <w:r>
              <w:rPr>
                <w:b/>
                <w:bCs/>
                <w:kern w:val="0"/>
                <w:sz w:val="18"/>
              </w:rPr>
              <w:t>特殊用地</w:t>
            </w:r>
          </w:p>
        </w:tc>
        <w:tc>
          <w:tcPr>
            <w:tcW w:w="352" w:type="pct"/>
            <w:vAlign w:val="center"/>
          </w:tcPr>
          <w:p>
            <w:pPr>
              <w:widowControl/>
              <w:spacing w:line="240" w:lineRule="auto"/>
              <w:ind w:firstLine="0" w:firstLineChars="0"/>
              <w:jc w:val="center"/>
              <w:textAlignment w:val="center"/>
              <w:rPr>
                <w:b/>
                <w:bCs/>
                <w:sz w:val="18"/>
              </w:rPr>
            </w:pPr>
            <w:r>
              <w:rPr>
                <w:b/>
                <w:bCs/>
                <w:kern w:val="0"/>
                <w:sz w:val="18"/>
              </w:rPr>
              <w:t>交通运输用地</w:t>
            </w:r>
          </w:p>
        </w:tc>
        <w:tc>
          <w:tcPr>
            <w:tcW w:w="366" w:type="pct"/>
            <w:vAlign w:val="center"/>
          </w:tcPr>
          <w:p>
            <w:pPr>
              <w:widowControl/>
              <w:spacing w:line="240" w:lineRule="auto"/>
              <w:ind w:firstLine="0" w:firstLineChars="0"/>
              <w:jc w:val="center"/>
              <w:textAlignment w:val="center"/>
              <w:rPr>
                <w:b/>
                <w:bCs/>
                <w:sz w:val="18"/>
              </w:rPr>
            </w:pPr>
            <w:r>
              <w:rPr>
                <w:b/>
                <w:bCs/>
                <w:kern w:val="0"/>
                <w:sz w:val="18"/>
              </w:rPr>
              <w:t>水域及水利设施用地</w:t>
            </w:r>
          </w:p>
        </w:tc>
        <w:tc>
          <w:tcPr>
            <w:tcW w:w="300" w:type="pct"/>
            <w:vAlign w:val="center"/>
          </w:tcPr>
          <w:p>
            <w:pPr>
              <w:widowControl/>
              <w:spacing w:line="240" w:lineRule="auto"/>
              <w:ind w:firstLine="0" w:firstLineChars="0"/>
              <w:jc w:val="center"/>
              <w:textAlignment w:val="center"/>
              <w:rPr>
                <w:b/>
                <w:bCs/>
                <w:sz w:val="18"/>
              </w:rPr>
            </w:pPr>
            <w:r>
              <w:rPr>
                <w:b/>
                <w:bCs/>
                <w:kern w:val="0"/>
                <w:sz w:val="18"/>
              </w:rPr>
              <w:t>其他土地</w:t>
            </w:r>
          </w:p>
        </w:tc>
        <w:tc>
          <w:tcPr>
            <w:tcW w:w="438" w:type="pct"/>
            <w:vMerge w:val="continue"/>
            <w:vAlign w:val="center"/>
          </w:tcPr>
          <w:p>
            <w:pPr>
              <w:tabs>
                <w:tab w:val="left" w:pos="1050"/>
              </w:tabs>
              <w:adjustRightInd w:val="0"/>
              <w:snapToGrid w:val="0"/>
              <w:spacing w:line="240" w:lineRule="auto"/>
              <w:ind w:firstLine="0" w:firstLineChars="0"/>
              <w:jc w:val="center"/>
              <w:rPr>
                <w:b/>
                <w:bCs/>
                <w:sz w:val="18"/>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0" w:hRule="atLeast"/>
        </w:trPr>
        <w:tc>
          <w:tcPr>
            <w:tcW w:w="496" w:type="pct"/>
            <w:vAlign w:val="center"/>
          </w:tcPr>
          <w:p>
            <w:pPr>
              <w:tabs>
                <w:tab w:val="left" w:pos="1050"/>
              </w:tabs>
              <w:adjustRightInd w:val="0"/>
              <w:snapToGrid w:val="0"/>
              <w:spacing w:line="240" w:lineRule="auto"/>
              <w:ind w:firstLine="0" w:firstLineChars="0"/>
              <w:jc w:val="center"/>
              <w:rPr>
                <w:sz w:val="18"/>
              </w:rPr>
            </w:pPr>
            <w:r>
              <w:rPr>
                <w:sz w:val="18"/>
              </w:rPr>
              <w:t>面积（hm</w:t>
            </w:r>
            <w:r>
              <w:rPr>
                <w:sz w:val="18"/>
                <w:vertAlign w:val="superscript"/>
              </w:rPr>
              <w:t>2</w:t>
            </w:r>
            <w:r>
              <w:rPr>
                <w:sz w:val="18"/>
              </w:rPr>
              <w:t>）</w:t>
            </w:r>
          </w:p>
        </w:tc>
        <w:tc>
          <w:tcPr>
            <w:tcW w:w="366" w:type="pct"/>
            <w:vAlign w:val="center"/>
          </w:tcPr>
          <w:p>
            <w:pPr>
              <w:tabs>
                <w:tab w:val="left" w:pos="1050"/>
              </w:tabs>
              <w:spacing w:line="240" w:lineRule="auto"/>
              <w:ind w:firstLine="0" w:firstLineChars="0"/>
              <w:jc w:val="center"/>
              <w:rPr>
                <w:sz w:val="18"/>
              </w:rPr>
            </w:pPr>
            <w:r>
              <w:rPr>
                <w:sz w:val="18"/>
              </w:rPr>
              <w:t>384.65</w:t>
            </w:r>
          </w:p>
        </w:tc>
        <w:tc>
          <w:tcPr>
            <w:tcW w:w="375" w:type="pct"/>
            <w:vAlign w:val="center"/>
          </w:tcPr>
          <w:p>
            <w:pPr>
              <w:tabs>
                <w:tab w:val="left" w:pos="1050"/>
              </w:tabs>
              <w:spacing w:line="240" w:lineRule="auto"/>
              <w:ind w:firstLine="0" w:firstLineChars="0"/>
              <w:jc w:val="center"/>
              <w:rPr>
                <w:sz w:val="18"/>
              </w:rPr>
            </w:pPr>
            <w:r>
              <w:rPr>
                <w:sz w:val="18"/>
              </w:rPr>
              <w:t>183.18</w:t>
            </w:r>
          </w:p>
        </w:tc>
        <w:tc>
          <w:tcPr>
            <w:tcW w:w="394" w:type="pct"/>
            <w:vAlign w:val="center"/>
          </w:tcPr>
          <w:p>
            <w:pPr>
              <w:tabs>
                <w:tab w:val="left" w:pos="1050"/>
              </w:tabs>
              <w:spacing w:line="240" w:lineRule="auto"/>
              <w:ind w:firstLine="0" w:firstLineChars="0"/>
              <w:jc w:val="center"/>
              <w:rPr>
                <w:sz w:val="18"/>
              </w:rPr>
            </w:pPr>
            <w:r>
              <w:rPr>
                <w:sz w:val="18"/>
              </w:rPr>
              <w:t>380.03</w:t>
            </w:r>
          </w:p>
        </w:tc>
        <w:tc>
          <w:tcPr>
            <w:tcW w:w="268" w:type="pct"/>
            <w:vAlign w:val="center"/>
          </w:tcPr>
          <w:p>
            <w:pPr>
              <w:tabs>
                <w:tab w:val="left" w:pos="1050"/>
              </w:tabs>
              <w:spacing w:line="240" w:lineRule="auto"/>
              <w:ind w:firstLine="0" w:firstLineChars="0"/>
              <w:jc w:val="center"/>
              <w:rPr>
                <w:sz w:val="18"/>
              </w:rPr>
            </w:pPr>
            <w:r>
              <w:rPr>
                <w:sz w:val="18"/>
              </w:rPr>
              <w:t>3.36</w:t>
            </w:r>
          </w:p>
        </w:tc>
        <w:tc>
          <w:tcPr>
            <w:tcW w:w="272" w:type="pct"/>
            <w:vAlign w:val="center"/>
          </w:tcPr>
          <w:p>
            <w:pPr>
              <w:tabs>
                <w:tab w:val="left" w:pos="1050"/>
              </w:tabs>
              <w:spacing w:line="240" w:lineRule="auto"/>
              <w:ind w:firstLine="0" w:firstLineChars="0"/>
              <w:jc w:val="center"/>
              <w:rPr>
                <w:sz w:val="18"/>
              </w:rPr>
            </w:pPr>
            <w:r>
              <w:rPr>
                <w:sz w:val="18"/>
              </w:rPr>
              <w:t>0.22</w:t>
            </w:r>
          </w:p>
        </w:tc>
        <w:tc>
          <w:tcPr>
            <w:tcW w:w="328" w:type="pct"/>
            <w:vAlign w:val="center"/>
          </w:tcPr>
          <w:p>
            <w:pPr>
              <w:tabs>
                <w:tab w:val="left" w:pos="1050"/>
              </w:tabs>
              <w:spacing w:line="240" w:lineRule="auto"/>
              <w:ind w:firstLine="0" w:firstLineChars="0"/>
              <w:jc w:val="center"/>
              <w:rPr>
                <w:sz w:val="18"/>
              </w:rPr>
            </w:pPr>
            <w:r>
              <w:rPr>
                <w:sz w:val="18"/>
              </w:rPr>
              <w:t>63.61</w:t>
            </w:r>
          </w:p>
        </w:tc>
        <w:tc>
          <w:tcPr>
            <w:tcW w:w="342" w:type="pct"/>
            <w:vAlign w:val="center"/>
          </w:tcPr>
          <w:p>
            <w:pPr>
              <w:tabs>
                <w:tab w:val="left" w:pos="1050"/>
              </w:tabs>
              <w:spacing w:line="240" w:lineRule="auto"/>
              <w:ind w:firstLine="0" w:firstLineChars="0"/>
              <w:jc w:val="center"/>
              <w:rPr>
                <w:sz w:val="18"/>
              </w:rPr>
            </w:pPr>
            <w:r>
              <w:rPr>
                <w:sz w:val="18"/>
              </w:rPr>
              <w:t>58.89</w:t>
            </w:r>
          </w:p>
        </w:tc>
        <w:tc>
          <w:tcPr>
            <w:tcW w:w="408" w:type="pct"/>
            <w:vAlign w:val="center"/>
          </w:tcPr>
          <w:p>
            <w:pPr>
              <w:tabs>
                <w:tab w:val="left" w:pos="1050"/>
              </w:tabs>
              <w:spacing w:line="240" w:lineRule="auto"/>
              <w:ind w:firstLine="0" w:firstLineChars="0"/>
              <w:jc w:val="center"/>
              <w:rPr>
                <w:sz w:val="18"/>
              </w:rPr>
            </w:pPr>
            <w:r>
              <w:rPr>
                <w:sz w:val="18"/>
              </w:rPr>
              <w:t>0.70</w:t>
            </w:r>
          </w:p>
        </w:tc>
        <w:tc>
          <w:tcPr>
            <w:tcW w:w="286" w:type="pct"/>
            <w:vAlign w:val="center"/>
          </w:tcPr>
          <w:p>
            <w:pPr>
              <w:tabs>
                <w:tab w:val="left" w:pos="1050"/>
              </w:tabs>
              <w:spacing w:line="240" w:lineRule="auto"/>
              <w:ind w:firstLine="0" w:firstLineChars="0"/>
              <w:jc w:val="center"/>
              <w:rPr>
                <w:sz w:val="18"/>
              </w:rPr>
            </w:pPr>
            <w:r>
              <w:rPr>
                <w:sz w:val="18"/>
              </w:rPr>
              <w:t>0.06</w:t>
            </w:r>
          </w:p>
        </w:tc>
        <w:tc>
          <w:tcPr>
            <w:tcW w:w="352" w:type="pct"/>
            <w:vAlign w:val="center"/>
          </w:tcPr>
          <w:p>
            <w:pPr>
              <w:tabs>
                <w:tab w:val="left" w:pos="1050"/>
              </w:tabs>
              <w:spacing w:line="240" w:lineRule="auto"/>
              <w:ind w:firstLine="0" w:firstLineChars="0"/>
              <w:jc w:val="center"/>
              <w:rPr>
                <w:sz w:val="18"/>
              </w:rPr>
            </w:pPr>
            <w:r>
              <w:rPr>
                <w:sz w:val="18"/>
              </w:rPr>
              <w:t>26.35</w:t>
            </w:r>
          </w:p>
        </w:tc>
        <w:tc>
          <w:tcPr>
            <w:tcW w:w="366" w:type="pct"/>
            <w:vAlign w:val="center"/>
          </w:tcPr>
          <w:p>
            <w:pPr>
              <w:tabs>
                <w:tab w:val="left" w:pos="1050"/>
              </w:tabs>
              <w:spacing w:line="240" w:lineRule="auto"/>
              <w:ind w:firstLine="0" w:firstLineChars="0"/>
              <w:jc w:val="center"/>
              <w:rPr>
                <w:sz w:val="18"/>
              </w:rPr>
            </w:pPr>
            <w:r>
              <w:rPr>
                <w:sz w:val="18"/>
              </w:rPr>
              <w:t>26.19</w:t>
            </w:r>
          </w:p>
        </w:tc>
        <w:tc>
          <w:tcPr>
            <w:tcW w:w="300" w:type="pct"/>
            <w:vAlign w:val="center"/>
          </w:tcPr>
          <w:p>
            <w:pPr>
              <w:tabs>
                <w:tab w:val="left" w:pos="1050"/>
              </w:tabs>
              <w:spacing w:line="240" w:lineRule="auto"/>
              <w:ind w:firstLine="0" w:firstLineChars="0"/>
              <w:jc w:val="center"/>
              <w:rPr>
                <w:sz w:val="18"/>
              </w:rPr>
            </w:pPr>
            <w:r>
              <w:rPr>
                <w:sz w:val="18"/>
              </w:rPr>
              <w:t>1.94</w:t>
            </w:r>
          </w:p>
        </w:tc>
        <w:tc>
          <w:tcPr>
            <w:tcW w:w="438" w:type="pct"/>
            <w:vAlign w:val="center"/>
          </w:tcPr>
          <w:p>
            <w:pPr>
              <w:tabs>
                <w:tab w:val="left" w:pos="1050"/>
              </w:tabs>
              <w:spacing w:line="240" w:lineRule="auto"/>
              <w:ind w:firstLine="0" w:firstLineChars="0"/>
              <w:jc w:val="center"/>
              <w:rPr>
                <w:sz w:val="18"/>
              </w:rPr>
            </w:pPr>
            <w:r>
              <w:rPr>
                <w:b/>
                <w:bCs/>
                <w:sz w:val="18"/>
              </w:rPr>
              <w:t>1129.18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6" w:hRule="atLeast"/>
        </w:trPr>
        <w:tc>
          <w:tcPr>
            <w:tcW w:w="496" w:type="pct"/>
            <w:vAlign w:val="center"/>
          </w:tcPr>
          <w:p>
            <w:pPr>
              <w:tabs>
                <w:tab w:val="left" w:pos="1050"/>
              </w:tabs>
              <w:adjustRightInd w:val="0"/>
              <w:snapToGrid w:val="0"/>
              <w:spacing w:line="240" w:lineRule="auto"/>
              <w:ind w:firstLine="0" w:firstLineChars="0"/>
              <w:jc w:val="center"/>
              <w:rPr>
                <w:sz w:val="18"/>
              </w:rPr>
            </w:pPr>
            <w:r>
              <w:rPr>
                <w:sz w:val="18"/>
              </w:rPr>
              <w:t>比例（%）</w:t>
            </w:r>
          </w:p>
        </w:tc>
        <w:tc>
          <w:tcPr>
            <w:tcW w:w="731" w:type="dxa"/>
            <w:vAlign w:val="center"/>
          </w:tcPr>
          <w:p>
            <w:pPr>
              <w:tabs>
                <w:tab w:val="left" w:pos="1050"/>
              </w:tabs>
              <w:spacing w:line="240" w:lineRule="auto"/>
              <w:ind w:firstLine="0" w:firstLineChars="0"/>
              <w:jc w:val="center"/>
              <w:rPr>
                <w:sz w:val="18"/>
              </w:rPr>
            </w:pPr>
            <w:r>
              <w:rPr>
                <w:sz w:val="18"/>
              </w:rPr>
              <w:t>34.06</w:t>
            </w:r>
          </w:p>
        </w:tc>
        <w:tc>
          <w:tcPr>
            <w:tcW w:w="750" w:type="dxa"/>
            <w:vAlign w:val="center"/>
          </w:tcPr>
          <w:p>
            <w:pPr>
              <w:tabs>
                <w:tab w:val="left" w:pos="1050"/>
              </w:tabs>
              <w:spacing w:line="240" w:lineRule="auto"/>
              <w:ind w:firstLine="0" w:firstLineChars="0"/>
              <w:jc w:val="center"/>
              <w:rPr>
                <w:sz w:val="18"/>
              </w:rPr>
            </w:pPr>
            <w:r>
              <w:rPr>
                <w:sz w:val="18"/>
              </w:rPr>
              <w:t>16.22</w:t>
            </w:r>
          </w:p>
        </w:tc>
        <w:tc>
          <w:tcPr>
            <w:tcW w:w="788" w:type="dxa"/>
            <w:vAlign w:val="center"/>
          </w:tcPr>
          <w:p>
            <w:pPr>
              <w:tabs>
                <w:tab w:val="left" w:pos="1050"/>
              </w:tabs>
              <w:spacing w:line="240" w:lineRule="auto"/>
              <w:ind w:firstLine="0" w:firstLineChars="0"/>
              <w:jc w:val="center"/>
              <w:rPr>
                <w:sz w:val="18"/>
              </w:rPr>
            </w:pPr>
            <w:r>
              <w:rPr>
                <w:sz w:val="18"/>
              </w:rPr>
              <w:t>33.66</w:t>
            </w:r>
          </w:p>
        </w:tc>
        <w:tc>
          <w:tcPr>
            <w:tcW w:w="535" w:type="dxa"/>
            <w:vAlign w:val="center"/>
          </w:tcPr>
          <w:p>
            <w:pPr>
              <w:tabs>
                <w:tab w:val="left" w:pos="1050"/>
              </w:tabs>
              <w:spacing w:line="240" w:lineRule="auto"/>
              <w:ind w:firstLine="0" w:firstLineChars="0"/>
              <w:jc w:val="center"/>
              <w:rPr>
                <w:sz w:val="18"/>
              </w:rPr>
            </w:pPr>
            <w:r>
              <w:rPr>
                <w:sz w:val="18"/>
              </w:rPr>
              <w:t>0.30</w:t>
            </w:r>
          </w:p>
        </w:tc>
        <w:tc>
          <w:tcPr>
            <w:tcW w:w="544" w:type="dxa"/>
            <w:vAlign w:val="center"/>
          </w:tcPr>
          <w:p>
            <w:pPr>
              <w:tabs>
                <w:tab w:val="left" w:pos="1050"/>
              </w:tabs>
              <w:spacing w:line="240" w:lineRule="auto"/>
              <w:ind w:firstLine="0" w:firstLineChars="0"/>
              <w:jc w:val="center"/>
              <w:rPr>
                <w:sz w:val="18"/>
              </w:rPr>
            </w:pPr>
            <w:r>
              <w:rPr>
                <w:sz w:val="18"/>
              </w:rPr>
              <w:t>0.02</w:t>
            </w:r>
          </w:p>
        </w:tc>
        <w:tc>
          <w:tcPr>
            <w:tcW w:w="656" w:type="dxa"/>
            <w:vAlign w:val="center"/>
          </w:tcPr>
          <w:p>
            <w:pPr>
              <w:tabs>
                <w:tab w:val="left" w:pos="1050"/>
              </w:tabs>
              <w:spacing w:line="240" w:lineRule="auto"/>
              <w:ind w:firstLine="0" w:firstLineChars="0"/>
              <w:jc w:val="center"/>
              <w:rPr>
                <w:sz w:val="18"/>
              </w:rPr>
            </w:pPr>
            <w:r>
              <w:rPr>
                <w:sz w:val="18"/>
              </w:rPr>
              <w:t>5.63</w:t>
            </w:r>
          </w:p>
        </w:tc>
        <w:tc>
          <w:tcPr>
            <w:tcW w:w="684" w:type="dxa"/>
            <w:vAlign w:val="center"/>
          </w:tcPr>
          <w:p>
            <w:pPr>
              <w:tabs>
                <w:tab w:val="left" w:pos="1050"/>
              </w:tabs>
              <w:spacing w:line="240" w:lineRule="auto"/>
              <w:ind w:firstLine="0" w:firstLineChars="0"/>
              <w:jc w:val="center"/>
              <w:rPr>
                <w:sz w:val="18"/>
              </w:rPr>
            </w:pPr>
            <w:r>
              <w:rPr>
                <w:sz w:val="18"/>
              </w:rPr>
              <w:t>5.22</w:t>
            </w:r>
          </w:p>
        </w:tc>
        <w:tc>
          <w:tcPr>
            <w:tcW w:w="816" w:type="dxa"/>
            <w:vAlign w:val="center"/>
          </w:tcPr>
          <w:p>
            <w:pPr>
              <w:tabs>
                <w:tab w:val="left" w:pos="1050"/>
              </w:tabs>
              <w:spacing w:line="240" w:lineRule="auto"/>
              <w:ind w:firstLine="0" w:firstLineChars="0"/>
              <w:jc w:val="center"/>
              <w:rPr>
                <w:sz w:val="18"/>
              </w:rPr>
            </w:pPr>
            <w:r>
              <w:rPr>
                <w:sz w:val="18"/>
              </w:rPr>
              <w:t>0.06</w:t>
            </w:r>
          </w:p>
        </w:tc>
        <w:tc>
          <w:tcPr>
            <w:tcW w:w="571" w:type="dxa"/>
            <w:vAlign w:val="center"/>
          </w:tcPr>
          <w:p>
            <w:pPr>
              <w:tabs>
                <w:tab w:val="left" w:pos="1050"/>
              </w:tabs>
              <w:spacing w:line="240" w:lineRule="auto"/>
              <w:ind w:firstLine="0" w:firstLineChars="0"/>
              <w:jc w:val="center"/>
              <w:rPr>
                <w:sz w:val="18"/>
              </w:rPr>
            </w:pPr>
            <w:r>
              <w:rPr>
                <w:sz w:val="18"/>
              </w:rPr>
              <w:t>0.01</w:t>
            </w:r>
          </w:p>
        </w:tc>
        <w:tc>
          <w:tcPr>
            <w:tcW w:w="704" w:type="dxa"/>
            <w:vAlign w:val="center"/>
          </w:tcPr>
          <w:p>
            <w:pPr>
              <w:tabs>
                <w:tab w:val="left" w:pos="1050"/>
              </w:tabs>
              <w:spacing w:line="240" w:lineRule="auto"/>
              <w:ind w:firstLine="0" w:firstLineChars="0"/>
              <w:jc w:val="center"/>
              <w:rPr>
                <w:sz w:val="18"/>
              </w:rPr>
            </w:pPr>
            <w:r>
              <w:rPr>
                <w:sz w:val="18"/>
              </w:rPr>
              <w:t>2.33</w:t>
            </w:r>
          </w:p>
        </w:tc>
        <w:tc>
          <w:tcPr>
            <w:tcW w:w="732" w:type="dxa"/>
            <w:vAlign w:val="center"/>
          </w:tcPr>
          <w:p>
            <w:pPr>
              <w:tabs>
                <w:tab w:val="left" w:pos="1050"/>
              </w:tabs>
              <w:spacing w:line="240" w:lineRule="auto"/>
              <w:ind w:firstLine="0" w:firstLineChars="0"/>
              <w:jc w:val="center"/>
              <w:rPr>
                <w:sz w:val="18"/>
              </w:rPr>
            </w:pPr>
            <w:r>
              <w:rPr>
                <w:sz w:val="18"/>
              </w:rPr>
              <w:t>2.32</w:t>
            </w:r>
          </w:p>
        </w:tc>
        <w:tc>
          <w:tcPr>
            <w:tcW w:w="600" w:type="dxa"/>
            <w:vAlign w:val="center"/>
          </w:tcPr>
          <w:p>
            <w:pPr>
              <w:tabs>
                <w:tab w:val="left" w:pos="1050"/>
              </w:tabs>
              <w:spacing w:line="240" w:lineRule="auto"/>
              <w:ind w:firstLine="0" w:firstLineChars="0"/>
              <w:jc w:val="center"/>
              <w:rPr>
                <w:sz w:val="18"/>
              </w:rPr>
            </w:pPr>
            <w:r>
              <w:rPr>
                <w:sz w:val="18"/>
              </w:rPr>
              <w:t>0.17</w:t>
            </w:r>
          </w:p>
        </w:tc>
        <w:tc>
          <w:tcPr>
            <w:tcW w:w="874" w:type="dxa"/>
            <w:vAlign w:val="center"/>
          </w:tcPr>
          <w:p>
            <w:pPr>
              <w:tabs>
                <w:tab w:val="left" w:pos="1050"/>
              </w:tabs>
              <w:spacing w:line="240" w:lineRule="auto"/>
              <w:ind w:firstLine="0" w:firstLineChars="0"/>
              <w:jc w:val="center"/>
              <w:rPr>
                <w:b/>
                <w:bCs/>
                <w:sz w:val="18"/>
              </w:rPr>
            </w:pPr>
            <w:r>
              <w:rPr>
                <w:b/>
                <w:bCs/>
                <w:sz w:val="18"/>
              </w:rPr>
              <w:t>100</w:t>
            </w:r>
          </w:p>
        </w:tc>
      </w:tr>
    </w:tbl>
    <w:p>
      <w:pPr>
        <w:spacing w:beforeLines="50"/>
        <w:ind w:firstLine="480"/>
      </w:pPr>
      <w:r>
        <w:t>根据园区规划，园区</w:t>
      </w:r>
      <w:r>
        <w:rPr>
          <w:kern w:val="0"/>
          <w:szCs w:val="24"/>
        </w:rPr>
        <w:t>范围占地已全部转为建设用地，项目选址符合土地利用总体规划。</w:t>
      </w:r>
      <w:r>
        <w:t>企业入驻及基础设施修建时应严格按照建设用地审批程序办理用地手续，并按照国土资源管理部门的要求执行。从占地类型分析，本园区的占地类型无制约性因素。</w:t>
      </w:r>
    </w:p>
    <w:p>
      <w:pPr>
        <w:ind w:firstLine="480"/>
      </w:pPr>
      <w:r>
        <w:t>综上所述，园区的占地合理，满足水土保持技术标准的要求。</w:t>
      </w:r>
    </w:p>
    <w:p>
      <w:pPr>
        <w:pStyle w:val="6"/>
      </w:pPr>
      <w:r>
        <w:t>3.2.3土石方平衡评价</w:t>
      </w:r>
    </w:p>
    <w:p>
      <w:pPr>
        <w:pStyle w:val="7"/>
      </w:pPr>
      <w:r>
        <w:t>3.2.3.1已建、在建项目土石方平衡评价</w:t>
      </w:r>
    </w:p>
    <w:p>
      <w:pPr>
        <w:ind w:firstLine="480"/>
      </w:pPr>
      <w:r>
        <w:rPr>
          <w:kern w:val="0"/>
          <w:szCs w:val="24"/>
        </w:rPr>
        <w:t>根据园区内批复的水土保持方案及对园区已扰动区域进行表土保护工作的现场实地调查，园区内部分企业未进行表土剥离</w:t>
      </w:r>
      <w:r>
        <w:rPr>
          <w:rFonts w:hint="eastAsia"/>
          <w:kern w:val="0"/>
          <w:szCs w:val="24"/>
        </w:rPr>
        <w:t>或表土未进行集中堆放</w:t>
      </w:r>
      <w:r>
        <w:rPr>
          <w:kern w:val="0"/>
          <w:szCs w:val="24"/>
        </w:rPr>
        <w:t>。针对园区</w:t>
      </w:r>
      <w:r>
        <w:rPr>
          <w:rFonts w:hint="eastAsia"/>
          <w:kern w:val="0"/>
          <w:szCs w:val="24"/>
        </w:rPr>
        <w:t>在建区域</w:t>
      </w:r>
      <w:r>
        <w:rPr>
          <w:kern w:val="0"/>
          <w:szCs w:val="24"/>
        </w:rPr>
        <w:t>情况，本报告要求需根据现场实际情况把可剥离保护的表土收集集中起来用于园区绿化覆土使用，最大程度地保护表土资源。</w:t>
      </w:r>
      <w:r>
        <w:rPr>
          <w:rFonts w:hint="eastAsia"/>
          <w:kern w:val="0"/>
          <w:szCs w:val="24"/>
        </w:rPr>
        <w:t>根据调查园区</w:t>
      </w:r>
      <w:r>
        <w:t>已建及在建区域</w:t>
      </w:r>
      <w:r>
        <w:rPr>
          <w:rFonts w:hint="eastAsia"/>
        </w:rPr>
        <w:t>可利用</w:t>
      </w:r>
      <w:r>
        <w:t>表土</w:t>
      </w:r>
      <w:r>
        <w:rPr>
          <w:rFonts w:hint="eastAsia"/>
        </w:rPr>
        <w:t>总量为83.57万m</w:t>
      </w:r>
      <w:r>
        <w:rPr>
          <w:rFonts w:hint="eastAsia"/>
          <w:vertAlign w:val="superscript"/>
        </w:rPr>
        <w:t>3</w:t>
      </w:r>
      <w:r>
        <w:t>。</w:t>
      </w:r>
    </w:p>
    <w:p>
      <w:pPr>
        <w:ind w:firstLine="480"/>
      </w:pPr>
      <w:r>
        <w:t>根据调查，园区已建、在建项目在进行土石方平衡时，已尽量按最优化原则尽量移挖作填，实现开挖土石方的综合利用，尽量减少余方。土石方调运遵循节点适宜、时序可行、运距合理的原则，项目余方优先满足园区内其他项目和周边项目回填，实现综合利用。部分项目存在填方缺口需要外借土石方，外借土石方均优先利用园区内周边其他项目的余方，周边项目余方无法满足方从园区外其他项目余方或者外购自合规料场，未单独自设料场。</w:t>
      </w:r>
    </w:p>
    <w:p>
      <w:pPr>
        <w:pStyle w:val="7"/>
      </w:pPr>
      <w:r>
        <w:t>3.2.3.2待建项目土石方平衡评价</w:t>
      </w:r>
    </w:p>
    <w:p>
      <w:pPr>
        <w:ind w:firstLine="480"/>
      </w:pPr>
      <w:r>
        <w:t>园区规划对未建区已根据原有地形及区域防洪排涝要求，合理确定区块定位及控制标高，尽量使整个园区土石方总体挖填平衡。但根据园区规划及类似项目，园区项目可能会出现余方或借方，且园区规划中缺少表土剥离与保护措施、表土及土石方中转规划、建筑弃渣处置。因此本报告要求园区应加强表土剥离与保护，按最优化原则尽量移挖作填，土石方调运应符合节点适宜、时序可行、运距合理原则，尽量减少余方，余方应首先考虑综合利用，确有余方的优先用于产业园区内其他项目、填方缺口区的回填，实现综合利用，确实无法实现综合利用的，统一运至本报告规划的土石方中转场临时堆放，杜绝在产业园区外弃土（渣）。</w:t>
      </w:r>
    </w:p>
    <w:p>
      <w:pPr>
        <w:ind w:firstLine="480"/>
      </w:pPr>
      <w:r>
        <w:t>针对园区建设及后续待建项目表土或普通土石方盈缺情况，本评估报告规划6处表土中转场、5处土石方中转场用于满足园区建设、运行期间的表土、土石方中转，各中转场选址满足《生产建设项目水土保持技术标准》（GB50433-2018）等关于土石方中转场选址的有关规定（堆土前应完成中转场一定范围内民房等拆迁，确保中转场选址满足水土保持有关要求），各中转场应按照“先挡后堆”要求及时做好挡护及排水措施，确保堆土安全。</w:t>
      </w:r>
    </w:p>
    <w:p>
      <w:pPr>
        <w:widowControl/>
        <w:ind w:firstLine="480"/>
      </w:pPr>
      <w:r>
        <w:t>综上所述，</w:t>
      </w:r>
      <w:r>
        <w:rPr>
          <w:kern w:val="0"/>
          <w:szCs w:val="24"/>
        </w:rPr>
        <w:t>园区内已建项目土石方平衡总体较合理。园区未建区已根据原有地形及区域防洪排涝要求，按最优化原则合理确定区块定位及控制标高，尽量减少借方，但由于园区受地形条件制约，园区未建区总体将出现借方，但园区规划未进行借方的合理化处理规划，且园区规划中缺少表土剥离与保护措施、表土及土石方中转规划，本报告将予以补充。本评估报告要求：后续待建项目应加强表土剥离及保护，土石方平衡应满足最优化原则，土石方调运遵循节点适宜、时序可行、运距合理的原则。应加强表土剥离及保护、土石方临时调运、中转及其过程中的水土流失防治工作。</w:t>
      </w:r>
    </w:p>
    <w:p>
      <w:pPr>
        <w:pStyle w:val="6"/>
      </w:pPr>
      <w:r>
        <w:t>3.2.4取土（石、砂）场设置评价</w:t>
      </w:r>
    </w:p>
    <w:p>
      <w:pPr>
        <w:ind w:firstLine="480"/>
      </w:pPr>
      <w:r>
        <w:t>园区施工用料均通过购买获得，不设置料场，购买来的施工用料，需临时堆存时，将临时堆料布置于项目永久占地范围内，购料料场的防治责任由卖方承担，因此园区不存在料场选址的限制性因素。从水土保持的角度讲，使用成品砂石骨料可避免料场开挖造成新增扰动面，减少水土流失，选择成品骨料符合水土保持要求。</w:t>
      </w:r>
    </w:p>
    <w:p>
      <w:pPr>
        <w:pStyle w:val="6"/>
      </w:pPr>
      <w:r>
        <w:t>3.2.5弃土（石、渣、灰、矸石、尾矿）场设置评价</w:t>
      </w:r>
    </w:p>
    <w:p>
      <w:pPr>
        <w:ind w:firstLine="480"/>
      </w:pPr>
      <w:r>
        <w:t>根据园区总体规划，规划园区内土石方总体平衡，无弃土（石、渣）场，不需要设置弃土（石、渣）场。</w:t>
      </w:r>
    </w:p>
    <w:p>
      <w:pPr>
        <w:ind w:firstLine="480"/>
      </w:pPr>
      <w:r>
        <w:t>为临时堆放园区的土石方及表土，本报告在园区范围内规划了5处土石方中转场、6处表土中转场用于临时堆放园区产生的不能立即使用的土石方及表土，园区建设过程中不产生永久弃土（石、渣）。</w:t>
      </w:r>
    </w:p>
    <w:p>
      <w:pPr>
        <w:ind w:firstLine="480"/>
      </w:pPr>
      <w:r>
        <w:t>从地质结构看，本工程规划的临时中转场选址区域地质构造简单，无其他不良地质作用，场地整体稳定。本工程规划的临时中转场，位于园区永久占地范围内，场地质条件良好，且不属于县级以上人民政府划定的崩塌和滑坡危险区、泥石流易发区，不涉及水源保护区、生态功能保护区、景观保护区、经济开发区，居民点等敏感对象，亦不对重要基础设施、人民群众生命财产安全及行洪安全等产生影响。</w:t>
      </w:r>
    </w:p>
    <w:p>
      <w:pPr>
        <w:ind w:firstLine="480"/>
      </w:pPr>
      <w:r>
        <w:t>综上所述，依据园区总体规划布局、现场实地详细调查，结合园区地形地貌、地址条件、现状土地利用类型等自然因素，从园区建设的各分区功能定位、产业布局、用地属性、项目建设施工扰动特点等方面综合分析了园区建设可能的土石方活动；另一方面，充分考虑到园区建设空间、时间的交错，具有一定的互补性，可以通过区间调配、综合利用，实现园区土石方挖填平衡、园内消化，不产生外弃土，不需要设置弃土场。</w:t>
      </w:r>
    </w:p>
    <w:p>
      <w:pPr>
        <w:pStyle w:val="6"/>
      </w:pPr>
      <w:r>
        <w:t>3.2.6施工方法与工艺评价</w:t>
      </w:r>
    </w:p>
    <w:p>
      <w:pPr>
        <w:widowControl/>
        <w:ind w:firstLine="480"/>
        <w:rPr>
          <w:kern w:val="0"/>
          <w:szCs w:val="24"/>
        </w:rPr>
      </w:pPr>
      <w:r>
        <w:rPr>
          <w:kern w:val="0"/>
          <w:szCs w:val="24"/>
        </w:rPr>
        <w:t>园区规划由于深度原因，未明确园区“五通一平”工程施工方法与工艺，因此本报告根据相关规范，从水土保持角度，对园区“五通一平”工程及入驻项目开发建设的施工方法与工艺提出如下要求：</w:t>
      </w:r>
    </w:p>
    <w:p>
      <w:pPr>
        <w:widowControl/>
        <w:ind w:firstLine="480"/>
        <w:rPr>
          <w:kern w:val="0"/>
          <w:szCs w:val="24"/>
        </w:rPr>
      </w:pPr>
      <w:r>
        <w:rPr>
          <w:kern w:val="0"/>
          <w:szCs w:val="24"/>
        </w:rPr>
        <w:t>①应以机械施工为主，人工施工为辅，施工方法及工艺应符合减少水土流失的要求；</w:t>
      </w:r>
    </w:p>
    <w:p>
      <w:pPr>
        <w:widowControl/>
        <w:ind w:firstLine="480"/>
        <w:rPr>
          <w:kern w:val="0"/>
          <w:szCs w:val="24"/>
        </w:rPr>
      </w:pPr>
      <w:r>
        <w:rPr>
          <w:kern w:val="0"/>
          <w:szCs w:val="24"/>
        </w:rPr>
        <w:t>②在河岸陡坡开挖土石方，以及开挖边坡下方有河渠、公路、居民点和其它重要基础设施时，应设计渣石渡槽、溜渣洞等专门导渣或防护设施；</w:t>
      </w:r>
    </w:p>
    <w:p>
      <w:pPr>
        <w:widowControl/>
        <w:ind w:firstLine="480"/>
        <w:rPr>
          <w:kern w:val="0"/>
          <w:szCs w:val="24"/>
        </w:rPr>
      </w:pPr>
      <w:r>
        <w:rPr>
          <w:kern w:val="0"/>
          <w:szCs w:val="24"/>
        </w:rPr>
        <w:t>③高挖边坡应分台阶开挖，控制开挖深度；</w:t>
      </w:r>
    </w:p>
    <w:p>
      <w:pPr>
        <w:widowControl/>
        <w:ind w:firstLine="480"/>
        <w:rPr>
          <w:kern w:val="0"/>
          <w:szCs w:val="24"/>
        </w:rPr>
      </w:pPr>
      <w:r>
        <w:rPr>
          <w:kern w:val="0"/>
          <w:szCs w:val="24"/>
        </w:rPr>
        <w:t>④土石方在运输过程中应采取防止沿途散溢等保护措施；</w:t>
      </w:r>
    </w:p>
    <w:p>
      <w:pPr>
        <w:widowControl/>
        <w:ind w:firstLine="480"/>
        <w:rPr>
          <w:kern w:val="0"/>
          <w:szCs w:val="24"/>
        </w:rPr>
      </w:pPr>
      <w:r>
        <w:rPr>
          <w:kern w:val="0"/>
          <w:szCs w:val="24"/>
        </w:rPr>
        <w:t>⑤挖填施工前应采取表土剥离及保护措施；</w:t>
      </w:r>
    </w:p>
    <w:p>
      <w:pPr>
        <w:widowControl/>
        <w:ind w:firstLine="480"/>
        <w:rPr>
          <w:kern w:val="0"/>
          <w:szCs w:val="24"/>
        </w:rPr>
      </w:pPr>
      <w:r>
        <w:rPr>
          <w:kern w:val="0"/>
          <w:szCs w:val="24"/>
        </w:rPr>
        <w:t>⑥应合理安排施工，防止重复开挖和多次倒运，减少裸露时间和范围，裸露地表应及时采取防护措施，填筑土方应做到随挖、随运、随填、随压；</w:t>
      </w:r>
    </w:p>
    <w:p>
      <w:pPr>
        <w:widowControl/>
        <w:ind w:firstLine="480"/>
        <w:rPr>
          <w:kern w:val="0"/>
          <w:szCs w:val="24"/>
        </w:rPr>
      </w:pPr>
      <w:r>
        <w:rPr>
          <w:kern w:val="0"/>
          <w:szCs w:val="24"/>
        </w:rPr>
        <w:t>⑦临时堆土应集中堆放，并采取临时拦挡、苫盖、排水、沉沙等措施；</w:t>
      </w:r>
    </w:p>
    <w:p>
      <w:pPr>
        <w:widowControl/>
        <w:ind w:firstLine="480"/>
        <w:rPr>
          <w:kern w:val="0"/>
          <w:szCs w:val="24"/>
        </w:rPr>
      </w:pPr>
      <w:r>
        <w:rPr>
          <w:kern w:val="0"/>
          <w:szCs w:val="24"/>
        </w:rPr>
        <w:t>⑧施工产生的泥浆应设置泥浆沉淀池，泥浆沉淀后应及时清运用于绿化区或非建筑区回填；</w:t>
      </w:r>
    </w:p>
    <w:p>
      <w:pPr>
        <w:widowControl/>
        <w:ind w:firstLine="480"/>
        <w:rPr>
          <w:kern w:val="0"/>
          <w:szCs w:val="24"/>
        </w:rPr>
      </w:pPr>
      <w:r>
        <w:rPr>
          <w:kern w:val="0"/>
          <w:szCs w:val="24"/>
        </w:rPr>
        <w:t>⑨土石方中转场应满足“先拦后弃”、自下而上、分层碾压、分级堆放原则。</w:t>
      </w:r>
    </w:p>
    <w:p>
      <w:pPr>
        <w:widowControl/>
        <w:ind w:firstLine="480"/>
        <w:rPr>
          <w:kern w:val="0"/>
          <w:szCs w:val="24"/>
        </w:rPr>
      </w:pPr>
      <w:r>
        <w:rPr>
          <w:kern w:val="0"/>
          <w:szCs w:val="24"/>
        </w:rPr>
        <w:t>⑩施工场地应及时采取临时拦挡、苫盖、排水、沉沙等水土保持临时措施。强化施工期间的水土流失防治工作。</w:t>
      </w:r>
    </w:p>
    <w:p>
      <w:pPr>
        <w:widowControl/>
        <w:ind w:firstLine="480"/>
        <w:rPr>
          <w:kern w:val="0"/>
          <w:szCs w:val="24"/>
        </w:rPr>
      </w:pPr>
      <w:r>
        <w:rPr>
          <w:kern w:val="0"/>
          <w:szCs w:val="24"/>
        </w:rPr>
        <w:t>总体来说涉及到有场地开挖、回填、平整，打桩及设备基础的浇筑、临时土体堆放，由于挖、填方施工时序上的变化将会对植被、原地表土壤结构造成不同程度的扰动和破坏，使大面积地表裸露、表土临时土的堆放，松散堆放体表层抗冲抗蚀能力弱，易发生水土流失。本报告将新增临时防护措施加强水土流失防治。</w:t>
      </w:r>
    </w:p>
    <w:p>
      <w:pPr>
        <w:widowControl/>
        <w:ind w:firstLine="480"/>
        <w:rPr>
          <w:kern w:val="0"/>
          <w:szCs w:val="24"/>
        </w:rPr>
      </w:pPr>
      <w:r>
        <w:rPr>
          <w:kern w:val="0"/>
          <w:szCs w:val="24"/>
        </w:rPr>
        <w:t>园区建成后，园内地表大部分扰动区域被建筑物、道路硬化、公共设施等占压，裸露地表已采取工程措施与植物措施进行防治，各扰动地块水土保持功能得以基本恢复，水土流失可以进一步减少。</w:t>
      </w:r>
    </w:p>
    <w:p>
      <w:pPr>
        <w:widowControl/>
        <w:ind w:firstLine="480"/>
        <w:rPr>
          <w:kern w:val="0"/>
          <w:szCs w:val="24"/>
        </w:rPr>
      </w:pPr>
      <w:r>
        <w:rPr>
          <w:kern w:val="0"/>
          <w:szCs w:val="24"/>
        </w:rPr>
        <w:t>综上所述，园区建设在规划的用地内建设，施工建设控制在园区内，对周边水土流失的影响较小，园内建设扰动较大，但是施工中仍然需要采取临时防护措施，将水土流失控制在较小的范围内，运行期随着各项设施的竣工和运行，水土流失影响进一步减轻。</w:t>
      </w:r>
    </w:p>
    <w:p>
      <w:pPr>
        <w:widowControl/>
        <w:ind w:firstLine="480"/>
        <w:rPr>
          <w:kern w:val="0"/>
          <w:szCs w:val="24"/>
        </w:rPr>
      </w:pPr>
      <w:r>
        <w:rPr>
          <w:kern w:val="0"/>
          <w:szCs w:val="24"/>
        </w:rPr>
        <w:t>本报告对园区建设施工提出水土流失防治工作的建议如下：</w:t>
      </w:r>
    </w:p>
    <w:p>
      <w:pPr>
        <w:widowControl/>
        <w:ind w:firstLine="480"/>
        <w:rPr>
          <w:kern w:val="0"/>
          <w:szCs w:val="24"/>
        </w:rPr>
      </w:pPr>
      <w:r>
        <w:rPr>
          <w:kern w:val="0"/>
          <w:szCs w:val="24"/>
        </w:rPr>
        <w:t>（1）应控制施工场地占地，防止新增临时征占地；</w:t>
      </w:r>
    </w:p>
    <w:p>
      <w:pPr>
        <w:widowControl/>
        <w:ind w:firstLine="480"/>
        <w:rPr>
          <w:kern w:val="0"/>
          <w:szCs w:val="24"/>
        </w:rPr>
      </w:pPr>
      <w:r>
        <w:rPr>
          <w:kern w:val="0"/>
          <w:szCs w:val="24"/>
        </w:rPr>
        <w:t>（2）应合理安排施工，防治重复开挖和多次倒运，减少裸露时间和范围；</w:t>
      </w:r>
    </w:p>
    <w:p>
      <w:pPr>
        <w:widowControl/>
        <w:ind w:firstLine="480"/>
        <w:rPr>
          <w:kern w:val="0"/>
          <w:szCs w:val="24"/>
        </w:rPr>
      </w:pPr>
      <w:r>
        <w:rPr>
          <w:kern w:val="0"/>
          <w:szCs w:val="24"/>
        </w:rPr>
        <w:t>（3）各分区内施工临时堆土、石料，宜筛分清晰，分类堆放，综合利用；</w:t>
      </w:r>
    </w:p>
    <w:p>
      <w:pPr>
        <w:widowControl/>
        <w:ind w:firstLine="480"/>
        <w:rPr>
          <w:kern w:val="0"/>
          <w:szCs w:val="24"/>
        </w:rPr>
      </w:pPr>
      <w:r>
        <w:rPr>
          <w:kern w:val="0"/>
          <w:szCs w:val="24"/>
        </w:rPr>
        <w:t>（4）充分考虑土石方（区内余方）区间调配，综合利用，实现土石方园内总体挖填平衡。</w:t>
      </w:r>
    </w:p>
    <w:p>
      <w:pPr>
        <w:pStyle w:val="6"/>
      </w:pPr>
      <w:r>
        <w:t>3.2.7主体工程设计中具有水土保持功能工程的评价</w:t>
      </w:r>
    </w:p>
    <w:p>
      <w:pPr>
        <w:pStyle w:val="7"/>
      </w:pPr>
      <w:r>
        <w:t>3.2.7.1近期建设区</w:t>
      </w:r>
    </w:p>
    <w:p>
      <w:pPr>
        <w:pStyle w:val="8"/>
        <w:rPr>
          <w:rFonts w:eastAsia="仿宋_GB2312"/>
        </w:rPr>
      </w:pPr>
      <w:r>
        <w:rPr>
          <w:rFonts w:eastAsia="仿宋_GB2312"/>
        </w:rPr>
        <w:t>3.2.7.1.1工业用地区</w:t>
      </w:r>
    </w:p>
    <w:p>
      <w:pPr>
        <w:ind w:firstLine="480"/>
      </w:pPr>
      <w:r>
        <w:t>1、彩钢板拦挡</w:t>
      </w:r>
    </w:p>
    <w:p>
      <w:pPr>
        <w:ind w:firstLine="480"/>
      </w:pPr>
      <w:r>
        <w:t>根据调查，园区项目施工时场地四周设置了彩钢板拦挡措施。</w:t>
      </w:r>
    </w:p>
    <w:p>
      <w:pPr>
        <w:ind w:firstLine="480"/>
      </w:pPr>
      <w:r>
        <w:t>措施评价：使施工区域处于一个相对封闭的区域，既有利于施工区的安全，防止非施工人员误闯，又能防止项目区内的土石方流散造成水土流失，具有水土保持功能。</w:t>
      </w:r>
    </w:p>
    <w:p>
      <w:pPr>
        <w:ind w:firstLine="480"/>
      </w:pPr>
      <w:r>
        <w:t>2、表土剥离及回覆</w:t>
      </w:r>
    </w:p>
    <w:p>
      <w:pPr>
        <w:ind w:firstLine="480"/>
      </w:pPr>
      <w:r>
        <w:rPr>
          <w:kern w:val="0"/>
          <w:szCs w:val="24"/>
        </w:rPr>
        <w:t>根据园区内批复的水土保持方案及现场调查，园区部分企业剥离了表土用于后期绿化使用，经统计，工业用地区已表土剥离面积共计71.80hm</w:t>
      </w:r>
      <w:r>
        <w:rPr>
          <w:kern w:val="0"/>
          <w:szCs w:val="24"/>
          <w:vertAlign w:val="superscript"/>
        </w:rPr>
        <w:t>2</w:t>
      </w:r>
      <w:r>
        <w:rPr>
          <w:kern w:val="0"/>
          <w:szCs w:val="24"/>
        </w:rPr>
        <w:t>（其中已建区表土剥离面积为15.76hm</w:t>
      </w:r>
      <w:r>
        <w:rPr>
          <w:kern w:val="0"/>
          <w:szCs w:val="24"/>
          <w:vertAlign w:val="superscript"/>
        </w:rPr>
        <w:t>2</w:t>
      </w:r>
      <w:r>
        <w:rPr>
          <w:kern w:val="0"/>
          <w:szCs w:val="24"/>
        </w:rPr>
        <w:t>，在建区表土剥离面积为56.04hm</w:t>
      </w:r>
      <w:r>
        <w:rPr>
          <w:kern w:val="0"/>
          <w:szCs w:val="24"/>
          <w:vertAlign w:val="superscript"/>
        </w:rPr>
        <w:t>2</w:t>
      </w:r>
      <w:r>
        <w:rPr>
          <w:kern w:val="0"/>
          <w:szCs w:val="24"/>
        </w:rPr>
        <w:t>），剥离厚度为0.2~0.4m，共计剥离表土15.44万m</w:t>
      </w:r>
      <w:r>
        <w:rPr>
          <w:kern w:val="0"/>
          <w:szCs w:val="24"/>
          <w:vertAlign w:val="superscript"/>
        </w:rPr>
        <w:t>3</w:t>
      </w:r>
      <w:r>
        <w:rPr>
          <w:kern w:val="0"/>
          <w:szCs w:val="24"/>
        </w:rPr>
        <w:t>（其中已建区表土剥离量为3.94万m</w:t>
      </w:r>
      <w:r>
        <w:rPr>
          <w:kern w:val="0"/>
          <w:szCs w:val="24"/>
          <w:vertAlign w:val="superscript"/>
        </w:rPr>
        <w:t>3</w:t>
      </w:r>
      <w:r>
        <w:rPr>
          <w:kern w:val="0"/>
          <w:szCs w:val="24"/>
        </w:rPr>
        <w:t>，在建区表土剥离量为11.50万m</w:t>
      </w:r>
      <w:r>
        <w:rPr>
          <w:kern w:val="0"/>
          <w:szCs w:val="24"/>
          <w:vertAlign w:val="superscript"/>
        </w:rPr>
        <w:t>3</w:t>
      </w:r>
      <w:r>
        <w:rPr>
          <w:kern w:val="0"/>
          <w:szCs w:val="24"/>
        </w:rPr>
        <w:t>）。回填覆土共计11.62万m</w:t>
      </w:r>
      <w:r>
        <w:rPr>
          <w:kern w:val="0"/>
          <w:szCs w:val="24"/>
          <w:vertAlign w:val="superscript"/>
        </w:rPr>
        <w:t>3</w:t>
      </w:r>
      <w:r>
        <w:rPr>
          <w:kern w:val="0"/>
          <w:szCs w:val="24"/>
        </w:rPr>
        <w:t>（其中已建区表土回覆量为3.94万m</w:t>
      </w:r>
      <w:r>
        <w:rPr>
          <w:kern w:val="0"/>
          <w:szCs w:val="24"/>
          <w:vertAlign w:val="superscript"/>
        </w:rPr>
        <w:t>3</w:t>
      </w:r>
      <w:r>
        <w:rPr>
          <w:kern w:val="0"/>
          <w:szCs w:val="24"/>
        </w:rPr>
        <w:t>，在建区表土回覆量为7.68万m</w:t>
      </w:r>
      <w:r>
        <w:rPr>
          <w:kern w:val="0"/>
          <w:szCs w:val="24"/>
          <w:vertAlign w:val="superscript"/>
        </w:rPr>
        <w:t>3</w:t>
      </w:r>
      <w:r>
        <w:rPr>
          <w:kern w:val="0"/>
          <w:szCs w:val="24"/>
        </w:rPr>
        <w:t>），余下表土用于</w:t>
      </w:r>
      <w:r>
        <w:t>园区道路、公共基础设施区域的绿地回填使用。</w:t>
      </w:r>
    </w:p>
    <w:p>
      <w:pPr>
        <w:ind w:firstLine="480"/>
      </w:pPr>
      <w:r>
        <w:t>措施评价：表土是一种重要的自然资源，做到表土剥离及再利用，对保护表土资源及减少水土流失有着重大意义。</w:t>
      </w:r>
      <w:r>
        <w:rPr>
          <w:kern w:val="0"/>
          <w:szCs w:val="24"/>
        </w:rPr>
        <w:t>根据GB50433-D.0.3，表土剥离措施应界定为水土保持措施。</w:t>
      </w:r>
    </w:p>
    <w:p>
      <w:pPr>
        <w:ind w:firstLine="480"/>
      </w:pPr>
      <w:r>
        <w:t>3、防洪沟</w:t>
      </w:r>
    </w:p>
    <w:p>
      <w:pPr>
        <w:ind w:firstLine="480"/>
      </w:pPr>
      <w:r>
        <w:t>根据《五通桥新型工业基地防洪排涝专项规划》，园区现有防洪排涝主要依托棉花沟和黄山洞沟，园区内尚无防洪工程，沿沟零星建有挡墙、护坡主要为道路、桥梁工程服务，并不具备防洪功能，绝大部分沟道两岸均为自然岸坡，沟道内淤积较严重，现有沟道无法满足防洪排涝的要求。同时因园区的建设，原有水系受建设影响，多处水系被阻断，已按照的排水管涵淤堵，造成汛期洪水泛滥，水土流失加剧，因此主体在棉花沟和黄山洞沟的基础上进行加固及改道处理。经统计，本区排洪沟共计3042m。</w:t>
      </w:r>
    </w:p>
    <w:p>
      <w:pPr>
        <w:ind w:firstLine="480"/>
      </w:pPr>
      <w:r>
        <w:t>措施评价：防洪沟的建设可减少地表径流对园区的冲刷影响，整治园区内部水系，起到有效地排洪防涝作用。有利于园区地势的稳定，又能有效减轻径流及雨水对土壤的冲刷作用。具有水土保持功能。但防洪沟工程主要功能为园区防洪排涝的专项安全措施，故不界定为水土保持措施。</w:t>
      </w:r>
    </w:p>
    <w:p>
      <w:pPr>
        <w:ind w:firstLine="480"/>
      </w:pPr>
      <w:r>
        <w:t>根据《五通桥新型工业基地防洪排涝专项规划》，五通桥新型工业基地排涝洪水模数采用《城市排水工程规划设计规范》（GB50318-2017）中的排涝模数计算公式，计算公式如下：</w:t>
      </w:r>
    </w:p>
    <w:p>
      <w:pPr>
        <w:ind w:firstLine="0" w:firstLineChars="0"/>
        <w:jc w:val="center"/>
        <w:rPr>
          <w:position w:val="-28"/>
        </w:rPr>
      </w:pPr>
      <w:r>
        <w:rPr>
          <w:position w:val="-12"/>
        </w:rPr>
        <w:object>
          <v:shape id="_x0000_i1026" o:spt="75" type="#_x0000_t75" style="height:24pt;width:67.5pt;" o:ole="t" filled="f" o:preferrelative="t" stroked="f" coordsize="21600,21600">
            <v:path/>
            <v:fill on="f" focussize="0,0"/>
            <v:stroke on="f" joinstyle="miter"/>
            <v:imagedata r:id="rId161" o:title=""/>
            <o:lock v:ext="edit" aspectratio="t"/>
            <w10:wrap type="none"/>
            <w10:anchorlock/>
          </v:shape>
          <o:OLEObject Type="Embed" ProgID="Equation.3" ShapeID="_x0000_i1026" DrawAspect="Content" ObjectID="_1468075726" r:id="rId160">
            <o:LockedField>false</o:LockedField>
          </o:OLEObject>
        </w:object>
      </w:r>
    </w:p>
    <w:p>
      <w:pPr>
        <w:ind w:firstLine="480"/>
        <w:rPr>
          <w:sz w:val="28"/>
          <w:szCs w:val="28"/>
        </w:rPr>
      </w:pPr>
      <w:r>
        <w:rPr>
          <w:szCs w:val="24"/>
        </w:rPr>
        <w:t>式中：</w:t>
      </w:r>
    </w:p>
    <w:p>
      <w:pPr>
        <w:ind w:firstLine="960" w:firstLineChars="400"/>
        <w:rPr>
          <w:szCs w:val="24"/>
        </w:rPr>
      </w:pPr>
      <w:r>
        <w:rPr>
          <w:szCs w:val="24"/>
        </w:rPr>
        <w:t>q——设计暴雨强度（L/s.hm</w:t>
      </w:r>
      <w:r>
        <w:rPr>
          <w:szCs w:val="24"/>
          <w:vertAlign w:val="superscript"/>
        </w:rPr>
        <w:t>2</w:t>
      </w:r>
      <w:r>
        <w:rPr>
          <w:szCs w:val="24"/>
        </w:rPr>
        <w:t>）；</w:t>
      </w:r>
    </w:p>
    <w:p>
      <w:pPr>
        <w:ind w:firstLine="960" w:firstLineChars="400"/>
        <w:rPr>
          <w:szCs w:val="24"/>
        </w:rPr>
      </w:pPr>
      <w:r>
        <w:rPr>
          <w:szCs w:val="24"/>
        </w:rPr>
        <w:object>
          <v:shape id="_x0000_i1027" o:spt="75" type="#_x0000_t75" style="height:12pt;width:10.5pt;" o:ole="t" filled="f" o:preferrelative="t" stroked="f" coordsize="21600,21600">
            <v:path/>
            <v:fill on="f" focussize="0,0"/>
            <v:stroke on="f" joinstyle="miter"/>
            <v:imagedata r:id="rId163" embosscolor="#FFFFFF" o:title=""/>
            <o:lock v:ext="edit" aspectratio="t"/>
            <w10:wrap type="none"/>
            <w10:anchorlock/>
          </v:shape>
          <o:OLEObject Type="Embed" ProgID="Equation.3" ShapeID="_x0000_i1027" DrawAspect="Content" ObjectID="_1468075727" r:id="rId162">
            <o:LockedField>false</o:LockedField>
          </o:OLEObject>
        </w:object>
      </w:r>
      <w:r>
        <w:rPr>
          <w:szCs w:val="24"/>
        </w:rPr>
        <w:t>―径流系数，取0.60。</w:t>
      </w:r>
    </w:p>
    <w:p>
      <w:pPr>
        <w:ind w:firstLine="480"/>
        <w:rPr>
          <w:szCs w:val="24"/>
        </w:rPr>
      </w:pPr>
      <w:r>
        <w:t>暴雨强度公式采用2017乐山市暴雨强度公式：</w:t>
      </w:r>
    </w:p>
    <w:p>
      <w:pPr>
        <w:ind w:firstLine="0" w:firstLineChars="0"/>
        <w:jc w:val="center"/>
        <w:rPr>
          <w:position w:val="-28"/>
        </w:rPr>
      </w:pPr>
      <w:r>
        <w:rPr>
          <w:position w:val="-28"/>
        </w:rPr>
        <w:object>
          <v:shape id="_x0000_i1028" o:spt="75" type="#_x0000_t75" style="height:33pt;width:134.25pt;" o:ole="t" filled="f" o:preferrelative="t" stroked="f" coordsize="21600,21600">
            <v:path/>
            <v:fill on="f" focussize="0,0"/>
            <v:stroke on="f" joinstyle="miter"/>
            <v:imagedata r:id="rId165" o:title=""/>
            <o:lock v:ext="edit" aspectratio="t"/>
            <w10:wrap type="none"/>
            <w10:anchorlock/>
          </v:shape>
          <o:OLEObject Type="Embed" ProgID="Equation.3" ShapeID="_x0000_i1028" DrawAspect="Content" ObjectID="_1468075728" r:id="rId164">
            <o:LockedField>false</o:LockedField>
          </o:OLEObject>
        </w:object>
      </w:r>
    </w:p>
    <w:p>
      <w:pPr>
        <w:ind w:firstLine="480"/>
        <w:rPr>
          <w:sz w:val="28"/>
          <w:szCs w:val="28"/>
        </w:rPr>
      </w:pPr>
      <w:r>
        <w:rPr>
          <w:szCs w:val="24"/>
        </w:rPr>
        <w:t>式中：</w:t>
      </w:r>
    </w:p>
    <w:p>
      <w:pPr>
        <w:ind w:firstLine="960" w:firstLineChars="400"/>
        <w:rPr>
          <w:szCs w:val="24"/>
        </w:rPr>
      </w:pPr>
      <w:r>
        <w:rPr>
          <w:szCs w:val="24"/>
        </w:rPr>
        <w:t>P——重现期（a）；</w:t>
      </w:r>
    </w:p>
    <w:p>
      <w:pPr>
        <w:ind w:firstLine="960" w:firstLineChars="400"/>
        <w:rPr>
          <w:szCs w:val="24"/>
        </w:rPr>
      </w:pPr>
      <w:r>
        <w:rPr>
          <w:szCs w:val="24"/>
        </w:rPr>
        <w:t>t——降雨历时（min），t按120min计。</w:t>
      </w:r>
    </w:p>
    <w:p>
      <w:pPr>
        <w:ind w:firstLine="480"/>
      </w:pPr>
      <w:r>
        <w:t>设计暴雨重现期按50年一遇计算，P=2%排涝洪水模数为10.40m</w:t>
      </w:r>
      <w:r>
        <w:rPr>
          <w:vertAlign w:val="superscript"/>
        </w:rPr>
        <w:t>3</w:t>
      </w:r>
      <w:r>
        <w:t>/s.km</w:t>
      </w:r>
      <w:r>
        <w:rPr>
          <w:vertAlign w:val="superscript"/>
        </w:rPr>
        <w:t>2</w:t>
      </w:r>
      <w:r>
        <w:t>。</w:t>
      </w:r>
    </w:p>
    <w:p>
      <w:pPr>
        <w:ind w:firstLine="480"/>
      </w:pPr>
      <w:r>
        <w:t>根据《五通桥新型工业基地防洪排涝专项规划》，按照汇入棉花沟及黄鳝洞沟的汇流区进行划分，其中黄鳝洞沟共划分为10个集水区域，棉花沟划分为4个集水区域。各集水区域排涝洪水计算成果详见下表。</w:t>
      </w:r>
    </w:p>
    <w:p>
      <w:pPr>
        <w:pStyle w:val="46"/>
        <w:ind w:firstLine="0" w:firstLineChars="0"/>
        <w:jc w:val="center"/>
        <w:rPr>
          <w:b/>
          <w:bCs/>
        </w:rPr>
      </w:pPr>
      <w:r>
        <w:rPr>
          <w:b/>
          <w:bCs/>
        </w:rPr>
        <w:t>表3.2-2各集水区域排涝洪水计算成果表</w:t>
      </w:r>
    </w:p>
    <w:tbl>
      <w:tblPr>
        <w:tblStyle w:val="37"/>
        <w:tblW w:w="0" w:type="auto"/>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549"/>
        <w:gridCol w:w="1020"/>
        <w:gridCol w:w="1335"/>
        <w:gridCol w:w="1595"/>
        <w:gridCol w:w="1595"/>
        <w:gridCol w:w="1595"/>
        <w:gridCol w:w="1598"/>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69" w:type="dxa"/>
            <w:gridSpan w:val="2"/>
            <w:tcBorders>
              <w:tl2br w:val="nil"/>
              <w:tr2bl w:val="nil"/>
            </w:tcBorders>
            <w:vAlign w:val="center"/>
          </w:tcPr>
          <w:p>
            <w:pPr>
              <w:pStyle w:val="46"/>
              <w:spacing w:line="240" w:lineRule="auto"/>
              <w:ind w:firstLine="0" w:firstLineChars="0"/>
              <w:jc w:val="center"/>
              <w:rPr>
                <w:b/>
                <w:bCs/>
                <w:sz w:val="21"/>
                <w:szCs w:val="21"/>
              </w:rPr>
            </w:pPr>
            <w:r>
              <w:rPr>
                <w:b/>
                <w:bCs/>
                <w:sz w:val="21"/>
                <w:szCs w:val="21"/>
              </w:rPr>
              <w:t>排洪沟</w:t>
            </w:r>
          </w:p>
        </w:tc>
        <w:tc>
          <w:tcPr>
            <w:tcW w:w="133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汇水区域</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汇水面积（km</w:t>
            </w:r>
            <w:r>
              <w:rPr>
                <w:b/>
                <w:bCs/>
                <w:sz w:val="21"/>
                <w:szCs w:val="21"/>
                <w:vertAlign w:val="superscript"/>
              </w:rPr>
              <w:t>2</w:t>
            </w:r>
            <w:r>
              <w:rPr>
                <w:b/>
                <w:bCs/>
                <w:sz w:val="21"/>
                <w:szCs w:val="21"/>
              </w:rPr>
              <w:t>）</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流量模数（m</w:t>
            </w:r>
            <w:r>
              <w:rPr>
                <w:b/>
                <w:bCs/>
                <w:sz w:val="21"/>
                <w:szCs w:val="21"/>
                <w:vertAlign w:val="superscript"/>
              </w:rPr>
              <w:t>3</w:t>
            </w:r>
            <w:r>
              <w:rPr>
                <w:b/>
                <w:bCs/>
                <w:sz w:val="21"/>
                <w:szCs w:val="21"/>
              </w:rPr>
              <w:t>/s.km</w:t>
            </w:r>
            <w:r>
              <w:rPr>
                <w:b/>
                <w:bCs/>
                <w:sz w:val="21"/>
                <w:szCs w:val="21"/>
                <w:vertAlign w:val="superscript"/>
              </w:rPr>
              <w:t>2</w:t>
            </w:r>
            <w:r>
              <w:rPr>
                <w:b/>
                <w:bCs/>
                <w:sz w:val="21"/>
                <w:szCs w:val="21"/>
              </w:rPr>
              <w:t>）</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流量</w:t>
            </w:r>
          </w:p>
          <w:p>
            <w:pPr>
              <w:pStyle w:val="46"/>
              <w:spacing w:line="240" w:lineRule="auto"/>
              <w:ind w:firstLine="0" w:firstLineChars="0"/>
              <w:jc w:val="center"/>
              <w:rPr>
                <w:b/>
                <w:bCs/>
                <w:sz w:val="21"/>
                <w:szCs w:val="21"/>
              </w:rPr>
            </w:pPr>
            <w:r>
              <w:rPr>
                <w:b/>
                <w:bCs/>
                <w:sz w:val="21"/>
                <w:szCs w:val="21"/>
              </w:rPr>
              <w:t>（m</w:t>
            </w:r>
            <w:r>
              <w:rPr>
                <w:b/>
                <w:bCs/>
                <w:sz w:val="21"/>
                <w:szCs w:val="21"/>
                <w:vertAlign w:val="superscript"/>
              </w:rPr>
              <w:t>3</w:t>
            </w:r>
            <w:r>
              <w:rPr>
                <w:b/>
                <w:bCs/>
                <w:sz w:val="21"/>
                <w:szCs w:val="21"/>
              </w:rPr>
              <w:t>/s）</w:t>
            </w:r>
          </w:p>
        </w:tc>
        <w:tc>
          <w:tcPr>
            <w:tcW w:w="1598"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累加流量（m</w:t>
            </w:r>
            <w:r>
              <w:rPr>
                <w:b/>
                <w:bCs/>
                <w:sz w:val="21"/>
                <w:szCs w:val="21"/>
                <w:vertAlign w:val="superscript"/>
              </w:rPr>
              <w:t>3</w:t>
            </w:r>
            <w:r>
              <w:rPr>
                <w:b/>
                <w:bCs/>
                <w:sz w:val="21"/>
                <w:szCs w:val="21"/>
              </w:rPr>
              <w:t>/s）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restart"/>
            <w:tcBorders>
              <w:tl2br w:val="nil"/>
              <w:tr2bl w:val="nil"/>
            </w:tcBorders>
            <w:vAlign w:val="center"/>
          </w:tcPr>
          <w:p>
            <w:pPr>
              <w:pStyle w:val="46"/>
              <w:spacing w:line="240" w:lineRule="auto"/>
              <w:ind w:firstLine="0" w:firstLineChars="0"/>
              <w:jc w:val="center"/>
              <w:rPr>
                <w:sz w:val="21"/>
                <w:szCs w:val="21"/>
              </w:rPr>
            </w:pPr>
            <w:r>
              <w:rPr>
                <w:sz w:val="21"/>
                <w:szCs w:val="21"/>
              </w:rPr>
              <w:t>黄鳝洞沟</w:t>
            </w:r>
          </w:p>
        </w:tc>
        <w:tc>
          <w:tcPr>
            <w:tcW w:w="1020" w:type="dxa"/>
            <w:vMerge w:val="restart"/>
            <w:tcBorders>
              <w:tl2br w:val="nil"/>
              <w:tr2bl w:val="nil"/>
            </w:tcBorders>
            <w:vAlign w:val="center"/>
          </w:tcPr>
          <w:p>
            <w:pPr>
              <w:pStyle w:val="46"/>
              <w:spacing w:line="240" w:lineRule="auto"/>
              <w:ind w:firstLine="0" w:firstLineChars="0"/>
              <w:jc w:val="center"/>
              <w:rPr>
                <w:sz w:val="21"/>
                <w:szCs w:val="21"/>
              </w:rPr>
            </w:pPr>
            <w:r>
              <w:rPr>
                <w:sz w:val="21"/>
                <w:szCs w:val="21"/>
              </w:rPr>
              <w:t>黄鳝洞左支</w:t>
            </w: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白家林</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5.26</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86.40</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86.40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矮屋基</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2.21</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22.98</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109.38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罗家湾</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4.44</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46.18</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155.56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75" w:hRule="atLeast"/>
        </w:trPr>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何家山</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3.15</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32.76</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188.32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乌龟桥</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4.64</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48.26</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236.58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restart"/>
            <w:tcBorders>
              <w:tl2br w:val="nil"/>
              <w:tr2bl w:val="nil"/>
            </w:tcBorders>
            <w:vAlign w:val="center"/>
          </w:tcPr>
          <w:p>
            <w:pPr>
              <w:pStyle w:val="46"/>
              <w:spacing w:line="240" w:lineRule="auto"/>
              <w:ind w:firstLine="0" w:firstLineChars="0"/>
              <w:jc w:val="center"/>
              <w:rPr>
                <w:sz w:val="21"/>
                <w:szCs w:val="21"/>
              </w:rPr>
            </w:pPr>
            <w:r>
              <w:rPr>
                <w:sz w:val="21"/>
                <w:szCs w:val="21"/>
              </w:rPr>
              <w:t>黄鳝洞右支</w:t>
            </w: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槽子湾</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14.56</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14.56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云台山</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2.76</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28.70</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43.26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双河口</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1.96</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20.38</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63.64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sz w:val="21"/>
                <w:szCs w:val="21"/>
              </w:rPr>
            </w:pPr>
          </w:p>
        </w:tc>
        <w:tc>
          <w:tcPr>
            <w:tcW w:w="1020" w:type="dxa"/>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出口</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1.92</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19.97</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83.61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549" w:type="dxa"/>
            <w:vMerge w:val="continue"/>
            <w:tcBorders>
              <w:tl2br w:val="nil"/>
              <w:tr2bl w:val="nil"/>
            </w:tcBorders>
            <w:vAlign w:val="center"/>
          </w:tcPr>
          <w:p>
            <w:pPr>
              <w:pStyle w:val="46"/>
              <w:spacing w:line="240" w:lineRule="auto"/>
              <w:ind w:firstLine="0" w:firstLineChars="0"/>
              <w:jc w:val="center"/>
              <w:rPr>
                <w:b/>
                <w:bCs/>
                <w:sz w:val="21"/>
                <w:szCs w:val="21"/>
              </w:rPr>
            </w:pPr>
          </w:p>
        </w:tc>
        <w:tc>
          <w:tcPr>
            <w:tcW w:w="2355" w:type="dxa"/>
            <w:gridSpan w:val="2"/>
            <w:tcBorders>
              <w:tl2br w:val="nil"/>
              <w:tr2bl w:val="nil"/>
            </w:tcBorders>
            <w:vAlign w:val="center"/>
          </w:tcPr>
          <w:p>
            <w:pPr>
              <w:pStyle w:val="46"/>
              <w:spacing w:line="240" w:lineRule="auto"/>
              <w:ind w:firstLine="0" w:firstLineChars="0"/>
              <w:jc w:val="center"/>
              <w:rPr>
                <w:b/>
                <w:bCs/>
                <w:sz w:val="21"/>
                <w:szCs w:val="21"/>
              </w:rPr>
            </w:pPr>
            <w:r>
              <w:rPr>
                <w:b/>
                <w:bCs/>
                <w:sz w:val="21"/>
                <w:szCs w:val="21"/>
              </w:rPr>
              <w:t>黄鳝洞沟出口</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1.03</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10.40</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10.71</w:t>
            </w:r>
          </w:p>
        </w:tc>
        <w:tc>
          <w:tcPr>
            <w:tcW w:w="1598"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330.90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69" w:type="dxa"/>
            <w:gridSpan w:val="2"/>
            <w:vMerge w:val="restart"/>
            <w:tcBorders>
              <w:tl2br w:val="nil"/>
              <w:tr2bl w:val="nil"/>
            </w:tcBorders>
            <w:vAlign w:val="center"/>
          </w:tcPr>
          <w:p>
            <w:pPr>
              <w:pStyle w:val="46"/>
              <w:spacing w:line="240" w:lineRule="auto"/>
              <w:ind w:firstLine="0" w:firstLineChars="0"/>
              <w:jc w:val="center"/>
              <w:rPr>
                <w:sz w:val="21"/>
                <w:szCs w:val="21"/>
              </w:rPr>
            </w:pPr>
            <w:r>
              <w:rPr>
                <w:sz w:val="21"/>
                <w:szCs w:val="21"/>
              </w:rPr>
              <w:t>棉花沟</w:t>
            </w: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雀儿凼</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14.56</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14.56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69" w:type="dxa"/>
            <w:gridSpan w:val="2"/>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丛树林</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2.61</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27.14</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41.70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69" w:type="dxa"/>
            <w:gridSpan w:val="2"/>
            <w:vMerge w:val="continue"/>
            <w:tcBorders>
              <w:tl2br w:val="nil"/>
              <w:tr2bl w:val="nil"/>
            </w:tcBorders>
            <w:vAlign w:val="center"/>
          </w:tcPr>
          <w:p>
            <w:pPr>
              <w:pStyle w:val="46"/>
              <w:spacing w:line="240" w:lineRule="auto"/>
              <w:ind w:firstLine="0" w:firstLineChars="0"/>
              <w:jc w:val="center"/>
              <w:rPr>
                <w:sz w:val="21"/>
                <w:szCs w:val="21"/>
              </w:rPr>
            </w:pPr>
          </w:p>
        </w:tc>
        <w:tc>
          <w:tcPr>
            <w:tcW w:w="1335" w:type="dxa"/>
            <w:tcBorders>
              <w:tl2br w:val="nil"/>
              <w:tr2bl w:val="nil"/>
            </w:tcBorders>
            <w:vAlign w:val="center"/>
          </w:tcPr>
          <w:p>
            <w:pPr>
              <w:pStyle w:val="46"/>
              <w:spacing w:line="240" w:lineRule="auto"/>
              <w:ind w:firstLine="0" w:firstLineChars="0"/>
              <w:jc w:val="center"/>
              <w:rPr>
                <w:sz w:val="21"/>
                <w:szCs w:val="21"/>
              </w:rPr>
            </w:pPr>
            <w:r>
              <w:rPr>
                <w:sz w:val="21"/>
                <w:szCs w:val="21"/>
              </w:rPr>
              <w:t>乌龟石</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2.36</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10.40</w:t>
            </w:r>
          </w:p>
        </w:tc>
        <w:tc>
          <w:tcPr>
            <w:tcW w:w="1595" w:type="dxa"/>
            <w:tcBorders>
              <w:tl2br w:val="nil"/>
              <w:tr2bl w:val="nil"/>
            </w:tcBorders>
            <w:vAlign w:val="center"/>
          </w:tcPr>
          <w:p>
            <w:pPr>
              <w:pStyle w:val="46"/>
              <w:spacing w:line="240" w:lineRule="auto"/>
              <w:ind w:firstLine="0" w:firstLineChars="0"/>
              <w:jc w:val="center"/>
              <w:rPr>
                <w:sz w:val="21"/>
                <w:szCs w:val="21"/>
              </w:rPr>
            </w:pPr>
            <w:r>
              <w:rPr>
                <w:sz w:val="21"/>
                <w:szCs w:val="21"/>
              </w:rPr>
              <w:t>24.54</w:t>
            </w:r>
          </w:p>
        </w:tc>
        <w:tc>
          <w:tcPr>
            <w:tcW w:w="1598" w:type="dxa"/>
            <w:tcBorders>
              <w:tl2br w:val="nil"/>
              <w:tr2bl w:val="nil"/>
            </w:tcBorders>
            <w:vAlign w:val="center"/>
          </w:tcPr>
          <w:p>
            <w:pPr>
              <w:pStyle w:val="46"/>
              <w:spacing w:line="240" w:lineRule="auto"/>
              <w:ind w:firstLine="0" w:firstLineChars="0"/>
              <w:jc w:val="center"/>
              <w:rPr>
                <w:sz w:val="21"/>
                <w:szCs w:val="21"/>
              </w:rPr>
            </w:pPr>
            <w:r>
              <w:rPr>
                <w:sz w:val="21"/>
                <w:szCs w:val="21"/>
              </w:rPr>
              <w:t>66.24</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c>
          <w:tcPr>
            <w:tcW w:w="1569" w:type="dxa"/>
            <w:gridSpan w:val="2"/>
            <w:vMerge w:val="continue"/>
            <w:tcBorders>
              <w:tl2br w:val="nil"/>
              <w:tr2bl w:val="nil"/>
            </w:tcBorders>
            <w:vAlign w:val="center"/>
          </w:tcPr>
          <w:p>
            <w:pPr>
              <w:pStyle w:val="46"/>
              <w:spacing w:line="240" w:lineRule="auto"/>
              <w:ind w:firstLine="0" w:firstLineChars="0"/>
              <w:jc w:val="center"/>
              <w:rPr>
                <w:b/>
                <w:bCs/>
                <w:sz w:val="21"/>
                <w:szCs w:val="21"/>
              </w:rPr>
            </w:pPr>
          </w:p>
        </w:tc>
        <w:tc>
          <w:tcPr>
            <w:tcW w:w="133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棉花沟出口</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3.47</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10.40</w:t>
            </w:r>
          </w:p>
        </w:tc>
        <w:tc>
          <w:tcPr>
            <w:tcW w:w="1595"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36.09</w:t>
            </w:r>
          </w:p>
        </w:tc>
        <w:tc>
          <w:tcPr>
            <w:tcW w:w="1598" w:type="dxa"/>
            <w:tcBorders>
              <w:tl2br w:val="nil"/>
              <w:tr2bl w:val="nil"/>
            </w:tcBorders>
            <w:vAlign w:val="center"/>
          </w:tcPr>
          <w:p>
            <w:pPr>
              <w:pStyle w:val="46"/>
              <w:spacing w:line="240" w:lineRule="auto"/>
              <w:ind w:firstLine="0" w:firstLineChars="0"/>
              <w:jc w:val="center"/>
              <w:rPr>
                <w:b/>
                <w:bCs/>
                <w:sz w:val="21"/>
                <w:szCs w:val="21"/>
              </w:rPr>
            </w:pPr>
            <w:r>
              <w:rPr>
                <w:b/>
                <w:bCs/>
                <w:sz w:val="21"/>
                <w:szCs w:val="21"/>
              </w:rPr>
              <w:t>102.33</w:t>
            </w:r>
          </w:p>
        </w:tc>
      </w:tr>
    </w:tbl>
    <w:p>
      <w:pPr>
        <w:adjustRightInd w:val="0"/>
        <w:snapToGrid w:val="0"/>
        <w:spacing w:beforeLines="50"/>
        <w:ind w:firstLine="480"/>
      </w:pPr>
      <w:r>
        <w:t>防洪沟排水能力按明渠均匀流公式计算：</w:t>
      </w:r>
    </w:p>
    <w:p>
      <w:pPr>
        <w:widowControl/>
        <w:adjustRightInd w:val="0"/>
        <w:snapToGrid w:val="0"/>
        <w:ind w:firstLine="480"/>
        <w:jc w:val="center"/>
        <w:rPr>
          <w:kern w:val="0"/>
        </w:rPr>
      </w:pPr>
      <w:r>
        <w:rPr>
          <w:kern w:val="0"/>
        </w:rPr>
        <w:drawing>
          <wp:inline distT="0" distB="0" distL="114300" distR="114300">
            <wp:extent cx="857250" cy="495300"/>
            <wp:effectExtent l="0" t="0" r="0" b="0"/>
            <wp:docPr id="1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9"/>
                    <pic:cNvPicPr>
                      <a:picLocks noChangeAspect="1"/>
                    </pic:cNvPicPr>
                  </pic:nvPicPr>
                  <pic:blipFill>
                    <a:blip r:embed="rId166"/>
                    <a:stretch>
                      <a:fillRect/>
                    </a:stretch>
                  </pic:blipFill>
                  <pic:spPr>
                    <a:xfrm>
                      <a:off x="0" y="0"/>
                      <a:ext cx="857250" cy="495300"/>
                    </a:xfrm>
                    <a:prstGeom prst="rect">
                      <a:avLst/>
                    </a:prstGeom>
                    <a:noFill/>
                    <a:ln>
                      <a:noFill/>
                    </a:ln>
                  </pic:spPr>
                </pic:pic>
              </a:graphicData>
            </a:graphic>
          </wp:inline>
        </w:drawing>
      </w:r>
    </w:p>
    <w:p>
      <w:pPr>
        <w:widowControl/>
        <w:adjustRightInd w:val="0"/>
        <w:snapToGrid w:val="0"/>
        <w:ind w:firstLine="480"/>
        <w:rPr>
          <w:kern w:val="0"/>
        </w:rPr>
      </w:pPr>
      <w:r>
        <w:rPr>
          <w:kern w:val="0"/>
        </w:rPr>
        <w:t>式中：</w:t>
      </w:r>
      <w:r>
        <w:rPr>
          <w:kern w:val="0"/>
        </w:rPr>
        <w:drawing>
          <wp:inline distT="0" distB="0" distL="114300" distR="114300">
            <wp:extent cx="142875" cy="180975"/>
            <wp:effectExtent l="0" t="0" r="9525" b="8890"/>
            <wp:docPr id="1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0"/>
                    <pic:cNvPicPr>
                      <a:picLocks noChangeAspect="1"/>
                    </pic:cNvPicPr>
                  </pic:nvPicPr>
                  <pic:blipFill>
                    <a:blip r:embed="rId167"/>
                    <a:stretch>
                      <a:fillRect/>
                    </a:stretch>
                  </pic:blipFill>
                  <pic:spPr>
                    <a:xfrm>
                      <a:off x="0" y="0"/>
                      <a:ext cx="142875" cy="180975"/>
                    </a:xfrm>
                    <a:prstGeom prst="rect">
                      <a:avLst/>
                    </a:prstGeom>
                    <a:noFill/>
                    <a:ln>
                      <a:noFill/>
                    </a:ln>
                  </pic:spPr>
                </pic:pic>
              </a:graphicData>
            </a:graphic>
          </wp:inline>
        </w:drawing>
      </w:r>
      <w:r>
        <w:rPr>
          <w:kern w:val="0"/>
        </w:rPr>
        <w:t>—</w:t>
      </w:r>
      <w:r>
        <w:t>防洪沟</w:t>
      </w:r>
      <w:r>
        <w:rPr>
          <w:kern w:val="0"/>
        </w:rPr>
        <w:t>过流面积，m</w:t>
      </w:r>
      <w:r>
        <w:rPr>
          <w:kern w:val="0"/>
          <w:vertAlign w:val="superscript"/>
        </w:rPr>
        <w:t>2</w:t>
      </w:r>
      <w:r>
        <w:rPr>
          <w:kern w:val="0"/>
        </w:rPr>
        <w:t>；</w:t>
      </w:r>
    </w:p>
    <w:p>
      <w:pPr>
        <w:widowControl/>
        <w:adjustRightInd w:val="0"/>
        <w:snapToGrid w:val="0"/>
        <w:ind w:firstLine="1200" w:firstLineChars="500"/>
        <w:rPr>
          <w:kern w:val="0"/>
        </w:rPr>
      </w:pPr>
      <w:r>
        <w:rPr>
          <w:kern w:val="0"/>
        </w:rPr>
        <w:drawing>
          <wp:inline distT="0" distB="0" distL="114300" distR="114300">
            <wp:extent cx="142875" cy="180975"/>
            <wp:effectExtent l="0" t="0" r="8255" b="8890"/>
            <wp:docPr id="1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71"/>
                    <pic:cNvPicPr>
                      <a:picLocks noChangeAspect="1"/>
                    </pic:cNvPicPr>
                  </pic:nvPicPr>
                  <pic:blipFill>
                    <a:blip r:embed="rId168"/>
                    <a:stretch>
                      <a:fillRect/>
                    </a:stretch>
                  </pic:blipFill>
                  <pic:spPr>
                    <a:xfrm>
                      <a:off x="0" y="0"/>
                      <a:ext cx="142875" cy="180975"/>
                    </a:xfrm>
                    <a:prstGeom prst="rect">
                      <a:avLst/>
                    </a:prstGeom>
                    <a:noFill/>
                    <a:ln>
                      <a:noFill/>
                    </a:ln>
                  </pic:spPr>
                </pic:pic>
              </a:graphicData>
            </a:graphic>
          </wp:inline>
        </w:drawing>
      </w:r>
      <w:r>
        <w:rPr>
          <w:kern w:val="0"/>
        </w:rPr>
        <w:t>—谢才系数；</w:t>
      </w:r>
    </w:p>
    <w:p>
      <w:pPr>
        <w:widowControl/>
        <w:adjustRightInd w:val="0"/>
        <w:snapToGrid w:val="0"/>
        <w:ind w:firstLine="1200" w:firstLineChars="500"/>
        <w:rPr>
          <w:kern w:val="0"/>
        </w:rPr>
      </w:pPr>
      <w:r>
        <w:rPr>
          <w:kern w:val="0"/>
        </w:rPr>
        <w:drawing>
          <wp:inline distT="0" distB="0" distL="114300" distR="114300">
            <wp:extent cx="142875" cy="142875"/>
            <wp:effectExtent l="0" t="0" r="0" b="6985"/>
            <wp:docPr id="26"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72"/>
                    <pic:cNvPicPr>
                      <a:picLocks noChangeAspect="1"/>
                    </pic:cNvPicPr>
                  </pic:nvPicPr>
                  <pic:blipFill>
                    <a:blip r:embed="rId169"/>
                    <a:stretch>
                      <a:fillRect/>
                    </a:stretch>
                  </pic:blipFill>
                  <pic:spPr>
                    <a:xfrm>
                      <a:off x="0" y="0"/>
                      <a:ext cx="142875" cy="142875"/>
                    </a:xfrm>
                    <a:prstGeom prst="rect">
                      <a:avLst/>
                    </a:prstGeom>
                    <a:noFill/>
                    <a:ln>
                      <a:noFill/>
                    </a:ln>
                  </pic:spPr>
                </pic:pic>
              </a:graphicData>
            </a:graphic>
          </wp:inline>
        </w:drawing>
      </w:r>
      <w:r>
        <w:rPr>
          <w:kern w:val="0"/>
        </w:rPr>
        <w:t>—水力半径，</w:t>
      </w:r>
      <w:r>
        <w:rPr>
          <w:i/>
          <w:kern w:val="0"/>
        </w:rPr>
        <w:t>R=A/X</w:t>
      </w:r>
      <w:r>
        <w:rPr>
          <w:kern w:val="0"/>
        </w:rPr>
        <w:t>，m；</w:t>
      </w:r>
    </w:p>
    <w:p>
      <w:pPr>
        <w:widowControl/>
        <w:adjustRightInd w:val="0"/>
        <w:snapToGrid w:val="0"/>
        <w:ind w:firstLine="1200" w:firstLineChars="500"/>
        <w:rPr>
          <w:kern w:val="0"/>
        </w:rPr>
      </w:pPr>
      <w:r>
        <w:rPr>
          <w:kern w:val="0"/>
        </w:rPr>
        <w:drawing>
          <wp:inline distT="0" distB="0" distL="114300" distR="114300">
            <wp:extent cx="66675" cy="142875"/>
            <wp:effectExtent l="0" t="0" r="9525" b="5715"/>
            <wp:docPr id="27"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3"/>
                    <pic:cNvPicPr>
                      <a:picLocks noChangeAspect="1"/>
                    </pic:cNvPicPr>
                  </pic:nvPicPr>
                  <pic:blipFill>
                    <a:blip r:embed="rId170"/>
                    <a:stretch>
                      <a:fillRect/>
                    </a:stretch>
                  </pic:blipFill>
                  <pic:spPr>
                    <a:xfrm>
                      <a:off x="0" y="0"/>
                      <a:ext cx="66675" cy="142875"/>
                    </a:xfrm>
                    <a:prstGeom prst="rect">
                      <a:avLst/>
                    </a:prstGeom>
                    <a:noFill/>
                    <a:ln>
                      <a:noFill/>
                    </a:ln>
                  </pic:spPr>
                </pic:pic>
              </a:graphicData>
            </a:graphic>
          </wp:inline>
        </w:drawing>
      </w:r>
      <w:r>
        <w:rPr>
          <w:kern w:val="0"/>
        </w:rPr>
        <w:t>—</w:t>
      </w:r>
      <w:r>
        <w:t>防洪沟</w:t>
      </w:r>
      <w:r>
        <w:rPr>
          <w:kern w:val="0"/>
        </w:rPr>
        <w:t>比降</w:t>
      </w:r>
    </w:p>
    <w:p>
      <w:pPr>
        <w:widowControl/>
        <w:adjustRightInd w:val="0"/>
        <w:snapToGrid w:val="0"/>
        <w:ind w:firstLine="1200" w:firstLineChars="500"/>
        <w:rPr>
          <w:kern w:val="0"/>
        </w:rPr>
      </w:pPr>
      <w:r>
        <w:rPr>
          <w:i/>
          <w:kern w:val="0"/>
        </w:rPr>
        <w:t>X</w:t>
      </w:r>
      <w:r>
        <w:rPr>
          <w:kern w:val="0"/>
        </w:rPr>
        <w:t>—水沟湿周，m；</w:t>
      </w:r>
    </w:p>
    <w:p>
      <w:pPr>
        <w:widowControl/>
        <w:adjustRightInd w:val="0"/>
        <w:snapToGrid w:val="0"/>
        <w:ind w:firstLine="480"/>
        <w:jc w:val="center"/>
        <w:rPr>
          <w:kern w:val="0"/>
        </w:rPr>
      </w:pPr>
      <w:r>
        <w:rPr>
          <w:kern w:val="0"/>
        </w:rPr>
        <w:drawing>
          <wp:inline distT="0" distB="0" distL="114300" distR="114300">
            <wp:extent cx="2219325" cy="524510"/>
            <wp:effectExtent l="0" t="0" r="9525" b="8255"/>
            <wp:docPr id="28"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4"/>
                    <pic:cNvPicPr>
                      <a:picLocks noChangeAspect="1"/>
                    </pic:cNvPicPr>
                  </pic:nvPicPr>
                  <pic:blipFill>
                    <a:blip r:embed="rId171"/>
                    <a:stretch>
                      <a:fillRect/>
                    </a:stretch>
                  </pic:blipFill>
                  <pic:spPr>
                    <a:xfrm>
                      <a:off x="0" y="0"/>
                      <a:ext cx="2219325" cy="524510"/>
                    </a:xfrm>
                    <a:prstGeom prst="rect">
                      <a:avLst/>
                    </a:prstGeom>
                    <a:noFill/>
                    <a:ln>
                      <a:noFill/>
                    </a:ln>
                  </pic:spPr>
                </pic:pic>
              </a:graphicData>
            </a:graphic>
          </wp:inline>
        </w:drawing>
      </w:r>
    </w:p>
    <w:p>
      <w:pPr>
        <w:widowControl/>
        <w:adjustRightInd w:val="0"/>
        <w:snapToGrid w:val="0"/>
        <w:ind w:firstLine="1200" w:firstLineChars="500"/>
        <w:rPr>
          <w:kern w:val="0"/>
        </w:rPr>
      </w:pPr>
      <w:r>
        <w:rPr>
          <w:kern w:val="0"/>
        </w:rPr>
        <w:drawing>
          <wp:inline distT="0" distB="0" distL="114300" distR="114300">
            <wp:extent cx="142875" cy="142875"/>
            <wp:effectExtent l="0" t="0" r="0" b="8255"/>
            <wp:docPr id="29"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5"/>
                    <pic:cNvPicPr>
                      <a:picLocks noChangeAspect="1"/>
                    </pic:cNvPicPr>
                  </pic:nvPicPr>
                  <pic:blipFill>
                    <a:blip r:embed="rId172"/>
                    <a:stretch>
                      <a:fillRect/>
                    </a:stretch>
                  </pic:blipFill>
                  <pic:spPr>
                    <a:xfrm>
                      <a:off x="0" y="0"/>
                      <a:ext cx="142875" cy="142875"/>
                    </a:xfrm>
                    <a:prstGeom prst="rect">
                      <a:avLst/>
                    </a:prstGeom>
                    <a:noFill/>
                    <a:ln>
                      <a:noFill/>
                    </a:ln>
                  </pic:spPr>
                </pic:pic>
              </a:graphicData>
            </a:graphic>
          </wp:inline>
        </w:drawing>
      </w:r>
      <w:r>
        <w:rPr>
          <w:kern w:val="0"/>
        </w:rPr>
        <w:t>—</w:t>
      </w:r>
      <w:r>
        <w:t>防洪沟</w:t>
      </w:r>
      <w:r>
        <w:rPr>
          <w:kern w:val="0"/>
        </w:rPr>
        <w:t>面糙率，</w:t>
      </w:r>
      <w:r>
        <w:rPr>
          <w:szCs w:val="24"/>
        </w:rPr>
        <w:t>根据水土保持工程设计规范（GB51018-2014），水泥混凝土明沟（预制）</w:t>
      </w:r>
      <w:r>
        <w:rPr>
          <w:kern w:val="0"/>
        </w:rPr>
        <w:t>此处取0.012；</w:t>
      </w:r>
    </w:p>
    <w:p>
      <w:pPr>
        <w:widowControl/>
        <w:adjustRightInd w:val="0"/>
        <w:snapToGrid w:val="0"/>
        <w:ind w:firstLine="1200" w:firstLineChars="500"/>
        <w:rPr>
          <w:kern w:val="0"/>
        </w:rPr>
      </w:pPr>
      <w:r>
        <w:rPr>
          <w:kern w:val="0"/>
        </w:rPr>
        <w:drawing>
          <wp:inline distT="0" distB="0" distL="114300" distR="114300">
            <wp:extent cx="66675" cy="142875"/>
            <wp:effectExtent l="0" t="0" r="9525" b="5715"/>
            <wp:docPr id="30"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76"/>
                    <pic:cNvPicPr>
                      <a:picLocks noChangeAspect="1"/>
                    </pic:cNvPicPr>
                  </pic:nvPicPr>
                  <pic:blipFill>
                    <a:blip r:embed="rId170"/>
                    <a:stretch>
                      <a:fillRect/>
                    </a:stretch>
                  </pic:blipFill>
                  <pic:spPr>
                    <a:xfrm>
                      <a:off x="0" y="0"/>
                      <a:ext cx="66675" cy="142875"/>
                    </a:xfrm>
                    <a:prstGeom prst="rect">
                      <a:avLst/>
                    </a:prstGeom>
                    <a:noFill/>
                    <a:ln>
                      <a:noFill/>
                    </a:ln>
                  </pic:spPr>
                </pic:pic>
              </a:graphicData>
            </a:graphic>
          </wp:inline>
        </w:drawing>
      </w:r>
      <w:r>
        <w:rPr>
          <w:kern w:val="0"/>
        </w:rPr>
        <w:t>—为</w:t>
      </w:r>
      <w:r>
        <w:t>防洪沟</w:t>
      </w:r>
      <w:r>
        <w:rPr>
          <w:kern w:val="0"/>
        </w:rPr>
        <w:t>比降，</w:t>
      </w:r>
      <w:r>
        <w:t>取0.01</w:t>
      </w:r>
      <w:r>
        <w:rPr>
          <w:kern w:val="0"/>
        </w:rPr>
        <w:t>。</w:t>
      </w:r>
    </w:p>
    <w:p>
      <w:pPr>
        <w:ind w:firstLine="480"/>
      </w:pPr>
      <w:r>
        <w:t>防洪沟断面尺寸根据明渠均匀流公式进行试算验证。</w:t>
      </w:r>
    </w:p>
    <w:p>
      <w:pPr>
        <w:ind w:firstLine="480"/>
      </w:pPr>
      <w:r>
        <w:t>防洪沟防洪标准采用50年一遇，根据《堤防工程设计规范》（GB50286-2013），防洪沟工程级别为2级，防洪沟排水工程安全超高取0.80m。各分区截排水沟设计参数具体详见下表。</w:t>
      </w:r>
    </w:p>
    <w:p>
      <w:pPr>
        <w:ind w:firstLine="0" w:firstLineChars="0"/>
        <w:jc w:val="center"/>
        <w:rPr>
          <w:b/>
          <w:bCs/>
        </w:rPr>
      </w:pPr>
      <w:r>
        <w:rPr>
          <w:b/>
          <w:bCs/>
        </w:rPr>
        <w:t>表3.2-3防洪沟过流能力计算表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72"/>
        <w:gridCol w:w="789"/>
        <w:gridCol w:w="1302"/>
        <w:gridCol w:w="1302"/>
        <w:gridCol w:w="1302"/>
        <w:gridCol w:w="1302"/>
        <w:gridCol w:w="1302"/>
        <w:gridCol w:w="130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787" w:type="pct"/>
            <w:gridSpan w:val="2"/>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防洪沟</w:t>
            </w:r>
          </w:p>
        </w:tc>
        <w:tc>
          <w:tcPr>
            <w:tcW w:w="701"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安全超高（m）</w:t>
            </w:r>
          </w:p>
        </w:tc>
        <w:tc>
          <w:tcPr>
            <w:tcW w:w="701"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糙率</w:t>
            </w:r>
          </w:p>
          <w:p>
            <w:pPr>
              <w:adjustRightInd w:val="0"/>
              <w:snapToGrid w:val="0"/>
              <w:spacing w:line="240" w:lineRule="auto"/>
              <w:ind w:firstLine="0" w:firstLineChars="0"/>
              <w:jc w:val="center"/>
              <w:textAlignment w:val="center"/>
              <w:rPr>
                <w:b/>
                <w:bCs/>
                <w:kern w:val="0"/>
                <w:sz w:val="21"/>
                <w:szCs w:val="21"/>
              </w:rPr>
            </w:pPr>
            <w:r>
              <w:rPr>
                <w:b/>
                <w:bCs/>
                <w:kern w:val="0"/>
                <w:sz w:val="21"/>
                <w:szCs w:val="21"/>
              </w:rPr>
              <w:t>（n）</w:t>
            </w:r>
          </w:p>
        </w:tc>
        <w:tc>
          <w:tcPr>
            <w:tcW w:w="701"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沟纵坡比降（i）</w:t>
            </w:r>
          </w:p>
        </w:tc>
        <w:tc>
          <w:tcPr>
            <w:tcW w:w="701"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过水断面（m</w:t>
            </w:r>
            <w:r>
              <w:rPr>
                <w:b/>
                <w:bCs/>
                <w:kern w:val="0"/>
                <w:sz w:val="21"/>
                <w:szCs w:val="21"/>
                <w:vertAlign w:val="superscript"/>
              </w:rPr>
              <w:t>2</w:t>
            </w:r>
            <w:r>
              <w:rPr>
                <w:b/>
                <w:bCs/>
                <w:kern w:val="0"/>
                <w:sz w:val="21"/>
                <w:szCs w:val="21"/>
              </w:rPr>
              <w:t>）</w:t>
            </w:r>
          </w:p>
        </w:tc>
        <w:tc>
          <w:tcPr>
            <w:tcW w:w="701"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设计过流量（m</w:t>
            </w:r>
            <w:r>
              <w:rPr>
                <w:b/>
                <w:bCs/>
                <w:kern w:val="0"/>
                <w:sz w:val="21"/>
                <w:szCs w:val="21"/>
                <w:vertAlign w:val="superscript"/>
              </w:rPr>
              <w:t>3</w:t>
            </w:r>
            <w:r>
              <w:rPr>
                <w:b/>
                <w:bCs/>
                <w:kern w:val="0"/>
                <w:sz w:val="21"/>
                <w:szCs w:val="21"/>
              </w:rPr>
              <w:t>/s）</w:t>
            </w:r>
          </w:p>
        </w:tc>
        <w:tc>
          <w:tcPr>
            <w:tcW w:w="705" w:type="pct"/>
            <w:vAlign w:val="center"/>
          </w:tcPr>
          <w:p>
            <w:pPr>
              <w:adjustRightInd w:val="0"/>
              <w:snapToGrid w:val="0"/>
              <w:spacing w:line="240" w:lineRule="auto"/>
              <w:ind w:firstLine="0" w:firstLineChars="0"/>
              <w:jc w:val="center"/>
              <w:textAlignment w:val="center"/>
              <w:rPr>
                <w:b/>
                <w:bCs/>
                <w:kern w:val="0"/>
                <w:sz w:val="21"/>
                <w:szCs w:val="21"/>
              </w:rPr>
            </w:pPr>
            <w:r>
              <w:rPr>
                <w:b/>
                <w:bCs/>
                <w:sz w:val="21"/>
                <w:szCs w:val="21"/>
              </w:rPr>
              <w:t>雨水洪峰流量Qm（m</w:t>
            </w:r>
            <w:r>
              <w:rPr>
                <w:b/>
                <w:bCs/>
                <w:sz w:val="21"/>
                <w:szCs w:val="21"/>
                <w:vertAlign w:val="superscript"/>
              </w:rPr>
              <w:t>3</w:t>
            </w:r>
            <w:r>
              <w:rPr>
                <w:b/>
                <w:bCs/>
                <w:sz w:val="21"/>
                <w:szCs w:val="21"/>
              </w:rPr>
              <w:t>/s）</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8" w:hRule="atLeast"/>
        </w:trPr>
        <w:tc>
          <w:tcPr>
            <w:tcW w:w="362" w:type="pct"/>
            <w:vMerge w:val="restart"/>
            <w:tcBorders>
              <w:right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黄鳝洞沟</w:t>
            </w:r>
          </w:p>
        </w:tc>
        <w:tc>
          <w:tcPr>
            <w:tcW w:w="425" w:type="pct"/>
            <w:tcBorders>
              <w:left w:val="single" w:color="auto" w:sz="4" w:space="0"/>
              <w:bottom w:val="single" w:color="auto" w:sz="4" w:space="0"/>
            </w:tcBorders>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Ⅰ</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0.80</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0.012</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502.50</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15031.02</w:t>
            </w:r>
          </w:p>
        </w:tc>
        <w:tc>
          <w:tcPr>
            <w:tcW w:w="705" w:type="pct"/>
            <w:vMerge w:val="restart"/>
            <w:vAlign w:val="center"/>
          </w:tcPr>
          <w:p>
            <w:pPr>
              <w:adjustRightInd w:val="0"/>
              <w:snapToGrid w:val="0"/>
              <w:spacing w:line="240" w:lineRule="auto"/>
              <w:ind w:firstLine="0" w:firstLineChars="0"/>
              <w:jc w:val="center"/>
              <w:textAlignment w:val="center"/>
              <w:rPr>
                <w:sz w:val="21"/>
                <w:szCs w:val="21"/>
              </w:rPr>
            </w:pPr>
            <w:r>
              <w:rPr>
                <w:sz w:val="21"/>
                <w:szCs w:val="21"/>
              </w:rPr>
              <w:t>330.90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1" w:hRule="atLeast"/>
        </w:trPr>
        <w:tc>
          <w:tcPr>
            <w:tcW w:w="362" w:type="pct"/>
            <w:vMerge w:val="continue"/>
            <w:tcBorders>
              <w:right w:val="single" w:color="auto" w:sz="4" w:space="0"/>
            </w:tcBorders>
            <w:vAlign w:val="center"/>
          </w:tcPr>
          <w:p>
            <w:pPr>
              <w:adjustRightInd w:val="0"/>
              <w:snapToGrid w:val="0"/>
              <w:spacing w:line="240" w:lineRule="auto"/>
              <w:ind w:firstLine="0" w:firstLineChars="0"/>
              <w:jc w:val="center"/>
              <w:textAlignment w:val="center"/>
              <w:rPr>
                <w:kern w:val="0"/>
                <w:sz w:val="21"/>
                <w:szCs w:val="21"/>
              </w:rPr>
            </w:pPr>
          </w:p>
        </w:tc>
        <w:tc>
          <w:tcPr>
            <w:tcW w:w="425" w:type="pct"/>
            <w:tcBorders>
              <w:top w:val="single" w:color="auto" w:sz="4" w:space="0"/>
              <w:left w:val="single" w:color="auto" w:sz="4" w:space="0"/>
            </w:tcBorders>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Ⅱ</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0.80</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0.012</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204</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4547.35</w:t>
            </w:r>
          </w:p>
        </w:tc>
        <w:tc>
          <w:tcPr>
            <w:tcW w:w="705" w:type="pct"/>
            <w:vMerge w:val="continue"/>
            <w:vAlign w:val="center"/>
          </w:tcPr>
          <w:p>
            <w:pPr>
              <w:adjustRightInd w:val="0"/>
              <w:snapToGrid w:val="0"/>
              <w:spacing w:line="240" w:lineRule="auto"/>
              <w:ind w:firstLine="0" w:firstLineChars="0"/>
              <w:jc w:val="center"/>
              <w:textAlignment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4" w:hRule="atLeast"/>
        </w:trPr>
        <w:tc>
          <w:tcPr>
            <w:tcW w:w="362" w:type="pct"/>
            <w:vMerge w:val="restart"/>
            <w:tcBorders>
              <w:right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sz w:val="21"/>
                <w:szCs w:val="21"/>
              </w:rPr>
              <w:t>棉花沟</w:t>
            </w:r>
          </w:p>
        </w:tc>
        <w:tc>
          <w:tcPr>
            <w:tcW w:w="789" w:type="dxa"/>
            <w:tcBorders>
              <w:left w:val="single" w:color="auto" w:sz="4" w:space="0"/>
              <w:bottom w:val="single" w:color="auto" w:sz="4" w:space="0"/>
            </w:tcBorders>
            <w:vAlign w:val="center"/>
          </w:tcPr>
          <w:p>
            <w:pPr>
              <w:adjustRightInd w:val="0"/>
              <w:snapToGrid w:val="0"/>
              <w:spacing w:line="240" w:lineRule="auto"/>
              <w:ind w:firstLine="0" w:firstLineChars="0"/>
              <w:jc w:val="center"/>
              <w:textAlignment w:val="center"/>
              <w:rPr>
                <w:b/>
                <w:bCs/>
                <w:sz w:val="21"/>
                <w:szCs w:val="21"/>
              </w:rPr>
            </w:pPr>
            <w:r>
              <w:rPr>
                <w:b/>
                <w:bCs/>
                <w:kern w:val="0"/>
                <w:sz w:val="21"/>
                <w:szCs w:val="21"/>
              </w:rPr>
              <w:t>Ⅰ</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0.80</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0.012</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307.02</w:t>
            </w:r>
          </w:p>
        </w:tc>
        <w:tc>
          <w:tcPr>
            <w:tcW w:w="701" w:type="pct"/>
            <w:tcBorders>
              <w:bottom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7802.83</w:t>
            </w:r>
          </w:p>
        </w:tc>
        <w:tc>
          <w:tcPr>
            <w:tcW w:w="705" w:type="pct"/>
            <w:vMerge w:val="restart"/>
            <w:vAlign w:val="center"/>
          </w:tcPr>
          <w:p>
            <w:pPr>
              <w:adjustRightInd w:val="0"/>
              <w:snapToGrid w:val="0"/>
              <w:spacing w:line="240" w:lineRule="auto"/>
              <w:ind w:firstLine="0" w:firstLineChars="0"/>
              <w:jc w:val="center"/>
              <w:textAlignment w:val="center"/>
              <w:rPr>
                <w:sz w:val="21"/>
                <w:szCs w:val="21"/>
              </w:rPr>
            </w:pPr>
            <w:r>
              <w:rPr>
                <w:sz w:val="21"/>
                <w:szCs w:val="21"/>
              </w:rPr>
              <w:t>102.33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95" w:hRule="atLeast"/>
        </w:trPr>
        <w:tc>
          <w:tcPr>
            <w:tcW w:w="362" w:type="pct"/>
            <w:vMerge w:val="continue"/>
            <w:tcBorders>
              <w:right w:val="single" w:color="auto" w:sz="4" w:space="0"/>
            </w:tcBorders>
            <w:vAlign w:val="center"/>
          </w:tcPr>
          <w:p>
            <w:pPr>
              <w:adjustRightInd w:val="0"/>
              <w:snapToGrid w:val="0"/>
              <w:spacing w:line="240" w:lineRule="auto"/>
              <w:ind w:firstLine="0" w:firstLineChars="0"/>
              <w:jc w:val="center"/>
              <w:textAlignment w:val="center"/>
              <w:rPr>
                <w:sz w:val="21"/>
                <w:szCs w:val="21"/>
              </w:rPr>
            </w:pPr>
          </w:p>
        </w:tc>
        <w:tc>
          <w:tcPr>
            <w:tcW w:w="789" w:type="dxa"/>
            <w:tcBorders>
              <w:top w:val="single" w:color="auto" w:sz="4" w:space="0"/>
              <w:left w:val="single" w:color="auto" w:sz="4" w:space="0"/>
            </w:tcBorders>
            <w:vAlign w:val="center"/>
          </w:tcPr>
          <w:p>
            <w:pPr>
              <w:adjustRightInd w:val="0"/>
              <w:snapToGrid w:val="0"/>
              <w:spacing w:line="240" w:lineRule="auto"/>
              <w:ind w:firstLine="0" w:firstLineChars="0"/>
              <w:jc w:val="center"/>
              <w:textAlignment w:val="center"/>
              <w:rPr>
                <w:b/>
                <w:bCs/>
                <w:sz w:val="21"/>
                <w:szCs w:val="21"/>
              </w:rPr>
            </w:pPr>
            <w:r>
              <w:rPr>
                <w:b/>
                <w:bCs/>
                <w:kern w:val="0"/>
                <w:sz w:val="21"/>
                <w:szCs w:val="21"/>
              </w:rPr>
              <w:t>Ⅱ</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0.80</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0.012</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74.93</w:t>
            </w:r>
          </w:p>
        </w:tc>
        <w:tc>
          <w:tcPr>
            <w:tcW w:w="701" w:type="pct"/>
            <w:tcBorders>
              <w:top w:val="single" w:color="auto" w:sz="4" w:space="0"/>
            </w:tcBorders>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1090.21</w:t>
            </w:r>
          </w:p>
        </w:tc>
        <w:tc>
          <w:tcPr>
            <w:tcW w:w="705" w:type="pct"/>
            <w:vMerge w:val="continue"/>
            <w:vAlign w:val="center"/>
          </w:tcPr>
          <w:p>
            <w:pPr>
              <w:adjustRightInd w:val="0"/>
              <w:snapToGrid w:val="0"/>
              <w:spacing w:line="240" w:lineRule="auto"/>
              <w:ind w:firstLine="0" w:firstLineChars="0"/>
              <w:jc w:val="center"/>
              <w:textAlignment w:val="center"/>
              <w:rPr>
                <w:sz w:val="21"/>
                <w:szCs w:val="21"/>
              </w:rPr>
            </w:pPr>
          </w:p>
        </w:tc>
      </w:tr>
    </w:tbl>
    <w:p>
      <w:pPr>
        <w:spacing w:beforeLines="50"/>
        <w:ind w:firstLine="480"/>
      </w:pPr>
      <w:r>
        <w:t>注：黄鳝洞沟出口处防洪沟为明沟型，沟槽底宽25m，两岸采用砼面板护坡高6m边坡坡比1:1.5，护坡顶部设宽度2m马道，马道以上采用C20砼框格植草护坡高6m，边坡坡比1:2。棉花沟出口处防洪沟为明沟型，两岸采用重力式挡墙，迎水面坡比为1:0.5，背水面为直墙，底宽3m，高4.5m，墙顶设宽度2m马道，马道以上采用C20C20砼框格植草护坡，边坡坡比1:2。</w:t>
      </w:r>
    </w:p>
    <w:p>
      <w:pPr>
        <w:ind w:firstLine="480"/>
      </w:pPr>
      <w:r>
        <w:t>综上所述，经验算《五通桥新型工业基地防洪排涝专项规划》设计的黄鳝洞沟及棉花沟满足50年一遇的防洪标准要求。</w:t>
      </w:r>
      <w:r>
        <w:rPr>
          <w:b/>
          <w:bCs/>
          <w:szCs w:val="24"/>
        </w:rPr>
        <w:t>黄鳝洞沟、棉花沟设计过流量计算简图详见下图。</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drawing>
                <wp:inline distT="0" distB="0" distL="114300" distR="114300">
                  <wp:extent cx="5742940" cy="1722120"/>
                  <wp:effectExtent l="0" t="0" r="10160" b="11430"/>
                  <wp:docPr id="31"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0"/>
                          <pic:cNvPicPr>
                            <a:picLocks noChangeAspect="1"/>
                          </pic:cNvPicPr>
                        </pic:nvPicPr>
                        <pic:blipFill>
                          <a:blip r:embed="rId173"/>
                          <a:stretch>
                            <a:fillRect/>
                          </a:stretch>
                        </pic:blipFill>
                        <pic:spPr>
                          <a:xfrm>
                            <a:off x="0" y="0"/>
                            <a:ext cx="5742940" cy="1722120"/>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黄鳝洞沟设计过流量计算简图</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drawing>
                <wp:inline distT="0" distB="0" distL="114300" distR="114300">
                  <wp:extent cx="5748655" cy="2162175"/>
                  <wp:effectExtent l="0" t="0" r="4445" b="9525"/>
                  <wp:docPr id="32"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51"/>
                          <pic:cNvPicPr>
                            <a:picLocks noChangeAspect="1"/>
                          </pic:cNvPicPr>
                        </pic:nvPicPr>
                        <pic:blipFill>
                          <a:blip r:embed="rId174"/>
                          <a:stretch>
                            <a:fillRect/>
                          </a:stretch>
                        </pic:blipFill>
                        <pic:spPr>
                          <a:xfrm>
                            <a:off x="0" y="0"/>
                            <a:ext cx="5748655" cy="2162175"/>
                          </a:xfrm>
                          <a:prstGeom prst="rect">
                            <a:avLst/>
                          </a:prstGeom>
                          <a:noFill/>
                          <a:ln>
                            <a:noFill/>
                          </a:ln>
                        </pic:spPr>
                      </pic:pic>
                    </a:graphicData>
                  </a:graphic>
                </wp:inline>
              </w:drawing>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sz w:val="21"/>
                <w:szCs w:val="21"/>
              </w:rPr>
            </w:pPr>
            <w:r>
              <w:rPr>
                <w:b/>
                <w:bCs/>
                <w:sz w:val="21"/>
                <w:szCs w:val="21"/>
              </w:rPr>
              <w:t>棉花沟设计过流量计算简图</w:t>
            </w:r>
          </w:p>
        </w:tc>
      </w:tr>
    </w:tbl>
    <w:p>
      <w:pPr>
        <w:pStyle w:val="8"/>
        <w:spacing w:beforeLines="50"/>
        <w:rPr>
          <w:rFonts w:eastAsia="仿宋_GB2312"/>
        </w:rPr>
      </w:pPr>
      <w:r>
        <w:rPr>
          <w:rFonts w:eastAsia="仿宋_GB2312"/>
        </w:rPr>
        <w:t>3.2.7.1.2道路与交通设施用地区</w:t>
      </w:r>
    </w:p>
    <w:p>
      <w:pPr>
        <w:ind w:firstLine="480"/>
      </w:pPr>
      <w:r>
        <w:t>1、地面硬化</w:t>
      </w:r>
    </w:p>
    <w:p>
      <w:pPr>
        <w:ind w:firstLine="480"/>
        <w:rPr>
          <w:kern w:val="0"/>
        </w:rPr>
      </w:pPr>
      <w:r>
        <w:rPr>
          <w:kern w:val="0"/>
        </w:rPr>
        <w:t>地面硬化措施含路面的硬化、人行道铺砖硬化等措施。</w:t>
      </w:r>
    </w:p>
    <w:p>
      <w:pPr>
        <w:ind w:firstLine="480"/>
        <w:rPr>
          <w:kern w:val="0"/>
        </w:rPr>
      </w:pPr>
      <w:r>
        <w:t>措施评价：</w:t>
      </w:r>
      <w:r>
        <w:rPr>
          <w:kern w:val="0"/>
        </w:rPr>
        <w:t>项目区规划道路部分地面硬化的主要目的是为满足日常通行的需要，硬化措施覆盖了地表，有效防止了降水直接进入土壤，彻底消除了土壤流失的作用力，对防止裸露地表的土壤流失具有非常好的作用。</w:t>
      </w:r>
      <w:r>
        <w:t>具有水土保持功能。</w:t>
      </w:r>
      <w:r>
        <w:rPr>
          <w:kern w:val="0"/>
        </w:rPr>
        <w:t>但由于硬化措施彻底阻碍了降水进入土壤的可能性，使降水无法渗入土壤，使降水以地表径流的形式直接流走，地表径流会对未硬化区域造成水土流失，本报告建议在不影响通行的情况下，停车场及人行道地面硬化尽可能的采用渗水砖铺装。</w:t>
      </w:r>
    </w:p>
    <w:p>
      <w:pPr>
        <w:ind w:firstLine="480"/>
        <w:rPr>
          <w:kern w:val="0"/>
          <w:szCs w:val="24"/>
        </w:rPr>
      </w:pPr>
      <w:r>
        <w:rPr>
          <w:kern w:val="0"/>
        </w:rPr>
        <w:t>2、</w:t>
      </w:r>
      <w:r>
        <w:rPr>
          <w:kern w:val="0"/>
          <w:szCs w:val="24"/>
        </w:rPr>
        <w:t>表土剥离及回覆</w:t>
      </w:r>
    </w:p>
    <w:p>
      <w:pPr>
        <w:ind w:firstLine="480"/>
      </w:pPr>
      <w:r>
        <w:t>根据调查，主体已对北二路（永祥段）、西二路、北永路、永祥物流通道等道路实施了栽植行道树绿化。绿化所需表土从本区就近剥离，表土剥离面积为13.11hm</w:t>
      </w:r>
      <w:r>
        <w:rPr>
          <w:vertAlign w:val="superscript"/>
        </w:rPr>
        <w:t>2</w:t>
      </w:r>
      <w:r>
        <w:t>，剥离厚度0.20m~0.40m，剥离量为3.94万m</w:t>
      </w:r>
      <w:r>
        <w:rPr>
          <w:vertAlign w:val="superscript"/>
        </w:rPr>
        <w:t>3</w:t>
      </w:r>
      <w:r>
        <w:t>，本区绿化面积为15.69hm</w:t>
      </w:r>
      <w:r>
        <w:rPr>
          <w:vertAlign w:val="superscript"/>
        </w:rPr>
        <w:t>2</w:t>
      </w:r>
      <w:r>
        <w:t>（其中</w:t>
      </w:r>
      <w:r>
        <w:rPr>
          <w:kern w:val="0"/>
          <w:szCs w:val="24"/>
        </w:rPr>
        <w:t>已建区绿化面积为2.11</w:t>
      </w:r>
      <w:r>
        <w:t>hm</w:t>
      </w:r>
      <w:r>
        <w:rPr>
          <w:vertAlign w:val="superscript"/>
        </w:rPr>
        <w:t>2</w:t>
      </w:r>
      <w:r>
        <w:t>，在建区</w:t>
      </w:r>
      <w:r>
        <w:rPr>
          <w:kern w:val="0"/>
          <w:szCs w:val="24"/>
        </w:rPr>
        <w:t>绿化面积为13.58</w:t>
      </w:r>
      <w:r>
        <w:t>hm</w:t>
      </w:r>
      <w:r>
        <w:rPr>
          <w:vertAlign w:val="superscript"/>
        </w:rPr>
        <w:t>2</w:t>
      </w:r>
      <w:r>
        <w:t>），覆土厚度为0.3~1.20m，绿化覆土量为6.35万m</w:t>
      </w:r>
      <w:r>
        <w:rPr>
          <w:vertAlign w:val="superscript"/>
        </w:rPr>
        <w:t>3</w:t>
      </w:r>
      <w:r>
        <w:t>（</w:t>
      </w:r>
      <w:r>
        <w:rPr>
          <w:kern w:val="0"/>
          <w:szCs w:val="24"/>
        </w:rPr>
        <w:t>其中已建区表土回覆量为2.41万m</w:t>
      </w:r>
      <w:r>
        <w:rPr>
          <w:kern w:val="0"/>
          <w:szCs w:val="24"/>
          <w:vertAlign w:val="superscript"/>
        </w:rPr>
        <w:t>3</w:t>
      </w:r>
      <w:r>
        <w:rPr>
          <w:kern w:val="0"/>
          <w:szCs w:val="24"/>
        </w:rPr>
        <w:t>，在建区表土回覆量为3.94万m</w:t>
      </w:r>
      <w:r>
        <w:rPr>
          <w:kern w:val="0"/>
          <w:szCs w:val="24"/>
          <w:vertAlign w:val="superscript"/>
        </w:rPr>
        <w:t>3</w:t>
      </w:r>
      <w:r>
        <w:t>）回填不足部分来源于工业用地区。</w:t>
      </w:r>
    </w:p>
    <w:p>
      <w:pPr>
        <w:ind w:firstLine="480"/>
      </w:pPr>
      <w:r>
        <w:t>措施评价：表土是一种重要的自然资源，做到表土剥离及再利用，对保护表土资源及减少水土流失有着重大意义。</w:t>
      </w:r>
      <w:r>
        <w:rPr>
          <w:kern w:val="0"/>
          <w:szCs w:val="24"/>
        </w:rPr>
        <w:t>根据GB50433-D.0.3，表土剥离措施应界定为水土保持措施。</w:t>
      </w:r>
    </w:p>
    <w:p>
      <w:pPr>
        <w:ind w:firstLine="480"/>
      </w:pPr>
      <w:r>
        <w:t>3、雨水管及雨水口</w:t>
      </w:r>
    </w:p>
    <w:p>
      <w:pPr>
        <w:ind w:firstLine="480"/>
      </w:pPr>
      <w:r>
        <w:t>根据设计资料，</w:t>
      </w:r>
      <w:r>
        <w:rPr>
          <w:kern w:val="0"/>
          <w:szCs w:val="24"/>
        </w:rPr>
        <w:t>主体工程沿园区内部道路路基两侧布置了雨水排水管及雨水口，并与其他区域的雨水管有效衔接，形成整个场区完备的雨水排放系统，以收集地面雨水，最终排入市政雨水管网。雨水管采用DN600~DN2000钢筋混凝土雨水管，雨水口采用预制混凝土装配式雨水口，雨水篦子采用C250球墨铸铁篦子。经统计，本区共设置雨水管17466m（其中已建区2236m、在建区6480m、未建区8750m），雨水口350个（其中已建区45个、在建区130个、未建区175个）。</w:t>
      </w:r>
    </w:p>
    <w:p>
      <w:pPr>
        <w:ind w:firstLine="480"/>
      </w:pPr>
      <w:r>
        <w:t>措施评价：雨水管可减少地表径流对园区的冲刷影响，有利于园区地势的稳定，又能有效减轻径流及雨水对土壤的冲刷作用。具有水土保持功能。</w:t>
      </w:r>
    </w:p>
    <w:p>
      <w:pPr>
        <w:widowControl/>
        <w:ind w:firstLine="480"/>
      </w:pPr>
      <w:r>
        <w:t>雨水管网过水能力校核：</w:t>
      </w:r>
    </w:p>
    <w:p>
      <w:pPr>
        <w:widowControl/>
        <w:ind w:firstLine="480"/>
      </w:pPr>
      <w:r>
        <w:t>根据《水土保持工程设计规范》（GB51018-2014）结合园区实际情况，排水工程设计标准取5年一遇短历时暴雨。雨水管过流能力计算如下：</w:t>
      </w:r>
    </w:p>
    <w:p>
      <w:pPr>
        <w:ind w:firstLine="480"/>
      </w:pPr>
      <w:r>
        <w:t>暴雨强度公式采用2017乐山市暴雨强度公式：</w:t>
      </w:r>
    </w:p>
    <w:p>
      <w:pPr>
        <w:ind w:firstLine="0" w:firstLineChars="0"/>
        <w:jc w:val="center"/>
      </w:pPr>
      <w:r>
        <w:rPr>
          <w:position w:val="-28"/>
        </w:rPr>
        <w:object>
          <v:shape id="_x0000_i1029" o:spt="75" type="#_x0000_t75" style="height:33pt;width:105pt;" o:ole="t" filled="f" o:preferrelative="t" stroked="f" coordsize="21600,21600">
            <v:path/>
            <v:fill on="f" focussize="0,0"/>
            <v:stroke on="f" joinstyle="miter"/>
            <v:imagedata r:id="rId99" o:title=""/>
            <o:lock v:ext="edit" aspectratio="t"/>
            <w10:wrap type="none"/>
            <w10:anchorlock/>
          </v:shape>
          <o:OLEObject Type="Embed" ProgID="Equation.3" ShapeID="_x0000_i1029" DrawAspect="Content" ObjectID="_1468075729" r:id="rId175">
            <o:LockedField>false</o:LockedField>
          </o:OLEObject>
        </w:object>
      </w:r>
    </w:p>
    <w:p>
      <w:pPr>
        <w:ind w:firstLine="480"/>
        <w:rPr>
          <w:sz w:val="28"/>
          <w:szCs w:val="28"/>
        </w:rPr>
      </w:pPr>
      <w:r>
        <w:rPr>
          <w:szCs w:val="24"/>
        </w:rPr>
        <w:t>式中：</w:t>
      </w:r>
    </w:p>
    <w:p>
      <w:pPr>
        <w:ind w:firstLine="960" w:firstLineChars="400"/>
        <w:rPr>
          <w:szCs w:val="24"/>
        </w:rPr>
      </w:pPr>
      <w:r>
        <w:rPr>
          <w:szCs w:val="24"/>
        </w:rPr>
        <w:t>I——暴雨强度计算值（mm/min）；</w:t>
      </w:r>
    </w:p>
    <w:p>
      <w:pPr>
        <w:ind w:firstLine="960" w:firstLineChars="400"/>
        <w:rPr>
          <w:szCs w:val="24"/>
        </w:rPr>
      </w:pPr>
      <w:r>
        <w:rPr>
          <w:szCs w:val="24"/>
        </w:rPr>
        <w:t>t——降雨历时（min）；</w:t>
      </w:r>
    </w:p>
    <w:p>
      <w:pPr>
        <w:ind w:firstLine="960" w:firstLineChars="400"/>
        <w:rPr>
          <w:szCs w:val="24"/>
        </w:rPr>
      </w:pPr>
      <w:r>
        <w:rPr>
          <w:szCs w:val="24"/>
        </w:rPr>
        <w:t>P——重现期（a）。</w:t>
      </w:r>
    </w:p>
    <w:p>
      <w:pPr>
        <w:widowControl/>
        <w:ind w:firstLine="480"/>
        <w:rPr>
          <w:szCs w:val="24"/>
        </w:rPr>
      </w:pPr>
      <w:r>
        <w:rPr>
          <w:szCs w:val="24"/>
        </w:rPr>
        <w:t>降雨历时取10min；</w:t>
      </w:r>
      <w:r>
        <w:t>设计重现期P=5年；沥青路面径流系数取0.85。</w:t>
      </w:r>
    </w:p>
    <w:p>
      <w:pPr>
        <w:widowControl/>
        <w:ind w:firstLine="480"/>
        <w:rPr>
          <w:szCs w:val="24"/>
        </w:rPr>
      </w:pPr>
      <w:r>
        <w:rPr>
          <w:szCs w:val="24"/>
        </w:rPr>
        <w:t>根据《水土保持工程设计规范》</w:t>
      </w:r>
      <w:r>
        <w:t>（GB51018-2014）</w:t>
      </w:r>
      <w:r>
        <w:rPr>
          <w:szCs w:val="24"/>
        </w:rPr>
        <w:t>中设计排水流量公式：</w:t>
      </w:r>
    </w:p>
    <w:p>
      <w:pPr>
        <w:widowControl/>
        <w:ind w:firstLine="480"/>
        <w:jc w:val="center"/>
        <w:rPr>
          <w:szCs w:val="24"/>
        </w:rPr>
      </w:pPr>
      <w:r>
        <w:rPr>
          <w:szCs w:val="24"/>
        </w:rPr>
        <w:t>Q</w:t>
      </w:r>
      <w:r>
        <w:rPr>
          <w:szCs w:val="24"/>
          <w:vertAlign w:val="subscript"/>
        </w:rPr>
        <w:t>m</w:t>
      </w:r>
      <w:r>
        <w:rPr>
          <w:szCs w:val="24"/>
        </w:rPr>
        <w:t>=16.67φqF</w:t>
      </w:r>
    </w:p>
    <w:p>
      <w:pPr>
        <w:ind w:firstLine="480"/>
        <w:rPr>
          <w:szCs w:val="24"/>
        </w:rPr>
      </w:pPr>
      <w:r>
        <w:rPr>
          <w:szCs w:val="24"/>
        </w:rPr>
        <w:t>式中：Q</w:t>
      </w:r>
      <w:r>
        <w:rPr>
          <w:szCs w:val="24"/>
          <w:vertAlign w:val="subscript"/>
        </w:rPr>
        <w:t>m</w:t>
      </w:r>
      <w:r>
        <w:rPr>
          <w:szCs w:val="24"/>
        </w:rPr>
        <w:t>―设计重现期和降雨历时内的洪峰流量（m</w:t>
      </w:r>
      <w:r>
        <w:rPr>
          <w:szCs w:val="24"/>
          <w:vertAlign w:val="superscript"/>
        </w:rPr>
        <w:t>3</w:t>
      </w:r>
      <w:r>
        <w:rPr>
          <w:szCs w:val="24"/>
        </w:rPr>
        <w:t>/s）；</w:t>
      </w:r>
    </w:p>
    <w:p>
      <w:pPr>
        <w:ind w:firstLine="1200" w:firstLineChars="500"/>
        <w:rPr>
          <w:szCs w:val="24"/>
        </w:rPr>
      </w:pPr>
      <w:r>
        <w:rPr>
          <w:szCs w:val="24"/>
        </w:rPr>
        <w:t>q―设计重现期平均10分钟的平均降雨强度（mm/min），根据乐山地区暴雨强度公式计算，本项目取2.12mm/min；</w:t>
      </w:r>
    </w:p>
    <w:p>
      <w:pPr>
        <w:ind w:firstLine="1200" w:firstLineChars="500"/>
        <w:rPr>
          <w:szCs w:val="24"/>
        </w:rPr>
      </w:pPr>
      <w:r>
        <w:rPr>
          <w:szCs w:val="24"/>
        </w:rPr>
        <w:object>
          <v:shape id="_x0000_i1030" o:spt="75" type="#_x0000_t75" style="height:12pt;width:10.5pt;" o:ole="t" filled="f" o:preferrelative="t" stroked="f" coordsize="21600,21600">
            <v:path/>
            <v:fill on="f" focussize="0,0"/>
            <v:stroke on="f" joinstyle="miter"/>
            <v:imagedata r:id="rId163" embosscolor="#FFFFFF" o:title=""/>
            <o:lock v:ext="edit" aspectratio="t"/>
            <w10:wrap type="none"/>
            <w10:anchorlock/>
          </v:shape>
          <o:OLEObject Type="Embed" ProgID="Equation.3" ShapeID="_x0000_i1030" DrawAspect="Content" ObjectID="_1468075730" r:id="rId176">
            <o:LockedField>false</o:LockedField>
          </o:OLEObject>
        </w:object>
      </w:r>
      <w:r>
        <w:rPr>
          <w:szCs w:val="24"/>
        </w:rPr>
        <w:t>―径流系数，根据水土保持工程设计规范（GB51018-2014），</w:t>
      </w:r>
      <w:r>
        <w:t>沥青路面径流系数取0.95</w:t>
      </w:r>
      <w:r>
        <w:rPr>
          <w:szCs w:val="24"/>
        </w:rPr>
        <w:t>；</w:t>
      </w:r>
    </w:p>
    <w:p>
      <w:pPr>
        <w:ind w:firstLine="1200" w:firstLineChars="500"/>
        <w:rPr>
          <w:szCs w:val="24"/>
        </w:rPr>
      </w:pPr>
      <w:r>
        <w:rPr>
          <w:szCs w:val="24"/>
        </w:rPr>
        <w:object>
          <v:shape id="_x0000_i1031" o:spt="75" type="#_x0000_t75" style="height:12pt;width:12pt;" o:ole="t" filled="f" o:preferrelative="t" stroked="f" coordsize="21600,21600">
            <v:path/>
            <v:fill on="f" focussize="0,0"/>
            <v:stroke on="f" joinstyle="miter"/>
            <v:imagedata r:id="rId178" embosscolor="#FFFFFF" o:title=""/>
            <o:lock v:ext="edit" aspectratio="t"/>
            <w10:wrap type="none"/>
            <w10:anchorlock/>
          </v:shape>
          <o:OLEObject Type="Embed" ProgID="Equation.3" ShapeID="_x0000_i1031" DrawAspect="Content" ObjectID="_1468075731" r:id="rId177">
            <o:LockedField>false</o:LockedField>
          </o:OLEObject>
        </w:object>
      </w:r>
      <w:r>
        <w:rPr>
          <w:szCs w:val="24"/>
        </w:rPr>
        <w:t>―汇水面积，km</w:t>
      </w:r>
      <w:r>
        <w:rPr>
          <w:szCs w:val="24"/>
          <w:vertAlign w:val="superscript"/>
        </w:rPr>
        <w:t>2</w:t>
      </w:r>
      <w:r>
        <w:rPr>
          <w:szCs w:val="24"/>
        </w:rPr>
        <w:t>，根据规划资料中雨水管布置情况测算汇水面积。</w:t>
      </w:r>
    </w:p>
    <w:p>
      <w:pPr>
        <w:ind w:firstLine="480"/>
      </w:pPr>
      <w:r>
        <w:t>经计算，雨水洪峰流量计算结果详见下表。</w:t>
      </w:r>
    </w:p>
    <w:p>
      <w:pPr>
        <w:ind w:firstLine="0" w:firstLineChars="0"/>
        <w:jc w:val="center"/>
        <w:rPr>
          <w:b/>
          <w:bCs/>
        </w:rPr>
      </w:pPr>
      <w:r>
        <w:rPr>
          <w:b/>
          <w:bCs/>
        </w:rPr>
        <w:t>表3.2-1项目雨水洪峰流量计算表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920"/>
        <w:gridCol w:w="1428"/>
        <w:gridCol w:w="1472"/>
        <w:gridCol w:w="1511"/>
        <w:gridCol w:w="1474"/>
        <w:gridCol w:w="147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34" w:type="pct"/>
            <w:vAlign w:val="center"/>
          </w:tcPr>
          <w:p>
            <w:pPr>
              <w:spacing w:line="240" w:lineRule="auto"/>
              <w:ind w:firstLine="0" w:firstLineChars="0"/>
              <w:jc w:val="center"/>
              <w:rPr>
                <w:b/>
                <w:bCs/>
                <w:sz w:val="21"/>
                <w:szCs w:val="21"/>
              </w:rPr>
            </w:pPr>
            <w:r>
              <w:rPr>
                <w:b/>
                <w:bCs/>
                <w:sz w:val="21"/>
                <w:szCs w:val="21"/>
              </w:rPr>
              <w:t>类型</w:t>
            </w:r>
          </w:p>
        </w:tc>
        <w:tc>
          <w:tcPr>
            <w:tcW w:w="769" w:type="pct"/>
            <w:vAlign w:val="center"/>
          </w:tcPr>
          <w:p>
            <w:pPr>
              <w:spacing w:line="240" w:lineRule="auto"/>
              <w:ind w:firstLine="0" w:firstLineChars="0"/>
              <w:jc w:val="center"/>
              <w:rPr>
                <w:b/>
                <w:bCs/>
                <w:sz w:val="21"/>
                <w:szCs w:val="21"/>
              </w:rPr>
            </w:pPr>
            <w:r>
              <w:rPr>
                <w:b/>
                <w:bCs/>
                <w:sz w:val="21"/>
                <w:szCs w:val="21"/>
              </w:rPr>
              <w:t>地表综合径流系数</w:t>
            </w:r>
            <w:r>
              <w:rPr>
                <w:szCs w:val="24"/>
              </w:rPr>
              <w:t>φ</w:t>
            </w:r>
          </w:p>
        </w:tc>
        <w:tc>
          <w:tcPr>
            <w:tcW w:w="793" w:type="pct"/>
            <w:vAlign w:val="center"/>
          </w:tcPr>
          <w:p>
            <w:pPr>
              <w:spacing w:line="240" w:lineRule="auto"/>
              <w:ind w:firstLine="0" w:firstLineChars="0"/>
              <w:jc w:val="center"/>
              <w:rPr>
                <w:b/>
                <w:bCs/>
                <w:sz w:val="21"/>
                <w:szCs w:val="21"/>
              </w:rPr>
            </w:pPr>
            <w:r>
              <w:rPr>
                <w:b/>
                <w:bCs/>
                <w:sz w:val="21"/>
                <w:szCs w:val="21"/>
              </w:rPr>
              <w:t>设计</w:t>
            </w:r>
          </w:p>
          <w:p>
            <w:pPr>
              <w:spacing w:line="240" w:lineRule="auto"/>
              <w:ind w:firstLine="0" w:firstLineChars="0"/>
              <w:jc w:val="center"/>
              <w:rPr>
                <w:b/>
                <w:bCs/>
                <w:sz w:val="21"/>
                <w:szCs w:val="21"/>
              </w:rPr>
            </w:pPr>
            <w:r>
              <w:rPr>
                <w:b/>
                <w:bCs/>
                <w:sz w:val="21"/>
                <w:szCs w:val="21"/>
              </w:rPr>
              <w:t>暴雨强度I</w:t>
            </w:r>
          </w:p>
          <w:p>
            <w:pPr>
              <w:spacing w:line="240" w:lineRule="auto"/>
              <w:ind w:firstLine="0" w:firstLineChars="0"/>
              <w:jc w:val="center"/>
              <w:rPr>
                <w:b/>
                <w:bCs/>
                <w:sz w:val="21"/>
                <w:szCs w:val="21"/>
              </w:rPr>
            </w:pPr>
            <w:r>
              <w:rPr>
                <w:b/>
                <w:bCs/>
                <w:sz w:val="21"/>
                <w:szCs w:val="21"/>
              </w:rPr>
              <w:t>（mm/min）</w:t>
            </w:r>
          </w:p>
        </w:tc>
        <w:tc>
          <w:tcPr>
            <w:tcW w:w="814" w:type="pct"/>
            <w:vAlign w:val="center"/>
          </w:tcPr>
          <w:p>
            <w:pPr>
              <w:spacing w:line="240" w:lineRule="auto"/>
              <w:ind w:firstLine="0" w:firstLineChars="0"/>
              <w:jc w:val="center"/>
              <w:rPr>
                <w:b/>
                <w:bCs/>
                <w:sz w:val="21"/>
                <w:szCs w:val="21"/>
              </w:rPr>
            </w:pPr>
            <w:r>
              <w:rPr>
                <w:b/>
                <w:bCs/>
                <w:sz w:val="21"/>
                <w:szCs w:val="21"/>
              </w:rPr>
              <w:t>汇水面积F（km</w:t>
            </w:r>
            <w:r>
              <w:rPr>
                <w:b/>
                <w:bCs/>
                <w:sz w:val="21"/>
                <w:szCs w:val="21"/>
                <w:vertAlign w:val="superscript"/>
              </w:rPr>
              <w:t>2</w:t>
            </w:r>
            <w:r>
              <w:rPr>
                <w:b/>
                <w:bCs/>
                <w:sz w:val="21"/>
                <w:szCs w:val="21"/>
              </w:rPr>
              <w:t>）</w:t>
            </w:r>
          </w:p>
        </w:tc>
        <w:tc>
          <w:tcPr>
            <w:tcW w:w="794" w:type="pct"/>
            <w:vAlign w:val="center"/>
          </w:tcPr>
          <w:p>
            <w:pPr>
              <w:spacing w:line="240" w:lineRule="auto"/>
              <w:ind w:firstLine="0" w:firstLineChars="0"/>
              <w:jc w:val="center"/>
              <w:rPr>
                <w:b/>
                <w:bCs/>
                <w:sz w:val="21"/>
                <w:szCs w:val="21"/>
              </w:rPr>
            </w:pPr>
            <w:r>
              <w:rPr>
                <w:b/>
                <w:bCs/>
                <w:sz w:val="21"/>
                <w:szCs w:val="21"/>
              </w:rPr>
              <w:t>设计重现期P（年）</w:t>
            </w:r>
          </w:p>
        </w:tc>
        <w:tc>
          <w:tcPr>
            <w:tcW w:w="794" w:type="pct"/>
            <w:vAlign w:val="center"/>
          </w:tcPr>
          <w:p>
            <w:pPr>
              <w:spacing w:line="240" w:lineRule="auto"/>
              <w:ind w:firstLine="0" w:firstLineChars="0"/>
              <w:jc w:val="center"/>
              <w:rPr>
                <w:b/>
                <w:bCs/>
                <w:sz w:val="21"/>
                <w:szCs w:val="21"/>
              </w:rPr>
            </w:pPr>
            <w:r>
              <w:rPr>
                <w:b/>
                <w:bCs/>
                <w:sz w:val="21"/>
                <w:szCs w:val="21"/>
              </w:rPr>
              <w:t>雨水洪峰流量Qm（m</w:t>
            </w:r>
            <w:r>
              <w:rPr>
                <w:b/>
                <w:bCs/>
                <w:sz w:val="21"/>
                <w:szCs w:val="21"/>
                <w:vertAlign w:val="superscript"/>
              </w:rPr>
              <w:t>3</w:t>
            </w:r>
            <w:r>
              <w:rPr>
                <w:b/>
                <w:bCs/>
                <w:sz w:val="21"/>
                <w:szCs w:val="21"/>
              </w:rPr>
              <w:t>/s）</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34" w:type="pct"/>
            <w:vAlign w:val="center"/>
          </w:tcPr>
          <w:p>
            <w:pPr>
              <w:spacing w:line="240" w:lineRule="auto"/>
              <w:ind w:firstLine="0" w:firstLineChars="0"/>
              <w:jc w:val="center"/>
              <w:rPr>
                <w:sz w:val="21"/>
                <w:szCs w:val="21"/>
              </w:rPr>
            </w:pPr>
            <w:r>
              <w:rPr>
                <w:sz w:val="21"/>
                <w:szCs w:val="21"/>
              </w:rPr>
              <w:t>DN600混凝土管</w:t>
            </w:r>
          </w:p>
        </w:tc>
        <w:tc>
          <w:tcPr>
            <w:tcW w:w="769" w:type="pct"/>
            <w:vAlign w:val="center"/>
          </w:tcPr>
          <w:p>
            <w:pPr>
              <w:spacing w:line="240" w:lineRule="auto"/>
              <w:ind w:firstLine="0" w:firstLineChars="0"/>
              <w:jc w:val="center"/>
              <w:rPr>
                <w:sz w:val="21"/>
                <w:szCs w:val="21"/>
              </w:rPr>
            </w:pPr>
            <w:r>
              <w:rPr>
                <w:sz w:val="21"/>
                <w:szCs w:val="21"/>
              </w:rPr>
              <w:t>0.95</w:t>
            </w:r>
          </w:p>
        </w:tc>
        <w:tc>
          <w:tcPr>
            <w:tcW w:w="793" w:type="pct"/>
            <w:vAlign w:val="center"/>
          </w:tcPr>
          <w:p>
            <w:pPr>
              <w:spacing w:line="240" w:lineRule="auto"/>
              <w:ind w:firstLine="0" w:firstLineChars="0"/>
              <w:jc w:val="center"/>
              <w:rPr>
                <w:sz w:val="21"/>
                <w:szCs w:val="21"/>
              </w:rPr>
            </w:pPr>
            <w:r>
              <w:rPr>
                <w:sz w:val="21"/>
                <w:szCs w:val="21"/>
              </w:rPr>
              <w:t>2.12</w:t>
            </w:r>
          </w:p>
        </w:tc>
        <w:tc>
          <w:tcPr>
            <w:tcW w:w="1511" w:type="dxa"/>
            <w:vAlign w:val="center"/>
          </w:tcPr>
          <w:p>
            <w:pPr>
              <w:spacing w:line="240" w:lineRule="auto"/>
              <w:ind w:firstLine="0" w:firstLineChars="0"/>
              <w:jc w:val="center"/>
              <w:rPr>
                <w:sz w:val="21"/>
                <w:szCs w:val="21"/>
              </w:rPr>
            </w:pPr>
            <w:r>
              <w:rPr>
                <w:sz w:val="21"/>
                <w:szCs w:val="21"/>
              </w:rPr>
              <w:t>0.007</w:t>
            </w:r>
          </w:p>
        </w:tc>
        <w:tc>
          <w:tcPr>
            <w:tcW w:w="794" w:type="pct"/>
            <w:vAlign w:val="center"/>
          </w:tcPr>
          <w:p>
            <w:pPr>
              <w:spacing w:line="240" w:lineRule="auto"/>
              <w:ind w:firstLine="0" w:firstLineChars="0"/>
              <w:jc w:val="center"/>
              <w:rPr>
                <w:sz w:val="21"/>
                <w:szCs w:val="21"/>
              </w:rPr>
            </w:pPr>
            <w:r>
              <w:rPr>
                <w:sz w:val="21"/>
                <w:szCs w:val="21"/>
              </w:rPr>
              <w:t>5</w:t>
            </w:r>
          </w:p>
        </w:tc>
        <w:tc>
          <w:tcPr>
            <w:tcW w:w="1475" w:type="dxa"/>
            <w:vAlign w:val="center"/>
          </w:tcPr>
          <w:p>
            <w:pPr>
              <w:spacing w:line="240" w:lineRule="auto"/>
              <w:ind w:firstLine="0" w:firstLineChars="0"/>
              <w:jc w:val="center"/>
              <w:rPr>
                <w:sz w:val="21"/>
                <w:szCs w:val="21"/>
              </w:rPr>
            </w:pPr>
            <w:r>
              <w:rPr>
                <w:sz w:val="21"/>
                <w:szCs w:val="21"/>
              </w:rPr>
              <w:t>0.235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34" w:type="pct"/>
            <w:vAlign w:val="center"/>
          </w:tcPr>
          <w:p>
            <w:pPr>
              <w:spacing w:line="240" w:lineRule="auto"/>
              <w:ind w:firstLine="0" w:firstLineChars="0"/>
              <w:jc w:val="center"/>
              <w:rPr>
                <w:sz w:val="21"/>
                <w:szCs w:val="21"/>
              </w:rPr>
            </w:pPr>
            <w:r>
              <w:rPr>
                <w:sz w:val="21"/>
                <w:szCs w:val="21"/>
              </w:rPr>
              <w:t>DN800混凝土管</w:t>
            </w:r>
          </w:p>
        </w:tc>
        <w:tc>
          <w:tcPr>
            <w:tcW w:w="769" w:type="pct"/>
            <w:vAlign w:val="center"/>
          </w:tcPr>
          <w:p>
            <w:pPr>
              <w:spacing w:line="240" w:lineRule="auto"/>
              <w:ind w:firstLine="0" w:firstLineChars="0"/>
              <w:jc w:val="center"/>
              <w:rPr>
                <w:sz w:val="21"/>
                <w:szCs w:val="21"/>
              </w:rPr>
            </w:pPr>
            <w:r>
              <w:rPr>
                <w:sz w:val="21"/>
                <w:szCs w:val="21"/>
              </w:rPr>
              <w:t>0.95</w:t>
            </w:r>
          </w:p>
        </w:tc>
        <w:tc>
          <w:tcPr>
            <w:tcW w:w="793" w:type="pct"/>
            <w:vAlign w:val="center"/>
          </w:tcPr>
          <w:p>
            <w:pPr>
              <w:spacing w:line="240" w:lineRule="auto"/>
              <w:ind w:firstLine="0" w:firstLineChars="0"/>
              <w:jc w:val="center"/>
              <w:rPr>
                <w:sz w:val="21"/>
                <w:szCs w:val="21"/>
              </w:rPr>
            </w:pPr>
            <w:r>
              <w:rPr>
                <w:sz w:val="21"/>
                <w:szCs w:val="21"/>
              </w:rPr>
              <w:t>2.12</w:t>
            </w:r>
          </w:p>
        </w:tc>
        <w:tc>
          <w:tcPr>
            <w:tcW w:w="1511" w:type="dxa"/>
            <w:vAlign w:val="center"/>
          </w:tcPr>
          <w:p>
            <w:pPr>
              <w:spacing w:line="240" w:lineRule="auto"/>
              <w:ind w:firstLine="0" w:firstLineChars="0"/>
              <w:jc w:val="center"/>
              <w:rPr>
                <w:sz w:val="21"/>
                <w:szCs w:val="21"/>
              </w:rPr>
            </w:pPr>
            <w:r>
              <w:rPr>
                <w:sz w:val="21"/>
                <w:szCs w:val="21"/>
              </w:rPr>
              <w:t>0.016</w:t>
            </w:r>
          </w:p>
        </w:tc>
        <w:tc>
          <w:tcPr>
            <w:tcW w:w="794" w:type="pct"/>
            <w:vAlign w:val="center"/>
          </w:tcPr>
          <w:p>
            <w:pPr>
              <w:spacing w:line="240" w:lineRule="auto"/>
              <w:ind w:firstLine="0" w:firstLineChars="0"/>
              <w:jc w:val="center"/>
              <w:rPr>
                <w:sz w:val="21"/>
                <w:szCs w:val="21"/>
              </w:rPr>
            </w:pPr>
            <w:r>
              <w:rPr>
                <w:sz w:val="21"/>
                <w:szCs w:val="21"/>
              </w:rPr>
              <w:t>5</w:t>
            </w:r>
          </w:p>
        </w:tc>
        <w:tc>
          <w:tcPr>
            <w:tcW w:w="1475" w:type="dxa"/>
            <w:vAlign w:val="center"/>
          </w:tcPr>
          <w:p>
            <w:pPr>
              <w:spacing w:line="240" w:lineRule="auto"/>
              <w:ind w:firstLine="0" w:firstLineChars="0"/>
              <w:jc w:val="center"/>
              <w:rPr>
                <w:sz w:val="21"/>
                <w:szCs w:val="21"/>
              </w:rPr>
            </w:pPr>
            <w:r>
              <w:rPr>
                <w:sz w:val="21"/>
                <w:szCs w:val="21"/>
              </w:rPr>
              <w:t>0.537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34" w:type="pct"/>
            <w:vAlign w:val="center"/>
          </w:tcPr>
          <w:p>
            <w:pPr>
              <w:spacing w:line="240" w:lineRule="auto"/>
              <w:ind w:firstLine="0" w:firstLineChars="0"/>
              <w:jc w:val="center"/>
              <w:rPr>
                <w:sz w:val="21"/>
                <w:szCs w:val="21"/>
              </w:rPr>
            </w:pPr>
            <w:r>
              <w:rPr>
                <w:sz w:val="21"/>
                <w:szCs w:val="21"/>
              </w:rPr>
              <w:t>DN1000混凝土管</w:t>
            </w:r>
          </w:p>
        </w:tc>
        <w:tc>
          <w:tcPr>
            <w:tcW w:w="769" w:type="pct"/>
            <w:vAlign w:val="center"/>
          </w:tcPr>
          <w:p>
            <w:pPr>
              <w:spacing w:line="240" w:lineRule="auto"/>
              <w:ind w:firstLine="0" w:firstLineChars="0"/>
              <w:jc w:val="center"/>
              <w:rPr>
                <w:sz w:val="21"/>
                <w:szCs w:val="21"/>
              </w:rPr>
            </w:pPr>
            <w:r>
              <w:rPr>
                <w:sz w:val="21"/>
                <w:szCs w:val="21"/>
              </w:rPr>
              <w:t>0.95</w:t>
            </w:r>
          </w:p>
        </w:tc>
        <w:tc>
          <w:tcPr>
            <w:tcW w:w="793" w:type="pct"/>
            <w:vAlign w:val="center"/>
          </w:tcPr>
          <w:p>
            <w:pPr>
              <w:spacing w:line="240" w:lineRule="auto"/>
              <w:ind w:firstLine="0" w:firstLineChars="0"/>
              <w:jc w:val="center"/>
              <w:rPr>
                <w:sz w:val="21"/>
                <w:szCs w:val="21"/>
              </w:rPr>
            </w:pPr>
            <w:r>
              <w:rPr>
                <w:sz w:val="21"/>
                <w:szCs w:val="21"/>
              </w:rPr>
              <w:t>2.12</w:t>
            </w:r>
          </w:p>
        </w:tc>
        <w:tc>
          <w:tcPr>
            <w:tcW w:w="1511" w:type="dxa"/>
            <w:vAlign w:val="center"/>
          </w:tcPr>
          <w:p>
            <w:pPr>
              <w:spacing w:line="240" w:lineRule="auto"/>
              <w:ind w:firstLine="0" w:firstLineChars="0"/>
              <w:jc w:val="center"/>
              <w:rPr>
                <w:sz w:val="21"/>
                <w:szCs w:val="21"/>
              </w:rPr>
            </w:pPr>
            <w:r>
              <w:rPr>
                <w:sz w:val="21"/>
                <w:szCs w:val="21"/>
              </w:rPr>
              <w:t>0.028</w:t>
            </w:r>
          </w:p>
        </w:tc>
        <w:tc>
          <w:tcPr>
            <w:tcW w:w="794" w:type="pct"/>
            <w:vAlign w:val="center"/>
          </w:tcPr>
          <w:p>
            <w:pPr>
              <w:spacing w:line="240" w:lineRule="auto"/>
              <w:ind w:firstLine="0" w:firstLineChars="0"/>
              <w:jc w:val="center"/>
              <w:rPr>
                <w:sz w:val="21"/>
                <w:szCs w:val="21"/>
              </w:rPr>
            </w:pPr>
            <w:r>
              <w:rPr>
                <w:sz w:val="21"/>
                <w:szCs w:val="21"/>
              </w:rPr>
              <w:t>5</w:t>
            </w:r>
          </w:p>
        </w:tc>
        <w:tc>
          <w:tcPr>
            <w:tcW w:w="1475" w:type="dxa"/>
            <w:vAlign w:val="center"/>
          </w:tcPr>
          <w:p>
            <w:pPr>
              <w:spacing w:line="240" w:lineRule="auto"/>
              <w:ind w:firstLine="0" w:firstLineChars="0"/>
              <w:jc w:val="center"/>
              <w:rPr>
                <w:sz w:val="21"/>
                <w:szCs w:val="21"/>
              </w:rPr>
            </w:pPr>
            <w:r>
              <w:rPr>
                <w:sz w:val="21"/>
                <w:szCs w:val="21"/>
              </w:rPr>
              <w:t>0.940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34" w:type="pct"/>
            <w:vAlign w:val="center"/>
          </w:tcPr>
          <w:p>
            <w:pPr>
              <w:spacing w:line="240" w:lineRule="auto"/>
              <w:ind w:firstLine="0" w:firstLineChars="0"/>
              <w:jc w:val="center"/>
              <w:rPr>
                <w:sz w:val="21"/>
                <w:szCs w:val="21"/>
              </w:rPr>
            </w:pPr>
            <w:r>
              <w:rPr>
                <w:sz w:val="21"/>
                <w:szCs w:val="21"/>
              </w:rPr>
              <w:t>DN1200混凝土管</w:t>
            </w:r>
          </w:p>
        </w:tc>
        <w:tc>
          <w:tcPr>
            <w:tcW w:w="769" w:type="pct"/>
            <w:vAlign w:val="center"/>
          </w:tcPr>
          <w:p>
            <w:pPr>
              <w:spacing w:line="240" w:lineRule="auto"/>
              <w:ind w:firstLine="0" w:firstLineChars="0"/>
              <w:jc w:val="center"/>
              <w:rPr>
                <w:sz w:val="21"/>
                <w:szCs w:val="21"/>
              </w:rPr>
            </w:pPr>
            <w:r>
              <w:rPr>
                <w:sz w:val="21"/>
                <w:szCs w:val="21"/>
              </w:rPr>
              <w:t>0.95</w:t>
            </w:r>
          </w:p>
        </w:tc>
        <w:tc>
          <w:tcPr>
            <w:tcW w:w="793" w:type="pct"/>
            <w:vAlign w:val="center"/>
          </w:tcPr>
          <w:p>
            <w:pPr>
              <w:spacing w:line="240" w:lineRule="auto"/>
              <w:ind w:firstLine="0" w:firstLineChars="0"/>
              <w:jc w:val="center"/>
              <w:rPr>
                <w:sz w:val="21"/>
                <w:szCs w:val="21"/>
              </w:rPr>
            </w:pPr>
            <w:r>
              <w:rPr>
                <w:sz w:val="21"/>
                <w:szCs w:val="21"/>
              </w:rPr>
              <w:t>2.12</w:t>
            </w:r>
          </w:p>
        </w:tc>
        <w:tc>
          <w:tcPr>
            <w:tcW w:w="1511" w:type="dxa"/>
            <w:vAlign w:val="center"/>
          </w:tcPr>
          <w:p>
            <w:pPr>
              <w:spacing w:line="240" w:lineRule="auto"/>
              <w:ind w:firstLine="0" w:firstLineChars="0"/>
              <w:jc w:val="center"/>
              <w:rPr>
                <w:sz w:val="21"/>
                <w:szCs w:val="21"/>
              </w:rPr>
            </w:pPr>
            <w:r>
              <w:rPr>
                <w:sz w:val="21"/>
                <w:szCs w:val="21"/>
              </w:rPr>
              <w:t>0.034</w:t>
            </w:r>
          </w:p>
        </w:tc>
        <w:tc>
          <w:tcPr>
            <w:tcW w:w="794" w:type="pct"/>
            <w:vAlign w:val="center"/>
          </w:tcPr>
          <w:p>
            <w:pPr>
              <w:spacing w:line="240" w:lineRule="auto"/>
              <w:ind w:firstLine="0" w:firstLineChars="0"/>
              <w:jc w:val="center"/>
              <w:rPr>
                <w:sz w:val="21"/>
                <w:szCs w:val="21"/>
              </w:rPr>
            </w:pPr>
            <w:r>
              <w:rPr>
                <w:sz w:val="21"/>
                <w:szCs w:val="21"/>
              </w:rPr>
              <w:t>5</w:t>
            </w:r>
          </w:p>
        </w:tc>
        <w:tc>
          <w:tcPr>
            <w:tcW w:w="1475" w:type="dxa"/>
            <w:vAlign w:val="center"/>
          </w:tcPr>
          <w:p>
            <w:pPr>
              <w:spacing w:line="240" w:lineRule="auto"/>
              <w:ind w:firstLine="0" w:firstLineChars="0"/>
              <w:jc w:val="center"/>
              <w:rPr>
                <w:sz w:val="21"/>
                <w:szCs w:val="21"/>
              </w:rPr>
            </w:pPr>
            <w:r>
              <w:rPr>
                <w:sz w:val="21"/>
                <w:szCs w:val="21"/>
              </w:rPr>
              <w:t>1.141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34" w:type="pct"/>
            <w:vAlign w:val="center"/>
          </w:tcPr>
          <w:p>
            <w:pPr>
              <w:spacing w:line="240" w:lineRule="auto"/>
              <w:ind w:firstLine="0" w:firstLineChars="0"/>
              <w:jc w:val="center"/>
              <w:rPr>
                <w:sz w:val="21"/>
                <w:szCs w:val="21"/>
              </w:rPr>
            </w:pPr>
            <w:r>
              <w:rPr>
                <w:sz w:val="21"/>
                <w:szCs w:val="21"/>
              </w:rPr>
              <w:t>DN1500混凝土管</w:t>
            </w:r>
          </w:p>
        </w:tc>
        <w:tc>
          <w:tcPr>
            <w:tcW w:w="769" w:type="pct"/>
            <w:vAlign w:val="center"/>
          </w:tcPr>
          <w:p>
            <w:pPr>
              <w:spacing w:line="240" w:lineRule="auto"/>
              <w:ind w:firstLine="0" w:firstLineChars="0"/>
              <w:jc w:val="center"/>
              <w:rPr>
                <w:sz w:val="21"/>
                <w:szCs w:val="21"/>
              </w:rPr>
            </w:pPr>
            <w:r>
              <w:rPr>
                <w:sz w:val="21"/>
                <w:szCs w:val="21"/>
              </w:rPr>
              <w:t>0.95</w:t>
            </w:r>
          </w:p>
        </w:tc>
        <w:tc>
          <w:tcPr>
            <w:tcW w:w="793" w:type="pct"/>
            <w:vAlign w:val="center"/>
          </w:tcPr>
          <w:p>
            <w:pPr>
              <w:spacing w:line="240" w:lineRule="auto"/>
              <w:ind w:firstLine="0" w:firstLineChars="0"/>
              <w:jc w:val="center"/>
              <w:rPr>
                <w:sz w:val="21"/>
                <w:szCs w:val="21"/>
              </w:rPr>
            </w:pPr>
            <w:r>
              <w:rPr>
                <w:sz w:val="21"/>
                <w:szCs w:val="21"/>
              </w:rPr>
              <w:t>2.12</w:t>
            </w:r>
          </w:p>
        </w:tc>
        <w:tc>
          <w:tcPr>
            <w:tcW w:w="1511" w:type="dxa"/>
            <w:vAlign w:val="center"/>
          </w:tcPr>
          <w:p>
            <w:pPr>
              <w:spacing w:line="240" w:lineRule="auto"/>
              <w:ind w:firstLine="0" w:firstLineChars="0"/>
              <w:jc w:val="center"/>
              <w:rPr>
                <w:sz w:val="21"/>
                <w:szCs w:val="21"/>
              </w:rPr>
            </w:pPr>
            <w:r>
              <w:rPr>
                <w:sz w:val="21"/>
                <w:szCs w:val="21"/>
              </w:rPr>
              <w:t>0.085</w:t>
            </w:r>
          </w:p>
        </w:tc>
        <w:tc>
          <w:tcPr>
            <w:tcW w:w="794" w:type="pct"/>
            <w:vAlign w:val="center"/>
          </w:tcPr>
          <w:p>
            <w:pPr>
              <w:spacing w:line="240" w:lineRule="auto"/>
              <w:ind w:firstLine="0" w:firstLineChars="0"/>
              <w:jc w:val="center"/>
              <w:rPr>
                <w:sz w:val="21"/>
                <w:szCs w:val="21"/>
              </w:rPr>
            </w:pPr>
            <w:r>
              <w:rPr>
                <w:sz w:val="21"/>
                <w:szCs w:val="21"/>
              </w:rPr>
              <w:t>5</w:t>
            </w:r>
          </w:p>
        </w:tc>
        <w:tc>
          <w:tcPr>
            <w:tcW w:w="1475" w:type="dxa"/>
            <w:vAlign w:val="center"/>
          </w:tcPr>
          <w:p>
            <w:pPr>
              <w:spacing w:line="240" w:lineRule="auto"/>
              <w:ind w:firstLine="0" w:firstLineChars="0"/>
              <w:jc w:val="center"/>
              <w:rPr>
                <w:sz w:val="21"/>
                <w:szCs w:val="21"/>
              </w:rPr>
            </w:pPr>
            <w:r>
              <w:rPr>
                <w:sz w:val="21"/>
                <w:szCs w:val="21"/>
              </w:rPr>
              <w:t>2.854</w:t>
            </w:r>
          </w:p>
        </w:tc>
      </w:tr>
    </w:tbl>
    <w:p>
      <w:pPr>
        <w:widowControl/>
        <w:spacing w:beforeLines="50"/>
        <w:ind w:firstLine="480"/>
        <w:rPr>
          <w:szCs w:val="24"/>
        </w:rPr>
      </w:pPr>
      <w:r>
        <w:rPr>
          <w:szCs w:val="24"/>
        </w:rPr>
        <w:t>雨水管排水能力校核：</w:t>
      </w:r>
    </w:p>
    <w:p>
      <w:pPr>
        <w:widowControl/>
        <w:ind w:firstLine="480"/>
        <w:rPr>
          <w:szCs w:val="24"/>
        </w:rPr>
      </w:pPr>
      <w:r>
        <w:rPr>
          <w:szCs w:val="24"/>
        </w:rPr>
        <w:t>雨水管排水能力</w:t>
      </w:r>
      <w:r>
        <w:t>根据沟渠均匀流公式</w:t>
      </w:r>
      <w:r>
        <w:rPr>
          <w:szCs w:val="24"/>
        </w:rPr>
        <w:t>计算：</w:t>
      </w:r>
    </w:p>
    <w:p>
      <w:pPr>
        <w:ind w:firstLine="0" w:firstLineChars="0"/>
        <w:jc w:val="center"/>
      </w:pPr>
      <w:r>
        <w:rPr>
          <w:kern w:val="0"/>
        </w:rPr>
        <w:drawing>
          <wp:inline distT="0" distB="0" distL="114300" distR="114300">
            <wp:extent cx="2219325" cy="524510"/>
            <wp:effectExtent l="0" t="0" r="9525" b="8255"/>
            <wp:docPr id="3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9"/>
                    <pic:cNvPicPr>
                      <a:picLocks noChangeAspect="1"/>
                    </pic:cNvPicPr>
                  </pic:nvPicPr>
                  <pic:blipFill>
                    <a:blip r:embed="rId171"/>
                    <a:stretch>
                      <a:fillRect/>
                    </a:stretch>
                  </pic:blipFill>
                  <pic:spPr>
                    <a:xfrm>
                      <a:off x="0" y="0"/>
                      <a:ext cx="2219325" cy="524510"/>
                    </a:xfrm>
                    <a:prstGeom prst="rect">
                      <a:avLst/>
                    </a:prstGeom>
                    <a:noFill/>
                    <a:ln>
                      <a:noFill/>
                    </a:ln>
                  </pic:spPr>
                </pic:pic>
              </a:graphicData>
            </a:graphic>
          </wp:inline>
        </w:drawing>
      </w:r>
    </w:p>
    <w:p>
      <w:pPr>
        <w:ind w:firstLine="480"/>
      </w:pPr>
      <w:r>
        <w:t>式中：Q－排水流量，m³/s；</w:t>
      </w:r>
    </w:p>
    <w:p>
      <w:pPr>
        <w:ind w:firstLine="480"/>
      </w:pPr>
      <w:r>
        <w:t>A－过水断面面积，m²；</w:t>
      </w:r>
    </w:p>
    <w:p>
      <w:pPr>
        <w:ind w:firstLine="480"/>
      </w:pPr>
      <w:r>
        <w:t>C－流速系数，</w:t>
      </w:r>
      <w:r>
        <w:drawing>
          <wp:inline distT="0" distB="0" distL="114300" distR="114300">
            <wp:extent cx="1144270" cy="374015"/>
            <wp:effectExtent l="0" t="0" r="0" b="6350"/>
            <wp:docPr id="1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0"/>
                    <pic:cNvPicPr>
                      <a:picLocks noChangeAspect="1"/>
                    </pic:cNvPicPr>
                  </pic:nvPicPr>
                  <pic:blipFill>
                    <a:blip r:embed="rId179"/>
                    <a:stretch>
                      <a:fillRect/>
                    </a:stretch>
                  </pic:blipFill>
                  <pic:spPr>
                    <a:xfrm>
                      <a:off x="0" y="0"/>
                      <a:ext cx="1144270" cy="374015"/>
                    </a:xfrm>
                    <a:prstGeom prst="rect">
                      <a:avLst/>
                    </a:prstGeom>
                    <a:noFill/>
                    <a:ln>
                      <a:noFill/>
                    </a:ln>
                  </pic:spPr>
                </pic:pic>
              </a:graphicData>
            </a:graphic>
          </wp:inline>
        </w:drawing>
      </w:r>
      <w:r>
        <w:t>；</w:t>
      </w:r>
    </w:p>
    <w:p>
      <w:pPr>
        <w:ind w:firstLine="480"/>
      </w:pPr>
      <w:r>
        <w:t>n－粗糙系数，根据《水土保持工程设计规范》，</w:t>
      </w:r>
      <w:r>
        <w:rPr>
          <w:kern w:val="0"/>
          <w:szCs w:val="24"/>
        </w:rPr>
        <w:t>混凝土管粗糙系数取0.014</w:t>
      </w:r>
      <w:r>
        <w:t>；</w:t>
      </w:r>
    </w:p>
    <w:p>
      <w:pPr>
        <w:ind w:firstLine="480"/>
      </w:pPr>
      <w:r>
        <w:t>R－水力半径，</w:t>
      </w:r>
      <w:r>
        <w:drawing>
          <wp:inline distT="0" distB="0" distL="114300" distR="114300">
            <wp:extent cx="558800" cy="215900"/>
            <wp:effectExtent l="0" t="0" r="12700" b="13970"/>
            <wp:docPr id="18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3"/>
                    <pic:cNvPicPr>
                      <a:picLocks noChangeAspect="1"/>
                    </pic:cNvPicPr>
                  </pic:nvPicPr>
                  <pic:blipFill>
                    <a:blip r:embed="rId180"/>
                    <a:stretch>
                      <a:fillRect/>
                    </a:stretch>
                  </pic:blipFill>
                  <pic:spPr>
                    <a:xfrm>
                      <a:off x="0" y="0"/>
                      <a:ext cx="558800" cy="215900"/>
                    </a:xfrm>
                    <a:prstGeom prst="rect">
                      <a:avLst/>
                    </a:prstGeom>
                    <a:noFill/>
                    <a:ln>
                      <a:noFill/>
                    </a:ln>
                  </pic:spPr>
                </pic:pic>
              </a:graphicData>
            </a:graphic>
          </wp:inline>
        </w:drawing>
      </w:r>
      <w:r>
        <w:t>，m；</w:t>
      </w:r>
    </w:p>
    <w:p>
      <w:pPr>
        <w:widowControl/>
        <w:ind w:firstLine="480"/>
      </w:pPr>
      <w:r>
        <w:drawing>
          <wp:inline distT="0" distB="0" distL="114300" distR="114300">
            <wp:extent cx="143510" cy="161925"/>
            <wp:effectExtent l="0" t="0" r="0" b="7620"/>
            <wp:docPr id="18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4"/>
                    <pic:cNvPicPr>
                      <a:picLocks noChangeAspect="1"/>
                    </pic:cNvPicPr>
                  </pic:nvPicPr>
                  <pic:blipFill>
                    <a:blip r:embed="rId181"/>
                    <a:stretch>
                      <a:fillRect/>
                    </a:stretch>
                  </pic:blipFill>
                  <pic:spPr>
                    <a:xfrm>
                      <a:off x="0" y="0"/>
                      <a:ext cx="143510" cy="161925"/>
                    </a:xfrm>
                    <a:prstGeom prst="rect">
                      <a:avLst/>
                    </a:prstGeom>
                    <a:noFill/>
                    <a:ln>
                      <a:noFill/>
                    </a:ln>
                  </pic:spPr>
                </pic:pic>
              </a:graphicData>
            </a:graphic>
          </wp:inline>
        </w:drawing>
      </w:r>
      <w:r>
        <w:t>－</w:t>
      </w:r>
      <w:r>
        <w:rPr>
          <w:kern w:val="0"/>
          <w:szCs w:val="24"/>
        </w:rPr>
        <w:t>雨水管纵坡比降，参照道路纵坡以</w:t>
      </w:r>
      <w:r>
        <w:t>0.2％为主，最大坡度控制在6％。</w:t>
      </w:r>
      <w:r>
        <w:rPr>
          <w:kern w:val="0"/>
          <w:szCs w:val="24"/>
        </w:rPr>
        <w:t>取0.002</w:t>
      </w:r>
      <w:r>
        <w:t>。</w:t>
      </w:r>
    </w:p>
    <w:p>
      <w:pPr>
        <w:ind w:firstLine="0" w:firstLineChars="0"/>
        <w:jc w:val="center"/>
        <w:rPr>
          <w:b/>
          <w:bCs/>
        </w:rPr>
      </w:pPr>
      <w:r>
        <w:rPr>
          <w:b/>
          <w:bCs/>
        </w:rPr>
        <w:t>表3.2-2雨水管过流能力计算参数及结果</w:t>
      </w:r>
    </w:p>
    <w:tbl>
      <w:tblPr>
        <w:tblStyle w:val="110"/>
        <w:tblW w:w="506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23"/>
        <w:gridCol w:w="924"/>
        <w:gridCol w:w="711"/>
        <w:gridCol w:w="836"/>
        <w:gridCol w:w="774"/>
        <w:gridCol w:w="774"/>
        <w:gridCol w:w="702"/>
        <w:gridCol w:w="932"/>
        <w:gridCol w:w="479"/>
        <w:gridCol w:w="919"/>
        <w:gridCol w:w="1079"/>
        <w:gridCol w:w="64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31" w:type="pct"/>
            <w:vAlign w:val="center"/>
          </w:tcPr>
          <w:p>
            <w:pPr>
              <w:spacing w:line="240" w:lineRule="auto"/>
              <w:ind w:firstLine="0" w:firstLineChars="0"/>
              <w:jc w:val="center"/>
              <w:rPr>
                <w:b/>
                <w:bCs/>
                <w:sz w:val="18"/>
              </w:rPr>
            </w:pPr>
            <w:r>
              <w:rPr>
                <w:b/>
                <w:bCs/>
                <w:sz w:val="18"/>
              </w:rPr>
              <w:t>规格</w:t>
            </w:r>
          </w:p>
        </w:tc>
        <w:tc>
          <w:tcPr>
            <w:tcW w:w="491" w:type="pct"/>
            <w:vAlign w:val="center"/>
          </w:tcPr>
          <w:p>
            <w:pPr>
              <w:spacing w:line="240" w:lineRule="auto"/>
              <w:ind w:firstLine="0" w:firstLineChars="0"/>
              <w:jc w:val="center"/>
              <w:rPr>
                <w:b/>
                <w:bCs/>
                <w:sz w:val="18"/>
              </w:rPr>
            </w:pPr>
            <w:r>
              <w:rPr>
                <w:b/>
                <w:bCs/>
                <w:sz w:val="18"/>
              </w:rPr>
              <w:t>管径（mm）</w:t>
            </w:r>
          </w:p>
        </w:tc>
        <w:tc>
          <w:tcPr>
            <w:tcW w:w="378" w:type="pct"/>
            <w:vAlign w:val="center"/>
          </w:tcPr>
          <w:p>
            <w:pPr>
              <w:spacing w:line="240" w:lineRule="auto"/>
              <w:ind w:firstLine="0" w:firstLineChars="0"/>
              <w:jc w:val="center"/>
              <w:rPr>
                <w:b/>
                <w:bCs/>
                <w:sz w:val="18"/>
              </w:rPr>
            </w:pPr>
            <w:r>
              <w:rPr>
                <w:b/>
                <w:bCs/>
                <w:sz w:val="18"/>
              </w:rPr>
              <w:t>粗糙系数（n）</w:t>
            </w:r>
          </w:p>
        </w:tc>
        <w:tc>
          <w:tcPr>
            <w:tcW w:w="444" w:type="pct"/>
            <w:vAlign w:val="center"/>
          </w:tcPr>
          <w:p>
            <w:pPr>
              <w:spacing w:line="240" w:lineRule="auto"/>
              <w:ind w:firstLine="0" w:firstLineChars="0"/>
              <w:jc w:val="center"/>
              <w:rPr>
                <w:b/>
                <w:bCs/>
                <w:sz w:val="18"/>
              </w:rPr>
            </w:pPr>
            <w:r>
              <w:rPr>
                <w:b/>
                <w:bCs/>
                <w:sz w:val="18"/>
              </w:rPr>
              <w:t>过水面积A（m</w:t>
            </w:r>
            <w:r>
              <w:rPr>
                <w:b/>
                <w:bCs/>
                <w:sz w:val="18"/>
                <w:vertAlign w:val="superscript"/>
              </w:rPr>
              <w:t>2</w:t>
            </w:r>
            <w:r>
              <w:rPr>
                <w:b/>
                <w:bCs/>
                <w:sz w:val="18"/>
              </w:rPr>
              <w:t>）</w:t>
            </w:r>
          </w:p>
        </w:tc>
        <w:tc>
          <w:tcPr>
            <w:tcW w:w="411" w:type="pct"/>
            <w:vAlign w:val="center"/>
          </w:tcPr>
          <w:p>
            <w:pPr>
              <w:spacing w:line="240" w:lineRule="auto"/>
              <w:ind w:firstLine="0" w:firstLineChars="0"/>
              <w:jc w:val="center"/>
              <w:rPr>
                <w:b/>
                <w:bCs/>
                <w:sz w:val="18"/>
              </w:rPr>
            </w:pPr>
            <w:r>
              <w:rPr>
                <w:b/>
                <w:bCs/>
                <w:sz w:val="18"/>
              </w:rPr>
              <w:t>湿周X（m）</w:t>
            </w:r>
          </w:p>
        </w:tc>
        <w:tc>
          <w:tcPr>
            <w:tcW w:w="411" w:type="pct"/>
            <w:vAlign w:val="center"/>
          </w:tcPr>
          <w:p>
            <w:pPr>
              <w:spacing w:line="240" w:lineRule="auto"/>
              <w:ind w:firstLine="0" w:firstLineChars="0"/>
              <w:jc w:val="center"/>
              <w:rPr>
                <w:b/>
                <w:bCs/>
                <w:sz w:val="18"/>
              </w:rPr>
            </w:pPr>
            <w:r>
              <w:rPr>
                <w:b/>
                <w:bCs/>
                <w:sz w:val="18"/>
              </w:rPr>
              <w:t>水力半径R（m）</w:t>
            </w:r>
          </w:p>
        </w:tc>
        <w:tc>
          <w:tcPr>
            <w:tcW w:w="373" w:type="pct"/>
            <w:vAlign w:val="center"/>
          </w:tcPr>
          <w:p>
            <w:pPr>
              <w:spacing w:line="240" w:lineRule="auto"/>
              <w:ind w:firstLine="0" w:firstLineChars="0"/>
              <w:jc w:val="center"/>
              <w:rPr>
                <w:b/>
                <w:bCs/>
                <w:sz w:val="18"/>
              </w:rPr>
            </w:pPr>
            <w:r>
              <w:rPr>
                <w:b/>
                <w:bCs/>
                <w:sz w:val="18"/>
              </w:rPr>
              <w:t>水力坡度i</w:t>
            </w:r>
          </w:p>
        </w:tc>
        <w:tc>
          <w:tcPr>
            <w:tcW w:w="496" w:type="pct"/>
            <w:vAlign w:val="center"/>
          </w:tcPr>
          <w:p>
            <w:pPr>
              <w:spacing w:line="240" w:lineRule="auto"/>
              <w:ind w:firstLine="0" w:firstLineChars="0"/>
              <w:jc w:val="center"/>
              <w:rPr>
                <w:b/>
                <w:bCs/>
                <w:sz w:val="18"/>
              </w:rPr>
            </w:pPr>
            <w:r>
              <w:rPr>
                <w:b/>
                <w:bCs/>
                <w:sz w:val="18"/>
              </w:rPr>
              <w:t>流速v（m/s）</w:t>
            </w:r>
          </w:p>
        </w:tc>
        <w:tc>
          <w:tcPr>
            <w:tcW w:w="255" w:type="pct"/>
            <w:vAlign w:val="center"/>
          </w:tcPr>
          <w:p>
            <w:pPr>
              <w:spacing w:line="240" w:lineRule="auto"/>
              <w:ind w:firstLine="0" w:firstLineChars="0"/>
              <w:jc w:val="center"/>
              <w:rPr>
                <w:b/>
                <w:bCs/>
                <w:sz w:val="18"/>
              </w:rPr>
            </w:pPr>
            <w:r>
              <w:rPr>
                <w:b/>
                <w:bCs/>
                <w:sz w:val="18"/>
              </w:rPr>
              <w:t>充满度</w:t>
            </w:r>
          </w:p>
        </w:tc>
        <w:tc>
          <w:tcPr>
            <w:tcW w:w="489" w:type="pct"/>
            <w:vAlign w:val="center"/>
          </w:tcPr>
          <w:p>
            <w:pPr>
              <w:spacing w:line="240" w:lineRule="auto"/>
              <w:ind w:firstLine="0" w:firstLineChars="0"/>
              <w:jc w:val="center"/>
              <w:rPr>
                <w:b/>
                <w:bCs/>
                <w:sz w:val="18"/>
              </w:rPr>
            </w:pPr>
            <w:r>
              <w:rPr>
                <w:b/>
                <w:bCs/>
                <w:sz w:val="18"/>
              </w:rPr>
              <w:t>能过流量Q（m</w:t>
            </w:r>
            <w:r>
              <w:rPr>
                <w:b/>
                <w:bCs/>
                <w:sz w:val="18"/>
                <w:vertAlign w:val="superscript"/>
              </w:rPr>
              <w:t>3</w:t>
            </w:r>
            <w:r>
              <w:rPr>
                <w:b/>
                <w:bCs/>
                <w:sz w:val="18"/>
              </w:rPr>
              <w:t>/s）</w:t>
            </w:r>
          </w:p>
        </w:tc>
        <w:tc>
          <w:tcPr>
            <w:tcW w:w="574" w:type="pct"/>
            <w:vAlign w:val="center"/>
          </w:tcPr>
          <w:p>
            <w:pPr>
              <w:spacing w:line="240" w:lineRule="auto"/>
              <w:ind w:firstLine="0" w:firstLineChars="0"/>
              <w:jc w:val="center"/>
              <w:rPr>
                <w:b/>
                <w:bCs/>
                <w:sz w:val="18"/>
              </w:rPr>
            </w:pPr>
            <w:r>
              <w:rPr>
                <w:b/>
                <w:bCs/>
                <w:sz w:val="18"/>
              </w:rPr>
              <w:t>雨水洪峰流量（m</w:t>
            </w:r>
            <w:r>
              <w:rPr>
                <w:b/>
                <w:bCs/>
                <w:sz w:val="18"/>
                <w:vertAlign w:val="superscript"/>
              </w:rPr>
              <w:t>3</w:t>
            </w:r>
            <w:r>
              <w:rPr>
                <w:b/>
                <w:bCs/>
                <w:sz w:val="18"/>
              </w:rPr>
              <w:t>/s）</w:t>
            </w:r>
          </w:p>
        </w:tc>
        <w:tc>
          <w:tcPr>
            <w:tcW w:w="343" w:type="pct"/>
            <w:vAlign w:val="center"/>
          </w:tcPr>
          <w:p>
            <w:pPr>
              <w:spacing w:line="240" w:lineRule="auto"/>
              <w:ind w:firstLine="0" w:firstLineChars="0"/>
              <w:jc w:val="center"/>
              <w:rPr>
                <w:b/>
                <w:bCs/>
                <w:sz w:val="18"/>
              </w:rPr>
            </w:pPr>
            <w:r>
              <w:rPr>
                <w:b/>
                <w:bCs/>
                <w:sz w:val="18"/>
              </w:rPr>
              <w:t>是否满足要求</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31" w:type="pct"/>
            <w:vMerge w:val="restart"/>
            <w:vAlign w:val="center"/>
          </w:tcPr>
          <w:p>
            <w:pPr>
              <w:spacing w:line="240" w:lineRule="auto"/>
              <w:ind w:firstLine="0" w:firstLineChars="0"/>
              <w:jc w:val="center"/>
              <w:rPr>
                <w:b/>
                <w:bCs/>
                <w:sz w:val="18"/>
              </w:rPr>
            </w:pPr>
            <w:r>
              <w:rPr>
                <w:sz w:val="18"/>
              </w:rPr>
              <w:t>混凝土管</w:t>
            </w:r>
          </w:p>
        </w:tc>
        <w:tc>
          <w:tcPr>
            <w:tcW w:w="491" w:type="pct"/>
            <w:vAlign w:val="center"/>
          </w:tcPr>
          <w:p>
            <w:pPr>
              <w:spacing w:line="240" w:lineRule="auto"/>
              <w:ind w:firstLine="0" w:firstLineChars="0"/>
              <w:jc w:val="center"/>
              <w:rPr>
                <w:sz w:val="18"/>
              </w:rPr>
            </w:pPr>
            <w:r>
              <w:rPr>
                <w:sz w:val="18"/>
              </w:rPr>
              <w:t>DN600</w:t>
            </w:r>
          </w:p>
        </w:tc>
        <w:tc>
          <w:tcPr>
            <w:tcW w:w="378" w:type="pct"/>
            <w:vAlign w:val="center"/>
          </w:tcPr>
          <w:p>
            <w:pPr>
              <w:spacing w:line="240" w:lineRule="auto"/>
              <w:ind w:firstLine="0" w:firstLineChars="0"/>
              <w:jc w:val="center"/>
              <w:rPr>
                <w:sz w:val="18"/>
              </w:rPr>
            </w:pPr>
            <w:r>
              <w:rPr>
                <w:sz w:val="18"/>
              </w:rPr>
              <w:t>0.014</w:t>
            </w:r>
          </w:p>
        </w:tc>
        <w:tc>
          <w:tcPr>
            <w:tcW w:w="444" w:type="pct"/>
            <w:vAlign w:val="center"/>
          </w:tcPr>
          <w:p>
            <w:pPr>
              <w:spacing w:line="240" w:lineRule="auto"/>
              <w:ind w:firstLine="0" w:firstLineChars="0"/>
              <w:jc w:val="center"/>
              <w:rPr>
                <w:sz w:val="18"/>
              </w:rPr>
            </w:pPr>
            <w:r>
              <w:rPr>
                <w:sz w:val="18"/>
              </w:rPr>
              <w:t>0.283</w:t>
            </w:r>
          </w:p>
        </w:tc>
        <w:tc>
          <w:tcPr>
            <w:tcW w:w="411" w:type="pct"/>
            <w:vAlign w:val="center"/>
          </w:tcPr>
          <w:p>
            <w:pPr>
              <w:spacing w:line="240" w:lineRule="auto"/>
              <w:ind w:firstLine="0" w:firstLineChars="0"/>
              <w:jc w:val="center"/>
              <w:rPr>
                <w:sz w:val="18"/>
              </w:rPr>
            </w:pPr>
            <w:r>
              <w:rPr>
                <w:sz w:val="18"/>
              </w:rPr>
              <w:t>1.885</w:t>
            </w:r>
          </w:p>
        </w:tc>
        <w:tc>
          <w:tcPr>
            <w:tcW w:w="411" w:type="pct"/>
            <w:vAlign w:val="center"/>
          </w:tcPr>
          <w:p>
            <w:pPr>
              <w:spacing w:line="240" w:lineRule="auto"/>
              <w:ind w:firstLine="0" w:firstLineChars="0"/>
              <w:jc w:val="center"/>
              <w:rPr>
                <w:sz w:val="18"/>
              </w:rPr>
            </w:pPr>
            <w:r>
              <w:rPr>
                <w:sz w:val="18"/>
              </w:rPr>
              <w:t>0.15</w:t>
            </w:r>
          </w:p>
        </w:tc>
        <w:tc>
          <w:tcPr>
            <w:tcW w:w="373" w:type="pct"/>
            <w:vAlign w:val="center"/>
          </w:tcPr>
          <w:p>
            <w:pPr>
              <w:spacing w:line="240" w:lineRule="auto"/>
              <w:ind w:firstLine="0" w:firstLineChars="0"/>
              <w:jc w:val="center"/>
              <w:rPr>
                <w:sz w:val="18"/>
              </w:rPr>
            </w:pPr>
            <w:r>
              <w:rPr>
                <w:sz w:val="18"/>
              </w:rPr>
              <w:t>0.002</w:t>
            </w:r>
          </w:p>
        </w:tc>
        <w:tc>
          <w:tcPr>
            <w:tcW w:w="496" w:type="pct"/>
            <w:vAlign w:val="center"/>
          </w:tcPr>
          <w:p>
            <w:pPr>
              <w:spacing w:line="240" w:lineRule="auto"/>
              <w:ind w:firstLine="0" w:firstLineChars="0"/>
              <w:jc w:val="center"/>
              <w:rPr>
                <w:sz w:val="18"/>
              </w:rPr>
            </w:pPr>
            <w:r>
              <w:rPr>
                <w:sz w:val="18"/>
              </w:rPr>
              <w:t>0.902</w:t>
            </w:r>
          </w:p>
        </w:tc>
        <w:tc>
          <w:tcPr>
            <w:tcW w:w="255" w:type="pct"/>
            <w:vAlign w:val="center"/>
          </w:tcPr>
          <w:p>
            <w:pPr>
              <w:spacing w:line="240" w:lineRule="auto"/>
              <w:ind w:firstLine="0" w:firstLineChars="0"/>
              <w:jc w:val="center"/>
              <w:rPr>
                <w:sz w:val="18"/>
              </w:rPr>
            </w:pPr>
            <w:r>
              <w:rPr>
                <w:sz w:val="18"/>
              </w:rPr>
              <w:t>1.0</w:t>
            </w:r>
          </w:p>
        </w:tc>
        <w:tc>
          <w:tcPr>
            <w:tcW w:w="921" w:type="dxa"/>
            <w:vAlign w:val="center"/>
          </w:tcPr>
          <w:p>
            <w:pPr>
              <w:spacing w:line="240" w:lineRule="auto"/>
              <w:ind w:firstLine="0" w:firstLineChars="0"/>
              <w:jc w:val="center"/>
              <w:rPr>
                <w:sz w:val="18"/>
              </w:rPr>
            </w:pPr>
            <w:r>
              <w:rPr>
                <w:sz w:val="18"/>
              </w:rPr>
              <w:t>0.255</w:t>
            </w:r>
          </w:p>
        </w:tc>
        <w:tc>
          <w:tcPr>
            <w:tcW w:w="1080" w:type="dxa"/>
            <w:vAlign w:val="center"/>
          </w:tcPr>
          <w:p>
            <w:pPr>
              <w:spacing w:line="240" w:lineRule="auto"/>
              <w:ind w:firstLine="0" w:firstLineChars="0"/>
              <w:jc w:val="center"/>
              <w:rPr>
                <w:sz w:val="18"/>
              </w:rPr>
            </w:pPr>
            <w:r>
              <w:rPr>
                <w:sz w:val="18"/>
              </w:rPr>
              <w:t>0.235</w:t>
            </w:r>
          </w:p>
        </w:tc>
        <w:tc>
          <w:tcPr>
            <w:tcW w:w="343" w:type="pct"/>
            <w:vAlign w:val="center"/>
          </w:tcPr>
          <w:p>
            <w:pPr>
              <w:spacing w:line="240" w:lineRule="auto"/>
              <w:ind w:firstLine="0" w:firstLineChars="0"/>
              <w:jc w:val="center"/>
              <w:rPr>
                <w:sz w:val="18"/>
              </w:rPr>
            </w:pPr>
            <w:r>
              <w:rPr>
                <w:sz w:val="18"/>
              </w:rPr>
              <w:t>满足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31" w:type="pct"/>
            <w:vMerge w:val="continue"/>
            <w:vAlign w:val="center"/>
          </w:tcPr>
          <w:p>
            <w:pPr>
              <w:spacing w:line="240" w:lineRule="auto"/>
              <w:ind w:firstLine="0" w:firstLineChars="0"/>
              <w:jc w:val="center"/>
              <w:rPr>
                <w:b/>
                <w:bCs/>
                <w:sz w:val="18"/>
              </w:rPr>
            </w:pPr>
          </w:p>
        </w:tc>
        <w:tc>
          <w:tcPr>
            <w:tcW w:w="491" w:type="pct"/>
            <w:vAlign w:val="center"/>
          </w:tcPr>
          <w:p>
            <w:pPr>
              <w:spacing w:line="240" w:lineRule="auto"/>
              <w:ind w:firstLine="0" w:firstLineChars="0"/>
              <w:jc w:val="center"/>
              <w:rPr>
                <w:sz w:val="18"/>
              </w:rPr>
            </w:pPr>
            <w:r>
              <w:rPr>
                <w:sz w:val="18"/>
              </w:rPr>
              <w:t>DN800</w:t>
            </w:r>
          </w:p>
        </w:tc>
        <w:tc>
          <w:tcPr>
            <w:tcW w:w="378" w:type="pct"/>
            <w:vAlign w:val="center"/>
          </w:tcPr>
          <w:p>
            <w:pPr>
              <w:spacing w:line="240" w:lineRule="auto"/>
              <w:ind w:firstLine="0" w:firstLineChars="0"/>
              <w:jc w:val="center"/>
              <w:rPr>
                <w:sz w:val="18"/>
              </w:rPr>
            </w:pPr>
            <w:r>
              <w:rPr>
                <w:sz w:val="18"/>
              </w:rPr>
              <w:t>0.014</w:t>
            </w:r>
          </w:p>
        </w:tc>
        <w:tc>
          <w:tcPr>
            <w:tcW w:w="444" w:type="pct"/>
            <w:vAlign w:val="center"/>
          </w:tcPr>
          <w:p>
            <w:pPr>
              <w:spacing w:line="240" w:lineRule="auto"/>
              <w:ind w:firstLine="0" w:firstLineChars="0"/>
              <w:jc w:val="center"/>
              <w:rPr>
                <w:sz w:val="18"/>
              </w:rPr>
            </w:pPr>
            <w:r>
              <w:rPr>
                <w:sz w:val="18"/>
              </w:rPr>
              <w:t>0.503</w:t>
            </w:r>
          </w:p>
        </w:tc>
        <w:tc>
          <w:tcPr>
            <w:tcW w:w="411" w:type="pct"/>
            <w:vAlign w:val="center"/>
          </w:tcPr>
          <w:p>
            <w:pPr>
              <w:spacing w:line="240" w:lineRule="auto"/>
              <w:ind w:firstLine="0" w:firstLineChars="0"/>
              <w:jc w:val="center"/>
              <w:rPr>
                <w:sz w:val="18"/>
              </w:rPr>
            </w:pPr>
            <w:r>
              <w:rPr>
                <w:sz w:val="18"/>
              </w:rPr>
              <w:t>2.513</w:t>
            </w:r>
          </w:p>
        </w:tc>
        <w:tc>
          <w:tcPr>
            <w:tcW w:w="411" w:type="pct"/>
            <w:vAlign w:val="center"/>
          </w:tcPr>
          <w:p>
            <w:pPr>
              <w:spacing w:line="240" w:lineRule="auto"/>
              <w:ind w:firstLine="0" w:firstLineChars="0"/>
              <w:jc w:val="center"/>
              <w:rPr>
                <w:sz w:val="18"/>
              </w:rPr>
            </w:pPr>
            <w:r>
              <w:rPr>
                <w:sz w:val="18"/>
              </w:rPr>
              <w:t>0.20</w:t>
            </w:r>
          </w:p>
        </w:tc>
        <w:tc>
          <w:tcPr>
            <w:tcW w:w="373" w:type="pct"/>
            <w:vAlign w:val="center"/>
          </w:tcPr>
          <w:p>
            <w:pPr>
              <w:spacing w:line="240" w:lineRule="auto"/>
              <w:ind w:firstLine="0" w:firstLineChars="0"/>
              <w:jc w:val="center"/>
              <w:rPr>
                <w:sz w:val="18"/>
              </w:rPr>
            </w:pPr>
            <w:r>
              <w:rPr>
                <w:sz w:val="18"/>
              </w:rPr>
              <w:t>0.002</w:t>
            </w:r>
          </w:p>
        </w:tc>
        <w:tc>
          <w:tcPr>
            <w:tcW w:w="496" w:type="pct"/>
            <w:vAlign w:val="center"/>
          </w:tcPr>
          <w:p>
            <w:pPr>
              <w:spacing w:line="240" w:lineRule="auto"/>
              <w:ind w:firstLine="0" w:firstLineChars="0"/>
              <w:jc w:val="center"/>
              <w:rPr>
                <w:sz w:val="18"/>
              </w:rPr>
            </w:pPr>
            <w:r>
              <w:rPr>
                <w:sz w:val="18"/>
              </w:rPr>
              <w:t>1.092</w:t>
            </w:r>
          </w:p>
        </w:tc>
        <w:tc>
          <w:tcPr>
            <w:tcW w:w="255" w:type="pct"/>
            <w:vAlign w:val="center"/>
          </w:tcPr>
          <w:p>
            <w:pPr>
              <w:spacing w:line="240" w:lineRule="auto"/>
              <w:ind w:firstLine="0" w:firstLineChars="0"/>
              <w:jc w:val="center"/>
              <w:rPr>
                <w:sz w:val="18"/>
              </w:rPr>
            </w:pPr>
            <w:r>
              <w:rPr>
                <w:sz w:val="18"/>
              </w:rPr>
              <w:t>1.0</w:t>
            </w:r>
          </w:p>
        </w:tc>
        <w:tc>
          <w:tcPr>
            <w:tcW w:w="921" w:type="dxa"/>
            <w:vAlign w:val="center"/>
          </w:tcPr>
          <w:p>
            <w:pPr>
              <w:spacing w:line="240" w:lineRule="auto"/>
              <w:ind w:firstLine="0" w:firstLineChars="0"/>
              <w:jc w:val="center"/>
              <w:rPr>
                <w:sz w:val="18"/>
              </w:rPr>
            </w:pPr>
            <w:r>
              <w:rPr>
                <w:sz w:val="18"/>
              </w:rPr>
              <w:t>0.549</w:t>
            </w:r>
          </w:p>
        </w:tc>
        <w:tc>
          <w:tcPr>
            <w:tcW w:w="1080" w:type="dxa"/>
            <w:vAlign w:val="center"/>
          </w:tcPr>
          <w:p>
            <w:pPr>
              <w:spacing w:line="240" w:lineRule="auto"/>
              <w:ind w:firstLine="0" w:firstLineChars="0"/>
              <w:jc w:val="center"/>
              <w:rPr>
                <w:sz w:val="18"/>
              </w:rPr>
            </w:pPr>
            <w:r>
              <w:rPr>
                <w:sz w:val="18"/>
              </w:rPr>
              <w:t>0.537</w:t>
            </w:r>
          </w:p>
        </w:tc>
        <w:tc>
          <w:tcPr>
            <w:tcW w:w="343" w:type="pct"/>
            <w:vAlign w:val="center"/>
          </w:tcPr>
          <w:p>
            <w:pPr>
              <w:spacing w:line="240" w:lineRule="auto"/>
              <w:ind w:firstLine="0" w:firstLineChars="0"/>
              <w:jc w:val="center"/>
              <w:rPr>
                <w:sz w:val="18"/>
              </w:rPr>
            </w:pPr>
            <w:r>
              <w:rPr>
                <w:sz w:val="18"/>
              </w:rPr>
              <w:t>满足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31" w:type="pct"/>
            <w:vMerge w:val="continue"/>
            <w:vAlign w:val="center"/>
          </w:tcPr>
          <w:p>
            <w:pPr>
              <w:spacing w:line="240" w:lineRule="auto"/>
              <w:ind w:firstLine="0" w:firstLineChars="0"/>
              <w:jc w:val="center"/>
              <w:rPr>
                <w:b/>
                <w:bCs/>
                <w:sz w:val="18"/>
              </w:rPr>
            </w:pPr>
          </w:p>
        </w:tc>
        <w:tc>
          <w:tcPr>
            <w:tcW w:w="491" w:type="pct"/>
            <w:vAlign w:val="center"/>
          </w:tcPr>
          <w:p>
            <w:pPr>
              <w:spacing w:line="240" w:lineRule="auto"/>
              <w:ind w:firstLine="0" w:firstLineChars="0"/>
              <w:jc w:val="center"/>
              <w:rPr>
                <w:sz w:val="18"/>
              </w:rPr>
            </w:pPr>
            <w:r>
              <w:rPr>
                <w:sz w:val="18"/>
              </w:rPr>
              <w:t>DN1000</w:t>
            </w:r>
          </w:p>
        </w:tc>
        <w:tc>
          <w:tcPr>
            <w:tcW w:w="378" w:type="pct"/>
            <w:vAlign w:val="center"/>
          </w:tcPr>
          <w:p>
            <w:pPr>
              <w:spacing w:line="240" w:lineRule="auto"/>
              <w:ind w:firstLine="0" w:firstLineChars="0"/>
              <w:jc w:val="center"/>
              <w:rPr>
                <w:sz w:val="18"/>
              </w:rPr>
            </w:pPr>
            <w:r>
              <w:rPr>
                <w:sz w:val="18"/>
              </w:rPr>
              <w:t>0.014</w:t>
            </w:r>
          </w:p>
        </w:tc>
        <w:tc>
          <w:tcPr>
            <w:tcW w:w="444" w:type="pct"/>
            <w:vAlign w:val="center"/>
          </w:tcPr>
          <w:p>
            <w:pPr>
              <w:spacing w:line="240" w:lineRule="auto"/>
              <w:ind w:firstLine="0" w:firstLineChars="0"/>
              <w:jc w:val="center"/>
              <w:rPr>
                <w:sz w:val="18"/>
              </w:rPr>
            </w:pPr>
            <w:r>
              <w:rPr>
                <w:sz w:val="18"/>
              </w:rPr>
              <w:t>0.785</w:t>
            </w:r>
          </w:p>
        </w:tc>
        <w:tc>
          <w:tcPr>
            <w:tcW w:w="411" w:type="pct"/>
            <w:vAlign w:val="center"/>
          </w:tcPr>
          <w:p>
            <w:pPr>
              <w:spacing w:line="240" w:lineRule="auto"/>
              <w:ind w:firstLine="0" w:firstLineChars="0"/>
              <w:jc w:val="center"/>
              <w:rPr>
                <w:sz w:val="18"/>
              </w:rPr>
            </w:pPr>
            <w:r>
              <w:rPr>
                <w:sz w:val="18"/>
              </w:rPr>
              <w:t>3.142</w:t>
            </w:r>
          </w:p>
        </w:tc>
        <w:tc>
          <w:tcPr>
            <w:tcW w:w="411" w:type="pct"/>
            <w:vAlign w:val="center"/>
          </w:tcPr>
          <w:p>
            <w:pPr>
              <w:spacing w:line="240" w:lineRule="auto"/>
              <w:ind w:firstLine="0" w:firstLineChars="0"/>
              <w:jc w:val="center"/>
              <w:rPr>
                <w:sz w:val="18"/>
              </w:rPr>
            </w:pPr>
            <w:r>
              <w:rPr>
                <w:sz w:val="18"/>
              </w:rPr>
              <w:t>0.25</w:t>
            </w:r>
          </w:p>
        </w:tc>
        <w:tc>
          <w:tcPr>
            <w:tcW w:w="373" w:type="pct"/>
            <w:vAlign w:val="center"/>
          </w:tcPr>
          <w:p>
            <w:pPr>
              <w:spacing w:line="240" w:lineRule="auto"/>
              <w:ind w:firstLine="0" w:firstLineChars="0"/>
              <w:jc w:val="center"/>
              <w:rPr>
                <w:sz w:val="18"/>
              </w:rPr>
            </w:pPr>
            <w:r>
              <w:rPr>
                <w:sz w:val="18"/>
              </w:rPr>
              <w:t>0.002</w:t>
            </w:r>
          </w:p>
        </w:tc>
        <w:tc>
          <w:tcPr>
            <w:tcW w:w="496" w:type="pct"/>
            <w:vAlign w:val="center"/>
          </w:tcPr>
          <w:p>
            <w:pPr>
              <w:spacing w:line="240" w:lineRule="auto"/>
              <w:ind w:firstLine="0" w:firstLineChars="0"/>
              <w:jc w:val="center"/>
              <w:rPr>
                <w:sz w:val="18"/>
              </w:rPr>
            </w:pPr>
            <w:r>
              <w:rPr>
                <w:sz w:val="18"/>
              </w:rPr>
              <w:t>1.268</w:t>
            </w:r>
          </w:p>
        </w:tc>
        <w:tc>
          <w:tcPr>
            <w:tcW w:w="255" w:type="pct"/>
            <w:vAlign w:val="center"/>
          </w:tcPr>
          <w:p>
            <w:pPr>
              <w:spacing w:line="240" w:lineRule="auto"/>
              <w:ind w:firstLine="0" w:firstLineChars="0"/>
              <w:jc w:val="center"/>
              <w:rPr>
                <w:sz w:val="18"/>
              </w:rPr>
            </w:pPr>
            <w:r>
              <w:rPr>
                <w:sz w:val="18"/>
              </w:rPr>
              <w:t>1.0</w:t>
            </w:r>
          </w:p>
        </w:tc>
        <w:tc>
          <w:tcPr>
            <w:tcW w:w="489" w:type="pct"/>
            <w:vAlign w:val="center"/>
          </w:tcPr>
          <w:p>
            <w:pPr>
              <w:spacing w:line="240" w:lineRule="auto"/>
              <w:ind w:firstLine="0" w:firstLineChars="0"/>
              <w:jc w:val="center"/>
              <w:rPr>
                <w:sz w:val="18"/>
              </w:rPr>
            </w:pPr>
            <w:r>
              <w:rPr>
                <w:sz w:val="18"/>
              </w:rPr>
              <w:t>0.996</w:t>
            </w:r>
          </w:p>
        </w:tc>
        <w:tc>
          <w:tcPr>
            <w:tcW w:w="1080" w:type="dxa"/>
            <w:vAlign w:val="center"/>
          </w:tcPr>
          <w:p>
            <w:pPr>
              <w:spacing w:line="240" w:lineRule="auto"/>
              <w:ind w:firstLine="0" w:firstLineChars="0"/>
              <w:jc w:val="center"/>
              <w:rPr>
                <w:sz w:val="18"/>
              </w:rPr>
            </w:pPr>
            <w:r>
              <w:rPr>
                <w:sz w:val="18"/>
              </w:rPr>
              <w:t>0.940</w:t>
            </w:r>
          </w:p>
        </w:tc>
        <w:tc>
          <w:tcPr>
            <w:tcW w:w="343" w:type="pct"/>
            <w:vAlign w:val="center"/>
          </w:tcPr>
          <w:p>
            <w:pPr>
              <w:spacing w:line="240" w:lineRule="auto"/>
              <w:ind w:firstLine="0" w:firstLineChars="0"/>
              <w:jc w:val="center"/>
              <w:rPr>
                <w:sz w:val="18"/>
              </w:rPr>
            </w:pPr>
            <w:r>
              <w:rPr>
                <w:sz w:val="18"/>
              </w:rPr>
              <w:t>满足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31" w:type="pct"/>
            <w:vMerge w:val="continue"/>
            <w:vAlign w:val="center"/>
          </w:tcPr>
          <w:p>
            <w:pPr>
              <w:spacing w:line="240" w:lineRule="auto"/>
              <w:ind w:firstLine="0" w:firstLineChars="0"/>
              <w:jc w:val="center"/>
              <w:rPr>
                <w:b/>
                <w:bCs/>
                <w:sz w:val="18"/>
              </w:rPr>
            </w:pPr>
          </w:p>
        </w:tc>
        <w:tc>
          <w:tcPr>
            <w:tcW w:w="491" w:type="pct"/>
            <w:vAlign w:val="center"/>
          </w:tcPr>
          <w:p>
            <w:pPr>
              <w:spacing w:line="240" w:lineRule="auto"/>
              <w:ind w:firstLine="0" w:firstLineChars="0"/>
              <w:jc w:val="center"/>
              <w:rPr>
                <w:sz w:val="18"/>
              </w:rPr>
            </w:pPr>
            <w:r>
              <w:rPr>
                <w:sz w:val="18"/>
              </w:rPr>
              <w:t>DN1200</w:t>
            </w:r>
          </w:p>
        </w:tc>
        <w:tc>
          <w:tcPr>
            <w:tcW w:w="378" w:type="pct"/>
            <w:vAlign w:val="center"/>
          </w:tcPr>
          <w:p>
            <w:pPr>
              <w:spacing w:line="240" w:lineRule="auto"/>
              <w:ind w:firstLine="0" w:firstLineChars="0"/>
              <w:jc w:val="center"/>
              <w:rPr>
                <w:sz w:val="18"/>
              </w:rPr>
            </w:pPr>
            <w:r>
              <w:rPr>
                <w:sz w:val="18"/>
              </w:rPr>
              <w:t>0.014</w:t>
            </w:r>
          </w:p>
        </w:tc>
        <w:tc>
          <w:tcPr>
            <w:tcW w:w="444" w:type="pct"/>
            <w:vAlign w:val="center"/>
          </w:tcPr>
          <w:p>
            <w:pPr>
              <w:spacing w:line="240" w:lineRule="auto"/>
              <w:ind w:firstLine="0" w:firstLineChars="0"/>
              <w:jc w:val="center"/>
              <w:rPr>
                <w:sz w:val="18"/>
              </w:rPr>
            </w:pPr>
            <w:r>
              <w:rPr>
                <w:sz w:val="18"/>
              </w:rPr>
              <w:t>1.131</w:t>
            </w:r>
          </w:p>
        </w:tc>
        <w:tc>
          <w:tcPr>
            <w:tcW w:w="411" w:type="pct"/>
            <w:vAlign w:val="center"/>
          </w:tcPr>
          <w:p>
            <w:pPr>
              <w:spacing w:line="240" w:lineRule="auto"/>
              <w:ind w:firstLine="0" w:firstLineChars="0"/>
              <w:jc w:val="center"/>
              <w:rPr>
                <w:sz w:val="18"/>
              </w:rPr>
            </w:pPr>
            <w:r>
              <w:rPr>
                <w:sz w:val="18"/>
              </w:rPr>
              <w:t>3.770</w:t>
            </w:r>
          </w:p>
        </w:tc>
        <w:tc>
          <w:tcPr>
            <w:tcW w:w="411" w:type="pct"/>
            <w:vAlign w:val="center"/>
          </w:tcPr>
          <w:p>
            <w:pPr>
              <w:spacing w:line="240" w:lineRule="auto"/>
              <w:ind w:firstLine="0" w:firstLineChars="0"/>
              <w:jc w:val="center"/>
              <w:rPr>
                <w:sz w:val="18"/>
              </w:rPr>
            </w:pPr>
            <w:r>
              <w:rPr>
                <w:sz w:val="18"/>
              </w:rPr>
              <w:t>0.30</w:t>
            </w:r>
          </w:p>
        </w:tc>
        <w:tc>
          <w:tcPr>
            <w:tcW w:w="373" w:type="pct"/>
            <w:vAlign w:val="center"/>
          </w:tcPr>
          <w:p>
            <w:pPr>
              <w:spacing w:line="240" w:lineRule="auto"/>
              <w:ind w:firstLine="0" w:firstLineChars="0"/>
              <w:jc w:val="center"/>
              <w:rPr>
                <w:sz w:val="18"/>
              </w:rPr>
            </w:pPr>
            <w:r>
              <w:rPr>
                <w:sz w:val="18"/>
              </w:rPr>
              <w:t>0.002</w:t>
            </w:r>
          </w:p>
        </w:tc>
        <w:tc>
          <w:tcPr>
            <w:tcW w:w="496" w:type="pct"/>
            <w:vAlign w:val="center"/>
          </w:tcPr>
          <w:p>
            <w:pPr>
              <w:spacing w:line="240" w:lineRule="auto"/>
              <w:ind w:firstLine="0" w:firstLineChars="0"/>
              <w:jc w:val="center"/>
              <w:rPr>
                <w:sz w:val="18"/>
              </w:rPr>
            </w:pPr>
            <w:r>
              <w:rPr>
                <w:sz w:val="18"/>
              </w:rPr>
              <w:t>1.432</w:t>
            </w:r>
          </w:p>
        </w:tc>
        <w:tc>
          <w:tcPr>
            <w:tcW w:w="255" w:type="pct"/>
            <w:vAlign w:val="center"/>
          </w:tcPr>
          <w:p>
            <w:pPr>
              <w:spacing w:line="240" w:lineRule="auto"/>
              <w:ind w:firstLine="0" w:firstLineChars="0"/>
              <w:jc w:val="center"/>
              <w:rPr>
                <w:sz w:val="18"/>
              </w:rPr>
            </w:pPr>
            <w:r>
              <w:rPr>
                <w:sz w:val="18"/>
              </w:rPr>
              <w:t>1.0</w:t>
            </w:r>
          </w:p>
        </w:tc>
        <w:tc>
          <w:tcPr>
            <w:tcW w:w="489" w:type="pct"/>
            <w:vAlign w:val="center"/>
          </w:tcPr>
          <w:p>
            <w:pPr>
              <w:spacing w:line="240" w:lineRule="auto"/>
              <w:ind w:firstLine="0" w:firstLineChars="0"/>
              <w:jc w:val="center"/>
              <w:rPr>
                <w:sz w:val="18"/>
              </w:rPr>
            </w:pPr>
            <w:r>
              <w:rPr>
                <w:sz w:val="18"/>
              </w:rPr>
              <w:t>1.620</w:t>
            </w:r>
          </w:p>
        </w:tc>
        <w:tc>
          <w:tcPr>
            <w:tcW w:w="1080" w:type="dxa"/>
            <w:vAlign w:val="center"/>
          </w:tcPr>
          <w:p>
            <w:pPr>
              <w:spacing w:line="240" w:lineRule="auto"/>
              <w:ind w:firstLine="0" w:firstLineChars="0"/>
              <w:jc w:val="center"/>
              <w:rPr>
                <w:sz w:val="18"/>
              </w:rPr>
            </w:pPr>
            <w:r>
              <w:rPr>
                <w:sz w:val="18"/>
              </w:rPr>
              <w:t>1.141</w:t>
            </w:r>
          </w:p>
        </w:tc>
        <w:tc>
          <w:tcPr>
            <w:tcW w:w="343" w:type="pct"/>
            <w:vAlign w:val="center"/>
          </w:tcPr>
          <w:p>
            <w:pPr>
              <w:spacing w:line="240" w:lineRule="auto"/>
              <w:ind w:firstLine="0" w:firstLineChars="0"/>
              <w:jc w:val="center"/>
              <w:rPr>
                <w:sz w:val="18"/>
              </w:rPr>
            </w:pPr>
            <w:r>
              <w:rPr>
                <w:sz w:val="18"/>
              </w:rPr>
              <w:t>满足</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31" w:type="pct"/>
            <w:vMerge w:val="continue"/>
            <w:vAlign w:val="center"/>
          </w:tcPr>
          <w:p>
            <w:pPr>
              <w:spacing w:line="240" w:lineRule="auto"/>
              <w:ind w:firstLine="0" w:firstLineChars="0"/>
              <w:jc w:val="center"/>
              <w:rPr>
                <w:b/>
                <w:bCs/>
                <w:sz w:val="18"/>
              </w:rPr>
            </w:pPr>
          </w:p>
        </w:tc>
        <w:tc>
          <w:tcPr>
            <w:tcW w:w="491" w:type="pct"/>
            <w:vAlign w:val="center"/>
          </w:tcPr>
          <w:p>
            <w:pPr>
              <w:spacing w:line="240" w:lineRule="auto"/>
              <w:ind w:firstLine="0" w:firstLineChars="0"/>
              <w:jc w:val="center"/>
              <w:rPr>
                <w:sz w:val="18"/>
              </w:rPr>
            </w:pPr>
            <w:r>
              <w:rPr>
                <w:sz w:val="18"/>
              </w:rPr>
              <w:t>DN1500</w:t>
            </w:r>
          </w:p>
        </w:tc>
        <w:tc>
          <w:tcPr>
            <w:tcW w:w="378" w:type="pct"/>
            <w:vAlign w:val="center"/>
          </w:tcPr>
          <w:p>
            <w:pPr>
              <w:spacing w:line="240" w:lineRule="auto"/>
              <w:ind w:firstLine="0" w:firstLineChars="0"/>
              <w:jc w:val="center"/>
              <w:rPr>
                <w:sz w:val="18"/>
              </w:rPr>
            </w:pPr>
            <w:r>
              <w:rPr>
                <w:sz w:val="18"/>
              </w:rPr>
              <w:t>0.014</w:t>
            </w:r>
          </w:p>
        </w:tc>
        <w:tc>
          <w:tcPr>
            <w:tcW w:w="444" w:type="pct"/>
            <w:vAlign w:val="center"/>
          </w:tcPr>
          <w:p>
            <w:pPr>
              <w:spacing w:line="240" w:lineRule="auto"/>
              <w:ind w:firstLine="0" w:firstLineChars="0"/>
              <w:jc w:val="center"/>
              <w:rPr>
                <w:sz w:val="18"/>
              </w:rPr>
            </w:pPr>
            <w:r>
              <w:rPr>
                <w:sz w:val="18"/>
              </w:rPr>
              <w:t>1.767</w:t>
            </w:r>
          </w:p>
        </w:tc>
        <w:tc>
          <w:tcPr>
            <w:tcW w:w="411" w:type="pct"/>
            <w:vAlign w:val="center"/>
          </w:tcPr>
          <w:p>
            <w:pPr>
              <w:spacing w:line="240" w:lineRule="auto"/>
              <w:ind w:firstLine="0" w:firstLineChars="0"/>
              <w:jc w:val="center"/>
              <w:rPr>
                <w:sz w:val="18"/>
              </w:rPr>
            </w:pPr>
            <w:r>
              <w:rPr>
                <w:sz w:val="18"/>
              </w:rPr>
              <w:t>4.712</w:t>
            </w:r>
          </w:p>
        </w:tc>
        <w:tc>
          <w:tcPr>
            <w:tcW w:w="411" w:type="pct"/>
            <w:vAlign w:val="center"/>
          </w:tcPr>
          <w:p>
            <w:pPr>
              <w:spacing w:line="240" w:lineRule="auto"/>
              <w:ind w:firstLine="0" w:firstLineChars="0"/>
              <w:jc w:val="center"/>
              <w:rPr>
                <w:sz w:val="18"/>
              </w:rPr>
            </w:pPr>
            <w:r>
              <w:rPr>
                <w:sz w:val="18"/>
              </w:rPr>
              <w:t>0.375</w:t>
            </w:r>
          </w:p>
        </w:tc>
        <w:tc>
          <w:tcPr>
            <w:tcW w:w="373" w:type="pct"/>
            <w:vAlign w:val="center"/>
          </w:tcPr>
          <w:p>
            <w:pPr>
              <w:spacing w:line="240" w:lineRule="auto"/>
              <w:ind w:firstLine="0" w:firstLineChars="0"/>
              <w:jc w:val="center"/>
              <w:rPr>
                <w:sz w:val="18"/>
              </w:rPr>
            </w:pPr>
            <w:r>
              <w:rPr>
                <w:sz w:val="18"/>
              </w:rPr>
              <w:t>0.002</w:t>
            </w:r>
          </w:p>
        </w:tc>
        <w:tc>
          <w:tcPr>
            <w:tcW w:w="496" w:type="pct"/>
            <w:vAlign w:val="center"/>
          </w:tcPr>
          <w:p>
            <w:pPr>
              <w:spacing w:line="240" w:lineRule="auto"/>
              <w:ind w:firstLine="0" w:firstLineChars="0"/>
              <w:jc w:val="center"/>
              <w:rPr>
                <w:sz w:val="18"/>
              </w:rPr>
            </w:pPr>
            <w:r>
              <w:rPr>
                <w:sz w:val="18"/>
              </w:rPr>
              <w:t>1.661</w:t>
            </w:r>
          </w:p>
        </w:tc>
        <w:tc>
          <w:tcPr>
            <w:tcW w:w="255" w:type="pct"/>
            <w:vAlign w:val="center"/>
          </w:tcPr>
          <w:p>
            <w:pPr>
              <w:spacing w:line="240" w:lineRule="auto"/>
              <w:ind w:firstLine="0" w:firstLineChars="0"/>
              <w:jc w:val="center"/>
              <w:rPr>
                <w:sz w:val="18"/>
              </w:rPr>
            </w:pPr>
            <w:r>
              <w:rPr>
                <w:sz w:val="18"/>
              </w:rPr>
              <w:t>1.0</w:t>
            </w:r>
          </w:p>
        </w:tc>
        <w:tc>
          <w:tcPr>
            <w:tcW w:w="489" w:type="pct"/>
            <w:vAlign w:val="center"/>
          </w:tcPr>
          <w:p>
            <w:pPr>
              <w:spacing w:line="240" w:lineRule="auto"/>
              <w:ind w:firstLine="0" w:firstLineChars="0"/>
              <w:jc w:val="center"/>
              <w:rPr>
                <w:sz w:val="18"/>
              </w:rPr>
            </w:pPr>
            <w:r>
              <w:rPr>
                <w:sz w:val="18"/>
              </w:rPr>
              <w:t>2.935</w:t>
            </w:r>
          </w:p>
        </w:tc>
        <w:tc>
          <w:tcPr>
            <w:tcW w:w="1080" w:type="dxa"/>
            <w:vAlign w:val="center"/>
          </w:tcPr>
          <w:p>
            <w:pPr>
              <w:spacing w:line="240" w:lineRule="auto"/>
              <w:ind w:firstLine="0" w:firstLineChars="0"/>
              <w:jc w:val="center"/>
              <w:rPr>
                <w:sz w:val="18"/>
              </w:rPr>
            </w:pPr>
            <w:r>
              <w:rPr>
                <w:sz w:val="18"/>
              </w:rPr>
              <w:t>2.854</w:t>
            </w:r>
          </w:p>
        </w:tc>
        <w:tc>
          <w:tcPr>
            <w:tcW w:w="343" w:type="pct"/>
            <w:vAlign w:val="center"/>
          </w:tcPr>
          <w:p>
            <w:pPr>
              <w:spacing w:line="240" w:lineRule="auto"/>
              <w:ind w:firstLine="0" w:firstLineChars="0"/>
              <w:jc w:val="center"/>
              <w:rPr>
                <w:sz w:val="18"/>
              </w:rPr>
            </w:pPr>
            <w:r>
              <w:rPr>
                <w:sz w:val="18"/>
              </w:rPr>
              <w:t>满足</w:t>
            </w:r>
          </w:p>
        </w:tc>
      </w:tr>
    </w:tbl>
    <w:p>
      <w:pPr>
        <w:spacing w:beforeLines="50"/>
        <w:ind w:firstLine="480"/>
      </w:pPr>
      <w:r>
        <w:t>根据上表计算，可知在最大输水流量下，园区设计的DN600~DN1600钢筋混凝土管较为合适。满足排水需求。</w:t>
      </w:r>
    </w:p>
    <w:p>
      <w:pPr>
        <w:ind w:firstLine="480"/>
      </w:pPr>
      <w:r>
        <w:t>4、削坡措施</w:t>
      </w:r>
    </w:p>
    <w:p>
      <w:pPr>
        <w:ind w:firstLine="480"/>
      </w:pPr>
      <w:r>
        <w:t>园区规划竖向设计时，根据原始地形地貌，通过设置场地纵坡、台地等方式以达到园区内土石方平衡目的，由于地势高差原因，将形成一定的挖填边坡，园区建设时，对于部分高挖及高填边坡进行削坡、坡面修整和清理危岩及松动块石，保证坡面安全。</w:t>
      </w:r>
    </w:p>
    <w:p>
      <w:pPr>
        <w:ind w:firstLine="480"/>
      </w:pPr>
      <w:r>
        <w:t>措施评价：削坡措施的实施不仅保证了边坡的稳定，而且避免了边坡失稳造成的水土流失。采取了以上这些措施后，即保证工程的正常运行，又在一定程度起到了水土保持作用。满足水土保持要求。</w:t>
      </w:r>
    </w:p>
    <w:p>
      <w:pPr>
        <w:ind w:firstLine="480"/>
      </w:pPr>
      <w:r>
        <w:t>5、道路综合绿化</w:t>
      </w:r>
    </w:p>
    <w:p>
      <w:pPr>
        <w:ind w:firstLine="480"/>
      </w:pPr>
      <w:r>
        <w:t>根据调查，主体已对北二路（永祥段）、西二路、北永路、永祥物流通道等道路实施了栽植行道树绿化。绿化以当地乡土物种为主，乔木主要为小叶榕、香樟、槐树等。经统计，本区共计绿化面积为7.74hm</w:t>
      </w:r>
      <w:r>
        <w:rPr>
          <w:vertAlign w:val="superscript"/>
        </w:rPr>
        <w:t>2</w:t>
      </w:r>
      <w:r>
        <w:t>，其中栽植行道树0.57hm</w:t>
      </w:r>
      <w:r>
        <w:rPr>
          <w:vertAlign w:val="superscript"/>
        </w:rPr>
        <w:t>2</w:t>
      </w:r>
      <w:r>
        <w:t>/3971株（其中已建区栽植0.07hm</w:t>
      </w:r>
      <w:r>
        <w:rPr>
          <w:vertAlign w:val="superscript"/>
        </w:rPr>
        <w:t>2</w:t>
      </w:r>
      <w:r>
        <w:t>/516株，在建区栽植0.29hm</w:t>
      </w:r>
      <w:r>
        <w:rPr>
          <w:vertAlign w:val="superscript"/>
        </w:rPr>
        <w:t>2</w:t>
      </w:r>
      <w:r>
        <w:t>/1980株，未建区栽植0.21hm</w:t>
      </w:r>
      <w:r>
        <w:rPr>
          <w:vertAlign w:val="superscript"/>
        </w:rPr>
        <w:t>2</w:t>
      </w:r>
      <w:r>
        <w:t>/1475株），道路绿化带面积7.17hm</w:t>
      </w:r>
      <w:r>
        <w:rPr>
          <w:vertAlign w:val="superscript"/>
        </w:rPr>
        <w:t>2</w:t>
      </w:r>
      <w:r>
        <w:t>（其中已建区2.04hm</w:t>
      </w:r>
      <w:r>
        <w:rPr>
          <w:vertAlign w:val="superscript"/>
        </w:rPr>
        <w:t>2</w:t>
      </w:r>
      <w:r>
        <w:t>，在建区2.93hm</w:t>
      </w:r>
      <w:r>
        <w:rPr>
          <w:vertAlign w:val="superscript"/>
        </w:rPr>
        <w:t>2</w:t>
      </w:r>
      <w:r>
        <w:t>，未建区2.20hm</w:t>
      </w:r>
      <w:r>
        <w:rPr>
          <w:vertAlign w:val="superscript"/>
        </w:rPr>
        <w:t>2</w:t>
      </w:r>
      <w:r>
        <w:t>）。</w:t>
      </w:r>
    </w:p>
    <w:p>
      <w:pPr>
        <w:ind w:firstLine="480"/>
      </w:pPr>
      <w:r>
        <w:t>措施评价：绿化工程，即可减少雨水对土壤的溅蚀，又起到环境美化和净化空气的作用，</w:t>
      </w:r>
      <w:r>
        <w:rPr>
          <w:kern w:val="0"/>
          <w:szCs w:val="24"/>
        </w:rPr>
        <w:t>具有良好的水土保持功能。</w:t>
      </w:r>
    </w:p>
    <w:p>
      <w:pPr>
        <w:ind w:firstLine="480"/>
      </w:pPr>
      <w:r>
        <w:t>6、边坡绿化防护</w:t>
      </w:r>
    </w:p>
    <w:p>
      <w:pPr>
        <w:ind w:firstLine="480"/>
      </w:pPr>
      <w:r>
        <w:t>根据设计资料，园区道路填方区路堤及挖方段边坡高度≤4米时采用喷播植草进行防护，边坡高度＞4米时采用挂三维网植草进行防护，边坡分级高度为8m的无外倾结构面的岩质边坡采用锚杆框架梁进行防护。路基填方边坡统一采用分级放坡，按一级边坡1：1.5坡率、二级边坡1：1.75坡率、三级及三级以上边坡按1：2坡率进行放坡。每级边坡≤8m，分级平台宽度2m，为减少边坡防护工程量。路基挖方边坡统一采用分级放坡，边坡采用临时性防护，分级边坡坡率依次为1：1、1：1.25、1：1.5，边坡分级高度为8m，级间平台宽度2m。经统计，本区边坡绿化面积为12.76hm</w:t>
      </w:r>
      <w:r>
        <w:rPr>
          <w:vertAlign w:val="superscript"/>
        </w:rPr>
        <w:t>2</w:t>
      </w:r>
      <w:r>
        <w:t>，其中挂三维网植草面积为4.21hm</w:t>
      </w:r>
      <w:r>
        <w:rPr>
          <w:vertAlign w:val="superscript"/>
        </w:rPr>
        <w:t>2</w:t>
      </w:r>
      <w:r>
        <w:t>（其中在建区3.11hm</w:t>
      </w:r>
      <w:r>
        <w:rPr>
          <w:vertAlign w:val="superscript"/>
        </w:rPr>
        <w:t>2</w:t>
      </w:r>
      <w:r>
        <w:t>，未建区1.10hm</w:t>
      </w:r>
      <w:r>
        <w:rPr>
          <w:vertAlign w:val="superscript"/>
        </w:rPr>
        <w:t>2</w:t>
      </w:r>
      <w:r>
        <w:t>），喷播植草面积为8.55hm</w:t>
      </w:r>
      <w:r>
        <w:rPr>
          <w:vertAlign w:val="superscript"/>
        </w:rPr>
        <w:t>2</w:t>
      </w:r>
      <w:r>
        <w:t>（其中在建区7.25hm</w:t>
      </w:r>
      <w:r>
        <w:rPr>
          <w:vertAlign w:val="superscript"/>
        </w:rPr>
        <w:t>2</w:t>
      </w:r>
      <w:r>
        <w:t>，未建区1.30hm</w:t>
      </w:r>
      <w:r>
        <w:rPr>
          <w:vertAlign w:val="superscript"/>
        </w:rPr>
        <w:t>2</w:t>
      </w:r>
      <w:r>
        <w:t>）。</w:t>
      </w:r>
    </w:p>
    <w:p>
      <w:pPr>
        <w:ind w:firstLine="480"/>
      </w:pPr>
      <w:r>
        <w:t>措施评价：绿化工程，即可减少雨水对土壤的溅蚀，又起到环境美化和净化空气的作用，</w:t>
      </w:r>
      <w:r>
        <w:rPr>
          <w:kern w:val="0"/>
          <w:szCs w:val="24"/>
        </w:rPr>
        <w:t>具有良好的水土保持功能。</w:t>
      </w:r>
    </w:p>
    <w:p>
      <w:pPr>
        <w:pStyle w:val="8"/>
        <w:rPr>
          <w:rFonts w:eastAsia="仿宋_GB2312"/>
        </w:rPr>
      </w:pPr>
      <w:r>
        <w:rPr>
          <w:rFonts w:eastAsia="仿宋_GB2312"/>
        </w:rPr>
        <w:t>3.2.7.1.3公用设施用地区</w:t>
      </w:r>
    </w:p>
    <w:p>
      <w:pPr>
        <w:ind w:firstLine="480"/>
        <w:rPr>
          <w:kern w:val="0"/>
          <w:szCs w:val="24"/>
        </w:rPr>
      </w:pPr>
      <w:r>
        <w:t>1、</w:t>
      </w:r>
      <w:r>
        <w:rPr>
          <w:kern w:val="0"/>
          <w:szCs w:val="24"/>
        </w:rPr>
        <w:t>表土剥离及回覆</w:t>
      </w:r>
    </w:p>
    <w:p>
      <w:pPr>
        <w:ind w:firstLine="480"/>
      </w:pPr>
      <w:r>
        <w:t>根据调查，主体已对工业污水厂、变电站等公用设施实施了表土剥离措施，表土剥离面积为2.01hm</w:t>
      </w:r>
      <w:r>
        <w:rPr>
          <w:vertAlign w:val="superscript"/>
        </w:rPr>
        <w:t>2</w:t>
      </w:r>
      <w:r>
        <w:t>，剥离厚度0.20m~0.40m，剥离量为0.71万m</w:t>
      </w:r>
      <w:r>
        <w:rPr>
          <w:vertAlign w:val="superscript"/>
        </w:rPr>
        <w:t>3</w:t>
      </w:r>
      <w:r>
        <w:t>，剥离后的表土用于后期绿化覆土使用。</w:t>
      </w:r>
    </w:p>
    <w:p>
      <w:pPr>
        <w:ind w:firstLine="480"/>
      </w:pPr>
      <w:r>
        <w:t>措施评价：表土是一种重要的自然资源，做到表土剥离及再利用，对保护表土资源及减少水土流失有着重大意义。</w:t>
      </w:r>
      <w:r>
        <w:rPr>
          <w:kern w:val="0"/>
          <w:szCs w:val="24"/>
        </w:rPr>
        <w:t>根据GB50433-D.0.3，表土剥离措施应界定为水土保持措施。</w:t>
      </w:r>
    </w:p>
    <w:p>
      <w:pPr>
        <w:ind w:firstLine="480"/>
      </w:pPr>
      <w:r>
        <w:t>2、场内排水措施</w:t>
      </w:r>
    </w:p>
    <w:p>
      <w:pPr>
        <w:ind w:firstLine="480"/>
      </w:pPr>
      <w:r>
        <w:t>根据园区内已批复项目的水土保持方案报告，主体对本区公用设施内部设计有雨水管、雨水口及排水沟等措施。经统计，雨水管4546m，雨水口159个，浆砌石排水沟408m。其排水沟的过水能力校核已在对应的批复方案中校核，本报告不再重复计算。</w:t>
      </w:r>
    </w:p>
    <w:p>
      <w:pPr>
        <w:ind w:firstLine="480"/>
      </w:pPr>
      <w:r>
        <w:t>措施评价：雨水管、排水沟等排水措施可减少地表径流对地面的冲刷影响，有利于园区地势的稳定，又能有效减轻径流及雨水对土壤的冲刷作用。具有水土保持功能。</w:t>
      </w:r>
    </w:p>
    <w:p>
      <w:pPr>
        <w:ind w:firstLine="480"/>
      </w:pPr>
      <w:r>
        <w:t>3、乔灌草综合绿化</w:t>
      </w:r>
    </w:p>
    <w:p>
      <w:pPr>
        <w:ind w:firstLine="480"/>
        <w:rPr>
          <w:kern w:val="0"/>
          <w:szCs w:val="24"/>
        </w:rPr>
      </w:pPr>
      <w:r>
        <w:rPr>
          <w:kern w:val="0"/>
          <w:szCs w:val="24"/>
        </w:rPr>
        <w:t>根据收集的资料统计和推算，本区绿化面积共计7.25hm</w:t>
      </w:r>
      <w:r>
        <w:rPr>
          <w:kern w:val="0"/>
          <w:szCs w:val="24"/>
          <w:vertAlign w:val="superscript"/>
        </w:rPr>
        <w:t>2</w:t>
      </w:r>
      <w:r>
        <w:rPr>
          <w:kern w:val="0"/>
          <w:szCs w:val="24"/>
        </w:rPr>
        <w:t>（其中在建区绿化面积为2.36hm</w:t>
      </w:r>
      <w:r>
        <w:rPr>
          <w:kern w:val="0"/>
          <w:szCs w:val="24"/>
          <w:vertAlign w:val="superscript"/>
        </w:rPr>
        <w:t>2</w:t>
      </w:r>
      <w:r>
        <w:rPr>
          <w:kern w:val="0"/>
          <w:szCs w:val="24"/>
        </w:rPr>
        <w:t>、未建区绿化面积为4.89hm</w:t>
      </w:r>
      <w:r>
        <w:rPr>
          <w:kern w:val="0"/>
          <w:szCs w:val="24"/>
          <w:vertAlign w:val="superscript"/>
        </w:rPr>
        <w:t>2</w:t>
      </w:r>
      <w:r>
        <w:rPr>
          <w:kern w:val="0"/>
          <w:szCs w:val="24"/>
        </w:rPr>
        <w:t>），绿化以当地乡土物种为主，乔木主要为香樟、银杏等，灌木主要为海桐、红继木等，草本主要为麦冬、狗牙根等。</w:t>
      </w:r>
    </w:p>
    <w:p>
      <w:pPr>
        <w:ind w:firstLine="480"/>
      </w:pPr>
      <w:r>
        <w:t>措施评价：绿化工程，即可减少雨水对土壤的溅蚀，又起到环境美化和净化空气的作用，</w:t>
      </w:r>
      <w:r>
        <w:rPr>
          <w:kern w:val="0"/>
          <w:szCs w:val="24"/>
        </w:rPr>
        <w:t>具有良好的水土保持功能。</w:t>
      </w:r>
    </w:p>
    <w:p>
      <w:pPr>
        <w:pStyle w:val="8"/>
        <w:rPr>
          <w:rFonts w:eastAsia="仿宋_GB2312"/>
        </w:rPr>
      </w:pPr>
      <w:r>
        <w:rPr>
          <w:rFonts w:eastAsia="仿宋_GB2312"/>
        </w:rPr>
        <w:t>3.2.7.1.4绿地与广场用地区</w:t>
      </w:r>
    </w:p>
    <w:p>
      <w:pPr>
        <w:ind w:firstLine="480"/>
      </w:pPr>
      <w:r>
        <w:t>1、表土回覆</w:t>
      </w:r>
    </w:p>
    <w:p>
      <w:pPr>
        <w:ind w:firstLine="480"/>
      </w:pPr>
      <w:r>
        <w:t>根据现场调查，本区已绿化面积6.64hm</w:t>
      </w:r>
      <w:r>
        <w:rPr>
          <w:vertAlign w:val="superscript"/>
        </w:rPr>
        <w:t>2</w:t>
      </w:r>
      <w:r>
        <w:t>，表土回覆厚度为0.4~0.5m，表土回覆量为1.41万m</w:t>
      </w:r>
      <w:r>
        <w:rPr>
          <w:vertAlign w:val="superscript"/>
        </w:rPr>
        <w:t>3</w:t>
      </w:r>
      <w:r>
        <w:t>。表土来源于园区其他区域剥离的表土。</w:t>
      </w:r>
    </w:p>
    <w:p>
      <w:pPr>
        <w:ind w:firstLine="480"/>
      </w:pPr>
      <w:r>
        <w:t>措施评价：表土是一种重要的自然资源，做到表土再利用，对保护表土资源及减少水土流失有着重大意义。</w:t>
      </w:r>
      <w:r>
        <w:rPr>
          <w:kern w:val="0"/>
          <w:szCs w:val="24"/>
        </w:rPr>
        <w:t>根据GB50433-D.0.3，表土剥离措施应界定为水土保持措施。</w:t>
      </w:r>
    </w:p>
    <w:p>
      <w:pPr>
        <w:ind w:firstLine="480"/>
      </w:pPr>
      <w:r>
        <w:t>2、乔灌草综合绿化</w:t>
      </w:r>
    </w:p>
    <w:p>
      <w:pPr>
        <w:ind w:firstLine="480"/>
        <w:rPr>
          <w:kern w:val="0"/>
          <w:szCs w:val="24"/>
        </w:rPr>
      </w:pPr>
      <w:r>
        <w:t>根据收集的资料统计和推算，本区绿化面积共计48.21hm</w:t>
      </w:r>
      <w:r>
        <w:rPr>
          <w:vertAlign w:val="superscript"/>
        </w:rPr>
        <w:t>2</w:t>
      </w:r>
      <w:r>
        <w:t>（其中</w:t>
      </w:r>
      <w:r>
        <w:rPr>
          <w:kern w:val="0"/>
          <w:szCs w:val="24"/>
        </w:rPr>
        <w:t>在建区绿化面积为6.64hm</w:t>
      </w:r>
      <w:r>
        <w:rPr>
          <w:kern w:val="0"/>
          <w:szCs w:val="24"/>
          <w:vertAlign w:val="superscript"/>
        </w:rPr>
        <w:t>2</w:t>
      </w:r>
      <w:r>
        <w:rPr>
          <w:kern w:val="0"/>
          <w:szCs w:val="24"/>
        </w:rPr>
        <w:t>、未建区绿化面积为41.57hm</w:t>
      </w:r>
      <w:r>
        <w:rPr>
          <w:kern w:val="0"/>
          <w:szCs w:val="24"/>
          <w:vertAlign w:val="superscript"/>
        </w:rPr>
        <w:t>2</w:t>
      </w:r>
      <w:r>
        <w:t>），绿化以当地乡土物种为主，</w:t>
      </w:r>
      <w:r>
        <w:rPr>
          <w:kern w:val="0"/>
          <w:szCs w:val="24"/>
        </w:rPr>
        <w:t>乔木主要为香樟、银杏等，灌木主要为海桐、红继木等，草本主要为麦冬、狗牙根等。</w:t>
      </w:r>
    </w:p>
    <w:p>
      <w:pPr>
        <w:ind w:firstLine="480"/>
        <w:rPr>
          <w:kern w:val="0"/>
          <w:szCs w:val="24"/>
        </w:rPr>
      </w:pPr>
      <w:r>
        <w:t>措施评价：绿化工程，即可减少雨水对土壤的溅蚀，又起到环境美化和净化空气的作用，</w:t>
      </w:r>
      <w:r>
        <w:rPr>
          <w:kern w:val="0"/>
          <w:szCs w:val="24"/>
        </w:rPr>
        <w:t>具有良好的水土保持功能。</w:t>
      </w:r>
    </w:p>
    <w:p>
      <w:pPr>
        <w:pStyle w:val="7"/>
      </w:pPr>
      <w:r>
        <w:t>3.2.7.2远期建设区</w:t>
      </w:r>
    </w:p>
    <w:p>
      <w:pPr>
        <w:ind w:firstLine="482"/>
        <w:rPr>
          <w:b/>
          <w:bCs/>
          <w:kern w:val="0"/>
          <w:szCs w:val="24"/>
        </w:rPr>
      </w:pPr>
      <w:r>
        <w:rPr>
          <w:b/>
          <w:bCs/>
        </w:rPr>
        <w:t>本评估报告要求入驻项目在建设过程中落实完善的水土保持措施体系，并加强管护，保证水土保持措施安全有效运行。根据规划期及本评估方案期限，本报告仅对远期水土保持工作提要求，待本报告水土保持服务期满后，再对远期进行详细评估。同时，建议园区根据区域水土流失动态监测结果，结合园区景观规划的需要，对远期建设区局部水土流失剧烈及以上的区域，主要采取补植补种措施，恢复绿化。</w:t>
      </w:r>
    </w:p>
    <w:p>
      <w:pPr>
        <w:pStyle w:val="5"/>
      </w:pPr>
      <w:bookmarkStart w:id="64" w:name="_Toc17909"/>
      <w:r>
        <w:t>3.3主体工程设计中水土保持措施界定</w:t>
      </w:r>
      <w:bookmarkEnd w:id="64"/>
    </w:p>
    <w:p>
      <w:pPr>
        <w:pStyle w:val="6"/>
      </w:pPr>
      <w:r>
        <w:t>3.3.1水土保持工程的界定原则和方法</w:t>
      </w:r>
    </w:p>
    <w:p>
      <w:pPr>
        <w:widowControl/>
        <w:adjustRightInd w:val="0"/>
        <w:snapToGrid w:val="0"/>
        <w:ind w:firstLine="480"/>
        <w:rPr>
          <w:kern w:val="0"/>
        </w:rPr>
      </w:pPr>
      <w:r>
        <w:rPr>
          <w:kern w:val="0"/>
        </w:rPr>
        <w:t>（1）以防治水土流失为主要目标的防护工程，应界定为水土保持工程。以主体工程设计功能为主、同时建有水土保持功能的工程，不纳入水土流失防治措施体系，仅对其进行水土保持分析评价；当不能满足水土保持要求时，可要求主体设计修改完善，也可提出补充措施（纳入水土流失防治措施体系）。</w:t>
      </w:r>
    </w:p>
    <w:p>
      <w:pPr>
        <w:widowControl/>
        <w:adjustRightInd w:val="0"/>
        <w:snapToGrid w:val="0"/>
        <w:ind w:firstLine="480"/>
        <w:rPr>
          <w:kern w:val="0"/>
        </w:rPr>
      </w:pPr>
      <w:r>
        <w:rPr>
          <w:kern w:val="0"/>
        </w:rPr>
        <w:t>（2）对建设过程中的临时征地、临时占地，因施工结束后需归还当地群众或政府，水土流失防治责任发生转移，须通过水土保持验收予以确认，各项防护措施均应界定为水土保持工程，纳入水土保持措施体系。</w:t>
      </w:r>
    </w:p>
    <w:p>
      <w:pPr>
        <w:ind w:firstLine="480"/>
        <w:rPr>
          <w:caps/>
        </w:rPr>
      </w:pPr>
      <w:r>
        <w:rPr>
          <w:kern w:val="0"/>
        </w:rPr>
        <w:t>（3）对临时占地区内主体设计功能和水土保持功能难以直观区分的防护措施，可按破坏性试验的原则进行排除：假定没有这项防护措施，主体设计功能仍就可以发挥作用，但会产生较大水土流失，该项防护措施应界定为水土保持工程，纳入水土流失防治措施体系</w:t>
      </w:r>
      <w:r>
        <w:rPr>
          <w:caps/>
        </w:rPr>
        <w:t>。</w:t>
      </w:r>
    </w:p>
    <w:p>
      <w:pPr>
        <w:pStyle w:val="6"/>
      </w:pPr>
      <w:r>
        <w:t>3.3.2主体工程设计中具有水土保持功能措施的工程量及投资</w:t>
      </w:r>
    </w:p>
    <w:p>
      <w:pPr>
        <w:ind w:firstLine="480"/>
      </w:pPr>
      <w:r>
        <w:t>主体工程设计中具有水土保持功能措施的工程量及投资，详见下表。</w:t>
      </w:r>
    </w:p>
    <w:p>
      <w:pPr>
        <w:ind w:firstLine="480"/>
      </w:pPr>
      <w:r>
        <w:br w:type="page"/>
      </w:r>
    </w:p>
    <w:p>
      <w:pPr>
        <w:pStyle w:val="68"/>
        <w:spacing w:after="120"/>
      </w:pPr>
      <w:r>
        <w:t>表3-4主体工程中具有水保功能措施工程量及投资表</w:t>
      </w:r>
    </w:p>
    <w:tbl>
      <w:tblPr>
        <w:tblStyle w:val="36"/>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823"/>
        <w:gridCol w:w="833"/>
        <w:gridCol w:w="1106"/>
        <w:gridCol w:w="1079"/>
        <w:gridCol w:w="906"/>
        <w:gridCol w:w="6"/>
        <w:gridCol w:w="45"/>
        <w:gridCol w:w="880"/>
        <w:gridCol w:w="1071"/>
        <w:gridCol w:w="1285"/>
        <w:gridCol w:w="124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89" w:type="pct"/>
            <w:gridSpan w:val="3"/>
            <w:vAlign w:val="center"/>
          </w:tcPr>
          <w:p>
            <w:pPr>
              <w:pStyle w:val="53"/>
              <w:rPr>
                <w:rFonts w:eastAsia="仿宋_GB2312"/>
                <w:b/>
                <w:bCs/>
              </w:rPr>
            </w:pPr>
            <w:r>
              <w:rPr>
                <w:rFonts w:eastAsia="仿宋_GB2312"/>
                <w:b/>
                <w:bCs/>
              </w:rPr>
              <w:t>防治分区</w:t>
            </w:r>
          </w:p>
        </w:tc>
        <w:tc>
          <w:tcPr>
            <w:tcW w:w="581" w:type="pct"/>
            <w:vMerge w:val="restart"/>
            <w:vAlign w:val="center"/>
          </w:tcPr>
          <w:p>
            <w:pPr>
              <w:pStyle w:val="53"/>
              <w:rPr>
                <w:rFonts w:eastAsia="仿宋_GB2312"/>
                <w:b/>
                <w:bCs/>
              </w:rPr>
            </w:pPr>
            <w:r>
              <w:rPr>
                <w:rFonts w:eastAsia="仿宋_GB2312"/>
                <w:b/>
                <w:bCs/>
              </w:rPr>
              <w:t>措施类型</w:t>
            </w:r>
          </w:p>
        </w:tc>
        <w:tc>
          <w:tcPr>
            <w:tcW w:w="989" w:type="pct"/>
            <w:gridSpan w:val="4"/>
            <w:vMerge w:val="restart"/>
            <w:vAlign w:val="center"/>
          </w:tcPr>
          <w:p>
            <w:pPr>
              <w:pStyle w:val="53"/>
              <w:rPr>
                <w:rFonts w:eastAsia="仿宋_GB2312"/>
                <w:b/>
                <w:bCs/>
              </w:rPr>
            </w:pPr>
            <w:r>
              <w:rPr>
                <w:rFonts w:eastAsia="仿宋_GB2312"/>
                <w:b/>
                <w:bCs/>
              </w:rPr>
              <w:t>措施名称</w:t>
            </w:r>
          </w:p>
        </w:tc>
        <w:tc>
          <w:tcPr>
            <w:tcW w:w="577" w:type="pct"/>
            <w:vMerge w:val="restart"/>
            <w:vAlign w:val="center"/>
          </w:tcPr>
          <w:p>
            <w:pPr>
              <w:pStyle w:val="53"/>
              <w:rPr>
                <w:rFonts w:eastAsia="仿宋_GB2312"/>
                <w:b/>
                <w:bCs/>
              </w:rPr>
            </w:pPr>
            <w:r>
              <w:rPr>
                <w:rFonts w:eastAsia="仿宋_GB2312"/>
                <w:b/>
                <w:bCs/>
              </w:rPr>
              <w:t>单位</w:t>
            </w:r>
          </w:p>
        </w:tc>
        <w:tc>
          <w:tcPr>
            <w:tcW w:w="691" w:type="pct"/>
            <w:vMerge w:val="restart"/>
            <w:vAlign w:val="center"/>
          </w:tcPr>
          <w:p>
            <w:pPr>
              <w:pStyle w:val="53"/>
              <w:rPr>
                <w:rFonts w:eastAsia="仿宋_GB2312"/>
                <w:b/>
                <w:bCs/>
              </w:rPr>
            </w:pPr>
            <w:r>
              <w:rPr>
                <w:rFonts w:eastAsia="仿宋_GB2312"/>
                <w:b/>
                <w:bCs/>
              </w:rPr>
              <w:t>数量</w:t>
            </w:r>
          </w:p>
        </w:tc>
        <w:tc>
          <w:tcPr>
            <w:tcW w:w="671" w:type="pct"/>
            <w:vMerge w:val="restart"/>
            <w:vAlign w:val="center"/>
          </w:tcPr>
          <w:p>
            <w:pPr>
              <w:pStyle w:val="53"/>
              <w:rPr>
                <w:rFonts w:eastAsia="仿宋_GB2312"/>
                <w:b/>
                <w:bCs/>
              </w:rPr>
            </w:pPr>
            <w:r>
              <w:rPr>
                <w:rFonts w:eastAsia="仿宋_GB2312"/>
                <w:b/>
                <w:bCs/>
              </w:rPr>
              <w:t>投资</w:t>
            </w:r>
          </w:p>
          <w:p>
            <w:pPr>
              <w:pStyle w:val="53"/>
              <w:rPr>
                <w:rFonts w:eastAsia="仿宋_GB2312"/>
                <w:b/>
                <w:bCs/>
              </w:rPr>
            </w:pPr>
            <w:r>
              <w:rPr>
                <w:rFonts w:eastAsia="仿宋_GB2312"/>
                <w:b/>
                <w:bCs/>
              </w:rPr>
              <w:t>（万元）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Align w:val="center"/>
          </w:tcPr>
          <w:p>
            <w:pPr>
              <w:pStyle w:val="53"/>
              <w:rPr>
                <w:rFonts w:eastAsia="仿宋_GB2312"/>
                <w:b/>
                <w:bCs/>
              </w:rPr>
            </w:pPr>
            <w:r>
              <w:rPr>
                <w:rFonts w:eastAsia="仿宋_GB2312"/>
                <w:b/>
                <w:bCs/>
              </w:rPr>
              <w:t>一级分区</w:t>
            </w:r>
          </w:p>
        </w:tc>
        <w:tc>
          <w:tcPr>
            <w:tcW w:w="449" w:type="pct"/>
            <w:vAlign w:val="center"/>
          </w:tcPr>
          <w:p>
            <w:pPr>
              <w:pStyle w:val="53"/>
              <w:rPr>
                <w:rFonts w:eastAsia="仿宋_GB2312"/>
                <w:b/>
                <w:bCs/>
              </w:rPr>
            </w:pPr>
            <w:r>
              <w:rPr>
                <w:rFonts w:eastAsia="仿宋_GB2312"/>
                <w:b/>
                <w:bCs/>
              </w:rPr>
              <w:t>二级分区</w:t>
            </w:r>
          </w:p>
        </w:tc>
        <w:tc>
          <w:tcPr>
            <w:tcW w:w="595" w:type="pct"/>
            <w:vAlign w:val="center"/>
          </w:tcPr>
          <w:p>
            <w:pPr>
              <w:pStyle w:val="53"/>
              <w:rPr>
                <w:rFonts w:eastAsia="仿宋_GB2312"/>
                <w:b/>
                <w:bCs/>
              </w:rPr>
            </w:pPr>
            <w:r>
              <w:rPr>
                <w:rFonts w:eastAsia="仿宋_GB2312"/>
                <w:b/>
                <w:bCs/>
              </w:rPr>
              <w:t>三级分区</w:t>
            </w:r>
          </w:p>
        </w:tc>
        <w:tc>
          <w:tcPr>
            <w:tcW w:w="581" w:type="pct"/>
            <w:vMerge w:val="continue"/>
            <w:vAlign w:val="center"/>
          </w:tcPr>
          <w:p>
            <w:pPr>
              <w:pStyle w:val="53"/>
              <w:rPr>
                <w:rFonts w:eastAsia="仿宋_GB2312"/>
                <w:b/>
                <w:bCs/>
              </w:rPr>
            </w:pPr>
          </w:p>
        </w:tc>
        <w:tc>
          <w:tcPr>
            <w:tcW w:w="989" w:type="pct"/>
            <w:gridSpan w:val="4"/>
            <w:vMerge w:val="continue"/>
            <w:vAlign w:val="center"/>
          </w:tcPr>
          <w:p>
            <w:pPr>
              <w:pStyle w:val="53"/>
              <w:rPr>
                <w:rFonts w:eastAsia="仿宋_GB2312"/>
                <w:b/>
                <w:bCs/>
              </w:rPr>
            </w:pPr>
          </w:p>
        </w:tc>
        <w:tc>
          <w:tcPr>
            <w:tcW w:w="577" w:type="pct"/>
            <w:vMerge w:val="continue"/>
            <w:vAlign w:val="center"/>
          </w:tcPr>
          <w:p>
            <w:pPr>
              <w:pStyle w:val="53"/>
              <w:rPr>
                <w:rFonts w:eastAsia="仿宋_GB2312"/>
                <w:b/>
                <w:bCs/>
              </w:rPr>
            </w:pPr>
          </w:p>
        </w:tc>
        <w:tc>
          <w:tcPr>
            <w:tcW w:w="691" w:type="pct"/>
            <w:vMerge w:val="continue"/>
            <w:vAlign w:val="center"/>
          </w:tcPr>
          <w:p>
            <w:pPr>
              <w:pStyle w:val="53"/>
              <w:rPr>
                <w:rFonts w:eastAsia="仿宋_GB2312"/>
                <w:b/>
                <w:bCs/>
              </w:rPr>
            </w:pPr>
          </w:p>
        </w:tc>
        <w:tc>
          <w:tcPr>
            <w:tcW w:w="671" w:type="pct"/>
            <w:vMerge w:val="continue"/>
            <w:vAlign w:val="center"/>
          </w:tcPr>
          <w:p>
            <w:pPr>
              <w:pStyle w:val="53"/>
              <w:rPr>
                <w:rFonts w:eastAsia="仿宋_GB2312"/>
                <w:b/>
                <w:bCs/>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restart"/>
            <w:vAlign w:val="center"/>
          </w:tcPr>
          <w:p>
            <w:pPr>
              <w:pStyle w:val="53"/>
              <w:rPr>
                <w:rFonts w:eastAsia="仿宋_GB2312"/>
                <w:b/>
                <w:bCs/>
              </w:rPr>
            </w:pPr>
            <w:r>
              <w:rPr>
                <w:rFonts w:eastAsia="仿宋_GB2312"/>
              </w:rPr>
              <w:t>近期建设区</w:t>
            </w:r>
          </w:p>
        </w:tc>
        <w:tc>
          <w:tcPr>
            <w:tcW w:w="449" w:type="pct"/>
            <w:vMerge w:val="restart"/>
            <w:vAlign w:val="center"/>
          </w:tcPr>
          <w:p>
            <w:pPr>
              <w:pStyle w:val="53"/>
              <w:rPr>
                <w:rFonts w:eastAsia="仿宋_GB2312"/>
              </w:rPr>
            </w:pPr>
            <w:r>
              <w:rPr>
                <w:rFonts w:eastAsia="仿宋_GB2312"/>
              </w:rPr>
              <w:t>工业用地区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已建区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rPr>
                <w:b w:val="0"/>
                <w:sz w:val="21"/>
                <w:szCs w:val="21"/>
              </w:rPr>
            </w:pPr>
            <w:r>
              <w:rPr>
                <w:b w:val="0"/>
                <w:bCs/>
                <w:sz w:val="21"/>
                <w:szCs w:val="21"/>
              </w:rPr>
              <w:t>表土剥离</w:t>
            </w:r>
          </w:p>
        </w:tc>
        <w:tc>
          <w:tcPr>
            <w:tcW w:w="577" w:type="pct"/>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rPr>
                <w:b w:val="0"/>
                <w:sz w:val="21"/>
                <w:szCs w:val="21"/>
              </w:rPr>
            </w:pPr>
            <w:r>
              <w:rPr>
                <w:b w:val="0"/>
                <w:bCs/>
                <w:sz w:val="21"/>
                <w:szCs w:val="21"/>
              </w:rPr>
              <w:t>3.94</w:t>
            </w:r>
          </w:p>
        </w:tc>
        <w:tc>
          <w:tcPr>
            <w:tcW w:w="671" w:type="pct"/>
            <w:vAlign w:val="center"/>
          </w:tcPr>
          <w:p>
            <w:pPr>
              <w:pStyle w:val="68"/>
              <w:adjustRightInd/>
              <w:snapToGrid/>
              <w:spacing w:afterLines="0"/>
              <w:rPr>
                <w:b w:val="0"/>
                <w:bCs/>
                <w:sz w:val="21"/>
                <w:szCs w:val="21"/>
              </w:rPr>
            </w:pPr>
            <w:r>
              <w:rPr>
                <w:b w:val="0"/>
                <w:bCs/>
                <w:sz w:val="21"/>
                <w:szCs w:val="21"/>
              </w:rPr>
              <w:t>19.70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581"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989" w:type="pct"/>
            <w:gridSpan w:val="4"/>
            <w:tcBorders>
              <w:bottom w:val="single" w:color="auto" w:sz="4" w:space="0"/>
            </w:tcBorders>
            <w:vAlign w:val="center"/>
          </w:tcPr>
          <w:p>
            <w:pPr>
              <w:pStyle w:val="68"/>
              <w:adjustRightInd/>
              <w:snapToGrid/>
              <w:spacing w:afterLines="0"/>
              <w:rPr>
                <w:b w:val="0"/>
                <w:sz w:val="21"/>
                <w:szCs w:val="21"/>
              </w:rPr>
            </w:pPr>
            <w:r>
              <w:rPr>
                <w:b w:val="0"/>
                <w:bCs/>
                <w:sz w:val="21"/>
                <w:szCs w:val="21"/>
              </w:rPr>
              <w:t>表土回覆</w:t>
            </w:r>
          </w:p>
        </w:tc>
        <w:tc>
          <w:tcPr>
            <w:tcW w:w="577" w:type="pct"/>
            <w:tcBorders>
              <w:bottom w:val="single" w:color="auto" w:sz="4" w:space="0"/>
            </w:tcBorders>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tcBorders>
              <w:bottom w:val="single" w:color="auto" w:sz="4" w:space="0"/>
            </w:tcBorders>
            <w:vAlign w:val="center"/>
          </w:tcPr>
          <w:p>
            <w:pPr>
              <w:pStyle w:val="68"/>
              <w:adjustRightInd/>
              <w:snapToGrid/>
              <w:spacing w:afterLines="0"/>
              <w:rPr>
                <w:b w:val="0"/>
                <w:sz w:val="21"/>
                <w:szCs w:val="21"/>
              </w:rPr>
            </w:pPr>
            <w:r>
              <w:rPr>
                <w:b w:val="0"/>
                <w:bCs/>
                <w:sz w:val="21"/>
                <w:szCs w:val="21"/>
              </w:rPr>
              <w:t>3.94</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23.64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restar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Merge w:val="restar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表土剥离</w:t>
            </w:r>
          </w:p>
        </w:tc>
        <w:tc>
          <w:tcPr>
            <w:tcW w:w="577"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万m</w:t>
            </w:r>
            <w:r>
              <w:rPr>
                <w:b w:val="0"/>
                <w:bCs/>
                <w:sz w:val="21"/>
                <w:szCs w:val="21"/>
                <w:vertAlign w:val="superscript"/>
              </w:rPr>
              <w:t>3</w:t>
            </w:r>
          </w:p>
        </w:tc>
        <w:tc>
          <w:tcPr>
            <w:tcW w:w="69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11.50</w:t>
            </w:r>
          </w:p>
        </w:tc>
        <w:tc>
          <w:tcPr>
            <w:tcW w:w="67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57.50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6"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top w:val="single" w:color="auto" w:sz="4" w:space="0"/>
            </w:tcBorders>
            <w:vAlign w:val="center"/>
          </w:tcPr>
          <w:p>
            <w:pPr>
              <w:pStyle w:val="68"/>
              <w:adjustRightInd/>
              <w:snapToGrid/>
              <w:spacing w:afterLines="0"/>
              <w:rPr>
                <w:b w:val="0"/>
                <w:bCs/>
                <w:sz w:val="21"/>
                <w:szCs w:val="21"/>
              </w:rPr>
            </w:pPr>
            <w:r>
              <w:rPr>
                <w:b w:val="0"/>
                <w:bCs/>
                <w:sz w:val="21"/>
                <w:szCs w:val="21"/>
              </w:rPr>
              <w:t>表土回覆</w:t>
            </w:r>
          </w:p>
        </w:tc>
        <w:tc>
          <w:tcPr>
            <w:tcW w:w="577" w:type="pct"/>
            <w:tcBorders>
              <w:top w:val="single" w:color="auto" w:sz="4" w:space="0"/>
            </w:tcBorders>
            <w:vAlign w:val="center"/>
          </w:tcPr>
          <w:p>
            <w:pPr>
              <w:pStyle w:val="68"/>
              <w:adjustRightInd/>
              <w:snapToGrid/>
              <w:spacing w:afterLines="0"/>
              <w:rPr>
                <w:b w:val="0"/>
                <w:bCs/>
                <w:sz w:val="21"/>
                <w:szCs w:val="21"/>
              </w:rPr>
            </w:pPr>
            <w:r>
              <w:rPr>
                <w:b w:val="0"/>
                <w:bCs/>
                <w:sz w:val="21"/>
                <w:szCs w:val="21"/>
              </w:rPr>
              <w:t>万m</w:t>
            </w:r>
            <w:r>
              <w:rPr>
                <w:b w:val="0"/>
                <w:bCs/>
                <w:sz w:val="21"/>
                <w:szCs w:val="21"/>
                <w:vertAlign w:val="superscript"/>
              </w:rPr>
              <w:t>3</w:t>
            </w:r>
          </w:p>
        </w:tc>
        <w:tc>
          <w:tcPr>
            <w:tcW w:w="691" w:type="pct"/>
            <w:tcBorders>
              <w:top w:val="single" w:color="auto" w:sz="4" w:space="0"/>
            </w:tcBorders>
            <w:vAlign w:val="center"/>
          </w:tcPr>
          <w:p>
            <w:pPr>
              <w:pStyle w:val="68"/>
              <w:adjustRightInd/>
              <w:snapToGrid/>
              <w:spacing w:afterLines="0"/>
              <w:rPr>
                <w:b w:val="0"/>
                <w:bCs/>
                <w:sz w:val="21"/>
                <w:szCs w:val="21"/>
              </w:rPr>
            </w:pPr>
            <w:r>
              <w:rPr>
                <w:b w:val="0"/>
                <w:bCs/>
                <w:sz w:val="21"/>
                <w:szCs w:val="21"/>
              </w:rPr>
              <w:t>7.68</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46.08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rPr>
            </w:pPr>
          </w:p>
        </w:tc>
        <w:tc>
          <w:tcPr>
            <w:tcW w:w="449" w:type="pct"/>
            <w:vMerge w:val="continue"/>
            <w:vAlign w:val="center"/>
          </w:tcPr>
          <w:p>
            <w:pPr>
              <w:pStyle w:val="53"/>
              <w:rPr>
                <w:rFonts w:eastAsia="仿宋_GB2312"/>
              </w:rPr>
            </w:pPr>
          </w:p>
        </w:tc>
        <w:tc>
          <w:tcPr>
            <w:tcW w:w="3434" w:type="pct"/>
            <w:gridSpan w:val="8"/>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rPr>
                <w:bCs/>
                <w:sz w:val="21"/>
                <w:szCs w:val="21"/>
              </w:rPr>
            </w:pPr>
            <w:r>
              <w:rPr>
                <w:bCs/>
                <w:sz w:val="21"/>
                <w:szCs w:val="21"/>
              </w:rPr>
              <w:t>146.92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restart"/>
            <w:vAlign w:val="center"/>
          </w:tcPr>
          <w:p>
            <w:pPr>
              <w:tabs>
                <w:tab w:val="left" w:pos="1050"/>
              </w:tabs>
              <w:spacing w:line="240" w:lineRule="auto"/>
              <w:ind w:firstLine="0" w:firstLineChars="0"/>
              <w:jc w:val="center"/>
              <w:rPr>
                <w:sz w:val="21"/>
                <w:szCs w:val="21"/>
              </w:rPr>
            </w:pPr>
            <w:r>
              <w:rPr>
                <w:sz w:val="21"/>
                <w:szCs w:val="21"/>
              </w:rPr>
              <w:t>道路与交通设施用地区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已建区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rPr>
                <w:b w:val="0"/>
                <w:sz w:val="21"/>
                <w:szCs w:val="21"/>
              </w:rPr>
            </w:pPr>
            <w:r>
              <w:rPr>
                <w:b w:val="0"/>
                <w:bCs/>
                <w:sz w:val="21"/>
                <w:szCs w:val="21"/>
              </w:rPr>
              <w:t>表土回覆</w:t>
            </w:r>
          </w:p>
        </w:tc>
        <w:tc>
          <w:tcPr>
            <w:tcW w:w="577" w:type="pct"/>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rPr>
                <w:b w:val="0"/>
                <w:sz w:val="21"/>
                <w:szCs w:val="21"/>
              </w:rPr>
            </w:pPr>
            <w:r>
              <w:rPr>
                <w:b w:val="0"/>
                <w:bCs/>
                <w:sz w:val="21"/>
                <w:szCs w:val="21"/>
              </w:rPr>
              <w:t>2.41</w:t>
            </w:r>
          </w:p>
        </w:tc>
        <w:tc>
          <w:tcPr>
            <w:tcW w:w="671" w:type="pct"/>
            <w:vAlign w:val="center"/>
          </w:tcPr>
          <w:p>
            <w:pPr>
              <w:pStyle w:val="68"/>
              <w:adjustRightInd/>
              <w:snapToGrid/>
              <w:spacing w:afterLines="0"/>
              <w:rPr>
                <w:b w:val="0"/>
                <w:bCs/>
                <w:sz w:val="21"/>
                <w:szCs w:val="21"/>
              </w:rPr>
            </w:pPr>
            <w:r>
              <w:rPr>
                <w:b w:val="0"/>
                <w:bCs/>
                <w:sz w:val="21"/>
                <w:szCs w:val="21"/>
              </w:rPr>
              <w:t>14.46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雨水管</w:t>
            </w:r>
          </w:p>
        </w:tc>
        <w:tc>
          <w:tcPr>
            <w:tcW w:w="577" w:type="pct"/>
            <w:vAlign w:val="center"/>
          </w:tcPr>
          <w:p>
            <w:pPr>
              <w:pStyle w:val="68"/>
              <w:adjustRightInd/>
              <w:snapToGrid/>
              <w:spacing w:afterLines="0"/>
              <w:rPr>
                <w:b w:val="0"/>
                <w:sz w:val="21"/>
                <w:szCs w:val="21"/>
              </w:rPr>
            </w:pPr>
            <w:r>
              <w:rPr>
                <w:b w:val="0"/>
                <w:bCs/>
                <w:sz w:val="21"/>
                <w:szCs w:val="21"/>
              </w:rPr>
              <w:t>m</w:t>
            </w:r>
          </w:p>
        </w:tc>
        <w:tc>
          <w:tcPr>
            <w:tcW w:w="691" w:type="pct"/>
            <w:vAlign w:val="center"/>
          </w:tcPr>
          <w:p>
            <w:pPr>
              <w:pStyle w:val="68"/>
              <w:adjustRightInd/>
              <w:snapToGrid/>
              <w:spacing w:afterLines="0"/>
              <w:rPr>
                <w:b w:val="0"/>
                <w:sz w:val="21"/>
                <w:szCs w:val="21"/>
              </w:rPr>
            </w:pPr>
            <w:r>
              <w:rPr>
                <w:b w:val="0"/>
                <w:bCs/>
                <w:sz w:val="21"/>
                <w:szCs w:val="21"/>
              </w:rPr>
              <w:t>2236</w:t>
            </w:r>
          </w:p>
        </w:tc>
        <w:tc>
          <w:tcPr>
            <w:tcW w:w="671" w:type="pct"/>
            <w:vAlign w:val="center"/>
          </w:tcPr>
          <w:p>
            <w:pPr>
              <w:pStyle w:val="68"/>
              <w:adjustRightInd/>
              <w:snapToGrid/>
              <w:spacing w:afterLines="0"/>
              <w:rPr>
                <w:b w:val="0"/>
                <w:bCs/>
                <w:sz w:val="21"/>
                <w:szCs w:val="21"/>
              </w:rPr>
            </w:pPr>
            <w:r>
              <w:rPr>
                <w:b w:val="0"/>
                <w:bCs/>
                <w:sz w:val="21"/>
                <w:szCs w:val="21"/>
              </w:rPr>
              <w:t>111.80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雨水口</w:t>
            </w:r>
          </w:p>
        </w:tc>
        <w:tc>
          <w:tcPr>
            <w:tcW w:w="577" w:type="pct"/>
            <w:vAlign w:val="center"/>
          </w:tcPr>
          <w:p>
            <w:pPr>
              <w:pStyle w:val="68"/>
              <w:adjustRightInd/>
              <w:snapToGrid/>
              <w:spacing w:afterLines="0"/>
              <w:rPr>
                <w:b w:val="0"/>
                <w:sz w:val="21"/>
                <w:szCs w:val="21"/>
              </w:rPr>
            </w:pPr>
            <w:r>
              <w:rPr>
                <w:b w:val="0"/>
                <w:bCs/>
                <w:sz w:val="21"/>
                <w:szCs w:val="21"/>
              </w:rPr>
              <w:t>个</w:t>
            </w:r>
          </w:p>
        </w:tc>
        <w:tc>
          <w:tcPr>
            <w:tcW w:w="691" w:type="pct"/>
            <w:vAlign w:val="center"/>
          </w:tcPr>
          <w:p>
            <w:pPr>
              <w:pStyle w:val="68"/>
              <w:adjustRightInd/>
              <w:snapToGrid/>
              <w:spacing w:afterLines="0"/>
              <w:rPr>
                <w:b w:val="0"/>
                <w:sz w:val="21"/>
                <w:szCs w:val="21"/>
              </w:rPr>
            </w:pPr>
            <w:r>
              <w:rPr>
                <w:b w:val="0"/>
                <w:bCs/>
                <w:sz w:val="21"/>
                <w:szCs w:val="21"/>
              </w:rPr>
              <w:t>45</w:t>
            </w:r>
          </w:p>
        </w:tc>
        <w:tc>
          <w:tcPr>
            <w:tcW w:w="671" w:type="pct"/>
            <w:vAlign w:val="center"/>
          </w:tcPr>
          <w:p>
            <w:pPr>
              <w:pStyle w:val="68"/>
              <w:adjustRightInd/>
              <w:snapToGrid/>
              <w:spacing w:afterLines="0"/>
              <w:rPr>
                <w:b w:val="0"/>
                <w:bCs/>
                <w:sz w:val="21"/>
                <w:szCs w:val="21"/>
              </w:rPr>
            </w:pPr>
            <w:r>
              <w:rPr>
                <w:b w:val="0"/>
                <w:bCs/>
                <w:sz w:val="21"/>
                <w:szCs w:val="21"/>
              </w:rPr>
              <w:t>5.40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植物措施</w:t>
            </w:r>
          </w:p>
        </w:tc>
        <w:tc>
          <w:tcPr>
            <w:tcW w:w="491" w:type="pct"/>
            <w:gridSpan w:val="2"/>
            <w:vMerge w:val="restart"/>
            <w:tcBorders>
              <w:right w:val="single" w:color="auto" w:sz="4" w:space="0"/>
            </w:tcBorders>
            <w:vAlign w:val="center"/>
          </w:tcPr>
          <w:p>
            <w:pPr>
              <w:pStyle w:val="68"/>
              <w:adjustRightInd/>
              <w:snapToGrid/>
              <w:spacing w:afterLines="0"/>
              <w:rPr>
                <w:b w:val="0"/>
                <w:bCs/>
                <w:sz w:val="21"/>
                <w:szCs w:val="21"/>
              </w:rPr>
            </w:pPr>
            <w:r>
              <w:rPr>
                <w:b w:val="0"/>
                <w:bCs/>
                <w:sz w:val="21"/>
                <w:szCs w:val="21"/>
              </w:rPr>
              <w:t>道路综合绿化</w:t>
            </w:r>
          </w:p>
        </w:tc>
        <w:tc>
          <w:tcPr>
            <w:tcW w:w="498" w:type="pct"/>
            <w:gridSpan w:val="2"/>
            <w:tcBorders>
              <w:left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组成</w:t>
            </w:r>
          </w:p>
        </w:tc>
        <w:tc>
          <w:tcPr>
            <w:tcW w:w="577" w:type="pct"/>
            <w:tcBorders>
              <w:bottom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2.11</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153.60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9"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91" w:type="pct"/>
            <w:gridSpan w:val="2"/>
            <w:vMerge w:val="continue"/>
            <w:tcBorders>
              <w:right w:val="single" w:color="auto" w:sz="4" w:space="0"/>
            </w:tcBorders>
            <w:vAlign w:val="center"/>
          </w:tcPr>
          <w:p>
            <w:pPr>
              <w:pStyle w:val="68"/>
              <w:adjustRightInd/>
              <w:snapToGrid/>
              <w:spacing w:afterLines="0"/>
              <w:rPr>
                <w:b w:val="0"/>
                <w:bCs/>
                <w:sz w:val="21"/>
                <w:szCs w:val="21"/>
              </w:rPr>
            </w:pPr>
          </w:p>
        </w:tc>
        <w:tc>
          <w:tcPr>
            <w:tcW w:w="498" w:type="pct"/>
            <w:gridSpan w:val="2"/>
            <w:tcBorders>
              <w:top w:val="single" w:color="auto" w:sz="4" w:space="0"/>
              <w:left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行道树绿化</w:t>
            </w:r>
          </w:p>
        </w:tc>
        <w:tc>
          <w:tcPr>
            <w:tcW w:w="577"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株/hm</w:t>
            </w:r>
            <w:r>
              <w:rPr>
                <w:b w:val="0"/>
                <w:bCs/>
                <w:sz w:val="21"/>
                <w:szCs w:val="21"/>
                <w:vertAlign w:val="superscript"/>
              </w:rPr>
              <w:t>2</w:t>
            </w:r>
          </w:p>
        </w:tc>
        <w:tc>
          <w:tcPr>
            <w:tcW w:w="69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516/0.07</w:t>
            </w:r>
          </w:p>
        </w:tc>
        <w:tc>
          <w:tcPr>
            <w:tcW w:w="67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51.60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7"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91" w:type="pct"/>
            <w:gridSpan w:val="2"/>
            <w:vMerge w:val="continue"/>
            <w:tcBorders>
              <w:right w:val="single" w:color="auto" w:sz="4" w:space="0"/>
            </w:tcBorders>
            <w:vAlign w:val="center"/>
          </w:tcPr>
          <w:p>
            <w:pPr>
              <w:pStyle w:val="68"/>
              <w:adjustRightInd/>
              <w:snapToGrid/>
              <w:spacing w:afterLines="0"/>
              <w:rPr>
                <w:b w:val="0"/>
                <w:bCs/>
                <w:sz w:val="21"/>
                <w:szCs w:val="21"/>
              </w:rPr>
            </w:pPr>
          </w:p>
        </w:tc>
        <w:tc>
          <w:tcPr>
            <w:tcW w:w="498" w:type="pct"/>
            <w:gridSpan w:val="2"/>
            <w:tcBorders>
              <w:top w:val="single" w:color="auto" w:sz="4" w:space="0"/>
              <w:left w:val="single" w:color="auto" w:sz="4" w:space="0"/>
            </w:tcBorders>
            <w:vAlign w:val="center"/>
          </w:tcPr>
          <w:p>
            <w:pPr>
              <w:pStyle w:val="68"/>
              <w:adjustRightInd/>
              <w:snapToGrid/>
              <w:spacing w:afterLines="0"/>
              <w:rPr>
                <w:b w:val="0"/>
                <w:bCs/>
                <w:sz w:val="21"/>
                <w:szCs w:val="21"/>
              </w:rPr>
            </w:pPr>
            <w:r>
              <w:rPr>
                <w:b w:val="0"/>
                <w:bCs/>
                <w:sz w:val="21"/>
                <w:szCs w:val="21"/>
              </w:rPr>
              <w:t>绿化带绿化</w:t>
            </w:r>
          </w:p>
        </w:tc>
        <w:tc>
          <w:tcPr>
            <w:tcW w:w="577" w:type="pct"/>
            <w:tcBorders>
              <w:top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pStyle w:val="68"/>
              <w:adjustRightInd/>
              <w:snapToGrid/>
              <w:spacing w:afterLines="0"/>
              <w:rPr>
                <w:b w:val="0"/>
                <w:bCs/>
                <w:sz w:val="21"/>
                <w:szCs w:val="21"/>
              </w:rPr>
            </w:pPr>
            <w:r>
              <w:rPr>
                <w:b w:val="0"/>
                <w:bCs/>
                <w:sz w:val="21"/>
                <w:szCs w:val="21"/>
              </w:rPr>
              <w:t>2.04</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102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continue"/>
            <w:vAlign w:val="center"/>
          </w:tcPr>
          <w:p>
            <w:pPr>
              <w:pStyle w:val="53"/>
              <w:rPr>
                <w:rFonts w:eastAsia="仿宋_GB2312"/>
              </w:rPr>
            </w:pP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rPr>
                <w:b w:val="0"/>
                <w:sz w:val="21"/>
                <w:szCs w:val="21"/>
              </w:rPr>
            </w:pPr>
            <w:r>
              <w:rPr>
                <w:b w:val="0"/>
                <w:bCs/>
                <w:sz w:val="21"/>
                <w:szCs w:val="21"/>
              </w:rPr>
              <w:t>表土剥离</w:t>
            </w:r>
          </w:p>
        </w:tc>
        <w:tc>
          <w:tcPr>
            <w:tcW w:w="577" w:type="pct"/>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rPr>
                <w:b w:val="0"/>
                <w:sz w:val="21"/>
                <w:szCs w:val="21"/>
              </w:rPr>
            </w:pPr>
            <w:r>
              <w:rPr>
                <w:b w:val="0"/>
                <w:sz w:val="21"/>
                <w:szCs w:val="21"/>
              </w:rPr>
              <w:t>3.94</w:t>
            </w:r>
          </w:p>
        </w:tc>
        <w:tc>
          <w:tcPr>
            <w:tcW w:w="671" w:type="pct"/>
            <w:vAlign w:val="center"/>
          </w:tcPr>
          <w:p>
            <w:pPr>
              <w:pStyle w:val="68"/>
              <w:adjustRightInd/>
              <w:snapToGrid/>
              <w:spacing w:afterLines="0"/>
              <w:rPr>
                <w:b w:val="0"/>
                <w:bCs/>
                <w:sz w:val="21"/>
                <w:szCs w:val="21"/>
              </w:rPr>
            </w:pPr>
            <w:r>
              <w:rPr>
                <w:b w:val="0"/>
                <w:bCs/>
                <w:sz w:val="21"/>
                <w:szCs w:val="21"/>
              </w:rPr>
              <w:t>1.97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6"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bottom w:val="single" w:color="auto" w:sz="4" w:space="0"/>
            </w:tcBorders>
            <w:vAlign w:val="center"/>
          </w:tcPr>
          <w:p>
            <w:pPr>
              <w:pStyle w:val="68"/>
              <w:adjustRightInd/>
              <w:snapToGrid/>
              <w:spacing w:afterLines="0"/>
              <w:rPr>
                <w:b w:val="0"/>
                <w:sz w:val="21"/>
                <w:szCs w:val="21"/>
              </w:rPr>
            </w:pPr>
            <w:r>
              <w:rPr>
                <w:b w:val="0"/>
                <w:bCs/>
                <w:sz w:val="21"/>
                <w:szCs w:val="21"/>
              </w:rPr>
              <w:t>表土回覆</w:t>
            </w:r>
          </w:p>
        </w:tc>
        <w:tc>
          <w:tcPr>
            <w:tcW w:w="577" w:type="pct"/>
            <w:tcBorders>
              <w:bottom w:val="single" w:color="auto" w:sz="4" w:space="0"/>
            </w:tcBorders>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tcBorders>
              <w:bottom w:val="single" w:color="auto" w:sz="4" w:space="0"/>
            </w:tcBorders>
            <w:vAlign w:val="center"/>
          </w:tcPr>
          <w:p>
            <w:pPr>
              <w:pStyle w:val="68"/>
              <w:adjustRightInd/>
              <w:snapToGrid/>
              <w:spacing w:afterLines="0"/>
              <w:rPr>
                <w:b w:val="0"/>
                <w:sz w:val="21"/>
                <w:szCs w:val="21"/>
              </w:rPr>
            </w:pPr>
            <w:r>
              <w:rPr>
                <w:b w:val="0"/>
                <w:sz w:val="21"/>
                <w:szCs w:val="21"/>
              </w:rPr>
              <w:t>3.94</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2.36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9"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top w:val="single" w:color="auto" w:sz="4" w:space="0"/>
              <w:bottom w:val="single" w:color="auto" w:sz="4" w:space="0"/>
            </w:tcBorders>
            <w:vAlign w:val="center"/>
          </w:tcPr>
          <w:p>
            <w:pPr>
              <w:pStyle w:val="68"/>
              <w:adjustRightInd/>
              <w:snapToGrid/>
              <w:spacing w:afterLines="0"/>
              <w:rPr>
                <w:b w:val="0"/>
                <w:sz w:val="21"/>
                <w:szCs w:val="21"/>
              </w:rPr>
            </w:pPr>
            <w:r>
              <w:rPr>
                <w:b w:val="0"/>
                <w:bCs/>
                <w:sz w:val="21"/>
                <w:szCs w:val="21"/>
              </w:rPr>
              <w:t>雨水管</w:t>
            </w:r>
          </w:p>
        </w:tc>
        <w:tc>
          <w:tcPr>
            <w:tcW w:w="577" w:type="pct"/>
            <w:tcBorders>
              <w:top w:val="single" w:color="auto" w:sz="4" w:space="0"/>
              <w:bottom w:val="single" w:color="auto" w:sz="4" w:space="0"/>
            </w:tcBorders>
            <w:vAlign w:val="center"/>
          </w:tcPr>
          <w:p>
            <w:pPr>
              <w:pStyle w:val="68"/>
              <w:adjustRightInd/>
              <w:snapToGrid/>
              <w:spacing w:afterLines="0"/>
              <w:rPr>
                <w:b w:val="0"/>
                <w:sz w:val="21"/>
                <w:szCs w:val="21"/>
              </w:rPr>
            </w:pPr>
            <w:r>
              <w:rPr>
                <w:b w:val="0"/>
                <w:bCs/>
                <w:sz w:val="21"/>
                <w:szCs w:val="21"/>
              </w:rPr>
              <w:t>m</w:t>
            </w:r>
          </w:p>
        </w:tc>
        <w:tc>
          <w:tcPr>
            <w:tcW w:w="691" w:type="pct"/>
            <w:tcBorders>
              <w:top w:val="single" w:color="auto" w:sz="4" w:space="0"/>
              <w:bottom w:val="single" w:color="auto" w:sz="4" w:space="0"/>
            </w:tcBorders>
            <w:vAlign w:val="center"/>
          </w:tcPr>
          <w:p>
            <w:pPr>
              <w:pStyle w:val="68"/>
              <w:adjustRightInd/>
              <w:snapToGrid/>
              <w:spacing w:afterLines="0"/>
              <w:rPr>
                <w:b w:val="0"/>
                <w:sz w:val="21"/>
                <w:szCs w:val="21"/>
              </w:rPr>
            </w:pPr>
            <w:r>
              <w:rPr>
                <w:b w:val="0"/>
                <w:bCs/>
                <w:sz w:val="21"/>
                <w:szCs w:val="21"/>
              </w:rPr>
              <w:t>6480</w:t>
            </w:r>
          </w:p>
        </w:tc>
        <w:tc>
          <w:tcPr>
            <w:tcW w:w="67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324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2"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top w:val="single" w:color="auto" w:sz="4" w:space="0"/>
            </w:tcBorders>
            <w:vAlign w:val="center"/>
          </w:tcPr>
          <w:p>
            <w:pPr>
              <w:pStyle w:val="68"/>
              <w:adjustRightInd/>
              <w:snapToGrid/>
              <w:spacing w:afterLines="0"/>
              <w:rPr>
                <w:b w:val="0"/>
                <w:sz w:val="21"/>
                <w:szCs w:val="21"/>
              </w:rPr>
            </w:pPr>
            <w:r>
              <w:rPr>
                <w:b w:val="0"/>
                <w:bCs/>
                <w:sz w:val="21"/>
                <w:szCs w:val="21"/>
              </w:rPr>
              <w:t>雨水口</w:t>
            </w:r>
          </w:p>
        </w:tc>
        <w:tc>
          <w:tcPr>
            <w:tcW w:w="577" w:type="pct"/>
            <w:tcBorders>
              <w:top w:val="single" w:color="auto" w:sz="4" w:space="0"/>
            </w:tcBorders>
            <w:vAlign w:val="center"/>
          </w:tcPr>
          <w:p>
            <w:pPr>
              <w:pStyle w:val="68"/>
              <w:adjustRightInd/>
              <w:snapToGrid/>
              <w:spacing w:afterLines="0"/>
              <w:rPr>
                <w:b w:val="0"/>
                <w:sz w:val="21"/>
                <w:szCs w:val="21"/>
              </w:rPr>
            </w:pPr>
            <w:r>
              <w:rPr>
                <w:b w:val="0"/>
                <w:bCs/>
                <w:sz w:val="21"/>
                <w:szCs w:val="21"/>
              </w:rPr>
              <w:t>个</w:t>
            </w:r>
          </w:p>
        </w:tc>
        <w:tc>
          <w:tcPr>
            <w:tcW w:w="691" w:type="pct"/>
            <w:tcBorders>
              <w:top w:val="single" w:color="auto" w:sz="4" w:space="0"/>
            </w:tcBorders>
            <w:vAlign w:val="center"/>
          </w:tcPr>
          <w:p>
            <w:pPr>
              <w:pStyle w:val="68"/>
              <w:adjustRightInd/>
              <w:snapToGrid/>
              <w:spacing w:afterLines="0"/>
              <w:rPr>
                <w:b w:val="0"/>
                <w:sz w:val="21"/>
                <w:szCs w:val="21"/>
              </w:rPr>
            </w:pPr>
            <w:r>
              <w:rPr>
                <w:b w:val="0"/>
                <w:bCs/>
                <w:sz w:val="21"/>
                <w:szCs w:val="21"/>
              </w:rPr>
              <w:t>130</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15.60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植物措施</w:t>
            </w:r>
          </w:p>
        </w:tc>
        <w:tc>
          <w:tcPr>
            <w:tcW w:w="488" w:type="pct"/>
            <w:vMerge w:val="restart"/>
            <w:tcBorders>
              <w:right w:val="single" w:color="auto" w:sz="4" w:space="0"/>
            </w:tcBorders>
            <w:vAlign w:val="center"/>
          </w:tcPr>
          <w:p>
            <w:pPr>
              <w:pStyle w:val="68"/>
              <w:adjustRightInd/>
              <w:snapToGrid/>
              <w:spacing w:afterLines="0"/>
              <w:rPr>
                <w:b w:val="0"/>
                <w:bCs/>
                <w:sz w:val="21"/>
                <w:szCs w:val="21"/>
              </w:rPr>
            </w:pPr>
            <w:r>
              <w:rPr>
                <w:b w:val="0"/>
                <w:bCs/>
                <w:sz w:val="21"/>
                <w:szCs w:val="21"/>
              </w:rPr>
              <w:t>道路综合绿化</w:t>
            </w:r>
          </w:p>
        </w:tc>
        <w:tc>
          <w:tcPr>
            <w:tcW w:w="501" w:type="pct"/>
            <w:gridSpan w:val="3"/>
            <w:tcBorders>
              <w:left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组成</w:t>
            </w:r>
          </w:p>
        </w:tc>
        <w:tc>
          <w:tcPr>
            <w:tcW w:w="577" w:type="pct"/>
            <w:tcBorders>
              <w:bottom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3.22</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344.50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8"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88" w:type="pct"/>
            <w:vMerge w:val="continue"/>
            <w:tcBorders>
              <w:right w:val="single" w:color="auto" w:sz="4" w:space="0"/>
            </w:tcBorders>
            <w:vAlign w:val="center"/>
          </w:tcPr>
          <w:p>
            <w:pPr>
              <w:pStyle w:val="68"/>
              <w:adjustRightInd/>
              <w:snapToGrid/>
              <w:spacing w:afterLines="0"/>
              <w:rPr>
                <w:b w:val="0"/>
                <w:bCs/>
                <w:sz w:val="21"/>
                <w:szCs w:val="21"/>
              </w:rPr>
            </w:pPr>
          </w:p>
        </w:tc>
        <w:tc>
          <w:tcPr>
            <w:tcW w:w="501" w:type="pct"/>
            <w:gridSpan w:val="3"/>
            <w:tcBorders>
              <w:top w:val="single" w:color="auto" w:sz="4" w:space="0"/>
              <w:left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行道树绿化</w:t>
            </w:r>
          </w:p>
        </w:tc>
        <w:tc>
          <w:tcPr>
            <w:tcW w:w="577"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株/hm</w:t>
            </w:r>
            <w:r>
              <w:rPr>
                <w:b w:val="0"/>
                <w:bCs/>
                <w:sz w:val="21"/>
                <w:szCs w:val="21"/>
                <w:vertAlign w:val="superscript"/>
              </w:rPr>
              <w:t>2</w:t>
            </w:r>
          </w:p>
        </w:tc>
        <w:tc>
          <w:tcPr>
            <w:tcW w:w="69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1980/0.29</w:t>
            </w:r>
          </w:p>
        </w:tc>
        <w:tc>
          <w:tcPr>
            <w:tcW w:w="67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198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9"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88" w:type="pct"/>
            <w:vMerge w:val="continue"/>
            <w:tcBorders>
              <w:right w:val="single" w:color="auto" w:sz="4" w:space="0"/>
            </w:tcBorders>
            <w:vAlign w:val="center"/>
          </w:tcPr>
          <w:p>
            <w:pPr>
              <w:pStyle w:val="68"/>
              <w:adjustRightInd/>
              <w:snapToGrid/>
              <w:spacing w:afterLines="0"/>
              <w:rPr>
                <w:b w:val="0"/>
                <w:bCs/>
                <w:sz w:val="21"/>
                <w:szCs w:val="21"/>
              </w:rPr>
            </w:pPr>
          </w:p>
        </w:tc>
        <w:tc>
          <w:tcPr>
            <w:tcW w:w="501" w:type="pct"/>
            <w:gridSpan w:val="3"/>
            <w:tcBorders>
              <w:top w:val="single" w:color="auto" w:sz="4" w:space="0"/>
              <w:left w:val="single" w:color="auto" w:sz="4" w:space="0"/>
            </w:tcBorders>
            <w:vAlign w:val="center"/>
          </w:tcPr>
          <w:p>
            <w:pPr>
              <w:pStyle w:val="68"/>
              <w:adjustRightInd/>
              <w:snapToGrid/>
              <w:spacing w:afterLines="0"/>
              <w:rPr>
                <w:b w:val="0"/>
                <w:bCs/>
                <w:sz w:val="21"/>
                <w:szCs w:val="21"/>
              </w:rPr>
            </w:pPr>
            <w:r>
              <w:rPr>
                <w:b w:val="0"/>
                <w:bCs/>
                <w:sz w:val="21"/>
                <w:szCs w:val="21"/>
              </w:rPr>
              <w:t>绿化带绿化</w:t>
            </w:r>
          </w:p>
        </w:tc>
        <w:tc>
          <w:tcPr>
            <w:tcW w:w="577" w:type="pct"/>
            <w:tcBorders>
              <w:top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pStyle w:val="68"/>
              <w:adjustRightInd/>
              <w:snapToGrid/>
              <w:spacing w:afterLines="0"/>
              <w:rPr>
                <w:b w:val="0"/>
                <w:bCs/>
                <w:sz w:val="21"/>
                <w:szCs w:val="21"/>
              </w:rPr>
            </w:pPr>
            <w:r>
              <w:rPr>
                <w:b w:val="0"/>
                <w:bCs/>
                <w:sz w:val="21"/>
                <w:szCs w:val="21"/>
              </w:rPr>
              <w:t>2.93</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146.50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88" w:type="pct"/>
            <w:vMerge w:val="restart"/>
            <w:tcBorders>
              <w:right w:val="single" w:color="auto" w:sz="4" w:space="0"/>
            </w:tcBorders>
            <w:vAlign w:val="center"/>
          </w:tcPr>
          <w:p>
            <w:pPr>
              <w:ind w:firstLine="420"/>
            </w:pPr>
            <w:r>
              <w:rPr>
                <w:bCs/>
                <w:sz w:val="21"/>
                <w:szCs w:val="21"/>
              </w:rPr>
              <w:t>边坡绿化</w:t>
            </w:r>
          </w:p>
          <w:p>
            <w:pPr>
              <w:pStyle w:val="68"/>
              <w:adjustRightInd/>
              <w:snapToGrid/>
              <w:spacing w:afterLines="0"/>
              <w:rPr>
                <w:b w:val="0"/>
                <w:bCs/>
                <w:sz w:val="21"/>
                <w:szCs w:val="21"/>
              </w:rPr>
            </w:pPr>
          </w:p>
        </w:tc>
        <w:tc>
          <w:tcPr>
            <w:tcW w:w="501" w:type="pct"/>
            <w:gridSpan w:val="3"/>
            <w:tcBorders>
              <w:left w:val="single" w:color="auto" w:sz="4" w:space="0"/>
            </w:tcBorders>
            <w:vAlign w:val="center"/>
          </w:tcPr>
          <w:p>
            <w:pPr>
              <w:pStyle w:val="68"/>
              <w:adjustRightInd/>
              <w:snapToGrid/>
              <w:spacing w:afterLines="0"/>
              <w:rPr>
                <w:b w:val="0"/>
                <w:bCs/>
                <w:sz w:val="21"/>
                <w:szCs w:val="21"/>
              </w:rPr>
            </w:pPr>
            <w:r>
              <w:rPr>
                <w:b w:val="0"/>
                <w:bCs/>
                <w:sz w:val="21"/>
                <w:szCs w:val="21"/>
              </w:rPr>
              <w:t>喷播植草</w:t>
            </w:r>
          </w:p>
        </w:tc>
        <w:tc>
          <w:tcPr>
            <w:tcW w:w="577" w:type="pct"/>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rPr>
                <w:b w:val="0"/>
                <w:bCs/>
                <w:sz w:val="21"/>
                <w:szCs w:val="21"/>
              </w:rPr>
            </w:pPr>
            <w:r>
              <w:rPr>
                <w:b w:val="0"/>
                <w:bCs/>
                <w:sz w:val="21"/>
                <w:szCs w:val="21"/>
              </w:rPr>
              <w:t>7.25</w:t>
            </w:r>
          </w:p>
        </w:tc>
        <w:tc>
          <w:tcPr>
            <w:tcW w:w="671" w:type="pct"/>
            <w:vAlign w:val="center"/>
          </w:tcPr>
          <w:p>
            <w:pPr>
              <w:pStyle w:val="68"/>
              <w:adjustRightInd/>
              <w:snapToGrid/>
              <w:spacing w:afterLines="0"/>
              <w:rPr>
                <w:b w:val="0"/>
                <w:bCs/>
                <w:sz w:val="21"/>
                <w:szCs w:val="21"/>
              </w:rPr>
            </w:pPr>
            <w:r>
              <w:rPr>
                <w:b w:val="0"/>
                <w:bCs/>
                <w:sz w:val="21"/>
                <w:szCs w:val="21"/>
              </w:rPr>
              <w:t>8.70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bCs/>
                <w:sz w:val="21"/>
                <w:szCs w:val="21"/>
              </w:rPr>
            </w:pPr>
          </w:p>
        </w:tc>
        <w:tc>
          <w:tcPr>
            <w:tcW w:w="449" w:type="pct"/>
            <w:vMerge w:val="continue"/>
            <w:vAlign w:val="center"/>
          </w:tcPr>
          <w:p>
            <w:pPr>
              <w:tabs>
                <w:tab w:val="left" w:pos="1050"/>
              </w:tabs>
              <w:spacing w:line="240" w:lineRule="auto"/>
              <w:ind w:firstLine="0" w:firstLineChars="0"/>
              <w:jc w:val="center"/>
              <w:rPr>
                <w:bCs/>
                <w:sz w:val="21"/>
                <w:szCs w:val="21"/>
              </w:rPr>
            </w:pPr>
          </w:p>
        </w:tc>
        <w:tc>
          <w:tcPr>
            <w:tcW w:w="595" w:type="pct"/>
            <w:vMerge w:val="continue"/>
            <w:vAlign w:val="center"/>
          </w:tcPr>
          <w:p>
            <w:pPr>
              <w:tabs>
                <w:tab w:val="left" w:pos="1050"/>
              </w:tabs>
              <w:spacing w:line="240" w:lineRule="auto"/>
              <w:ind w:firstLine="0" w:firstLineChars="0"/>
              <w:jc w:val="center"/>
              <w:rPr>
                <w:bCs/>
                <w:sz w:val="21"/>
                <w:szCs w:val="21"/>
              </w:rPr>
            </w:pPr>
          </w:p>
        </w:tc>
        <w:tc>
          <w:tcPr>
            <w:tcW w:w="581" w:type="pct"/>
            <w:vMerge w:val="continue"/>
            <w:vAlign w:val="center"/>
          </w:tcPr>
          <w:p>
            <w:pPr>
              <w:tabs>
                <w:tab w:val="left" w:pos="1050"/>
              </w:tabs>
              <w:spacing w:line="240" w:lineRule="auto"/>
              <w:ind w:firstLine="0" w:firstLineChars="0"/>
              <w:jc w:val="center"/>
              <w:rPr>
                <w:bCs/>
                <w:sz w:val="21"/>
                <w:szCs w:val="21"/>
              </w:rPr>
            </w:pPr>
          </w:p>
        </w:tc>
        <w:tc>
          <w:tcPr>
            <w:tcW w:w="488" w:type="pct"/>
            <w:vMerge w:val="continue"/>
            <w:tcBorders>
              <w:right w:val="single" w:color="auto" w:sz="4" w:space="0"/>
            </w:tcBorders>
            <w:vAlign w:val="center"/>
          </w:tcPr>
          <w:p>
            <w:pPr>
              <w:pStyle w:val="68"/>
              <w:adjustRightInd/>
              <w:snapToGrid/>
              <w:spacing w:afterLines="0"/>
              <w:rPr>
                <w:b w:val="0"/>
                <w:bCs/>
                <w:sz w:val="21"/>
                <w:szCs w:val="21"/>
              </w:rPr>
            </w:pPr>
          </w:p>
        </w:tc>
        <w:tc>
          <w:tcPr>
            <w:tcW w:w="501" w:type="pct"/>
            <w:gridSpan w:val="3"/>
            <w:tcBorders>
              <w:left w:val="single" w:color="auto" w:sz="4" w:space="0"/>
            </w:tcBorders>
            <w:vAlign w:val="center"/>
          </w:tcPr>
          <w:p>
            <w:pPr>
              <w:pStyle w:val="68"/>
              <w:adjustRightInd/>
              <w:snapToGrid/>
              <w:spacing w:afterLines="0"/>
              <w:rPr>
                <w:b w:val="0"/>
                <w:bCs/>
                <w:sz w:val="21"/>
                <w:szCs w:val="21"/>
              </w:rPr>
            </w:pPr>
            <w:r>
              <w:rPr>
                <w:b w:val="0"/>
                <w:bCs/>
                <w:sz w:val="21"/>
                <w:szCs w:val="21"/>
              </w:rPr>
              <w:t>挂三维网植草</w:t>
            </w:r>
          </w:p>
        </w:tc>
        <w:tc>
          <w:tcPr>
            <w:tcW w:w="577" w:type="pct"/>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rPr>
                <w:b w:val="0"/>
                <w:bCs/>
                <w:sz w:val="21"/>
                <w:szCs w:val="21"/>
              </w:rPr>
            </w:pPr>
            <w:r>
              <w:rPr>
                <w:b w:val="0"/>
                <w:bCs/>
                <w:sz w:val="21"/>
                <w:szCs w:val="21"/>
              </w:rPr>
              <w:t>3.11</w:t>
            </w:r>
          </w:p>
        </w:tc>
        <w:tc>
          <w:tcPr>
            <w:tcW w:w="671" w:type="pct"/>
            <w:vAlign w:val="center"/>
          </w:tcPr>
          <w:p>
            <w:pPr>
              <w:pStyle w:val="68"/>
              <w:adjustRightInd/>
              <w:snapToGrid/>
              <w:spacing w:afterLines="0"/>
              <w:rPr>
                <w:b w:val="0"/>
                <w:bCs/>
                <w:sz w:val="21"/>
                <w:szCs w:val="21"/>
              </w:rPr>
            </w:pPr>
            <w:r>
              <w:rPr>
                <w:b w:val="0"/>
                <w:bCs/>
                <w:sz w:val="21"/>
                <w:szCs w:val="21"/>
              </w:rPr>
              <w:t>33.53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continue"/>
            <w:vAlign w:val="center"/>
          </w:tcPr>
          <w:p>
            <w:pPr>
              <w:pStyle w:val="53"/>
              <w:rPr>
                <w:rFonts w:eastAsia="仿宋_GB2312"/>
              </w:rPr>
            </w:pP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未建区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rPr>
                <w:b w:val="0"/>
                <w:sz w:val="21"/>
                <w:szCs w:val="21"/>
              </w:rPr>
            </w:pPr>
            <w:r>
              <w:rPr>
                <w:b w:val="0"/>
                <w:bCs/>
                <w:sz w:val="21"/>
                <w:szCs w:val="21"/>
              </w:rPr>
              <w:t>雨水管</w:t>
            </w:r>
          </w:p>
        </w:tc>
        <w:tc>
          <w:tcPr>
            <w:tcW w:w="577" w:type="pct"/>
            <w:vAlign w:val="center"/>
          </w:tcPr>
          <w:p>
            <w:pPr>
              <w:pStyle w:val="68"/>
              <w:adjustRightInd/>
              <w:snapToGrid/>
              <w:spacing w:afterLines="0"/>
              <w:rPr>
                <w:b w:val="0"/>
                <w:sz w:val="21"/>
                <w:szCs w:val="21"/>
              </w:rPr>
            </w:pPr>
            <w:r>
              <w:rPr>
                <w:b w:val="0"/>
                <w:bCs/>
                <w:sz w:val="21"/>
                <w:szCs w:val="21"/>
              </w:rPr>
              <w:t>m</w:t>
            </w:r>
          </w:p>
        </w:tc>
        <w:tc>
          <w:tcPr>
            <w:tcW w:w="691" w:type="pct"/>
            <w:vAlign w:val="center"/>
          </w:tcPr>
          <w:p>
            <w:pPr>
              <w:pStyle w:val="68"/>
              <w:adjustRightInd/>
              <w:snapToGrid/>
              <w:spacing w:afterLines="0"/>
              <w:rPr>
                <w:b w:val="0"/>
                <w:bCs/>
                <w:sz w:val="21"/>
                <w:szCs w:val="21"/>
              </w:rPr>
            </w:pPr>
            <w:r>
              <w:rPr>
                <w:b w:val="0"/>
                <w:bCs/>
                <w:sz w:val="21"/>
                <w:szCs w:val="21"/>
              </w:rPr>
              <w:t>8750</w:t>
            </w:r>
          </w:p>
        </w:tc>
        <w:tc>
          <w:tcPr>
            <w:tcW w:w="671" w:type="pct"/>
            <w:vAlign w:val="center"/>
          </w:tcPr>
          <w:p>
            <w:pPr>
              <w:pStyle w:val="68"/>
              <w:adjustRightInd/>
              <w:snapToGrid/>
              <w:spacing w:afterLines="0"/>
              <w:rPr>
                <w:b w:val="0"/>
                <w:bCs/>
                <w:sz w:val="21"/>
                <w:szCs w:val="21"/>
              </w:rPr>
            </w:pPr>
            <w:r>
              <w:rPr>
                <w:b w:val="0"/>
                <w:bCs/>
                <w:sz w:val="21"/>
                <w:szCs w:val="21"/>
              </w:rPr>
              <w:t>437.50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雨水口</w:t>
            </w:r>
          </w:p>
        </w:tc>
        <w:tc>
          <w:tcPr>
            <w:tcW w:w="577" w:type="pct"/>
            <w:vAlign w:val="center"/>
          </w:tcPr>
          <w:p>
            <w:pPr>
              <w:pStyle w:val="68"/>
              <w:adjustRightInd/>
              <w:snapToGrid/>
              <w:spacing w:afterLines="0"/>
              <w:rPr>
                <w:b w:val="0"/>
                <w:sz w:val="21"/>
                <w:szCs w:val="21"/>
              </w:rPr>
            </w:pPr>
            <w:r>
              <w:rPr>
                <w:b w:val="0"/>
                <w:bCs/>
                <w:sz w:val="21"/>
                <w:szCs w:val="21"/>
              </w:rPr>
              <w:t>个</w:t>
            </w:r>
          </w:p>
        </w:tc>
        <w:tc>
          <w:tcPr>
            <w:tcW w:w="691" w:type="pct"/>
            <w:vAlign w:val="center"/>
          </w:tcPr>
          <w:p>
            <w:pPr>
              <w:pStyle w:val="68"/>
              <w:adjustRightInd/>
              <w:snapToGrid/>
              <w:spacing w:afterLines="0"/>
              <w:rPr>
                <w:b w:val="0"/>
                <w:bCs/>
                <w:sz w:val="21"/>
                <w:szCs w:val="21"/>
              </w:rPr>
            </w:pPr>
            <w:r>
              <w:rPr>
                <w:b w:val="0"/>
                <w:bCs/>
                <w:sz w:val="21"/>
                <w:szCs w:val="21"/>
              </w:rPr>
              <w:t>175</w:t>
            </w:r>
          </w:p>
        </w:tc>
        <w:tc>
          <w:tcPr>
            <w:tcW w:w="671" w:type="pct"/>
            <w:vAlign w:val="center"/>
          </w:tcPr>
          <w:p>
            <w:pPr>
              <w:pStyle w:val="68"/>
              <w:adjustRightInd/>
              <w:snapToGrid/>
              <w:spacing w:afterLines="0"/>
              <w:rPr>
                <w:b w:val="0"/>
                <w:bCs/>
                <w:sz w:val="21"/>
                <w:szCs w:val="21"/>
              </w:rPr>
            </w:pPr>
            <w:r>
              <w:rPr>
                <w:b w:val="0"/>
                <w:bCs/>
                <w:sz w:val="21"/>
                <w:szCs w:val="21"/>
              </w:rPr>
              <w:t>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植物措施</w:t>
            </w:r>
          </w:p>
        </w:tc>
        <w:tc>
          <w:tcPr>
            <w:tcW w:w="515" w:type="pct"/>
            <w:gridSpan w:val="3"/>
            <w:vMerge w:val="restart"/>
            <w:tcBorders>
              <w:right w:val="single" w:color="auto" w:sz="4" w:space="0"/>
            </w:tcBorders>
            <w:vAlign w:val="center"/>
          </w:tcPr>
          <w:p>
            <w:pPr>
              <w:pStyle w:val="68"/>
              <w:adjustRightInd/>
              <w:snapToGrid/>
              <w:spacing w:afterLines="0"/>
              <w:rPr>
                <w:b w:val="0"/>
                <w:bCs/>
                <w:sz w:val="21"/>
                <w:szCs w:val="21"/>
              </w:rPr>
            </w:pPr>
            <w:r>
              <w:rPr>
                <w:b w:val="0"/>
                <w:bCs/>
                <w:sz w:val="21"/>
                <w:szCs w:val="21"/>
              </w:rPr>
              <w:t>道路综合绿化</w:t>
            </w:r>
          </w:p>
        </w:tc>
        <w:tc>
          <w:tcPr>
            <w:tcW w:w="474" w:type="pct"/>
            <w:tcBorders>
              <w:left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组成</w:t>
            </w:r>
          </w:p>
        </w:tc>
        <w:tc>
          <w:tcPr>
            <w:tcW w:w="577" w:type="pct"/>
            <w:tcBorders>
              <w:bottom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2.41</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257.50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2"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515" w:type="pct"/>
            <w:gridSpan w:val="3"/>
            <w:vMerge w:val="continue"/>
            <w:tcBorders>
              <w:right w:val="single" w:color="auto" w:sz="4" w:space="0"/>
            </w:tcBorders>
            <w:vAlign w:val="center"/>
          </w:tcPr>
          <w:p>
            <w:pPr>
              <w:pStyle w:val="68"/>
              <w:adjustRightInd/>
              <w:snapToGrid/>
              <w:spacing w:afterLines="0"/>
              <w:rPr>
                <w:b w:val="0"/>
                <w:bCs/>
                <w:sz w:val="21"/>
                <w:szCs w:val="21"/>
              </w:rPr>
            </w:pPr>
          </w:p>
        </w:tc>
        <w:tc>
          <w:tcPr>
            <w:tcW w:w="474" w:type="pct"/>
            <w:tcBorders>
              <w:top w:val="single" w:color="auto" w:sz="4" w:space="0"/>
              <w:left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行道树绿化</w:t>
            </w:r>
          </w:p>
        </w:tc>
        <w:tc>
          <w:tcPr>
            <w:tcW w:w="577"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株/hm</w:t>
            </w:r>
            <w:r>
              <w:rPr>
                <w:b w:val="0"/>
                <w:bCs/>
                <w:sz w:val="21"/>
                <w:szCs w:val="21"/>
                <w:vertAlign w:val="superscript"/>
              </w:rPr>
              <w:t>2</w:t>
            </w:r>
          </w:p>
        </w:tc>
        <w:tc>
          <w:tcPr>
            <w:tcW w:w="69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1475/0.21</w:t>
            </w:r>
          </w:p>
        </w:tc>
        <w:tc>
          <w:tcPr>
            <w:tcW w:w="671" w:type="pct"/>
            <w:tcBorders>
              <w:top w:val="single" w:color="auto" w:sz="4" w:space="0"/>
              <w:bottom w:val="single" w:color="auto" w:sz="4" w:space="0"/>
            </w:tcBorders>
            <w:vAlign w:val="center"/>
          </w:tcPr>
          <w:p>
            <w:pPr>
              <w:pStyle w:val="68"/>
              <w:adjustRightInd/>
              <w:snapToGrid/>
              <w:spacing w:afterLines="0"/>
              <w:rPr>
                <w:b w:val="0"/>
                <w:bCs/>
                <w:sz w:val="21"/>
                <w:szCs w:val="21"/>
              </w:rPr>
            </w:pPr>
            <w:r>
              <w:rPr>
                <w:b w:val="0"/>
                <w:bCs/>
                <w:sz w:val="21"/>
                <w:szCs w:val="21"/>
              </w:rPr>
              <w:t>147.50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515" w:type="pct"/>
            <w:gridSpan w:val="3"/>
            <w:vMerge w:val="continue"/>
            <w:tcBorders>
              <w:right w:val="single" w:color="auto" w:sz="4" w:space="0"/>
            </w:tcBorders>
            <w:vAlign w:val="center"/>
          </w:tcPr>
          <w:p>
            <w:pPr>
              <w:pStyle w:val="68"/>
              <w:adjustRightInd/>
              <w:snapToGrid/>
              <w:spacing w:afterLines="0"/>
              <w:rPr>
                <w:b w:val="0"/>
                <w:bCs/>
                <w:sz w:val="21"/>
                <w:szCs w:val="21"/>
              </w:rPr>
            </w:pPr>
          </w:p>
        </w:tc>
        <w:tc>
          <w:tcPr>
            <w:tcW w:w="474" w:type="pct"/>
            <w:tcBorders>
              <w:top w:val="single" w:color="auto" w:sz="4" w:space="0"/>
              <w:left w:val="single" w:color="auto" w:sz="4" w:space="0"/>
            </w:tcBorders>
            <w:vAlign w:val="center"/>
          </w:tcPr>
          <w:p>
            <w:pPr>
              <w:pStyle w:val="68"/>
              <w:adjustRightInd/>
              <w:snapToGrid/>
              <w:spacing w:afterLines="0"/>
              <w:rPr>
                <w:b w:val="0"/>
                <w:bCs/>
                <w:sz w:val="21"/>
                <w:szCs w:val="21"/>
              </w:rPr>
            </w:pPr>
            <w:r>
              <w:rPr>
                <w:b w:val="0"/>
                <w:bCs/>
                <w:sz w:val="21"/>
                <w:szCs w:val="21"/>
              </w:rPr>
              <w:t>绿化带绿化</w:t>
            </w:r>
          </w:p>
        </w:tc>
        <w:tc>
          <w:tcPr>
            <w:tcW w:w="577" w:type="pct"/>
            <w:tcBorders>
              <w:top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pStyle w:val="68"/>
              <w:adjustRightInd/>
              <w:snapToGrid/>
              <w:spacing w:afterLines="0"/>
              <w:rPr>
                <w:b w:val="0"/>
                <w:bCs/>
                <w:sz w:val="21"/>
                <w:szCs w:val="21"/>
              </w:rPr>
            </w:pPr>
            <w:r>
              <w:rPr>
                <w:b w:val="0"/>
                <w:bCs/>
                <w:sz w:val="21"/>
                <w:szCs w:val="21"/>
              </w:rPr>
              <w:t>2.20</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110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515" w:type="pct"/>
            <w:gridSpan w:val="3"/>
            <w:vMerge w:val="restart"/>
            <w:tcBorders>
              <w:right w:val="single" w:color="auto" w:sz="4" w:space="0"/>
            </w:tcBorders>
            <w:vAlign w:val="center"/>
          </w:tcPr>
          <w:p>
            <w:pPr>
              <w:ind w:firstLine="420"/>
            </w:pPr>
            <w:r>
              <w:rPr>
                <w:bCs/>
                <w:sz w:val="21"/>
                <w:szCs w:val="21"/>
              </w:rPr>
              <w:t>边坡绿化</w:t>
            </w:r>
          </w:p>
          <w:p>
            <w:pPr>
              <w:pStyle w:val="68"/>
              <w:adjustRightInd/>
              <w:snapToGrid/>
              <w:spacing w:afterLines="0"/>
              <w:rPr>
                <w:b w:val="0"/>
                <w:bCs/>
                <w:sz w:val="21"/>
                <w:szCs w:val="21"/>
              </w:rPr>
            </w:pPr>
          </w:p>
        </w:tc>
        <w:tc>
          <w:tcPr>
            <w:tcW w:w="474" w:type="pct"/>
            <w:tcBorders>
              <w:left w:val="single" w:color="auto" w:sz="4" w:space="0"/>
            </w:tcBorders>
            <w:vAlign w:val="center"/>
          </w:tcPr>
          <w:p>
            <w:pPr>
              <w:pStyle w:val="68"/>
              <w:adjustRightInd/>
              <w:snapToGrid/>
              <w:spacing w:afterLines="0"/>
              <w:rPr>
                <w:b w:val="0"/>
                <w:bCs/>
                <w:sz w:val="21"/>
                <w:szCs w:val="21"/>
              </w:rPr>
            </w:pPr>
            <w:r>
              <w:rPr>
                <w:b w:val="0"/>
                <w:bCs/>
                <w:sz w:val="21"/>
                <w:szCs w:val="21"/>
              </w:rPr>
              <w:t>喷播植草</w:t>
            </w:r>
          </w:p>
        </w:tc>
        <w:tc>
          <w:tcPr>
            <w:tcW w:w="577" w:type="pct"/>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rPr>
                <w:b w:val="0"/>
                <w:bCs/>
                <w:sz w:val="21"/>
                <w:szCs w:val="21"/>
              </w:rPr>
            </w:pPr>
            <w:r>
              <w:rPr>
                <w:b w:val="0"/>
                <w:bCs/>
                <w:sz w:val="21"/>
                <w:szCs w:val="21"/>
              </w:rPr>
              <w:t>1.30</w:t>
            </w:r>
          </w:p>
        </w:tc>
        <w:tc>
          <w:tcPr>
            <w:tcW w:w="671" w:type="pct"/>
            <w:vAlign w:val="center"/>
          </w:tcPr>
          <w:p>
            <w:pPr>
              <w:pStyle w:val="68"/>
              <w:adjustRightInd/>
              <w:snapToGrid/>
              <w:spacing w:afterLines="0"/>
              <w:rPr>
                <w:b w:val="0"/>
                <w:bCs/>
                <w:sz w:val="21"/>
                <w:szCs w:val="21"/>
              </w:rPr>
            </w:pPr>
            <w:r>
              <w:rPr>
                <w:b w:val="0"/>
                <w:bCs/>
                <w:sz w:val="21"/>
                <w:szCs w:val="21"/>
              </w:rPr>
              <w:t>1.56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bCs/>
                <w:sz w:val="21"/>
                <w:szCs w:val="21"/>
              </w:rPr>
            </w:pPr>
          </w:p>
        </w:tc>
        <w:tc>
          <w:tcPr>
            <w:tcW w:w="449" w:type="pct"/>
            <w:vMerge w:val="continue"/>
            <w:vAlign w:val="center"/>
          </w:tcPr>
          <w:p>
            <w:pPr>
              <w:tabs>
                <w:tab w:val="left" w:pos="1050"/>
              </w:tabs>
              <w:spacing w:line="240" w:lineRule="auto"/>
              <w:ind w:firstLine="0" w:firstLineChars="0"/>
              <w:jc w:val="center"/>
              <w:rPr>
                <w:bCs/>
                <w:sz w:val="21"/>
                <w:szCs w:val="21"/>
              </w:rPr>
            </w:pPr>
          </w:p>
        </w:tc>
        <w:tc>
          <w:tcPr>
            <w:tcW w:w="595" w:type="pct"/>
            <w:vMerge w:val="continue"/>
            <w:vAlign w:val="center"/>
          </w:tcPr>
          <w:p>
            <w:pPr>
              <w:tabs>
                <w:tab w:val="left" w:pos="1050"/>
              </w:tabs>
              <w:spacing w:line="240" w:lineRule="auto"/>
              <w:ind w:firstLine="0" w:firstLineChars="0"/>
              <w:jc w:val="center"/>
              <w:rPr>
                <w:bCs/>
                <w:sz w:val="21"/>
                <w:szCs w:val="21"/>
              </w:rPr>
            </w:pPr>
          </w:p>
        </w:tc>
        <w:tc>
          <w:tcPr>
            <w:tcW w:w="581" w:type="pct"/>
            <w:vMerge w:val="continue"/>
            <w:vAlign w:val="center"/>
          </w:tcPr>
          <w:p>
            <w:pPr>
              <w:tabs>
                <w:tab w:val="left" w:pos="1050"/>
              </w:tabs>
              <w:spacing w:line="240" w:lineRule="auto"/>
              <w:ind w:firstLine="0" w:firstLineChars="0"/>
              <w:jc w:val="center"/>
              <w:rPr>
                <w:bCs/>
                <w:sz w:val="21"/>
                <w:szCs w:val="21"/>
              </w:rPr>
            </w:pPr>
          </w:p>
        </w:tc>
        <w:tc>
          <w:tcPr>
            <w:tcW w:w="515" w:type="pct"/>
            <w:gridSpan w:val="3"/>
            <w:vMerge w:val="continue"/>
            <w:tcBorders>
              <w:right w:val="single" w:color="auto" w:sz="4" w:space="0"/>
            </w:tcBorders>
            <w:vAlign w:val="center"/>
          </w:tcPr>
          <w:p>
            <w:pPr>
              <w:pStyle w:val="68"/>
              <w:adjustRightInd/>
              <w:snapToGrid/>
              <w:spacing w:afterLines="0"/>
              <w:rPr>
                <w:b w:val="0"/>
                <w:bCs/>
                <w:sz w:val="21"/>
                <w:szCs w:val="21"/>
              </w:rPr>
            </w:pPr>
          </w:p>
        </w:tc>
        <w:tc>
          <w:tcPr>
            <w:tcW w:w="474" w:type="pct"/>
            <w:tcBorders>
              <w:left w:val="single" w:color="auto" w:sz="4" w:space="0"/>
            </w:tcBorders>
            <w:vAlign w:val="center"/>
          </w:tcPr>
          <w:p>
            <w:pPr>
              <w:pStyle w:val="68"/>
              <w:adjustRightInd/>
              <w:snapToGrid/>
              <w:spacing w:afterLines="0"/>
              <w:rPr>
                <w:b w:val="0"/>
                <w:bCs/>
                <w:sz w:val="21"/>
                <w:szCs w:val="21"/>
              </w:rPr>
            </w:pPr>
            <w:r>
              <w:rPr>
                <w:b w:val="0"/>
                <w:bCs/>
                <w:sz w:val="21"/>
                <w:szCs w:val="21"/>
              </w:rPr>
              <w:t>挂三维网植草</w:t>
            </w:r>
          </w:p>
        </w:tc>
        <w:tc>
          <w:tcPr>
            <w:tcW w:w="577" w:type="pct"/>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rPr>
                <w:b w:val="0"/>
                <w:bCs/>
                <w:sz w:val="21"/>
                <w:szCs w:val="21"/>
              </w:rPr>
            </w:pPr>
            <w:r>
              <w:rPr>
                <w:b w:val="0"/>
                <w:bCs/>
                <w:sz w:val="21"/>
                <w:szCs w:val="21"/>
              </w:rPr>
              <w:t>1.10</w:t>
            </w:r>
          </w:p>
        </w:tc>
        <w:tc>
          <w:tcPr>
            <w:tcW w:w="671" w:type="pct"/>
            <w:vAlign w:val="center"/>
          </w:tcPr>
          <w:p>
            <w:pPr>
              <w:pStyle w:val="68"/>
              <w:adjustRightInd/>
              <w:snapToGrid/>
              <w:spacing w:afterLines="0"/>
              <w:rPr>
                <w:b w:val="0"/>
                <w:bCs/>
                <w:sz w:val="21"/>
                <w:szCs w:val="21"/>
              </w:rPr>
            </w:pPr>
            <w:r>
              <w:rPr>
                <w:b w:val="0"/>
                <w:bCs/>
                <w:sz w:val="21"/>
                <w:szCs w:val="21"/>
              </w:rPr>
              <w:t>11.86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continue"/>
            <w:vAlign w:val="center"/>
          </w:tcPr>
          <w:p>
            <w:pPr>
              <w:pStyle w:val="53"/>
              <w:rPr>
                <w:rFonts w:eastAsia="仿宋_GB2312"/>
              </w:rPr>
            </w:pPr>
          </w:p>
        </w:tc>
        <w:tc>
          <w:tcPr>
            <w:tcW w:w="3434" w:type="pct"/>
            <w:gridSpan w:val="8"/>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rPr>
                <w:bCs/>
                <w:sz w:val="21"/>
                <w:szCs w:val="21"/>
              </w:rPr>
            </w:pPr>
            <w:r>
              <w:rPr>
                <w:bCs/>
                <w:sz w:val="21"/>
                <w:szCs w:val="21"/>
              </w:rPr>
              <w:t>1745.34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restart"/>
            <w:vAlign w:val="center"/>
          </w:tcPr>
          <w:p>
            <w:pPr>
              <w:tabs>
                <w:tab w:val="left" w:pos="1050"/>
              </w:tabs>
              <w:spacing w:line="240" w:lineRule="auto"/>
              <w:ind w:firstLine="0" w:firstLineChars="0"/>
              <w:jc w:val="center"/>
              <w:rPr>
                <w:sz w:val="21"/>
                <w:szCs w:val="21"/>
              </w:rPr>
            </w:pPr>
            <w:r>
              <w:rPr>
                <w:sz w:val="21"/>
                <w:szCs w:val="21"/>
              </w:rPr>
              <w:t>公用设施用地区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rPr>
                <w:b w:val="0"/>
                <w:sz w:val="21"/>
                <w:szCs w:val="21"/>
              </w:rPr>
            </w:pPr>
            <w:r>
              <w:rPr>
                <w:b w:val="0"/>
                <w:bCs/>
                <w:sz w:val="21"/>
                <w:szCs w:val="21"/>
              </w:rPr>
              <w:t>表土剥离</w:t>
            </w:r>
          </w:p>
        </w:tc>
        <w:tc>
          <w:tcPr>
            <w:tcW w:w="577" w:type="pct"/>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rPr>
                <w:b w:val="0"/>
                <w:bCs/>
                <w:sz w:val="21"/>
                <w:szCs w:val="21"/>
              </w:rPr>
            </w:pPr>
            <w:r>
              <w:rPr>
                <w:b w:val="0"/>
                <w:bCs/>
                <w:sz w:val="21"/>
                <w:szCs w:val="21"/>
              </w:rPr>
              <w:t>0.71</w:t>
            </w:r>
          </w:p>
        </w:tc>
        <w:tc>
          <w:tcPr>
            <w:tcW w:w="671" w:type="pct"/>
            <w:vAlign w:val="center"/>
          </w:tcPr>
          <w:p>
            <w:pPr>
              <w:pStyle w:val="68"/>
              <w:adjustRightInd/>
              <w:snapToGrid/>
              <w:spacing w:afterLines="0"/>
              <w:rPr>
                <w:b w:val="0"/>
                <w:bCs/>
                <w:sz w:val="21"/>
                <w:szCs w:val="21"/>
              </w:rPr>
            </w:pPr>
            <w:r>
              <w:rPr>
                <w:b w:val="0"/>
                <w:bCs/>
                <w:sz w:val="21"/>
                <w:szCs w:val="21"/>
              </w:rPr>
              <w:t>3.55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表土回覆</w:t>
            </w:r>
          </w:p>
        </w:tc>
        <w:tc>
          <w:tcPr>
            <w:tcW w:w="577" w:type="pct"/>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rPr>
                <w:b w:val="0"/>
                <w:bCs/>
                <w:sz w:val="21"/>
                <w:szCs w:val="21"/>
              </w:rPr>
            </w:pPr>
            <w:r>
              <w:rPr>
                <w:b w:val="0"/>
                <w:bCs/>
                <w:sz w:val="21"/>
                <w:szCs w:val="21"/>
              </w:rPr>
              <w:t>0.71</w:t>
            </w:r>
          </w:p>
        </w:tc>
        <w:tc>
          <w:tcPr>
            <w:tcW w:w="671" w:type="pct"/>
            <w:vAlign w:val="center"/>
          </w:tcPr>
          <w:p>
            <w:pPr>
              <w:pStyle w:val="68"/>
              <w:adjustRightInd/>
              <w:snapToGrid/>
              <w:spacing w:afterLines="0"/>
              <w:rPr>
                <w:b w:val="0"/>
                <w:bCs/>
                <w:sz w:val="21"/>
                <w:szCs w:val="21"/>
              </w:rPr>
            </w:pPr>
            <w:r>
              <w:rPr>
                <w:b w:val="0"/>
                <w:bCs/>
                <w:sz w:val="21"/>
                <w:szCs w:val="21"/>
              </w:rPr>
              <w:t>4.26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雨水管</w:t>
            </w:r>
          </w:p>
        </w:tc>
        <w:tc>
          <w:tcPr>
            <w:tcW w:w="577" w:type="pct"/>
            <w:vAlign w:val="center"/>
          </w:tcPr>
          <w:p>
            <w:pPr>
              <w:pStyle w:val="68"/>
              <w:adjustRightInd/>
              <w:snapToGrid/>
              <w:spacing w:afterLines="0"/>
              <w:rPr>
                <w:b w:val="0"/>
                <w:sz w:val="21"/>
                <w:szCs w:val="21"/>
              </w:rPr>
            </w:pPr>
            <w:r>
              <w:rPr>
                <w:b w:val="0"/>
                <w:bCs/>
                <w:sz w:val="21"/>
                <w:szCs w:val="21"/>
              </w:rPr>
              <w:t>m</w:t>
            </w:r>
          </w:p>
        </w:tc>
        <w:tc>
          <w:tcPr>
            <w:tcW w:w="691" w:type="pct"/>
            <w:vAlign w:val="center"/>
          </w:tcPr>
          <w:p>
            <w:pPr>
              <w:pStyle w:val="68"/>
              <w:adjustRightInd/>
              <w:snapToGrid/>
              <w:spacing w:afterLines="0"/>
              <w:rPr>
                <w:b w:val="0"/>
                <w:bCs/>
                <w:sz w:val="21"/>
                <w:szCs w:val="21"/>
              </w:rPr>
            </w:pPr>
            <w:r>
              <w:rPr>
                <w:b w:val="0"/>
                <w:bCs/>
                <w:sz w:val="21"/>
                <w:szCs w:val="21"/>
              </w:rPr>
              <w:t>4546</w:t>
            </w:r>
          </w:p>
        </w:tc>
        <w:tc>
          <w:tcPr>
            <w:tcW w:w="671" w:type="pct"/>
            <w:vAlign w:val="center"/>
          </w:tcPr>
          <w:p>
            <w:pPr>
              <w:pStyle w:val="68"/>
              <w:adjustRightInd/>
              <w:snapToGrid/>
              <w:spacing w:afterLines="0"/>
              <w:rPr>
                <w:b w:val="0"/>
                <w:bCs/>
                <w:sz w:val="21"/>
                <w:szCs w:val="21"/>
              </w:rPr>
            </w:pPr>
            <w:r>
              <w:rPr>
                <w:b w:val="0"/>
                <w:bCs/>
                <w:sz w:val="21"/>
                <w:szCs w:val="21"/>
              </w:rPr>
              <w:t>227.30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雨水口</w:t>
            </w:r>
          </w:p>
        </w:tc>
        <w:tc>
          <w:tcPr>
            <w:tcW w:w="577" w:type="pct"/>
            <w:vAlign w:val="center"/>
          </w:tcPr>
          <w:p>
            <w:pPr>
              <w:pStyle w:val="68"/>
              <w:adjustRightInd/>
              <w:snapToGrid/>
              <w:spacing w:afterLines="0"/>
              <w:rPr>
                <w:b w:val="0"/>
                <w:sz w:val="21"/>
                <w:szCs w:val="21"/>
              </w:rPr>
            </w:pPr>
            <w:r>
              <w:rPr>
                <w:b w:val="0"/>
                <w:bCs/>
                <w:sz w:val="21"/>
                <w:szCs w:val="21"/>
              </w:rPr>
              <w:t>个</w:t>
            </w:r>
          </w:p>
        </w:tc>
        <w:tc>
          <w:tcPr>
            <w:tcW w:w="691" w:type="pct"/>
            <w:vAlign w:val="center"/>
          </w:tcPr>
          <w:p>
            <w:pPr>
              <w:pStyle w:val="68"/>
              <w:adjustRightInd/>
              <w:snapToGrid/>
              <w:spacing w:afterLines="0"/>
              <w:rPr>
                <w:b w:val="0"/>
                <w:bCs/>
                <w:sz w:val="21"/>
                <w:szCs w:val="21"/>
              </w:rPr>
            </w:pPr>
            <w:r>
              <w:rPr>
                <w:b w:val="0"/>
                <w:bCs/>
                <w:sz w:val="21"/>
                <w:szCs w:val="21"/>
              </w:rPr>
              <w:t>159</w:t>
            </w:r>
          </w:p>
        </w:tc>
        <w:tc>
          <w:tcPr>
            <w:tcW w:w="671" w:type="pct"/>
            <w:vAlign w:val="center"/>
          </w:tcPr>
          <w:p>
            <w:pPr>
              <w:pStyle w:val="68"/>
              <w:adjustRightInd/>
              <w:snapToGrid/>
              <w:spacing w:afterLines="0"/>
              <w:rPr>
                <w:b w:val="0"/>
                <w:bCs/>
                <w:sz w:val="21"/>
                <w:szCs w:val="21"/>
              </w:rPr>
            </w:pPr>
            <w:r>
              <w:rPr>
                <w:b w:val="0"/>
                <w:bCs/>
                <w:sz w:val="21"/>
                <w:szCs w:val="21"/>
              </w:rPr>
              <w:t>19.08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rPr>
                <w:b w:val="0"/>
                <w:sz w:val="21"/>
                <w:szCs w:val="21"/>
              </w:rPr>
            </w:pPr>
            <w:r>
              <w:rPr>
                <w:b w:val="0"/>
                <w:bCs/>
                <w:sz w:val="21"/>
                <w:szCs w:val="21"/>
              </w:rPr>
              <w:t>排水沟</w:t>
            </w:r>
          </w:p>
        </w:tc>
        <w:tc>
          <w:tcPr>
            <w:tcW w:w="577" w:type="pct"/>
            <w:vAlign w:val="center"/>
          </w:tcPr>
          <w:p>
            <w:pPr>
              <w:pStyle w:val="68"/>
              <w:adjustRightInd/>
              <w:snapToGrid/>
              <w:spacing w:afterLines="0"/>
              <w:rPr>
                <w:b w:val="0"/>
                <w:sz w:val="21"/>
                <w:szCs w:val="21"/>
              </w:rPr>
            </w:pPr>
            <w:r>
              <w:rPr>
                <w:b w:val="0"/>
                <w:bCs/>
                <w:sz w:val="21"/>
                <w:szCs w:val="21"/>
              </w:rPr>
              <w:t>m</w:t>
            </w:r>
          </w:p>
        </w:tc>
        <w:tc>
          <w:tcPr>
            <w:tcW w:w="691" w:type="pct"/>
            <w:vAlign w:val="center"/>
          </w:tcPr>
          <w:p>
            <w:pPr>
              <w:pStyle w:val="68"/>
              <w:adjustRightInd/>
              <w:snapToGrid/>
              <w:spacing w:afterLines="0"/>
              <w:rPr>
                <w:b w:val="0"/>
                <w:bCs/>
                <w:sz w:val="21"/>
                <w:szCs w:val="21"/>
              </w:rPr>
            </w:pPr>
            <w:r>
              <w:rPr>
                <w:b w:val="0"/>
                <w:bCs/>
                <w:sz w:val="21"/>
                <w:szCs w:val="21"/>
              </w:rPr>
              <w:t>408</w:t>
            </w:r>
          </w:p>
        </w:tc>
        <w:tc>
          <w:tcPr>
            <w:tcW w:w="671" w:type="pct"/>
            <w:vAlign w:val="center"/>
          </w:tcPr>
          <w:p>
            <w:pPr>
              <w:pStyle w:val="68"/>
              <w:adjustRightInd/>
              <w:snapToGrid/>
              <w:spacing w:afterLines="0"/>
              <w:rPr>
                <w:b w:val="0"/>
                <w:bCs/>
                <w:sz w:val="21"/>
                <w:szCs w:val="21"/>
              </w:rPr>
            </w:pPr>
            <w:r>
              <w:rPr>
                <w:b w:val="0"/>
                <w:bCs/>
                <w:sz w:val="21"/>
                <w:szCs w:val="21"/>
              </w:rPr>
              <w:t>20.40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444" w:type="pct"/>
            <w:vMerge w:val="continue"/>
            <w:vAlign w:val="center"/>
          </w:tcPr>
          <w:p>
            <w:pPr>
              <w:pStyle w:val="53"/>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58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bottom w:val="single" w:color="auto" w:sz="4" w:space="0"/>
            </w:tcBorders>
            <w:vAlign w:val="center"/>
          </w:tcPr>
          <w:p>
            <w:pPr>
              <w:pStyle w:val="68"/>
              <w:adjustRightInd/>
              <w:snapToGrid/>
              <w:spacing w:afterLines="0"/>
              <w:rPr>
                <w:b w:val="0"/>
                <w:bCs/>
                <w:sz w:val="21"/>
                <w:szCs w:val="21"/>
              </w:rPr>
            </w:pPr>
            <w:r>
              <w:rPr>
                <w:b w:val="0"/>
                <w:bCs/>
                <w:sz w:val="21"/>
                <w:szCs w:val="21"/>
              </w:rPr>
              <w:t>乔灌草综合绿化</w:t>
            </w:r>
          </w:p>
        </w:tc>
        <w:tc>
          <w:tcPr>
            <w:tcW w:w="577" w:type="pct"/>
            <w:tcBorders>
              <w:bottom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2.36</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305.29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0" w:hRule="atLeast"/>
        </w:trPr>
        <w:tc>
          <w:tcPr>
            <w:tcW w:w="444" w:type="pct"/>
            <w:vMerge w:val="continue"/>
            <w:vAlign w:val="center"/>
          </w:tcPr>
          <w:p>
            <w:pPr>
              <w:pStyle w:val="53"/>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未建区</w:t>
            </w:r>
          </w:p>
        </w:tc>
        <w:tc>
          <w:tcPr>
            <w:tcW w:w="58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top w:val="single" w:color="auto" w:sz="4" w:space="0"/>
            </w:tcBorders>
            <w:vAlign w:val="center"/>
          </w:tcPr>
          <w:p>
            <w:pPr>
              <w:pStyle w:val="68"/>
              <w:adjustRightInd/>
              <w:snapToGrid/>
              <w:spacing w:afterLines="0"/>
              <w:rPr>
                <w:b w:val="0"/>
                <w:bCs/>
                <w:sz w:val="21"/>
                <w:szCs w:val="21"/>
              </w:rPr>
            </w:pPr>
            <w:r>
              <w:rPr>
                <w:b w:val="0"/>
                <w:bCs/>
                <w:sz w:val="21"/>
                <w:szCs w:val="21"/>
              </w:rPr>
              <w:t>乔灌草综合绿化</w:t>
            </w:r>
          </w:p>
        </w:tc>
        <w:tc>
          <w:tcPr>
            <w:tcW w:w="577" w:type="pct"/>
            <w:tcBorders>
              <w:top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4.89</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632.56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3434" w:type="pct"/>
            <w:gridSpan w:val="8"/>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rPr>
                <w:bCs/>
                <w:sz w:val="21"/>
                <w:szCs w:val="21"/>
              </w:rPr>
            </w:pPr>
            <w:r>
              <w:rPr>
                <w:bCs/>
                <w:sz w:val="21"/>
                <w:szCs w:val="21"/>
              </w:rPr>
              <w:t>1212.44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restart"/>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rPr>
                <w:b w:val="0"/>
                <w:sz w:val="21"/>
                <w:szCs w:val="21"/>
              </w:rPr>
            </w:pPr>
            <w:r>
              <w:rPr>
                <w:b w:val="0"/>
                <w:bCs/>
                <w:sz w:val="21"/>
                <w:szCs w:val="21"/>
              </w:rPr>
              <w:t>表土回覆</w:t>
            </w:r>
          </w:p>
        </w:tc>
        <w:tc>
          <w:tcPr>
            <w:tcW w:w="577" w:type="pct"/>
            <w:vAlign w:val="center"/>
          </w:tcPr>
          <w:p>
            <w:pPr>
              <w:pStyle w:val="68"/>
              <w:adjustRightInd/>
              <w:snapToGrid/>
              <w:spacing w:afterLines="0"/>
              <w:rPr>
                <w:b w:val="0"/>
                <w:sz w:val="21"/>
                <w:szCs w:val="21"/>
              </w:rPr>
            </w:pPr>
            <w:r>
              <w:rPr>
                <w:b w:val="0"/>
                <w:bCs/>
                <w:sz w:val="21"/>
                <w:szCs w:val="21"/>
              </w:rPr>
              <w:t>万m</w:t>
            </w:r>
            <w:r>
              <w:rPr>
                <w:b w:val="0"/>
                <w:bCs/>
                <w:sz w:val="21"/>
                <w:szCs w:val="21"/>
                <w:vertAlign w:val="superscript"/>
              </w:rPr>
              <w:t>3</w:t>
            </w:r>
          </w:p>
        </w:tc>
        <w:tc>
          <w:tcPr>
            <w:tcW w:w="691" w:type="pct"/>
            <w:vAlign w:val="center"/>
          </w:tcPr>
          <w:p>
            <w:pPr>
              <w:tabs>
                <w:tab w:val="left" w:pos="1050"/>
              </w:tabs>
              <w:spacing w:line="240" w:lineRule="auto"/>
              <w:ind w:firstLine="0" w:firstLineChars="0"/>
              <w:jc w:val="center"/>
              <w:rPr>
                <w:sz w:val="21"/>
                <w:szCs w:val="21"/>
              </w:rPr>
            </w:pPr>
            <w:r>
              <w:rPr>
                <w:sz w:val="21"/>
                <w:szCs w:val="21"/>
              </w:rPr>
              <w:t>1.41</w:t>
            </w:r>
          </w:p>
        </w:tc>
        <w:tc>
          <w:tcPr>
            <w:tcW w:w="671" w:type="pct"/>
            <w:vAlign w:val="center"/>
          </w:tcPr>
          <w:p>
            <w:pPr>
              <w:pStyle w:val="68"/>
              <w:adjustRightInd/>
              <w:snapToGrid/>
              <w:spacing w:afterLines="0"/>
              <w:rPr>
                <w:b w:val="0"/>
                <w:bCs/>
                <w:sz w:val="21"/>
                <w:szCs w:val="21"/>
              </w:rPr>
            </w:pPr>
            <w:r>
              <w:rPr>
                <w:b w:val="0"/>
                <w:bCs/>
                <w:sz w:val="21"/>
                <w:szCs w:val="21"/>
              </w:rPr>
              <w:t>8.46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4" w:hRule="atLeast"/>
        </w:trPr>
        <w:tc>
          <w:tcPr>
            <w:tcW w:w="444" w:type="pct"/>
            <w:vMerge w:val="continue"/>
            <w:vAlign w:val="center"/>
          </w:tcPr>
          <w:p>
            <w:pPr>
              <w:pStyle w:val="53"/>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58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bottom w:val="single" w:color="auto" w:sz="4" w:space="0"/>
            </w:tcBorders>
            <w:vAlign w:val="center"/>
          </w:tcPr>
          <w:p>
            <w:pPr>
              <w:pStyle w:val="68"/>
              <w:adjustRightInd/>
              <w:snapToGrid/>
              <w:spacing w:afterLines="0"/>
              <w:rPr>
                <w:b w:val="0"/>
                <w:bCs/>
                <w:sz w:val="21"/>
                <w:szCs w:val="21"/>
              </w:rPr>
            </w:pPr>
            <w:r>
              <w:rPr>
                <w:b w:val="0"/>
                <w:bCs/>
                <w:sz w:val="21"/>
                <w:szCs w:val="21"/>
              </w:rPr>
              <w:t>乔灌草综合绿化</w:t>
            </w:r>
          </w:p>
        </w:tc>
        <w:tc>
          <w:tcPr>
            <w:tcW w:w="577" w:type="pct"/>
            <w:tcBorders>
              <w:bottom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6.64</w:t>
            </w:r>
          </w:p>
        </w:tc>
        <w:tc>
          <w:tcPr>
            <w:tcW w:w="671" w:type="pct"/>
            <w:tcBorders>
              <w:bottom w:val="single" w:color="auto" w:sz="4" w:space="0"/>
            </w:tcBorders>
            <w:vAlign w:val="center"/>
          </w:tcPr>
          <w:p>
            <w:pPr>
              <w:pStyle w:val="68"/>
              <w:adjustRightInd/>
              <w:snapToGrid/>
              <w:spacing w:afterLines="0"/>
              <w:rPr>
                <w:b w:val="0"/>
                <w:bCs/>
                <w:sz w:val="21"/>
                <w:szCs w:val="21"/>
              </w:rPr>
            </w:pPr>
            <w:r>
              <w:rPr>
                <w:b w:val="0"/>
                <w:bCs/>
                <w:sz w:val="21"/>
                <w:szCs w:val="21"/>
              </w:rPr>
              <w:t>858.94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23" w:hRule="atLeast"/>
        </w:trPr>
        <w:tc>
          <w:tcPr>
            <w:tcW w:w="444" w:type="pct"/>
            <w:vMerge w:val="continue"/>
            <w:vAlign w:val="center"/>
          </w:tcPr>
          <w:p>
            <w:pPr>
              <w:pStyle w:val="53"/>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未建区</w:t>
            </w:r>
          </w:p>
        </w:tc>
        <w:tc>
          <w:tcPr>
            <w:tcW w:w="58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top w:val="single" w:color="auto" w:sz="4" w:space="0"/>
            </w:tcBorders>
            <w:vAlign w:val="center"/>
          </w:tcPr>
          <w:p>
            <w:pPr>
              <w:pStyle w:val="68"/>
              <w:adjustRightInd/>
              <w:snapToGrid/>
              <w:spacing w:afterLines="0"/>
              <w:rPr>
                <w:b w:val="0"/>
                <w:bCs/>
                <w:sz w:val="21"/>
                <w:szCs w:val="21"/>
              </w:rPr>
            </w:pPr>
            <w:r>
              <w:rPr>
                <w:b w:val="0"/>
                <w:bCs/>
                <w:sz w:val="21"/>
                <w:szCs w:val="21"/>
              </w:rPr>
              <w:t>乔灌草综合绿化</w:t>
            </w:r>
          </w:p>
        </w:tc>
        <w:tc>
          <w:tcPr>
            <w:tcW w:w="577" w:type="pct"/>
            <w:tcBorders>
              <w:top w:val="single" w:color="auto" w:sz="4" w:space="0"/>
            </w:tcBorders>
            <w:vAlign w:val="center"/>
          </w:tcPr>
          <w:p>
            <w:pPr>
              <w:pStyle w:val="68"/>
              <w:adjustRightInd/>
              <w:snapToGrid/>
              <w:spacing w:afterLines="0"/>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41.57</w:t>
            </w:r>
          </w:p>
        </w:tc>
        <w:tc>
          <w:tcPr>
            <w:tcW w:w="671" w:type="pct"/>
            <w:tcBorders>
              <w:top w:val="single" w:color="auto" w:sz="4" w:space="0"/>
            </w:tcBorders>
            <w:vAlign w:val="center"/>
          </w:tcPr>
          <w:p>
            <w:pPr>
              <w:pStyle w:val="68"/>
              <w:adjustRightInd/>
              <w:snapToGrid/>
              <w:spacing w:afterLines="0"/>
              <w:rPr>
                <w:b w:val="0"/>
                <w:bCs/>
                <w:sz w:val="21"/>
                <w:szCs w:val="21"/>
              </w:rPr>
            </w:pPr>
            <w:r>
              <w:rPr>
                <w:b w:val="0"/>
                <w:bCs/>
                <w:sz w:val="21"/>
                <w:szCs w:val="21"/>
              </w:rPr>
              <w:t>5377.42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3434" w:type="pct"/>
            <w:gridSpan w:val="8"/>
            <w:tcBorders>
              <w:bottom w:val="single" w:color="auto" w:sz="4" w:space="0"/>
            </w:tcBorders>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rPr>
                <w:bCs/>
                <w:sz w:val="21"/>
                <w:szCs w:val="21"/>
              </w:rPr>
            </w:pPr>
            <w:r>
              <w:rPr>
                <w:bCs/>
                <w:sz w:val="21"/>
                <w:szCs w:val="21"/>
              </w:rPr>
              <w:t>6244.82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328" w:type="pct"/>
            <w:gridSpan w:val="10"/>
            <w:tcBorders>
              <w:top w:val="single" w:color="auto" w:sz="4" w:space="0"/>
            </w:tcBorders>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671" w:type="pct"/>
            <w:vAlign w:val="center"/>
          </w:tcPr>
          <w:p>
            <w:pPr>
              <w:pStyle w:val="68"/>
              <w:adjustRightInd/>
              <w:snapToGrid/>
              <w:spacing w:afterLines="0"/>
              <w:rPr>
                <w:b w:val="0"/>
                <w:bCs/>
                <w:sz w:val="21"/>
                <w:szCs w:val="21"/>
              </w:rPr>
            </w:pPr>
            <w:r>
              <w:rPr>
                <w:sz w:val="21"/>
                <w:szCs w:val="21"/>
              </w:rPr>
              <w:t>9349.52</w:t>
            </w:r>
          </w:p>
        </w:tc>
      </w:tr>
      <w:bookmarkEnd w:id="19"/>
      <w:bookmarkEnd w:id="20"/>
      <w:bookmarkEnd w:id="21"/>
      <w:bookmarkEnd w:id="22"/>
      <w:bookmarkEnd w:id="23"/>
      <w:bookmarkEnd w:id="24"/>
      <w:bookmarkEnd w:id="25"/>
      <w:bookmarkEnd w:id="26"/>
      <w:bookmarkEnd w:id="28"/>
    </w:tbl>
    <w:p>
      <w:pPr>
        <w:pStyle w:val="5"/>
        <w:spacing w:beforeLines="50"/>
      </w:pPr>
      <w:bookmarkStart w:id="65" w:name="_Toc14091"/>
      <w:bookmarkStart w:id="66" w:name="_Toc32746"/>
      <w:bookmarkStart w:id="67" w:name="_Toc22801"/>
      <w:bookmarkStart w:id="68" w:name="_Toc8407"/>
      <w:bookmarkStart w:id="69" w:name="_Toc5429"/>
      <w:bookmarkStart w:id="70" w:name="_Toc13641"/>
      <w:bookmarkStart w:id="71" w:name="_Toc13533"/>
      <w:bookmarkStart w:id="72" w:name="_Toc7508"/>
      <w:bookmarkStart w:id="73" w:name="_Toc11211"/>
      <w:bookmarkStart w:id="74" w:name="_Toc31877"/>
      <w:bookmarkStart w:id="75" w:name="_Toc16786"/>
      <w:bookmarkStart w:id="76" w:name="_Toc13254"/>
      <w:bookmarkStart w:id="77" w:name="_Toc22870"/>
      <w:r>
        <w:t>3.4已实施的水土保持措施分析评价</w:t>
      </w:r>
      <w:bookmarkEnd w:id="65"/>
    </w:p>
    <w:p>
      <w:pPr>
        <w:ind w:firstLine="480"/>
      </w:pPr>
      <w:r>
        <w:t>据现场调查，园区已完施工期项目已实施的具有水土保持功能的措施主要包括：雨水管网及雨水口、景观绿化、行道树、洗车系统、临时排水沟、临时苫盖等。上述已实施的水土保持措施具有较好的水土流失防治效果，正逐步发挥效益。已完工项目存在的主要问题是：施工期间的临时拦挡、排水、沉沙及苫盖措施存在不到位的情况，部分增加了人为水土流失，水土流失防治工作存在一定的滞后性和不足，项目完工后未及时组织开展水土保持设施验收工作。</w:t>
      </w:r>
    </w:p>
    <w:p>
      <w:pPr>
        <w:pStyle w:val="5"/>
      </w:pPr>
      <w:bookmarkStart w:id="78" w:name="_Toc13783"/>
      <w:r>
        <w:t>3.5园区水土保持分析评价结论</w:t>
      </w:r>
      <w:bookmarkEnd w:id="78"/>
    </w:p>
    <w:p>
      <w:pPr>
        <w:ind w:firstLine="482"/>
        <w:rPr>
          <w:b/>
          <w:bCs/>
        </w:rPr>
      </w:pPr>
      <w:r>
        <w:rPr>
          <w:b/>
          <w:bCs/>
        </w:rPr>
        <w:t>1、园区选址水土保持制约因素分析与评价结论</w:t>
      </w:r>
    </w:p>
    <w:p>
      <w:pPr>
        <w:ind w:firstLine="480"/>
      </w:pPr>
      <w:r>
        <w:t>园区选址避让了全国水土保持监测网络中的水土保持监测站点、重点试验区及国家确定的水土保持长期定位观测站，不涉及河流、湖泊、水库植物保护带，不涉及生态保护红线。因此园区选址基本符合《生产建设项目水土保持技术标准》（GB50433-2018）关于选址的约束性规定。</w:t>
      </w:r>
    </w:p>
    <w:p>
      <w:pPr>
        <w:ind w:firstLine="482"/>
        <w:rPr>
          <w:b/>
          <w:bCs/>
        </w:rPr>
      </w:pPr>
      <w:r>
        <w:rPr>
          <w:b/>
          <w:bCs/>
        </w:rPr>
        <w:t>2、园区建设方案与布局的水土保持分析评价结论</w:t>
      </w:r>
    </w:p>
    <w:p>
      <w:pPr>
        <w:ind w:firstLine="480"/>
      </w:pPr>
      <w:r>
        <w:t>园区已建、在建项目建设方案总体满足水土保持技术规范有关规定，园区待建项目主体工程设计应优化方案，减少工程占地和土石方量，并提高截排水工程、拦挡工程和植物措施等级标准和防洪标准，临时堆土（料）应采取拦挡、苫盖、排水、沉沙等措施，园区表土及土石方中转场应采取挡排、遮盖等措施，运输土石方的车辆车厢应进行遮盖，车轮及时冲洗，防止产生扬尘和泥沙进入市政管网，从而满足水土保持技术标准中关于建设方案的有关规定。</w:t>
      </w:r>
    </w:p>
    <w:p>
      <w:pPr>
        <w:ind w:firstLine="480"/>
      </w:pPr>
      <w:r>
        <w:t>园区已建、在建、待建项目占地及土石方平衡总体合理，满足水土保持技术标准中关于建设方案的有关规定。</w:t>
      </w:r>
    </w:p>
    <w:p>
      <w:pPr>
        <w:ind w:firstLine="480"/>
      </w:pPr>
      <w:r>
        <w:t>园区已建、在建项目在施工过程中部分实施了水土保持措施，施工组织及工艺总体满足水土保持要求，但存在临时苫盖、临时排水、临时沉沙措施不完全到位的情况。园区待建项目目前受设计深度限制，目前无明确的施工方法与工艺，应在后续设计、施工过程中优化施工方法及工艺，确保符合减少水土流失的要求，土石方在运输过程中应采取防止沿途散溢等保护措施，加强表土保护措施，合理安排施工，防止重复开挖和多次倒运，减少裸露时间和范围，裸露地表应及时采取防护措施，填筑土方应做到随挖、随运、随填、随压，临时堆土应集中堆放，临时堆土及施工场地应及时采取临时拦挡、苫盖、排水、沉沙等措施，表土及土石方中转场应满足“先拦后弃”、自下而上、分层碾压（公共表土场除外）、分级堆放原则。</w:t>
      </w:r>
    </w:p>
    <w:p>
      <w:pPr>
        <w:ind w:firstLine="482"/>
        <w:rPr>
          <w:b/>
          <w:bCs/>
        </w:rPr>
      </w:pPr>
      <w:r>
        <w:rPr>
          <w:b/>
          <w:bCs/>
        </w:rPr>
        <w:t>3、主体工程中具有水土保持功能措施的水土保持分析与评价结论</w:t>
      </w:r>
    </w:p>
    <w:p>
      <w:pPr>
        <w:ind w:firstLine="480"/>
      </w:pPr>
      <w:r>
        <w:t>园区已建、在建项目实施过程中实施了雨水管网及雨水口、乔灌草景观绿化、洗车系统、临时排水沟及沉沙池、临时苫盖等具有水土保持功能的措施，具有较好的水土流失防治效果，已建项目的水土保持措施正逐步发挥效益。园区待建项目规划设计了雨水管网及雨水口、乔灌草景观绿化、截排水沟等具有水土保持功能的措施，但缺少园区表土及土石方中转场规划等临时工程的水土保持措施规划。因此待建项目除应及时落实主体设计的具有水土保持功能的措施外，应加强施工区域的临时排水、沉沙、苫盖及拦挡措施等水土保持临时措施，强化施工期间的水土流失防治工作。</w:t>
      </w:r>
    </w:p>
    <w:p>
      <w:pPr>
        <w:ind w:firstLine="482"/>
        <w:rPr>
          <w:b/>
          <w:bCs/>
        </w:rPr>
      </w:pPr>
      <w:r>
        <w:rPr>
          <w:b/>
          <w:bCs/>
        </w:rPr>
        <w:t>4、总体分析结论</w:t>
      </w:r>
    </w:p>
    <w:p>
      <w:pPr>
        <w:ind w:firstLine="480"/>
        <w:sectPr>
          <w:headerReference r:id="rId23" w:type="default"/>
          <w:footerReference r:id="rId25" w:type="default"/>
          <w:headerReference r:id="rId24" w:type="even"/>
          <w:footerReference r:id="rId26" w:type="even"/>
          <w:pgSz w:w="11905" w:h="16838"/>
          <w:pgMar w:top="1417" w:right="1417" w:bottom="1417" w:left="1417" w:header="850" w:footer="992" w:gutter="0"/>
          <w:cols w:space="720" w:num="1"/>
          <w:docGrid w:linePitch="330" w:charSpace="0"/>
        </w:sectPr>
      </w:pPr>
      <w:r>
        <w:t>综合以上分析评价，从水土保持角度，园区建设不存在重大的水土保持制约因素，报告总体赞同园区的建设方案，在按照本评估报告要求在后续设计、施工过程中完善表土保护、建设方案、施工组织及工艺，加强施工过程中的水土保持临时排水、沉沙、拦挡及苫盖措施，加强土石方调运、余方外填综合利用等过程中的水土保持措施后，园区建设是可行的。</w:t>
      </w:r>
    </w:p>
    <w:p>
      <w:pPr>
        <w:pStyle w:val="4"/>
      </w:pPr>
      <w:bookmarkStart w:id="79" w:name="_Toc4794"/>
      <w:r>
        <w:t>4水土流失分析与调查、预测</w:t>
      </w:r>
      <w:bookmarkEnd w:id="79"/>
    </w:p>
    <w:p>
      <w:pPr>
        <w:pStyle w:val="5"/>
      </w:pPr>
      <w:bookmarkStart w:id="80" w:name="_Toc16871"/>
      <w:r>
        <w:t>4.1水土流失现状</w:t>
      </w:r>
      <w:bookmarkEnd w:id="80"/>
    </w:p>
    <w:p>
      <w:pPr>
        <w:pStyle w:val="6"/>
      </w:pPr>
      <w:r>
        <w:t>4.1.1区域水土流失现状</w:t>
      </w:r>
    </w:p>
    <w:p>
      <w:pPr>
        <w:adjustRightInd w:val="0"/>
        <w:snapToGrid w:val="0"/>
        <w:ind w:firstLine="480"/>
        <w:rPr>
          <w:bCs/>
        </w:rPr>
      </w:pPr>
      <w:r>
        <w:rPr>
          <w:szCs w:val="24"/>
        </w:rPr>
        <w:t>五通桥区水土流失类型以水力侵蚀为主。根据2011年全国水利普查成果，五通桥区水土流失面积200.42km</w:t>
      </w:r>
      <w:r>
        <w:rPr>
          <w:szCs w:val="24"/>
          <w:vertAlign w:val="superscript"/>
        </w:rPr>
        <w:t>2</w:t>
      </w:r>
      <w:r>
        <w:rPr>
          <w:szCs w:val="24"/>
        </w:rPr>
        <w:t>，约占幅员面积的43.05%。其中轻度侵蚀面积70.28km</w:t>
      </w:r>
      <w:r>
        <w:rPr>
          <w:szCs w:val="24"/>
          <w:vertAlign w:val="superscript"/>
        </w:rPr>
        <w:t>2</w:t>
      </w:r>
      <w:r>
        <w:rPr>
          <w:szCs w:val="24"/>
        </w:rPr>
        <w:t>，占流失面积的35.06%；中度</w:t>
      </w:r>
      <w:r>
        <w:rPr>
          <w:spacing w:val="-22"/>
          <w:szCs w:val="24"/>
        </w:rPr>
        <w:t>侵蚀面积78.15km</w:t>
      </w:r>
      <w:r>
        <w:rPr>
          <w:spacing w:val="-22"/>
          <w:szCs w:val="24"/>
          <w:vertAlign w:val="superscript"/>
        </w:rPr>
        <w:t>2</w:t>
      </w:r>
      <w:r>
        <w:rPr>
          <w:szCs w:val="24"/>
        </w:rPr>
        <w:t>，占流失面积的38.99%；强烈侵蚀面积41.09km</w:t>
      </w:r>
      <w:r>
        <w:rPr>
          <w:szCs w:val="24"/>
          <w:vertAlign w:val="superscript"/>
        </w:rPr>
        <w:t>2</w:t>
      </w:r>
      <w:r>
        <w:rPr>
          <w:szCs w:val="24"/>
        </w:rPr>
        <w:t>，占流失面积的20.50%；极强烈侵蚀面积7.17km</w:t>
      </w:r>
      <w:r>
        <w:rPr>
          <w:szCs w:val="24"/>
          <w:vertAlign w:val="superscript"/>
        </w:rPr>
        <w:t>2</w:t>
      </w:r>
      <w:r>
        <w:rPr>
          <w:szCs w:val="24"/>
        </w:rPr>
        <w:t>，占流失面积的3.58%；剧烈侵蚀面积3.73km</w:t>
      </w:r>
      <w:r>
        <w:rPr>
          <w:szCs w:val="24"/>
          <w:vertAlign w:val="superscript"/>
        </w:rPr>
        <w:t>2</w:t>
      </w:r>
      <w:r>
        <w:rPr>
          <w:szCs w:val="24"/>
        </w:rPr>
        <w:t>，占流失面积的1.86%</w:t>
      </w:r>
      <w:r>
        <w:rPr>
          <w:bCs/>
          <w:szCs w:val="24"/>
        </w:rPr>
        <w:t>。</w:t>
      </w:r>
      <w:r>
        <w:rPr>
          <w:bCs/>
        </w:rPr>
        <w:t>五通桥区、</w:t>
      </w:r>
      <w:r>
        <w:rPr>
          <w:szCs w:val="21"/>
          <w:lang w:val="zh-CN"/>
        </w:rPr>
        <w:t>金粟镇、竹根镇、金山镇</w:t>
      </w:r>
      <w:r>
        <w:rPr>
          <w:bCs/>
        </w:rPr>
        <w:t>水土流失现状详见下表。</w:t>
      </w:r>
    </w:p>
    <w:p>
      <w:pPr>
        <w:pStyle w:val="102"/>
        <w:adjustRightInd w:val="0"/>
        <w:snapToGrid w:val="0"/>
      </w:pPr>
      <w:r>
        <w:t>表4.1-1</w:t>
      </w:r>
      <w:r>
        <w:rPr>
          <w:bCs/>
        </w:rPr>
        <w:t>五通桥区、</w:t>
      </w:r>
      <w:r>
        <w:rPr>
          <w:szCs w:val="21"/>
          <w:lang w:val="zh-CN"/>
        </w:rPr>
        <w:t>金粟镇、竹根镇、金山镇</w:t>
      </w:r>
      <w:r>
        <w:t>水土流失现状统计表（单位：hm</w:t>
      </w:r>
      <w:r>
        <w:rPr>
          <w:vertAlign w:val="superscript"/>
        </w:rPr>
        <w:t>2</w:t>
      </w:r>
      <w:r>
        <w:t>）</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468"/>
        <w:gridCol w:w="891"/>
        <w:gridCol w:w="801"/>
        <w:gridCol w:w="805"/>
        <w:gridCol w:w="801"/>
        <w:gridCol w:w="805"/>
        <w:gridCol w:w="801"/>
        <w:gridCol w:w="805"/>
        <w:gridCol w:w="717"/>
        <w:gridCol w:w="876"/>
        <w:gridCol w:w="711"/>
        <w:gridCol w:w="80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0" w:type="auto"/>
            <w:vAlign w:val="center"/>
          </w:tcPr>
          <w:p>
            <w:pPr>
              <w:widowControl/>
              <w:spacing w:line="240" w:lineRule="auto"/>
              <w:ind w:firstLine="0" w:firstLineChars="0"/>
              <w:jc w:val="center"/>
              <w:rPr>
                <w:b/>
                <w:bCs/>
                <w:kern w:val="0"/>
                <w:sz w:val="18"/>
              </w:rPr>
            </w:pPr>
            <w:r>
              <w:rPr>
                <w:b/>
                <w:bCs/>
                <w:kern w:val="0"/>
                <w:sz w:val="18"/>
              </w:rPr>
              <w:t>行政区</w:t>
            </w:r>
          </w:p>
        </w:tc>
        <w:tc>
          <w:tcPr>
            <w:tcW w:w="0" w:type="auto"/>
            <w:vAlign w:val="center"/>
          </w:tcPr>
          <w:p>
            <w:pPr>
              <w:widowControl/>
              <w:spacing w:line="240" w:lineRule="auto"/>
              <w:ind w:firstLine="0" w:firstLineChars="0"/>
              <w:jc w:val="center"/>
              <w:rPr>
                <w:b/>
                <w:bCs/>
                <w:kern w:val="0"/>
                <w:sz w:val="18"/>
              </w:rPr>
            </w:pPr>
            <w:r>
              <w:rPr>
                <w:b/>
                <w:bCs/>
                <w:kern w:val="0"/>
                <w:sz w:val="18"/>
              </w:rPr>
              <w:t>侵蚀</w:t>
            </w:r>
          </w:p>
          <w:p>
            <w:pPr>
              <w:widowControl/>
              <w:spacing w:line="240" w:lineRule="auto"/>
              <w:ind w:firstLine="0" w:firstLineChars="0"/>
              <w:jc w:val="center"/>
              <w:rPr>
                <w:b/>
                <w:bCs/>
                <w:kern w:val="0"/>
                <w:sz w:val="18"/>
              </w:rPr>
            </w:pPr>
            <w:r>
              <w:rPr>
                <w:b/>
                <w:bCs/>
                <w:kern w:val="0"/>
                <w:sz w:val="18"/>
              </w:rPr>
              <w:t>面积</w:t>
            </w:r>
          </w:p>
        </w:tc>
        <w:tc>
          <w:tcPr>
            <w:tcW w:w="0" w:type="auto"/>
            <w:vAlign w:val="center"/>
          </w:tcPr>
          <w:p>
            <w:pPr>
              <w:widowControl/>
              <w:spacing w:line="240" w:lineRule="auto"/>
              <w:ind w:firstLine="0" w:firstLineChars="0"/>
              <w:jc w:val="center"/>
              <w:rPr>
                <w:b/>
                <w:bCs/>
                <w:kern w:val="0"/>
                <w:sz w:val="18"/>
              </w:rPr>
            </w:pPr>
            <w:r>
              <w:rPr>
                <w:b/>
                <w:bCs/>
                <w:kern w:val="0"/>
                <w:sz w:val="18"/>
              </w:rPr>
              <w:t>轻度</w:t>
            </w:r>
          </w:p>
        </w:tc>
        <w:tc>
          <w:tcPr>
            <w:tcW w:w="0" w:type="auto"/>
            <w:vAlign w:val="center"/>
          </w:tcPr>
          <w:p>
            <w:pPr>
              <w:widowControl/>
              <w:spacing w:line="240" w:lineRule="auto"/>
              <w:ind w:firstLine="0" w:firstLineChars="0"/>
              <w:jc w:val="center"/>
              <w:rPr>
                <w:b/>
                <w:bCs/>
                <w:kern w:val="0"/>
                <w:sz w:val="18"/>
              </w:rPr>
            </w:pPr>
            <w:r>
              <w:rPr>
                <w:b/>
                <w:bCs/>
                <w:kern w:val="0"/>
                <w:sz w:val="18"/>
              </w:rPr>
              <w:t>轻度</w:t>
            </w:r>
          </w:p>
          <w:p>
            <w:pPr>
              <w:widowControl/>
              <w:spacing w:line="240" w:lineRule="auto"/>
              <w:ind w:firstLine="0" w:firstLineChars="0"/>
              <w:jc w:val="center"/>
              <w:rPr>
                <w:b/>
                <w:bCs/>
                <w:kern w:val="0"/>
                <w:sz w:val="18"/>
              </w:rPr>
            </w:pPr>
            <w:r>
              <w:rPr>
                <w:b/>
                <w:bCs/>
                <w:kern w:val="0"/>
                <w:sz w:val="18"/>
              </w:rPr>
              <w:t>比例（%）</w:t>
            </w:r>
          </w:p>
        </w:tc>
        <w:tc>
          <w:tcPr>
            <w:tcW w:w="0" w:type="auto"/>
            <w:vAlign w:val="center"/>
          </w:tcPr>
          <w:p>
            <w:pPr>
              <w:widowControl/>
              <w:spacing w:line="240" w:lineRule="auto"/>
              <w:ind w:firstLine="0" w:firstLineChars="0"/>
              <w:jc w:val="center"/>
              <w:rPr>
                <w:b/>
                <w:bCs/>
                <w:kern w:val="0"/>
                <w:sz w:val="18"/>
              </w:rPr>
            </w:pPr>
            <w:r>
              <w:rPr>
                <w:b/>
                <w:bCs/>
                <w:kern w:val="0"/>
                <w:sz w:val="18"/>
              </w:rPr>
              <w:t>中度</w:t>
            </w:r>
          </w:p>
        </w:tc>
        <w:tc>
          <w:tcPr>
            <w:tcW w:w="0" w:type="auto"/>
            <w:vAlign w:val="center"/>
          </w:tcPr>
          <w:p>
            <w:pPr>
              <w:widowControl/>
              <w:spacing w:line="240" w:lineRule="auto"/>
              <w:ind w:firstLine="0" w:firstLineChars="0"/>
              <w:jc w:val="center"/>
              <w:rPr>
                <w:b/>
                <w:bCs/>
                <w:kern w:val="0"/>
                <w:sz w:val="18"/>
              </w:rPr>
            </w:pPr>
            <w:r>
              <w:rPr>
                <w:b/>
                <w:bCs/>
                <w:kern w:val="0"/>
                <w:sz w:val="18"/>
              </w:rPr>
              <w:t>中度</w:t>
            </w:r>
          </w:p>
          <w:p>
            <w:pPr>
              <w:widowControl/>
              <w:spacing w:line="240" w:lineRule="auto"/>
              <w:ind w:firstLine="0" w:firstLineChars="0"/>
              <w:jc w:val="center"/>
              <w:rPr>
                <w:b/>
                <w:bCs/>
                <w:kern w:val="0"/>
                <w:sz w:val="18"/>
              </w:rPr>
            </w:pPr>
            <w:r>
              <w:rPr>
                <w:b/>
                <w:bCs/>
                <w:kern w:val="0"/>
                <w:sz w:val="18"/>
              </w:rPr>
              <w:t>比例（%）</w:t>
            </w:r>
          </w:p>
        </w:tc>
        <w:tc>
          <w:tcPr>
            <w:tcW w:w="0" w:type="auto"/>
            <w:vAlign w:val="center"/>
          </w:tcPr>
          <w:p>
            <w:pPr>
              <w:widowControl/>
              <w:spacing w:line="240" w:lineRule="auto"/>
              <w:ind w:firstLine="0" w:firstLineChars="0"/>
              <w:jc w:val="center"/>
              <w:rPr>
                <w:b/>
                <w:bCs/>
                <w:kern w:val="0"/>
                <w:sz w:val="18"/>
              </w:rPr>
            </w:pPr>
            <w:r>
              <w:rPr>
                <w:b/>
                <w:bCs/>
                <w:kern w:val="0"/>
                <w:sz w:val="18"/>
              </w:rPr>
              <w:t>强烈</w:t>
            </w:r>
          </w:p>
        </w:tc>
        <w:tc>
          <w:tcPr>
            <w:tcW w:w="0" w:type="auto"/>
            <w:vAlign w:val="center"/>
          </w:tcPr>
          <w:p>
            <w:pPr>
              <w:widowControl/>
              <w:spacing w:line="240" w:lineRule="auto"/>
              <w:ind w:firstLine="0" w:firstLineChars="0"/>
              <w:jc w:val="center"/>
              <w:rPr>
                <w:b/>
                <w:bCs/>
                <w:kern w:val="0"/>
                <w:sz w:val="18"/>
              </w:rPr>
            </w:pPr>
            <w:r>
              <w:rPr>
                <w:b/>
                <w:bCs/>
                <w:kern w:val="0"/>
                <w:sz w:val="18"/>
              </w:rPr>
              <w:t>强烈</w:t>
            </w:r>
          </w:p>
          <w:p>
            <w:pPr>
              <w:widowControl/>
              <w:spacing w:line="240" w:lineRule="auto"/>
              <w:ind w:firstLine="0" w:firstLineChars="0"/>
              <w:jc w:val="center"/>
              <w:rPr>
                <w:b/>
                <w:bCs/>
                <w:kern w:val="0"/>
                <w:sz w:val="18"/>
              </w:rPr>
            </w:pPr>
            <w:r>
              <w:rPr>
                <w:b/>
                <w:bCs/>
                <w:kern w:val="0"/>
                <w:sz w:val="18"/>
              </w:rPr>
              <w:t>比例（%）</w:t>
            </w:r>
          </w:p>
        </w:tc>
        <w:tc>
          <w:tcPr>
            <w:tcW w:w="0" w:type="auto"/>
            <w:vAlign w:val="center"/>
          </w:tcPr>
          <w:p>
            <w:pPr>
              <w:widowControl/>
              <w:spacing w:line="240" w:lineRule="auto"/>
              <w:ind w:firstLine="0" w:firstLineChars="0"/>
              <w:jc w:val="center"/>
              <w:rPr>
                <w:b/>
                <w:bCs/>
                <w:kern w:val="0"/>
                <w:sz w:val="18"/>
              </w:rPr>
            </w:pPr>
            <w:r>
              <w:rPr>
                <w:b/>
                <w:bCs/>
                <w:kern w:val="0"/>
                <w:sz w:val="18"/>
              </w:rPr>
              <w:t>极强烈</w:t>
            </w:r>
          </w:p>
        </w:tc>
        <w:tc>
          <w:tcPr>
            <w:tcW w:w="0" w:type="auto"/>
            <w:vAlign w:val="center"/>
          </w:tcPr>
          <w:p>
            <w:pPr>
              <w:widowControl/>
              <w:spacing w:line="240" w:lineRule="auto"/>
              <w:ind w:firstLine="0" w:firstLineChars="0"/>
              <w:jc w:val="center"/>
              <w:rPr>
                <w:b/>
                <w:bCs/>
                <w:kern w:val="0"/>
                <w:sz w:val="18"/>
              </w:rPr>
            </w:pPr>
            <w:r>
              <w:rPr>
                <w:b/>
                <w:bCs/>
                <w:kern w:val="0"/>
                <w:sz w:val="18"/>
              </w:rPr>
              <w:t>极强烈比例（%）</w:t>
            </w:r>
          </w:p>
        </w:tc>
        <w:tc>
          <w:tcPr>
            <w:tcW w:w="0" w:type="auto"/>
            <w:vAlign w:val="center"/>
          </w:tcPr>
          <w:p>
            <w:pPr>
              <w:widowControl/>
              <w:spacing w:line="240" w:lineRule="auto"/>
              <w:ind w:firstLine="0" w:firstLineChars="0"/>
              <w:jc w:val="center"/>
              <w:rPr>
                <w:b/>
                <w:bCs/>
                <w:kern w:val="0"/>
                <w:sz w:val="18"/>
              </w:rPr>
            </w:pPr>
            <w:r>
              <w:rPr>
                <w:b/>
                <w:bCs/>
                <w:kern w:val="0"/>
                <w:sz w:val="18"/>
              </w:rPr>
              <w:t>剧烈</w:t>
            </w:r>
          </w:p>
        </w:tc>
        <w:tc>
          <w:tcPr>
            <w:tcW w:w="0" w:type="auto"/>
            <w:vAlign w:val="center"/>
          </w:tcPr>
          <w:p>
            <w:pPr>
              <w:widowControl/>
              <w:spacing w:line="240" w:lineRule="auto"/>
              <w:ind w:firstLine="0" w:firstLineChars="0"/>
              <w:jc w:val="center"/>
              <w:rPr>
                <w:b/>
                <w:bCs/>
                <w:kern w:val="0"/>
                <w:sz w:val="18"/>
              </w:rPr>
            </w:pPr>
            <w:r>
              <w:rPr>
                <w:b/>
                <w:bCs/>
                <w:kern w:val="0"/>
                <w:sz w:val="18"/>
              </w:rPr>
              <w:t>剧烈</w:t>
            </w:r>
          </w:p>
          <w:p>
            <w:pPr>
              <w:widowControl/>
              <w:spacing w:line="240" w:lineRule="auto"/>
              <w:ind w:firstLine="0" w:firstLineChars="0"/>
              <w:jc w:val="center"/>
              <w:rPr>
                <w:b/>
                <w:bCs/>
                <w:kern w:val="0"/>
                <w:sz w:val="18"/>
              </w:rPr>
            </w:pPr>
            <w:r>
              <w:rPr>
                <w:b/>
                <w:bCs/>
                <w:kern w:val="0"/>
                <w:sz w:val="18"/>
              </w:rPr>
              <w:t>比例（%）</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0" w:type="auto"/>
            <w:vAlign w:val="center"/>
          </w:tcPr>
          <w:p>
            <w:pPr>
              <w:widowControl/>
              <w:spacing w:line="240" w:lineRule="auto"/>
              <w:ind w:firstLine="0" w:firstLineChars="0"/>
              <w:jc w:val="center"/>
              <w:rPr>
                <w:kern w:val="0"/>
                <w:sz w:val="18"/>
              </w:rPr>
            </w:pPr>
            <w:r>
              <w:rPr>
                <w:kern w:val="0"/>
                <w:sz w:val="18"/>
              </w:rPr>
              <w:t>五通桥区</w:t>
            </w:r>
          </w:p>
        </w:tc>
        <w:tc>
          <w:tcPr>
            <w:tcW w:w="0" w:type="auto"/>
            <w:vAlign w:val="center"/>
          </w:tcPr>
          <w:p>
            <w:pPr>
              <w:widowControl/>
              <w:spacing w:line="240" w:lineRule="auto"/>
              <w:ind w:firstLine="0" w:firstLineChars="0"/>
              <w:jc w:val="center"/>
              <w:rPr>
                <w:kern w:val="0"/>
                <w:sz w:val="18"/>
              </w:rPr>
            </w:pPr>
            <w:r>
              <w:rPr>
                <w:kern w:val="0"/>
                <w:sz w:val="18"/>
              </w:rPr>
              <w:t>20041.81</w:t>
            </w:r>
          </w:p>
        </w:tc>
        <w:tc>
          <w:tcPr>
            <w:tcW w:w="0" w:type="auto"/>
            <w:vAlign w:val="center"/>
          </w:tcPr>
          <w:p>
            <w:pPr>
              <w:widowControl/>
              <w:spacing w:line="240" w:lineRule="auto"/>
              <w:ind w:firstLine="0" w:firstLineChars="0"/>
              <w:jc w:val="center"/>
              <w:rPr>
                <w:kern w:val="0"/>
                <w:sz w:val="18"/>
              </w:rPr>
            </w:pPr>
            <w:r>
              <w:rPr>
                <w:kern w:val="0"/>
                <w:sz w:val="18"/>
              </w:rPr>
              <w:t>7027.60</w:t>
            </w:r>
          </w:p>
        </w:tc>
        <w:tc>
          <w:tcPr>
            <w:tcW w:w="0" w:type="auto"/>
            <w:vAlign w:val="center"/>
          </w:tcPr>
          <w:p>
            <w:pPr>
              <w:widowControl/>
              <w:spacing w:line="240" w:lineRule="auto"/>
              <w:ind w:firstLine="0" w:firstLineChars="0"/>
              <w:jc w:val="center"/>
              <w:rPr>
                <w:kern w:val="0"/>
                <w:sz w:val="18"/>
              </w:rPr>
            </w:pPr>
            <w:r>
              <w:rPr>
                <w:kern w:val="0"/>
                <w:sz w:val="18"/>
              </w:rPr>
              <w:t>35.06</w:t>
            </w:r>
          </w:p>
        </w:tc>
        <w:tc>
          <w:tcPr>
            <w:tcW w:w="0" w:type="auto"/>
            <w:vAlign w:val="center"/>
          </w:tcPr>
          <w:p>
            <w:pPr>
              <w:widowControl/>
              <w:spacing w:line="240" w:lineRule="auto"/>
              <w:ind w:firstLine="0" w:firstLineChars="0"/>
              <w:jc w:val="center"/>
              <w:rPr>
                <w:kern w:val="0"/>
                <w:sz w:val="18"/>
              </w:rPr>
            </w:pPr>
            <w:r>
              <w:rPr>
                <w:kern w:val="0"/>
                <w:sz w:val="18"/>
              </w:rPr>
              <w:t>7815.05</w:t>
            </w:r>
          </w:p>
        </w:tc>
        <w:tc>
          <w:tcPr>
            <w:tcW w:w="0" w:type="auto"/>
            <w:vAlign w:val="center"/>
          </w:tcPr>
          <w:p>
            <w:pPr>
              <w:widowControl/>
              <w:spacing w:line="240" w:lineRule="auto"/>
              <w:ind w:firstLine="0" w:firstLineChars="0"/>
              <w:jc w:val="center"/>
              <w:rPr>
                <w:kern w:val="0"/>
                <w:sz w:val="18"/>
              </w:rPr>
            </w:pPr>
            <w:r>
              <w:rPr>
                <w:kern w:val="0"/>
                <w:sz w:val="18"/>
              </w:rPr>
              <w:t>38.99</w:t>
            </w:r>
          </w:p>
        </w:tc>
        <w:tc>
          <w:tcPr>
            <w:tcW w:w="0" w:type="auto"/>
            <w:vAlign w:val="center"/>
          </w:tcPr>
          <w:p>
            <w:pPr>
              <w:widowControl/>
              <w:spacing w:line="240" w:lineRule="auto"/>
              <w:ind w:firstLine="0" w:firstLineChars="0"/>
              <w:jc w:val="center"/>
              <w:rPr>
                <w:kern w:val="0"/>
                <w:sz w:val="18"/>
              </w:rPr>
            </w:pPr>
            <w:r>
              <w:rPr>
                <w:kern w:val="0"/>
                <w:sz w:val="18"/>
              </w:rPr>
              <w:t>4109.32</w:t>
            </w:r>
          </w:p>
        </w:tc>
        <w:tc>
          <w:tcPr>
            <w:tcW w:w="0" w:type="auto"/>
            <w:vAlign w:val="center"/>
          </w:tcPr>
          <w:p>
            <w:pPr>
              <w:widowControl/>
              <w:spacing w:line="240" w:lineRule="auto"/>
              <w:ind w:firstLine="0" w:firstLineChars="0"/>
              <w:jc w:val="center"/>
              <w:rPr>
                <w:kern w:val="0"/>
                <w:sz w:val="18"/>
              </w:rPr>
            </w:pPr>
            <w:r>
              <w:rPr>
                <w:kern w:val="0"/>
                <w:sz w:val="18"/>
              </w:rPr>
              <w:t>20.50</w:t>
            </w:r>
          </w:p>
        </w:tc>
        <w:tc>
          <w:tcPr>
            <w:tcW w:w="0" w:type="auto"/>
            <w:vAlign w:val="center"/>
          </w:tcPr>
          <w:p>
            <w:pPr>
              <w:widowControl/>
              <w:spacing w:line="240" w:lineRule="auto"/>
              <w:ind w:firstLine="0" w:firstLineChars="0"/>
              <w:jc w:val="center"/>
              <w:rPr>
                <w:kern w:val="0"/>
                <w:sz w:val="18"/>
              </w:rPr>
            </w:pPr>
            <w:r>
              <w:rPr>
                <w:kern w:val="0"/>
                <w:sz w:val="18"/>
              </w:rPr>
              <w:t>716.79</w:t>
            </w:r>
          </w:p>
        </w:tc>
        <w:tc>
          <w:tcPr>
            <w:tcW w:w="0" w:type="auto"/>
            <w:vAlign w:val="center"/>
          </w:tcPr>
          <w:p>
            <w:pPr>
              <w:widowControl/>
              <w:spacing w:line="240" w:lineRule="auto"/>
              <w:ind w:firstLine="0" w:firstLineChars="0"/>
              <w:jc w:val="center"/>
              <w:rPr>
                <w:kern w:val="0"/>
                <w:sz w:val="18"/>
              </w:rPr>
            </w:pPr>
            <w:r>
              <w:rPr>
                <w:kern w:val="0"/>
                <w:sz w:val="18"/>
              </w:rPr>
              <w:t>3.58</w:t>
            </w:r>
          </w:p>
        </w:tc>
        <w:tc>
          <w:tcPr>
            <w:tcW w:w="0" w:type="auto"/>
            <w:vAlign w:val="center"/>
          </w:tcPr>
          <w:p>
            <w:pPr>
              <w:widowControl/>
              <w:spacing w:line="240" w:lineRule="auto"/>
              <w:ind w:firstLine="0" w:firstLineChars="0"/>
              <w:jc w:val="center"/>
              <w:rPr>
                <w:kern w:val="0"/>
                <w:sz w:val="18"/>
              </w:rPr>
            </w:pPr>
            <w:r>
              <w:rPr>
                <w:kern w:val="0"/>
                <w:sz w:val="18"/>
              </w:rPr>
              <w:t>373.04</w:t>
            </w:r>
          </w:p>
        </w:tc>
        <w:tc>
          <w:tcPr>
            <w:tcW w:w="0" w:type="auto"/>
            <w:vAlign w:val="center"/>
          </w:tcPr>
          <w:p>
            <w:pPr>
              <w:widowControl/>
              <w:spacing w:line="240" w:lineRule="auto"/>
              <w:ind w:firstLine="0" w:firstLineChars="0"/>
              <w:jc w:val="center"/>
              <w:rPr>
                <w:kern w:val="0"/>
                <w:sz w:val="18"/>
              </w:rPr>
            </w:pPr>
            <w:r>
              <w:rPr>
                <w:kern w:val="0"/>
                <w:sz w:val="18"/>
              </w:rPr>
              <w:t>1.86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0" w:type="auto"/>
            <w:vAlign w:val="center"/>
          </w:tcPr>
          <w:p>
            <w:pPr>
              <w:widowControl/>
              <w:spacing w:line="240" w:lineRule="auto"/>
              <w:ind w:firstLine="0" w:firstLineChars="0"/>
              <w:jc w:val="center"/>
              <w:rPr>
                <w:kern w:val="0"/>
                <w:sz w:val="18"/>
              </w:rPr>
            </w:pPr>
            <w:r>
              <w:rPr>
                <w:kern w:val="0"/>
                <w:sz w:val="18"/>
              </w:rPr>
              <w:t>金粟镇</w:t>
            </w:r>
          </w:p>
        </w:tc>
        <w:tc>
          <w:tcPr>
            <w:tcW w:w="0" w:type="auto"/>
            <w:vAlign w:val="center"/>
          </w:tcPr>
          <w:p>
            <w:pPr>
              <w:widowControl/>
              <w:spacing w:line="240" w:lineRule="auto"/>
              <w:ind w:firstLine="0" w:firstLineChars="0"/>
              <w:jc w:val="center"/>
              <w:rPr>
                <w:kern w:val="0"/>
                <w:sz w:val="18"/>
              </w:rPr>
            </w:pPr>
            <w:r>
              <w:rPr>
                <w:kern w:val="0"/>
                <w:sz w:val="18"/>
              </w:rPr>
              <w:t>1045.65</w:t>
            </w:r>
          </w:p>
        </w:tc>
        <w:tc>
          <w:tcPr>
            <w:tcW w:w="0" w:type="auto"/>
            <w:vAlign w:val="center"/>
          </w:tcPr>
          <w:p>
            <w:pPr>
              <w:widowControl/>
              <w:spacing w:line="240" w:lineRule="auto"/>
              <w:ind w:firstLine="0" w:firstLineChars="0"/>
              <w:jc w:val="center"/>
              <w:rPr>
                <w:kern w:val="0"/>
                <w:sz w:val="18"/>
              </w:rPr>
            </w:pPr>
            <w:r>
              <w:rPr>
                <w:kern w:val="0"/>
                <w:sz w:val="18"/>
              </w:rPr>
              <w:t>340.82</w:t>
            </w:r>
          </w:p>
        </w:tc>
        <w:tc>
          <w:tcPr>
            <w:tcW w:w="0" w:type="auto"/>
            <w:vAlign w:val="center"/>
          </w:tcPr>
          <w:p>
            <w:pPr>
              <w:widowControl/>
              <w:spacing w:line="240" w:lineRule="auto"/>
              <w:ind w:firstLine="0" w:firstLineChars="0"/>
              <w:jc w:val="center"/>
              <w:rPr>
                <w:kern w:val="0"/>
                <w:sz w:val="18"/>
              </w:rPr>
            </w:pPr>
            <w:r>
              <w:rPr>
                <w:kern w:val="0"/>
                <w:sz w:val="18"/>
              </w:rPr>
              <w:t>32.59</w:t>
            </w:r>
          </w:p>
        </w:tc>
        <w:tc>
          <w:tcPr>
            <w:tcW w:w="0" w:type="auto"/>
            <w:vAlign w:val="center"/>
          </w:tcPr>
          <w:p>
            <w:pPr>
              <w:widowControl/>
              <w:spacing w:line="240" w:lineRule="auto"/>
              <w:ind w:firstLine="0" w:firstLineChars="0"/>
              <w:jc w:val="center"/>
              <w:rPr>
                <w:kern w:val="0"/>
                <w:sz w:val="18"/>
              </w:rPr>
            </w:pPr>
            <w:r>
              <w:rPr>
                <w:kern w:val="0"/>
                <w:sz w:val="18"/>
              </w:rPr>
              <w:t>390.45</w:t>
            </w:r>
          </w:p>
        </w:tc>
        <w:tc>
          <w:tcPr>
            <w:tcW w:w="0" w:type="auto"/>
            <w:vAlign w:val="center"/>
          </w:tcPr>
          <w:p>
            <w:pPr>
              <w:widowControl/>
              <w:spacing w:line="240" w:lineRule="auto"/>
              <w:ind w:firstLine="0" w:firstLineChars="0"/>
              <w:jc w:val="center"/>
              <w:rPr>
                <w:kern w:val="0"/>
                <w:sz w:val="18"/>
              </w:rPr>
            </w:pPr>
            <w:r>
              <w:rPr>
                <w:kern w:val="0"/>
                <w:sz w:val="18"/>
              </w:rPr>
              <w:t>37.34</w:t>
            </w:r>
          </w:p>
        </w:tc>
        <w:tc>
          <w:tcPr>
            <w:tcW w:w="0" w:type="auto"/>
            <w:vAlign w:val="center"/>
          </w:tcPr>
          <w:p>
            <w:pPr>
              <w:widowControl/>
              <w:spacing w:line="240" w:lineRule="auto"/>
              <w:ind w:firstLine="0" w:firstLineChars="0"/>
              <w:jc w:val="center"/>
              <w:rPr>
                <w:kern w:val="0"/>
                <w:sz w:val="18"/>
              </w:rPr>
            </w:pPr>
            <w:r>
              <w:rPr>
                <w:kern w:val="0"/>
                <w:sz w:val="18"/>
              </w:rPr>
              <w:t>263.54</w:t>
            </w:r>
          </w:p>
        </w:tc>
        <w:tc>
          <w:tcPr>
            <w:tcW w:w="0" w:type="auto"/>
            <w:vAlign w:val="center"/>
          </w:tcPr>
          <w:p>
            <w:pPr>
              <w:widowControl/>
              <w:spacing w:line="240" w:lineRule="auto"/>
              <w:ind w:firstLine="0" w:firstLineChars="0"/>
              <w:jc w:val="center"/>
              <w:rPr>
                <w:kern w:val="0"/>
                <w:sz w:val="18"/>
              </w:rPr>
            </w:pPr>
            <w:r>
              <w:rPr>
                <w:kern w:val="0"/>
                <w:sz w:val="18"/>
              </w:rPr>
              <w:t>25.20</w:t>
            </w:r>
          </w:p>
        </w:tc>
        <w:tc>
          <w:tcPr>
            <w:tcW w:w="0" w:type="auto"/>
            <w:vAlign w:val="center"/>
          </w:tcPr>
          <w:p>
            <w:pPr>
              <w:widowControl/>
              <w:spacing w:line="240" w:lineRule="auto"/>
              <w:ind w:firstLine="0" w:firstLineChars="0"/>
              <w:jc w:val="center"/>
              <w:rPr>
                <w:kern w:val="0"/>
                <w:sz w:val="18"/>
              </w:rPr>
            </w:pPr>
            <w:r>
              <w:rPr>
                <w:kern w:val="0"/>
                <w:sz w:val="18"/>
              </w:rPr>
              <w:t>48.33</w:t>
            </w:r>
          </w:p>
        </w:tc>
        <w:tc>
          <w:tcPr>
            <w:tcW w:w="0" w:type="auto"/>
            <w:vAlign w:val="center"/>
          </w:tcPr>
          <w:p>
            <w:pPr>
              <w:widowControl/>
              <w:spacing w:line="240" w:lineRule="auto"/>
              <w:ind w:firstLine="0" w:firstLineChars="0"/>
              <w:jc w:val="center"/>
              <w:rPr>
                <w:kern w:val="0"/>
                <w:sz w:val="18"/>
              </w:rPr>
            </w:pPr>
            <w:r>
              <w:rPr>
                <w:kern w:val="0"/>
                <w:sz w:val="18"/>
              </w:rPr>
              <w:t>4.62</w:t>
            </w:r>
          </w:p>
        </w:tc>
        <w:tc>
          <w:tcPr>
            <w:tcW w:w="0" w:type="auto"/>
            <w:vAlign w:val="center"/>
          </w:tcPr>
          <w:p>
            <w:pPr>
              <w:widowControl/>
              <w:spacing w:line="240" w:lineRule="auto"/>
              <w:ind w:firstLine="0" w:firstLineChars="0"/>
              <w:jc w:val="center"/>
              <w:rPr>
                <w:kern w:val="0"/>
                <w:sz w:val="18"/>
              </w:rPr>
            </w:pPr>
            <w:r>
              <w:rPr>
                <w:kern w:val="0"/>
                <w:sz w:val="18"/>
              </w:rPr>
              <w:t>2.52</w:t>
            </w:r>
          </w:p>
        </w:tc>
        <w:tc>
          <w:tcPr>
            <w:tcW w:w="0" w:type="auto"/>
            <w:vAlign w:val="center"/>
          </w:tcPr>
          <w:p>
            <w:pPr>
              <w:widowControl/>
              <w:spacing w:line="240" w:lineRule="auto"/>
              <w:ind w:firstLine="0" w:firstLineChars="0"/>
              <w:jc w:val="center"/>
              <w:rPr>
                <w:kern w:val="0"/>
                <w:sz w:val="18"/>
              </w:rPr>
            </w:pPr>
            <w:r>
              <w:rPr>
                <w:kern w:val="0"/>
                <w:sz w:val="18"/>
              </w:rPr>
              <w:t>0.24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0" w:type="auto"/>
            <w:vAlign w:val="center"/>
          </w:tcPr>
          <w:p>
            <w:pPr>
              <w:widowControl/>
              <w:spacing w:line="240" w:lineRule="auto"/>
              <w:ind w:firstLine="0" w:firstLineChars="0"/>
              <w:jc w:val="center"/>
              <w:rPr>
                <w:kern w:val="0"/>
                <w:sz w:val="18"/>
              </w:rPr>
            </w:pPr>
            <w:r>
              <w:rPr>
                <w:kern w:val="0"/>
                <w:sz w:val="18"/>
              </w:rPr>
              <w:t>竹根镇</w:t>
            </w:r>
          </w:p>
        </w:tc>
        <w:tc>
          <w:tcPr>
            <w:tcW w:w="0" w:type="auto"/>
            <w:vAlign w:val="center"/>
          </w:tcPr>
          <w:p>
            <w:pPr>
              <w:widowControl/>
              <w:spacing w:line="240" w:lineRule="auto"/>
              <w:ind w:firstLine="0" w:firstLineChars="0"/>
              <w:jc w:val="center"/>
              <w:rPr>
                <w:kern w:val="0"/>
                <w:sz w:val="18"/>
              </w:rPr>
            </w:pPr>
            <w:r>
              <w:rPr>
                <w:kern w:val="0"/>
                <w:sz w:val="18"/>
              </w:rPr>
              <w:t>82.59</w:t>
            </w:r>
          </w:p>
        </w:tc>
        <w:tc>
          <w:tcPr>
            <w:tcW w:w="0" w:type="auto"/>
            <w:vAlign w:val="center"/>
          </w:tcPr>
          <w:p>
            <w:pPr>
              <w:widowControl/>
              <w:spacing w:line="240" w:lineRule="auto"/>
              <w:ind w:firstLine="0" w:firstLineChars="0"/>
              <w:jc w:val="center"/>
              <w:rPr>
                <w:kern w:val="0"/>
                <w:sz w:val="18"/>
              </w:rPr>
            </w:pPr>
            <w:r>
              <w:rPr>
                <w:kern w:val="0"/>
                <w:sz w:val="18"/>
              </w:rPr>
              <w:t>36.86</w:t>
            </w:r>
          </w:p>
        </w:tc>
        <w:tc>
          <w:tcPr>
            <w:tcW w:w="0" w:type="auto"/>
            <w:vAlign w:val="center"/>
          </w:tcPr>
          <w:p>
            <w:pPr>
              <w:widowControl/>
              <w:spacing w:line="240" w:lineRule="auto"/>
              <w:ind w:firstLine="0" w:firstLineChars="0"/>
              <w:jc w:val="center"/>
              <w:rPr>
                <w:kern w:val="0"/>
                <w:sz w:val="18"/>
              </w:rPr>
            </w:pPr>
            <w:r>
              <w:rPr>
                <w:kern w:val="0"/>
                <w:sz w:val="18"/>
              </w:rPr>
              <w:t>44.63</w:t>
            </w:r>
          </w:p>
        </w:tc>
        <w:tc>
          <w:tcPr>
            <w:tcW w:w="0" w:type="auto"/>
            <w:vAlign w:val="center"/>
          </w:tcPr>
          <w:p>
            <w:pPr>
              <w:widowControl/>
              <w:spacing w:line="240" w:lineRule="auto"/>
              <w:ind w:firstLine="0" w:firstLineChars="0"/>
              <w:jc w:val="center"/>
              <w:rPr>
                <w:kern w:val="0"/>
                <w:sz w:val="18"/>
              </w:rPr>
            </w:pPr>
            <w:r>
              <w:rPr>
                <w:kern w:val="0"/>
                <w:sz w:val="18"/>
              </w:rPr>
              <w:t>20.68</w:t>
            </w:r>
          </w:p>
        </w:tc>
        <w:tc>
          <w:tcPr>
            <w:tcW w:w="0" w:type="auto"/>
            <w:vAlign w:val="center"/>
          </w:tcPr>
          <w:p>
            <w:pPr>
              <w:widowControl/>
              <w:spacing w:line="240" w:lineRule="auto"/>
              <w:ind w:firstLine="0" w:firstLineChars="0"/>
              <w:jc w:val="center"/>
              <w:rPr>
                <w:kern w:val="0"/>
                <w:sz w:val="18"/>
              </w:rPr>
            </w:pPr>
            <w:r>
              <w:rPr>
                <w:kern w:val="0"/>
                <w:sz w:val="18"/>
              </w:rPr>
              <w:t>25.04</w:t>
            </w:r>
          </w:p>
        </w:tc>
        <w:tc>
          <w:tcPr>
            <w:tcW w:w="0" w:type="auto"/>
            <w:vAlign w:val="center"/>
          </w:tcPr>
          <w:p>
            <w:pPr>
              <w:widowControl/>
              <w:spacing w:line="240" w:lineRule="auto"/>
              <w:ind w:firstLine="0" w:firstLineChars="0"/>
              <w:jc w:val="center"/>
              <w:rPr>
                <w:kern w:val="0"/>
                <w:sz w:val="18"/>
              </w:rPr>
            </w:pPr>
            <w:r>
              <w:rPr>
                <w:kern w:val="0"/>
                <w:sz w:val="18"/>
              </w:rPr>
              <w:t>21.27</w:t>
            </w:r>
          </w:p>
        </w:tc>
        <w:tc>
          <w:tcPr>
            <w:tcW w:w="0" w:type="auto"/>
            <w:vAlign w:val="center"/>
          </w:tcPr>
          <w:p>
            <w:pPr>
              <w:widowControl/>
              <w:spacing w:line="240" w:lineRule="auto"/>
              <w:ind w:firstLine="0" w:firstLineChars="0"/>
              <w:jc w:val="center"/>
              <w:rPr>
                <w:kern w:val="0"/>
                <w:sz w:val="18"/>
              </w:rPr>
            </w:pPr>
            <w:r>
              <w:rPr>
                <w:kern w:val="0"/>
                <w:sz w:val="18"/>
              </w:rPr>
              <w:t>25.76</w:t>
            </w:r>
          </w:p>
        </w:tc>
        <w:tc>
          <w:tcPr>
            <w:tcW w:w="0" w:type="auto"/>
            <w:vAlign w:val="center"/>
          </w:tcPr>
          <w:p>
            <w:pPr>
              <w:widowControl/>
              <w:spacing w:line="240" w:lineRule="auto"/>
              <w:ind w:firstLine="0" w:firstLineChars="0"/>
              <w:jc w:val="center"/>
              <w:rPr>
                <w:kern w:val="0"/>
                <w:sz w:val="18"/>
              </w:rPr>
            </w:pPr>
            <w:r>
              <w:rPr>
                <w:kern w:val="0"/>
                <w:sz w:val="18"/>
              </w:rPr>
              <w:t>3.78</w:t>
            </w:r>
          </w:p>
        </w:tc>
        <w:tc>
          <w:tcPr>
            <w:tcW w:w="0" w:type="auto"/>
            <w:vAlign w:val="center"/>
          </w:tcPr>
          <w:p>
            <w:pPr>
              <w:widowControl/>
              <w:spacing w:line="240" w:lineRule="auto"/>
              <w:ind w:firstLine="0" w:firstLineChars="0"/>
              <w:jc w:val="center"/>
              <w:rPr>
                <w:kern w:val="0"/>
                <w:sz w:val="18"/>
              </w:rPr>
            </w:pPr>
            <w:r>
              <w:rPr>
                <w:kern w:val="0"/>
                <w:sz w:val="18"/>
              </w:rPr>
              <w:t>4.57</w:t>
            </w:r>
          </w:p>
        </w:tc>
        <w:tc>
          <w:tcPr>
            <w:tcW w:w="0" w:type="auto"/>
            <w:vAlign w:val="center"/>
          </w:tcPr>
          <w:p>
            <w:pPr>
              <w:widowControl/>
              <w:spacing w:line="240" w:lineRule="auto"/>
              <w:ind w:firstLine="0" w:firstLineChars="0"/>
              <w:jc w:val="center"/>
              <w:rPr>
                <w:kern w:val="0"/>
                <w:sz w:val="18"/>
              </w:rPr>
            </w:pPr>
            <w:r>
              <w:rPr>
                <w:kern w:val="0"/>
                <w:sz w:val="18"/>
              </w:rPr>
              <w:t>0.00</w:t>
            </w:r>
          </w:p>
        </w:tc>
        <w:tc>
          <w:tcPr>
            <w:tcW w:w="0" w:type="auto"/>
            <w:vAlign w:val="center"/>
          </w:tcPr>
          <w:p>
            <w:pPr>
              <w:widowControl/>
              <w:spacing w:line="240" w:lineRule="auto"/>
              <w:ind w:firstLine="0" w:firstLineChars="0"/>
              <w:jc w:val="center"/>
              <w:rPr>
                <w:kern w:val="0"/>
                <w:sz w:val="18"/>
              </w:rPr>
            </w:pPr>
            <w:r>
              <w:rPr>
                <w:kern w:val="0"/>
                <w:sz w:val="18"/>
              </w:rPr>
              <w:t>0.00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0" w:type="auto"/>
            <w:vAlign w:val="center"/>
          </w:tcPr>
          <w:p>
            <w:pPr>
              <w:widowControl/>
              <w:spacing w:line="240" w:lineRule="auto"/>
              <w:ind w:firstLine="0" w:firstLineChars="0"/>
              <w:jc w:val="center"/>
              <w:rPr>
                <w:kern w:val="0"/>
                <w:sz w:val="18"/>
              </w:rPr>
            </w:pPr>
            <w:r>
              <w:rPr>
                <w:kern w:val="0"/>
                <w:sz w:val="18"/>
              </w:rPr>
              <w:t>金山镇</w:t>
            </w:r>
          </w:p>
        </w:tc>
        <w:tc>
          <w:tcPr>
            <w:tcW w:w="0" w:type="auto"/>
            <w:vAlign w:val="center"/>
          </w:tcPr>
          <w:p>
            <w:pPr>
              <w:widowControl/>
              <w:spacing w:line="240" w:lineRule="auto"/>
              <w:ind w:firstLine="0" w:firstLineChars="0"/>
              <w:jc w:val="center"/>
              <w:rPr>
                <w:kern w:val="0"/>
                <w:sz w:val="18"/>
              </w:rPr>
            </w:pPr>
            <w:r>
              <w:rPr>
                <w:kern w:val="0"/>
                <w:sz w:val="18"/>
              </w:rPr>
              <w:t>2714.79</w:t>
            </w:r>
          </w:p>
        </w:tc>
        <w:tc>
          <w:tcPr>
            <w:tcW w:w="0" w:type="auto"/>
            <w:vAlign w:val="center"/>
          </w:tcPr>
          <w:p>
            <w:pPr>
              <w:widowControl/>
              <w:spacing w:line="240" w:lineRule="auto"/>
              <w:ind w:firstLine="0" w:firstLineChars="0"/>
              <w:jc w:val="center"/>
              <w:rPr>
                <w:kern w:val="0"/>
                <w:sz w:val="18"/>
              </w:rPr>
            </w:pPr>
            <w:r>
              <w:rPr>
                <w:kern w:val="0"/>
                <w:sz w:val="18"/>
              </w:rPr>
              <w:t>1179.53</w:t>
            </w:r>
          </w:p>
        </w:tc>
        <w:tc>
          <w:tcPr>
            <w:tcW w:w="0" w:type="auto"/>
            <w:vAlign w:val="center"/>
          </w:tcPr>
          <w:p>
            <w:pPr>
              <w:widowControl/>
              <w:spacing w:line="240" w:lineRule="auto"/>
              <w:ind w:firstLine="0" w:firstLineChars="0"/>
              <w:jc w:val="center"/>
              <w:rPr>
                <w:kern w:val="0"/>
                <w:sz w:val="18"/>
              </w:rPr>
            </w:pPr>
            <w:r>
              <w:rPr>
                <w:kern w:val="0"/>
                <w:sz w:val="18"/>
              </w:rPr>
              <w:t>43.45</w:t>
            </w:r>
          </w:p>
        </w:tc>
        <w:tc>
          <w:tcPr>
            <w:tcW w:w="0" w:type="auto"/>
            <w:vAlign w:val="center"/>
          </w:tcPr>
          <w:p>
            <w:pPr>
              <w:widowControl/>
              <w:spacing w:line="240" w:lineRule="auto"/>
              <w:ind w:firstLine="0" w:firstLineChars="0"/>
              <w:jc w:val="center"/>
              <w:rPr>
                <w:kern w:val="0"/>
                <w:sz w:val="18"/>
              </w:rPr>
            </w:pPr>
            <w:r>
              <w:rPr>
                <w:kern w:val="0"/>
                <w:sz w:val="18"/>
              </w:rPr>
              <w:t>1259.13</w:t>
            </w:r>
          </w:p>
        </w:tc>
        <w:tc>
          <w:tcPr>
            <w:tcW w:w="0" w:type="auto"/>
            <w:vAlign w:val="center"/>
          </w:tcPr>
          <w:p>
            <w:pPr>
              <w:widowControl/>
              <w:spacing w:line="240" w:lineRule="auto"/>
              <w:ind w:firstLine="0" w:firstLineChars="0"/>
              <w:jc w:val="center"/>
              <w:rPr>
                <w:kern w:val="0"/>
                <w:sz w:val="18"/>
              </w:rPr>
            </w:pPr>
            <w:r>
              <w:rPr>
                <w:kern w:val="0"/>
                <w:sz w:val="18"/>
              </w:rPr>
              <w:t>46.38</w:t>
            </w:r>
          </w:p>
        </w:tc>
        <w:tc>
          <w:tcPr>
            <w:tcW w:w="0" w:type="auto"/>
            <w:vAlign w:val="center"/>
          </w:tcPr>
          <w:p>
            <w:pPr>
              <w:widowControl/>
              <w:spacing w:line="240" w:lineRule="auto"/>
              <w:ind w:firstLine="0" w:firstLineChars="0"/>
              <w:jc w:val="center"/>
              <w:rPr>
                <w:kern w:val="0"/>
                <w:sz w:val="18"/>
              </w:rPr>
            </w:pPr>
            <w:r>
              <w:rPr>
                <w:kern w:val="0"/>
                <w:sz w:val="18"/>
              </w:rPr>
              <w:t>265.37</w:t>
            </w:r>
          </w:p>
        </w:tc>
        <w:tc>
          <w:tcPr>
            <w:tcW w:w="0" w:type="auto"/>
            <w:vAlign w:val="center"/>
          </w:tcPr>
          <w:p>
            <w:pPr>
              <w:widowControl/>
              <w:spacing w:line="240" w:lineRule="auto"/>
              <w:ind w:firstLine="0" w:firstLineChars="0"/>
              <w:jc w:val="center"/>
              <w:rPr>
                <w:kern w:val="0"/>
                <w:sz w:val="18"/>
              </w:rPr>
            </w:pPr>
            <w:r>
              <w:rPr>
                <w:kern w:val="0"/>
                <w:sz w:val="18"/>
              </w:rPr>
              <w:t>9.78</w:t>
            </w:r>
          </w:p>
        </w:tc>
        <w:tc>
          <w:tcPr>
            <w:tcW w:w="0" w:type="auto"/>
            <w:vAlign w:val="center"/>
          </w:tcPr>
          <w:p>
            <w:pPr>
              <w:widowControl/>
              <w:spacing w:line="240" w:lineRule="auto"/>
              <w:ind w:firstLine="0" w:firstLineChars="0"/>
              <w:jc w:val="center"/>
              <w:rPr>
                <w:kern w:val="0"/>
                <w:sz w:val="18"/>
              </w:rPr>
            </w:pPr>
            <w:r>
              <w:rPr>
                <w:kern w:val="0"/>
                <w:sz w:val="18"/>
              </w:rPr>
              <w:t>10.66</w:t>
            </w:r>
          </w:p>
        </w:tc>
        <w:tc>
          <w:tcPr>
            <w:tcW w:w="0" w:type="auto"/>
            <w:vAlign w:val="center"/>
          </w:tcPr>
          <w:p>
            <w:pPr>
              <w:widowControl/>
              <w:spacing w:line="240" w:lineRule="auto"/>
              <w:ind w:firstLine="0" w:firstLineChars="0"/>
              <w:jc w:val="center"/>
              <w:rPr>
                <w:kern w:val="0"/>
                <w:sz w:val="18"/>
              </w:rPr>
            </w:pPr>
            <w:r>
              <w:rPr>
                <w:kern w:val="0"/>
                <w:sz w:val="18"/>
              </w:rPr>
              <w:t>0.39</w:t>
            </w:r>
          </w:p>
        </w:tc>
        <w:tc>
          <w:tcPr>
            <w:tcW w:w="0" w:type="auto"/>
            <w:vAlign w:val="center"/>
          </w:tcPr>
          <w:p>
            <w:pPr>
              <w:widowControl/>
              <w:spacing w:line="240" w:lineRule="auto"/>
              <w:ind w:firstLine="0" w:firstLineChars="0"/>
              <w:jc w:val="center"/>
              <w:rPr>
                <w:kern w:val="0"/>
                <w:sz w:val="18"/>
              </w:rPr>
            </w:pPr>
            <w:r>
              <w:rPr>
                <w:kern w:val="0"/>
                <w:sz w:val="18"/>
              </w:rPr>
              <w:t>0.10</w:t>
            </w:r>
          </w:p>
        </w:tc>
        <w:tc>
          <w:tcPr>
            <w:tcW w:w="0" w:type="auto"/>
            <w:vAlign w:val="center"/>
          </w:tcPr>
          <w:p>
            <w:pPr>
              <w:widowControl/>
              <w:spacing w:line="240" w:lineRule="auto"/>
              <w:ind w:firstLine="0" w:firstLineChars="0"/>
              <w:jc w:val="center"/>
              <w:rPr>
                <w:kern w:val="0"/>
                <w:sz w:val="18"/>
              </w:rPr>
            </w:pPr>
            <w:r>
              <w:rPr>
                <w:kern w:val="0"/>
                <w:sz w:val="18"/>
              </w:rPr>
              <w:t>0.00</w:t>
            </w:r>
          </w:p>
        </w:tc>
      </w:tr>
    </w:tbl>
    <w:p>
      <w:pPr>
        <w:pStyle w:val="46"/>
        <w:ind w:firstLine="480"/>
      </w:pPr>
    </w:p>
    <w:p>
      <w:pPr>
        <w:pStyle w:val="102"/>
        <w:adjustRightInd w:val="0"/>
        <w:snapToGrid w:val="0"/>
      </w:pPr>
      <w:r>
        <w:t>表4.1-2五通桥区水土流失动态变化</w:t>
      </w:r>
    </w:p>
    <w:tbl>
      <w:tblPr>
        <w:tblStyle w:val="110"/>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449"/>
        <w:gridCol w:w="1687"/>
        <w:gridCol w:w="1091"/>
        <w:gridCol w:w="1091"/>
        <w:gridCol w:w="947"/>
        <w:gridCol w:w="947"/>
        <w:gridCol w:w="1167"/>
        <w:gridCol w:w="90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780" w:type="pct"/>
            <w:vMerge w:val="restart"/>
            <w:vAlign w:val="center"/>
          </w:tcPr>
          <w:p>
            <w:pPr>
              <w:widowControl/>
              <w:spacing w:line="240" w:lineRule="auto"/>
              <w:ind w:firstLine="0" w:firstLineChars="0"/>
              <w:jc w:val="center"/>
              <w:rPr>
                <w:b/>
                <w:bCs/>
                <w:kern w:val="0"/>
                <w:sz w:val="20"/>
                <w:szCs w:val="20"/>
              </w:rPr>
            </w:pPr>
            <w:r>
              <w:rPr>
                <w:b/>
                <w:bCs/>
                <w:kern w:val="0"/>
                <w:sz w:val="20"/>
                <w:szCs w:val="20"/>
              </w:rPr>
              <w:t>行政区</w:t>
            </w:r>
          </w:p>
        </w:tc>
        <w:tc>
          <w:tcPr>
            <w:tcW w:w="908" w:type="pct"/>
            <w:vMerge w:val="restart"/>
            <w:vAlign w:val="center"/>
          </w:tcPr>
          <w:p>
            <w:pPr>
              <w:widowControl/>
              <w:spacing w:line="240" w:lineRule="auto"/>
              <w:ind w:firstLine="0" w:firstLineChars="0"/>
              <w:jc w:val="center"/>
              <w:rPr>
                <w:b/>
                <w:bCs/>
                <w:kern w:val="0"/>
                <w:sz w:val="20"/>
                <w:szCs w:val="20"/>
              </w:rPr>
            </w:pPr>
            <w:r>
              <w:rPr>
                <w:b/>
                <w:bCs/>
                <w:kern w:val="0"/>
                <w:sz w:val="20"/>
                <w:szCs w:val="20"/>
              </w:rPr>
              <w:t>年度</w:t>
            </w:r>
          </w:p>
        </w:tc>
        <w:tc>
          <w:tcPr>
            <w:tcW w:w="3311" w:type="pct"/>
            <w:gridSpan w:val="6"/>
            <w:vAlign w:val="center"/>
          </w:tcPr>
          <w:p>
            <w:pPr>
              <w:widowControl/>
              <w:spacing w:line="240" w:lineRule="auto"/>
              <w:ind w:firstLine="0" w:firstLineChars="0"/>
              <w:jc w:val="center"/>
              <w:rPr>
                <w:b/>
                <w:bCs/>
                <w:kern w:val="0"/>
                <w:sz w:val="20"/>
                <w:szCs w:val="20"/>
              </w:rPr>
            </w:pPr>
            <w:r>
              <w:rPr>
                <w:b/>
                <w:bCs/>
                <w:kern w:val="0"/>
                <w:sz w:val="20"/>
                <w:szCs w:val="20"/>
              </w:rPr>
              <w:t>水土流失面积（km</w:t>
            </w:r>
            <w:r>
              <w:rPr>
                <w:b/>
                <w:bCs/>
                <w:kern w:val="0"/>
                <w:sz w:val="20"/>
                <w:szCs w:val="20"/>
                <w:vertAlign w:val="superscript"/>
              </w:rPr>
              <w:t>2</w:t>
            </w:r>
            <w:r>
              <w:rPr>
                <w:b/>
                <w:bCs/>
                <w:kern w:val="0"/>
                <w:sz w:val="20"/>
                <w:szCs w:val="20"/>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780" w:type="pct"/>
            <w:vMerge w:val="continue"/>
            <w:vAlign w:val="center"/>
          </w:tcPr>
          <w:p>
            <w:pPr>
              <w:widowControl/>
              <w:spacing w:line="240" w:lineRule="auto"/>
              <w:ind w:firstLine="0" w:firstLineChars="0"/>
              <w:jc w:val="center"/>
              <w:rPr>
                <w:b/>
                <w:bCs/>
                <w:kern w:val="0"/>
                <w:sz w:val="20"/>
                <w:szCs w:val="20"/>
              </w:rPr>
            </w:pPr>
          </w:p>
        </w:tc>
        <w:tc>
          <w:tcPr>
            <w:tcW w:w="908" w:type="pct"/>
            <w:vMerge w:val="continue"/>
            <w:vAlign w:val="center"/>
          </w:tcPr>
          <w:p>
            <w:pPr>
              <w:widowControl/>
              <w:spacing w:line="240" w:lineRule="auto"/>
              <w:ind w:firstLine="0" w:firstLineChars="0"/>
              <w:jc w:val="center"/>
              <w:rPr>
                <w:b/>
                <w:bCs/>
                <w:kern w:val="0"/>
                <w:sz w:val="20"/>
                <w:szCs w:val="20"/>
              </w:rPr>
            </w:pPr>
          </w:p>
        </w:tc>
        <w:tc>
          <w:tcPr>
            <w:tcW w:w="587" w:type="pct"/>
            <w:vAlign w:val="center"/>
          </w:tcPr>
          <w:p>
            <w:pPr>
              <w:widowControl/>
              <w:spacing w:line="240" w:lineRule="auto"/>
              <w:ind w:firstLine="0" w:firstLineChars="0"/>
              <w:jc w:val="center"/>
              <w:rPr>
                <w:b/>
                <w:bCs/>
                <w:kern w:val="0"/>
                <w:sz w:val="20"/>
                <w:szCs w:val="20"/>
              </w:rPr>
            </w:pPr>
            <w:r>
              <w:rPr>
                <w:b/>
                <w:bCs/>
                <w:kern w:val="0"/>
                <w:sz w:val="20"/>
                <w:szCs w:val="20"/>
              </w:rPr>
              <w:t>合计</w:t>
            </w:r>
          </w:p>
        </w:tc>
        <w:tc>
          <w:tcPr>
            <w:tcW w:w="587" w:type="pct"/>
            <w:vAlign w:val="center"/>
          </w:tcPr>
          <w:p>
            <w:pPr>
              <w:widowControl/>
              <w:spacing w:line="240" w:lineRule="auto"/>
              <w:ind w:firstLine="0" w:firstLineChars="0"/>
              <w:jc w:val="center"/>
              <w:rPr>
                <w:b/>
                <w:bCs/>
                <w:kern w:val="0"/>
                <w:sz w:val="20"/>
                <w:szCs w:val="20"/>
              </w:rPr>
            </w:pPr>
            <w:r>
              <w:rPr>
                <w:b/>
                <w:bCs/>
                <w:kern w:val="0"/>
                <w:sz w:val="20"/>
                <w:szCs w:val="20"/>
              </w:rPr>
              <w:t>轻度</w:t>
            </w:r>
          </w:p>
        </w:tc>
        <w:tc>
          <w:tcPr>
            <w:tcW w:w="510" w:type="pct"/>
            <w:vAlign w:val="center"/>
          </w:tcPr>
          <w:p>
            <w:pPr>
              <w:widowControl/>
              <w:spacing w:line="240" w:lineRule="auto"/>
              <w:ind w:firstLine="0" w:firstLineChars="0"/>
              <w:jc w:val="center"/>
              <w:rPr>
                <w:b/>
                <w:bCs/>
                <w:kern w:val="0"/>
                <w:sz w:val="20"/>
                <w:szCs w:val="20"/>
              </w:rPr>
            </w:pPr>
            <w:r>
              <w:rPr>
                <w:b/>
                <w:bCs/>
                <w:kern w:val="0"/>
                <w:sz w:val="20"/>
                <w:szCs w:val="20"/>
              </w:rPr>
              <w:t>中度</w:t>
            </w:r>
          </w:p>
        </w:tc>
        <w:tc>
          <w:tcPr>
            <w:tcW w:w="510" w:type="pct"/>
            <w:vAlign w:val="center"/>
          </w:tcPr>
          <w:p>
            <w:pPr>
              <w:widowControl/>
              <w:spacing w:line="240" w:lineRule="auto"/>
              <w:ind w:firstLine="0" w:firstLineChars="0"/>
              <w:jc w:val="center"/>
              <w:rPr>
                <w:b/>
                <w:bCs/>
                <w:kern w:val="0"/>
                <w:sz w:val="20"/>
                <w:szCs w:val="20"/>
              </w:rPr>
            </w:pPr>
            <w:r>
              <w:rPr>
                <w:b/>
                <w:bCs/>
                <w:kern w:val="0"/>
                <w:sz w:val="20"/>
                <w:szCs w:val="20"/>
              </w:rPr>
              <w:t>强烈</w:t>
            </w:r>
          </w:p>
        </w:tc>
        <w:tc>
          <w:tcPr>
            <w:tcW w:w="628" w:type="pct"/>
            <w:vAlign w:val="center"/>
          </w:tcPr>
          <w:p>
            <w:pPr>
              <w:widowControl/>
              <w:spacing w:line="240" w:lineRule="auto"/>
              <w:ind w:firstLine="0" w:firstLineChars="0"/>
              <w:jc w:val="center"/>
              <w:rPr>
                <w:b/>
                <w:bCs/>
                <w:kern w:val="0"/>
                <w:sz w:val="20"/>
                <w:szCs w:val="20"/>
              </w:rPr>
            </w:pPr>
            <w:r>
              <w:rPr>
                <w:b/>
                <w:bCs/>
                <w:kern w:val="0"/>
                <w:sz w:val="20"/>
                <w:szCs w:val="20"/>
              </w:rPr>
              <w:t>极强烈</w:t>
            </w:r>
          </w:p>
        </w:tc>
        <w:tc>
          <w:tcPr>
            <w:tcW w:w="485" w:type="pct"/>
            <w:vAlign w:val="center"/>
          </w:tcPr>
          <w:p>
            <w:pPr>
              <w:widowControl/>
              <w:spacing w:line="240" w:lineRule="auto"/>
              <w:ind w:firstLine="0" w:firstLineChars="0"/>
              <w:jc w:val="center"/>
              <w:rPr>
                <w:b/>
                <w:bCs/>
                <w:kern w:val="0"/>
                <w:sz w:val="20"/>
                <w:szCs w:val="20"/>
              </w:rPr>
            </w:pPr>
            <w:r>
              <w:rPr>
                <w:b/>
                <w:bCs/>
                <w:kern w:val="0"/>
                <w:sz w:val="20"/>
                <w:szCs w:val="20"/>
              </w:rPr>
              <w:t>剧烈</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780" w:type="pct"/>
            <w:vMerge w:val="restart"/>
            <w:vAlign w:val="center"/>
          </w:tcPr>
          <w:p>
            <w:pPr>
              <w:widowControl/>
              <w:spacing w:line="240" w:lineRule="auto"/>
              <w:ind w:firstLine="0" w:firstLineChars="0"/>
              <w:jc w:val="center"/>
              <w:rPr>
                <w:kern w:val="0"/>
                <w:sz w:val="20"/>
                <w:szCs w:val="20"/>
              </w:rPr>
            </w:pPr>
            <w:r>
              <w:rPr>
                <w:kern w:val="0"/>
                <w:sz w:val="20"/>
                <w:szCs w:val="20"/>
              </w:rPr>
              <w:t>乐山市五</w:t>
            </w:r>
          </w:p>
          <w:p>
            <w:pPr>
              <w:widowControl/>
              <w:spacing w:line="240" w:lineRule="auto"/>
              <w:ind w:firstLine="0" w:firstLineChars="0"/>
              <w:jc w:val="center"/>
              <w:rPr>
                <w:kern w:val="0"/>
                <w:sz w:val="20"/>
                <w:szCs w:val="20"/>
              </w:rPr>
            </w:pPr>
            <w:r>
              <w:rPr>
                <w:kern w:val="0"/>
                <w:sz w:val="20"/>
                <w:szCs w:val="20"/>
              </w:rPr>
              <w:t>通桥区</w:t>
            </w:r>
          </w:p>
        </w:tc>
        <w:tc>
          <w:tcPr>
            <w:tcW w:w="908" w:type="pct"/>
            <w:vAlign w:val="center"/>
          </w:tcPr>
          <w:p>
            <w:pPr>
              <w:widowControl/>
              <w:spacing w:line="240" w:lineRule="auto"/>
              <w:ind w:firstLine="0" w:firstLineChars="0"/>
              <w:jc w:val="center"/>
              <w:rPr>
                <w:kern w:val="0"/>
                <w:sz w:val="20"/>
                <w:szCs w:val="20"/>
              </w:rPr>
            </w:pPr>
            <w:r>
              <w:rPr>
                <w:kern w:val="0"/>
                <w:sz w:val="20"/>
                <w:szCs w:val="20"/>
              </w:rPr>
              <w:t>2022年</w:t>
            </w:r>
          </w:p>
        </w:tc>
        <w:tc>
          <w:tcPr>
            <w:tcW w:w="587" w:type="pct"/>
            <w:vAlign w:val="center"/>
          </w:tcPr>
          <w:p>
            <w:pPr>
              <w:widowControl/>
              <w:spacing w:line="240" w:lineRule="auto"/>
              <w:ind w:firstLine="0" w:firstLineChars="0"/>
              <w:jc w:val="center"/>
              <w:rPr>
                <w:kern w:val="0"/>
                <w:sz w:val="20"/>
                <w:szCs w:val="20"/>
              </w:rPr>
            </w:pPr>
            <w:r>
              <w:rPr>
                <w:kern w:val="0"/>
                <w:sz w:val="20"/>
                <w:szCs w:val="20"/>
              </w:rPr>
              <w:t>114.16</w:t>
            </w:r>
          </w:p>
        </w:tc>
        <w:tc>
          <w:tcPr>
            <w:tcW w:w="587" w:type="pct"/>
            <w:vAlign w:val="center"/>
          </w:tcPr>
          <w:p>
            <w:pPr>
              <w:widowControl/>
              <w:spacing w:line="240" w:lineRule="auto"/>
              <w:ind w:firstLine="0" w:firstLineChars="0"/>
              <w:jc w:val="center"/>
              <w:rPr>
                <w:kern w:val="0"/>
                <w:sz w:val="20"/>
                <w:szCs w:val="20"/>
              </w:rPr>
            </w:pPr>
            <w:r>
              <w:rPr>
                <w:kern w:val="0"/>
                <w:sz w:val="20"/>
                <w:szCs w:val="20"/>
              </w:rPr>
              <w:t>79.6</w:t>
            </w:r>
          </w:p>
        </w:tc>
        <w:tc>
          <w:tcPr>
            <w:tcW w:w="510" w:type="pct"/>
            <w:vAlign w:val="center"/>
          </w:tcPr>
          <w:p>
            <w:pPr>
              <w:widowControl/>
              <w:spacing w:line="240" w:lineRule="auto"/>
              <w:ind w:firstLine="0" w:firstLineChars="0"/>
              <w:jc w:val="center"/>
              <w:rPr>
                <w:kern w:val="0"/>
                <w:sz w:val="20"/>
                <w:szCs w:val="20"/>
              </w:rPr>
            </w:pPr>
            <w:r>
              <w:rPr>
                <w:kern w:val="0"/>
                <w:sz w:val="20"/>
                <w:szCs w:val="20"/>
              </w:rPr>
              <w:t>17.11</w:t>
            </w:r>
          </w:p>
        </w:tc>
        <w:tc>
          <w:tcPr>
            <w:tcW w:w="510" w:type="pct"/>
            <w:vAlign w:val="center"/>
          </w:tcPr>
          <w:p>
            <w:pPr>
              <w:widowControl/>
              <w:spacing w:line="240" w:lineRule="auto"/>
              <w:ind w:firstLine="0" w:firstLineChars="0"/>
              <w:jc w:val="center"/>
              <w:rPr>
                <w:kern w:val="0"/>
                <w:sz w:val="20"/>
                <w:szCs w:val="20"/>
              </w:rPr>
            </w:pPr>
            <w:r>
              <w:rPr>
                <w:kern w:val="0"/>
                <w:sz w:val="20"/>
                <w:szCs w:val="20"/>
              </w:rPr>
              <w:t>9.66</w:t>
            </w:r>
          </w:p>
        </w:tc>
        <w:tc>
          <w:tcPr>
            <w:tcW w:w="628" w:type="pct"/>
            <w:vAlign w:val="center"/>
          </w:tcPr>
          <w:p>
            <w:pPr>
              <w:widowControl/>
              <w:spacing w:line="240" w:lineRule="auto"/>
              <w:ind w:firstLine="0" w:firstLineChars="0"/>
              <w:jc w:val="center"/>
              <w:rPr>
                <w:kern w:val="0"/>
                <w:sz w:val="20"/>
                <w:szCs w:val="20"/>
              </w:rPr>
            </w:pPr>
            <w:r>
              <w:rPr>
                <w:kern w:val="0"/>
                <w:sz w:val="20"/>
                <w:szCs w:val="20"/>
              </w:rPr>
              <w:t>6.43</w:t>
            </w:r>
          </w:p>
        </w:tc>
        <w:tc>
          <w:tcPr>
            <w:tcW w:w="485" w:type="pct"/>
            <w:vAlign w:val="center"/>
          </w:tcPr>
          <w:p>
            <w:pPr>
              <w:widowControl/>
              <w:spacing w:line="240" w:lineRule="auto"/>
              <w:ind w:firstLine="0" w:firstLineChars="0"/>
              <w:jc w:val="center"/>
              <w:rPr>
                <w:kern w:val="0"/>
                <w:sz w:val="20"/>
                <w:szCs w:val="20"/>
              </w:rPr>
            </w:pPr>
            <w:r>
              <w:rPr>
                <w:kern w:val="0"/>
                <w:sz w:val="20"/>
                <w:szCs w:val="20"/>
              </w:rPr>
              <w:t>1.36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780" w:type="pct"/>
            <w:vMerge w:val="continue"/>
            <w:vAlign w:val="center"/>
          </w:tcPr>
          <w:p>
            <w:pPr>
              <w:widowControl/>
              <w:spacing w:line="240" w:lineRule="auto"/>
              <w:ind w:firstLine="0" w:firstLineChars="0"/>
              <w:jc w:val="center"/>
              <w:rPr>
                <w:kern w:val="0"/>
                <w:sz w:val="20"/>
                <w:szCs w:val="20"/>
              </w:rPr>
            </w:pPr>
          </w:p>
        </w:tc>
        <w:tc>
          <w:tcPr>
            <w:tcW w:w="908" w:type="pct"/>
            <w:vAlign w:val="center"/>
          </w:tcPr>
          <w:p>
            <w:pPr>
              <w:widowControl/>
              <w:spacing w:line="240" w:lineRule="auto"/>
              <w:ind w:firstLine="0" w:firstLineChars="0"/>
              <w:jc w:val="center"/>
              <w:rPr>
                <w:kern w:val="0"/>
                <w:sz w:val="20"/>
                <w:szCs w:val="20"/>
              </w:rPr>
            </w:pPr>
            <w:r>
              <w:rPr>
                <w:kern w:val="0"/>
                <w:sz w:val="20"/>
                <w:szCs w:val="20"/>
              </w:rPr>
              <w:t>2021年</w:t>
            </w:r>
          </w:p>
        </w:tc>
        <w:tc>
          <w:tcPr>
            <w:tcW w:w="587" w:type="pct"/>
            <w:vAlign w:val="center"/>
          </w:tcPr>
          <w:p>
            <w:pPr>
              <w:widowControl/>
              <w:spacing w:line="240" w:lineRule="auto"/>
              <w:ind w:firstLine="0" w:firstLineChars="0"/>
              <w:jc w:val="center"/>
              <w:rPr>
                <w:kern w:val="0"/>
                <w:sz w:val="20"/>
                <w:szCs w:val="20"/>
              </w:rPr>
            </w:pPr>
            <w:r>
              <w:rPr>
                <w:kern w:val="0"/>
                <w:sz w:val="20"/>
                <w:szCs w:val="20"/>
              </w:rPr>
              <w:t>116.89</w:t>
            </w:r>
          </w:p>
        </w:tc>
        <w:tc>
          <w:tcPr>
            <w:tcW w:w="587" w:type="pct"/>
            <w:vAlign w:val="center"/>
          </w:tcPr>
          <w:p>
            <w:pPr>
              <w:widowControl/>
              <w:spacing w:line="240" w:lineRule="auto"/>
              <w:ind w:firstLine="0" w:firstLineChars="0"/>
              <w:jc w:val="center"/>
              <w:rPr>
                <w:kern w:val="0"/>
                <w:sz w:val="20"/>
                <w:szCs w:val="20"/>
              </w:rPr>
            </w:pPr>
            <w:r>
              <w:rPr>
                <w:kern w:val="0"/>
                <w:sz w:val="20"/>
                <w:szCs w:val="20"/>
              </w:rPr>
              <w:t>81.22</w:t>
            </w:r>
          </w:p>
        </w:tc>
        <w:tc>
          <w:tcPr>
            <w:tcW w:w="510" w:type="pct"/>
            <w:vAlign w:val="center"/>
          </w:tcPr>
          <w:p>
            <w:pPr>
              <w:widowControl/>
              <w:spacing w:line="240" w:lineRule="auto"/>
              <w:ind w:firstLine="0" w:firstLineChars="0"/>
              <w:jc w:val="center"/>
              <w:rPr>
                <w:kern w:val="0"/>
                <w:sz w:val="20"/>
                <w:szCs w:val="20"/>
              </w:rPr>
            </w:pPr>
            <w:r>
              <w:rPr>
                <w:kern w:val="0"/>
                <w:sz w:val="20"/>
                <w:szCs w:val="20"/>
              </w:rPr>
              <w:t>17.93</w:t>
            </w:r>
          </w:p>
        </w:tc>
        <w:tc>
          <w:tcPr>
            <w:tcW w:w="510" w:type="pct"/>
            <w:vAlign w:val="center"/>
          </w:tcPr>
          <w:p>
            <w:pPr>
              <w:widowControl/>
              <w:spacing w:line="240" w:lineRule="auto"/>
              <w:ind w:firstLine="0" w:firstLineChars="0"/>
              <w:jc w:val="center"/>
              <w:rPr>
                <w:kern w:val="0"/>
                <w:sz w:val="20"/>
                <w:szCs w:val="20"/>
              </w:rPr>
            </w:pPr>
            <w:r>
              <w:rPr>
                <w:kern w:val="0"/>
                <w:sz w:val="20"/>
                <w:szCs w:val="20"/>
              </w:rPr>
              <w:t>9.75</w:t>
            </w:r>
          </w:p>
        </w:tc>
        <w:tc>
          <w:tcPr>
            <w:tcW w:w="628" w:type="pct"/>
            <w:vAlign w:val="center"/>
          </w:tcPr>
          <w:p>
            <w:pPr>
              <w:widowControl/>
              <w:spacing w:line="240" w:lineRule="auto"/>
              <w:ind w:firstLine="0" w:firstLineChars="0"/>
              <w:jc w:val="center"/>
              <w:rPr>
                <w:kern w:val="0"/>
                <w:sz w:val="20"/>
                <w:szCs w:val="20"/>
              </w:rPr>
            </w:pPr>
            <w:r>
              <w:rPr>
                <w:kern w:val="0"/>
                <w:sz w:val="20"/>
                <w:szCs w:val="20"/>
              </w:rPr>
              <w:t>6.57</w:t>
            </w:r>
          </w:p>
        </w:tc>
        <w:tc>
          <w:tcPr>
            <w:tcW w:w="485" w:type="pct"/>
            <w:vAlign w:val="center"/>
          </w:tcPr>
          <w:p>
            <w:pPr>
              <w:widowControl/>
              <w:spacing w:line="240" w:lineRule="auto"/>
              <w:ind w:firstLine="0" w:firstLineChars="0"/>
              <w:jc w:val="center"/>
              <w:rPr>
                <w:kern w:val="0"/>
                <w:sz w:val="20"/>
                <w:szCs w:val="20"/>
              </w:rPr>
            </w:pPr>
            <w:r>
              <w:rPr>
                <w:kern w:val="0"/>
                <w:sz w:val="20"/>
                <w:szCs w:val="20"/>
              </w:rPr>
              <w:t>1.42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780" w:type="pct"/>
            <w:vMerge w:val="continue"/>
            <w:vAlign w:val="center"/>
          </w:tcPr>
          <w:p>
            <w:pPr>
              <w:widowControl/>
              <w:spacing w:line="240" w:lineRule="auto"/>
              <w:ind w:firstLine="0" w:firstLineChars="0"/>
              <w:jc w:val="center"/>
              <w:rPr>
                <w:kern w:val="0"/>
                <w:sz w:val="20"/>
                <w:szCs w:val="20"/>
              </w:rPr>
            </w:pPr>
          </w:p>
        </w:tc>
        <w:tc>
          <w:tcPr>
            <w:tcW w:w="908" w:type="pct"/>
            <w:vAlign w:val="center"/>
          </w:tcPr>
          <w:p>
            <w:pPr>
              <w:widowControl/>
              <w:spacing w:line="240" w:lineRule="auto"/>
              <w:ind w:firstLine="0" w:firstLineChars="0"/>
              <w:jc w:val="center"/>
              <w:rPr>
                <w:kern w:val="0"/>
                <w:sz w:val="20"/>
                <w:szCs w:val="20"/>
              </w:rPr>
            </w:pPr>
            <w:r>
              <w:rPr>
                <w:kern w:val="0"/>
                <w:sz w:val="20"/>
                <w:szCs w:val="20"/>
              </w:rPr>
              <w:t>动态变化</w:t>
            </w:r>
          </w:p>
        </w:tc>
        <w:tc>
          <w:tcPr>
            <w:tcW w:w="587" w:type="pct"/>
            <w:vAlign w:val="center"/>
          </w:tcPr>
          <w:p>
            <w:pPr>
              <w:widowControl/>
              <w:spacing w:line="240" w:lineRule="auto"/>
              <w:ind w:firstLine="0" w:firstLineChars="0"/>
              <w:jc w:val="center"/>
              <w:rPr>
                <w:kern w:val="0"/>
                <w:sz w:val="20"/>
                <w:szCs w:val="20"/>
              </w:rPr>
            </w:pPr>
            <w:r>
              <w:rPr>
                <w:kern w:val="0"/>
                <w:sz w:val="20"/>
                <w:szCs w:val="20"/>
              </w:rPr>
              <w:t>-2.73</w:t>
            </w:r>
          </w:p>
        </w:tc>
        <w:tc>
          <w:tcPr>
            <w:tcW w:w="587" w:type="pct"/>
            <w:vAlign w:val="center"/>
          </w:tcPr>
          <w:p>
            <w:pPr>
              <w:widowControl/>
              <w:spacing w:line="240" w:lineRule="auto"/>
              <w:ind w:firstLine="0" w:firstLineChars="0"/>
              <w:jc w:val="center"/>
              <w:rPr>
                <w:kern w:val="0"/>
                <w:sz w:val="20"/>
                <w:szCs w:val="20"/>
              </w:rPr>
            </w:pPr>
            <w:r>
              <w:rPr>
                <w:kern w:val="0"/>
                <w:sz w:val="20"/>
                <w:szCs w:val="20"/>
              </w:rPr>
              <w:t>-1.62</w:t>
            </w:r>
          </w:p>
        </w:tc>
        <w:tc>
          <w:tcPr>
            <w:tcW w:w="510" w:type="pct"/>
            <w:vAlign w:val="center"/>
          </w:tcPr>
          <w:p>
            <w:pPr>
              <w:widowControl/>
              <w:spacing w:line="240" w:lineRule="auto"/>
              <w:ind w:firstLine="0" w:firstLineChars="0"/>
              <w:jc w:val="center"/>
              <w:rPr>
                <w:kern w:val="0"/>
                <w:sz w:val="20"/>
                <w:szCs w:val="20"/>
              </w:rPr>
            </w:pPr>
            <w:r>
              <w:rPr>
                <w:kern w:val="0"/>
                <w:sz w:val="20"/>
                <w:szCs w:val="20"/>
              </w:rPr>
              <w:t>-0.82</w:t>
            </w:r>
          </w:p>
        </w:tc>
        <w:tc>
          <w:tcPr>
            <w:tcW w:w="510" w:type="pct"/>
            <w:vAlign w:val="center"/>
          </w:tcPr>
          <w:p>
            <w:pPr>
              <w:widowControl/>
              <w:spacing w:line="240" w:lineRule="auto"/>
              <w:ind w:firstLine="0" w:firstLineChars="0"/>
              <w:jc w:val="center"/>
              <w:rPr>
                <w:kern w:val="0"/>
                <w:sz w:val="20"/>
                <w:szCs w:val="20"/>
              </w:rPr>
            </w:pPr>
            <w:r>
              <w:rPr>
                <w:kern w:val="0"/>
                <w:sz w:val="20"/>
                <w:szCs w:val="20"/>
              </w:rPr>
              <w:t>-0.09</w:t>
            </w:r>
          </w:p>
        </w:tc>
        <w:tc>
          <w:tcPr>
            <w:tcW w:w="628" w:type="pct"/>
            <w:vAlign w:val="center"/>
          </w:tcPr>
          <w:p>
            <w:pPr>
              <w:widowControl/>
              <w:spacing w:line="240" w:lineRule="auto"/>
              <w:ind w:firstLine="0" w:firstLineChars="0"/>
              <w:jc w:val="center"/>
              <w:rPr>
                <w:kern w:val="0"/>
                <w:sz w:val="20"/>
                <w:szCs w:val="20"/>
              </w:rPr>
            </w:pPr>
            <w:r>
              <w:rPr>
                <w:kern w:val="0"/>
                <w:sz w:val="20"/>
                <w:szCs w:val="20"/>
              </w:rPr>
              <w:t>-0.14</w:t>
            </w:r>
          </w:p>
        </w:tc>
        <w:tc>
          <w:tcPr>
            <w:tcW w:w="485" w:type="pct"/>
            <w:vAlign w:val="center"/>
          </w:tcPr>
          <w:p>
            <w:pPr>
              <w:widowControl/>
              <w:spacing w:line="240" w:lineRule="auto"/>
              <w:ind w:firstLine="0" w:firstLineChars="0"/>
              <w:jc w:val="center"/>
              <w:rPr>
                <w:kern w:val="0"/>
                <w:sz w:val="20"/>
                <w:szCs w:val="20"/>
              </w:rPr>
            </w:pPr>
            <w:r>
              <w:rPr>
                <w:kern w:val="0"/>
                <w:sz w:val="20"/>
                <w:szCs w:val="20"/>
              </w:rPr>
              <w:t>-0.06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780" w:type="pct"/>
            <w:vMerge w:val="continue"/>
            <w:vAlign w:val="center"/>
          </w:tcPr>
          <w:p>
            <w:pPr>
              <w:widowControl/>
              <w:spacing w:line="240" w:lineRule="auto"/>
              <w:ind w:firstLine="0" w:firstLineChars="0"/>
              <w:jc w:val="center"/>
              <w:rPr>
                <w:kern w:val="0"/>
                <w:sz w:val="20"/>
                <w:szCs w:val="20"/>
              </w:rPr>
            </w:pPr>
          </w:p>
        </w:tc>
        <w:tc>
          <w:tcPr>
            <w:tcW w:w="908" w:type="pct"/>
            <w:vAlign w:val="center"/>
          </w:tcPr>
          <w:p>
            <w:pPr>
              <w:widowControl/>
              <w:spacing w:line="240" w:lineRule="auto"/>
              <w:ind w:firstLine="0" w:firstLineChars="0"/>
              <w:jc w:val="center"/>
              <w:rPr>
                <w:kern w:val="0"/>
                <w:sz w:val="20"/>
                <w:szCs w:val="20"/>
              </w:rPr>
            </w:pPr>
            <w:r>
              <w:rPr>
                <w:kern w:val="0"/>
                <w:sz w:val="20"/>
                <w:szCs w:val="20"/>
              </w:rPr>
              <w:t>变幅（%）</w:t>
            </w:r>
          </w:p>
        </w:tc>
        <w:tc>
          <w:tcPr>
            <w:tcW w:w="587" w:type="pct"/>
            <w:vAlign w:val="center"/>
          </w:tcPr>
          <w:p>
            <w:pPr>
              <w:widowControl/>
              <w:spacing w:line="240" w:lineRule="auto"/>
              <w:ind w:firstLine="0" w:firstLineChars="0"/>
              <w:jc w:val="center"/>
              <w:rPr>
                <w:kern w:val="0"/>
                <w:sz w:val="20"/>
                <w:szCs w:val="20"/>
              </w:rPr>
            </w:pPr>
            <w:r>
              <w:rPr>
                <w:kern w:val="0"/>
                <w:sz w:val="20"/>
                <w:szCs w:val="20"/>
              </w:rPr>
              <w:t>-2.34</w:t>
            </w:r>
          </w:p>
        </w:tc>
        <w:tc>
          <w:tcPr>
            <w:tcW w:w="587" w:type="pct"/>
            <w:vAlign w:val="center"/>
          </w:tcPr>
          <w:p>
            <w:pPr>
              <w:widowControl/>
              <w:spacing w:line="240" w:lineRule="auto"/>
              <w:ind w:firstLine="0" w:firstLineChars="0"/>
              <w:jc w:val="center"/>
              <w:rPr>
                <w:kern w:val="0"/>
                <w:sz w:val="20"/>
                <w:szCs w:val="20"/>
              </w:rPr>
            </w:pPr>
            <w:r>
              <w:rPr>
                <w:kern w:val="0"/>
                <w:sz w:val="20"/>
                <w:szCs w:val="20"/>
              </w:rPr>
              <w:t>-1.99</w:t>
            </w:r>
          </w:p>
        </w:tc>
        <w:tc>
          <w:tcPr>
            <w:tcW w:w="510" w:type="pct"/>
            <w:vAlign w:val="center"/>
          </w:tcPr>
          <w:p>
            <w:pPr>
              <w:widowControl/>
              <w:spacing w:line="240" w:lineRule="auto"/>
              <w:ind w:firstLine="0" w:firstLineChars="0"/>
              <w:jc w:val="center"/>
              <w:rPr>
                <w:kern w:val="0"/>
                <w:sz w:val="20"/>
                <w:szCs w:val="20"/>
              </w:rPr>
            </w:pPr>
            <w:r>
              <w:rPr>
                <w:kern w:val="0"/>
                <w:sz w:val="20"/>
                <w:szCs w:val="20"/>
              </w:rPr>
              <w:t>-4.57</w:t>
            </w:r>
          </w:p>
        </w:tc>
        <w:tc>
          <w:tcPr>
            <w:tcW w:w="510" w:type="pct"/>
            <w:vAlign w:val="center"/>
          </w:tcPr>
          <w:p>
            <w:pPr>
              <w:widowControl/>
              <w:spacing w:line="240" w:lineRule="auto"/>
              <w:ind w:firstLine="0" w:firstLineChars="0"/>
              <w:jc w:val="center"/>
              <w:rPr>
                <w:kern w:val="0"/>
                <w:sz w:val="20"/>
                <w:szCs w:val="20"/>
              </w:rPr>
            </w:pPr>
            <w:r>
              <w:rPr>
                <w:kern w:val="0"/>
                <w:sz w:val="20"/>
                <w:szCs w:val="20"/>
              </w:rPr>
              <w:t>-0.92</w:t>
            </w:r>
          </w:p>
        </w:tc>
        <w:tc>
          <w:tcPr>
            <w:tcW w:w="628" w:type="pct"/>
            <w:vAlign w:val="center"/>
          </w:tcPr>
          <w:p>
            <w:pPr>
              <w:widowControl/>
              <w:spacing w:line="240" w:lineRule="auto"/>
              <w:ind w:firstLine="0" w:firstLineChars="0"/>
              <w:jc w:val="center"/>
              <w:rPr>
                <w:kern w:val="0"/>
                <w:sz w:val="20"/>
                <w:szCs w:val="20"/>
              </w:rPr>
            </w:pPr>
            <w:r>
              <w:rPr>
                <w:kern w:val="0"/>
                <w:sz w:val="20"/>
                <w:szCs w:val="20"/>
              </w:rPr>
              <w:t>-2.13</w:t>
            </w:r>
          </w:p>
        </w:tc>
        <w:tc>
          <w:tcPr>
            <w:tcW w:w="485" w:type="pct"/>
            <w:vAlign w:val="center"/>
          </w:tcPr>
          <w:p>
            <w:pPr>
              <w:widowControl/>
              <w:spacing w:line="240" w:lineRule="auto"/>
              <w:ind w:firstLine="0" w:firstLineChars="0"/>
              <w:jc w:val="center"/>
              <w:rPr>
                <w:kern w:val="0"/>
                <w:sz w:val="20"/>
                <w:szCs w:val="20"/>
              </w:rPr>
            </w:pPr>
            <w:r>
              <w:rPr>
                <w:kern w:val="0"/>
                <w:sz w:val="20"/>
                <w:szCs w:val="20"/>
              </w:rPr>
              <w:t>-4.23</w:t>
            </w:r>
          </w:p>
        </w:tc>
      </w:tr>
    </w:tbl>
    <w:p>
      <w:pPr>
        <w:ind w:firstLine="480"/>
      </w:pPr>
    </w:p>
    <w:p>
      <w:pPr>
        <w:ind w:firstLine="480"/>
      </w:pPr>
    </w:p>
    <w:p>
      <w:pPr>
        <w:spacing w:beforeLines="50"/>
        <w:ind w:firstLine="480"/>
      </w:pPr>
      <w:r>
        <w:br w:type="page"/>
      </w:r>
    </w:p>
    <w:p>
      <w:pPr>
        <w:pStyle w:val="6"/>
        <w:spacing w:beforeLines="50"/>
      </w:pPr>
      <w:r>
        <w:t>4.1.2项目水土流失现状</w:t>
      </w:r>
    </w:p>
    <w:p>
      <w:pPr>
        <w:ind w:firstLine="480"/>
        <w:rPr>
          <w:szCs w:val="24"/>
        </w:rPr>
      </w:pPr>
      <w:r>
        <w:t>根据《全国水土保持规划国家级水土流失重点预防区和重点治理区复核划分成果》（办水保〔2013〕188号），五通桥区不属于国家级水土流失重点预防区和重点治理区。根据《四川省水利厅关于印发四川省省级水土流失重点预防区和重点治理区划分成果的通知》（川水函〔2017〕482号），五通桥区不属于省级水土流失重点预防区及水土流失重点治理区。根据《乐山市水土保持规划》（2015-2030年），五通桥区不属于市级水土流失重点预防区及水土流失重点治理区。根据《乐山市五通桥区水土保持规划》（2015-2030年），园区涉及的金粟镇、金山镇属于县级水土流失重点治理区</w:t>
      </w:r>
      <w:r>
        <w:rPr>
          <w:szCs w:val="24"/>
        </w:rPr>
        <w:t>。</w:t>
      </w:r>
    </w:p>
    <w:p>
      <w:pPr>
        <w:ind w:firstLine="480"/>
      </w:pPr>
      <w:r>
        <w:rPr>
          <w:szCs w:val="24"/>
        </w:rPr>
        <w:t>根据《土壤侵蚀分类分级标准》（SL190-2007），项目区属西南土石山区，项目区土壤容许流失量为500t/km²·a。</w:t>
      </w:r>
    </w:p>
    <w:p>
      <w:pPr>
        <w:ind w:firstLine="480"/>
      </w:pPr>
      <w:r>
        <w:t>项目区水土流失类型主要为水力侵蚀，根据乐山市五通桥区水土保持规划报告和土壤侵蚀强度分布图、结合项目区1:1万地形图分析、结合项目土地利用类型、面积、地形坡度和植被覆盖率，项目区地貌、土壤和气候特征，参照《土壤侵蚀分类分级标准》（SL190-2007）推算各工程单元不同土地利用类型下的侵蚀强度及各扰动区域土壤侵蚀模数背景值。经分析，工程区水土流失平均侵蚀模数为1141.54t/km</w:t>
      </w:r>
      <w:r>
        <w:rPr>
          <w:vertAlign w:val="superscript"/>
        </w:rPr>
        <w:t>2</w:t>
      </w:r>
      <w:r>
        <w:t>·a，流失强度表现为轻度，园区水土流失背景值详见下表。</w:t>
      </w:r>
    </w:p>
    <w:p>
      <w:pPr>
        <w:ind w:firstLine="0" w:firstLineChars="0"/>
        <w:jc w:val="center"/>
        <w:rPr>
          <w:b/>
          <w:bCs/>
        </w:rPr>
      </w:pPr>
      <w:r>
        <w:rPr>
          <w:b/>
          <w:bCs/>
        </w:rPr>
        <w:t>表4.1-3园区原地貌土壤侵蚀模数调查表</w:t>
      </w:r>
    </w:p>
    <w:tbl>
      <w:tblPr>
        <w:tblStyle w:val="110"/>
        <w:tblW w:w="9101"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045"/>
        <w:gridCol w:w="1378"/>
        <w:gridCol w:w="1112"/>
        <w:gridCol w:w="1112"/>
        <w:gridCol w:w="1112"/>
        <w:gridCol w:w="937"/>
        <w:gridCol w:w="1287"/>
        <w:gridCol w:w="111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045" w:type="dxa"/>
            <w:vAlign w:val="center"/>
          </w:tcPr>
          <w:p>
            <w:pPr>
              <w:pStyle w:val="53"/>
              <w:rPr>
                <w:rFonts w:eastAsia="仿宋_GB2312"/>
                <w:b/>
                <w:bCs/>
              </w:rPr>
            </w:pPr>
            <w:r>
              <w:rPr>
                <w:rFonts w:eastAsia="仿宋_GB2312"/>
                <w:b/>
                <w:bCs/>
              </w:rPr>
              <w:t>项目组成</w:t>
            </w:r>
          </w:p>
        </w:tc>
        <w:tc>
          <w:tcPr>
            <w:tcW w:w="1378" w:type="dxa"/>
            <w:vAlign w:val="center"/>
          </w:tcPr>
          <w:p>
            <w:pPr>
              <w:pStyle w:val="53"/>
              <w:rPr>
                <w:rFonts w:eastAsia="仿宋_GB2312"/>
                <w:b/>
                <w:bCs/>
              </w:rPr>
            </w:pPr>
            <w:r>
              <w:rPr>
                <w:rFonts w:eastAsia="仿宋_GB2312"/>
                <w:b/>
                <w:bCs/>
              </w:rPr>
              <w:t>占地类型</w:t>
            </w:r>
          </w:p>
        </w:tc>
        <w:tc>
          <w:tcPr>
            <w:tcW w:w="1112" w:type="dxa"/>
            <w:vAlign w:val="center"/>
          </w:tcPr>
          <w:p>
            <w:pPr>
              <w:pStyle w:val="53"/>
              <w:rPr>
                <w:rFonts w:eastAsia="仿宋_GB2312"/>
                <w:b/>
                <w:bCs/>
              </w:rPr>
            </w:pPr>
            <w:r>
              <w:rPr>
                <w:rFonts w:eastAsia="仿宋_GB2312"/>
                <w:b/>
                <w:bCs/>
              </w:rPr>
              <w:t>面积（hm</w:t>
            </w:r>
            <w:r>
              <w:rPr>
                <w:rFonts w:eastAsia="仿宋_GB2312"/>
                <w:b/>
                <w:bCs/>
                <w:vertAlign w:val="superscript"/>
              </w:rPr>
              <w:t>2</w:t>
            </w:r>
            <w:r>
              <w:rPr>
                <w:rFonts w:eastAsia="仿宋_GB2312"/>
                <w:b/>
                <w:bCs/>
              </w:rPr>
              <w:t>）</w:t>
            </w:r>
          </w:p>
        </w:tc>
        <w:tc>
          <w:tcPr>
            <w:tcW w:w="1112" w:type="dxa"/>
            <w:vAlign w:val="center"/>
          </w:tcPr>
          <w:p>
            <w:pPr>
              <w:pStyle w:val="53"/>
              <w:rPr>
                <w:rFonts w:eastAsia="仿宋_GB2312"/>
                <w:b/>
                <w:bCs/>
              </w:rPr>
            </w:pPr>
            <w:r>
              <w:rPr>
                <w:rFonts w:eastAsia="仿宋_GB2312"/>
                <w:b/>
                <w:bCs/>
              </w:rPr>
              <w:t>地形坡度（°）</w:t>
            </w:r>
          </w:p>
        </w:tc>
        <w:tc>
          <w:tcPr>
            <w:tcW w:w="1112" w:type="dxa"/>
            <w:vAlign w:val="center"/>
          </w:tcPr>
          <w:p>
            <w:pPr>
              <w:pStyle w:val="53"/>
              <w:rPr>
                <w:rFonts w:eastAsia="仿宋_GB2312"/>
                <w:b/>
                <w:bCs/>
              </w:rPr>
            </w:pPr>
            <w:r>
              <w:rPr>
                <w:rFonts w:eastAsia="仿宋_GB2312"/>
                <w:b/>
                <w:bCs/>
              </w:rPr>
              <w:t>林草覆盖度（%）</w:t>
            </w:r>
          </w:p>
        </w:tc>
        <w:tc>
          <w:tcPr>
            <w:tcW w:w="937" w:type="dxa"/>
            <w:vAlign w:val="center"/>
          </w:tcPr>
          <w:p>
            <w:pPr>
              <w:pStyle w:val="53"/>
              <w:rPr>
                <w:rFonts w:eastAsia="仿宋_GB2312"/>
                <w:b/>
                <w:bCs/>
              </w:rPr>
            </w:pPr>
            <w:r>
              <w:rPr>
                <w:rFonts w:eastAsia="仿宋_GB2312"/>
                <w:b/>
                <w:bCs/>
              </w:rPr>
              <w:t>侵蚀强度</w:t>
            </w:r>
          </w:p>
        </w:tc>
        <w:tc>
          <w:tcPr>
            <w:tcW w:w="1287" w:type="dxa"/>
            <w:vAlign w:val="center"/>
          </w:tcPr>
          <w:p>
            <w:pPr>
              <w:pStyle w:val="53"/>
              <w:rPr>
                <w:rFonts w:eastAsia="仿宋_GB2312"/>
                <w:b/>
                <w:bCs/>
              </w:rPr>
            </w:pPr>
            <w:r>
              <w:rPr>
                <w:rFonts w:eastAsia="仿宋_GB2312"/>
                <w:b/>
                <w:bCs/>
              </w:rPr>
              <w:t>平均</w:t>
            </w:r>
          </w:p>
          <w:p>
            <w:pPr>
              <w:pStyle w:val="53"/>
              <w:rPr>
                <w:rFonts w:eastAsia="仿宋_GB2312"/>
                <w:b/>
                <w:bCs/>
              </w:rPr>
            </w:pPr>
            <w:r>
              <w:rPr>
                <w:rFonts w:eastAsia="仿宋_GB2312"/>
                <w:b/>
                <w:bCs/>
              </w:rPr>
              <w:t>侵蚀模数（t/km</w:t>
            </w:r>
            <w:r>
              <w:rPr>
                <w:rFonts w:eastAsia="仿宋_GB2312"/>
                <w:b/>
                <w:bCs/>
                <w:vertAlign w:val="superscript"/>
              </w:rPr>
              <w:t>2</w:t>
            </w:r>
            <w:r>
              <w:rPr>
                <w:rFonts w:eastAsia="仿宋_GB2312"/>
                <w:b/>
                <w:bCs/>
              </w:rPr>
              <w:t>·a）</w:t>
            </w:r>
          </w:p>
        </w:tc>
        <w:tc>
          <w:tcPr>
            <w:tcW w:w="1118" w:type="dxa"/>
            <w:vAlign w:val="center"/>
          </w:tcPr>
          <w:p>
            <w:pPr>
              <w:pStyle w:val="53"/>
              <w:rPr>
                <w:rFonts w:eastAsia="仿宋_GB2312"/>
                <w:b/>
                <w:bCs/>
              </w:rPr>
            </w:pPr>
            <w:r>
              <w:rPr>
                <w:rFonts w:eastAsia="仿宋_GB2312"/>
                <w:b/>
                <w:bCs/>
              </w:rPr>
              <w:t>年流失量（t/a）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8" w:hRule="atLeast"/>
        </w:trPr>
        <w:tc>
          <w:tcPr>
            <w:tcW w:w="1045" w:type="dxa"/>
            <w:vMerge w:val="restart"/>
            <w:vAlign w:val="center"/>
          </w:tcPr>
          <w:p>
            <w:pPr>
              <w:tabs>
                <w:tab w:val="left" w:pos="1050"/>
              </w:tabs>
              <w:spacing w:line="240" w:lineRule="auto"/>
              <w:ind w:firstLine="0" w:firstLineChars="0"/>
              <w:rPr>
                <w:b/>
                <w:bCs/>
                <w:sz w:val="21"/>
                <w:szCs w:val="21"/>
              </w:rPr>
            </w:pPr>
            <w:r>
              <w:rPr>
                <w:sz w:val="21"/>
                <w:szCs w:val="21"/>
              </w:rPr>
              <w:t>工业用地</w:t>
            </w:r>
          </w:p>
        </w:tc>
        <w:tc>
          <w:tcPr>
            <w:tcW w:w="1378" w:type="dxa"/>
            <w:vAlign w:val="center"/>
          </w:tcPr>
          <w:p>
            <w:pPr>
              <w:pStyle w:val="53"/>
              <w:rPr>
                <w:rFonts w:eastAsia="仿宋_GB2312"/>
                <w:b/>
                <w:bCs/>
              </w:rPr>
            </w:pPr>
            <w:r>
              <w:rPr>
                <w:rFonts w:eastAsia="仿宋_GB2312"/>
              </w:rPr>
              <w:t>耕地</w:t>
            </w:r>
          </w:p>
        </w:tc>
        <w:tc>
          <w:tcPr>
            <w:tcW w:w="1112" w:type="dxa"/>
            <w:vAlign w:val="center"/>
          </w:tcPr>
          <w:p>
            <w:pPr>
              <w:pStyle w:val="53"/>
              <w:rPr>
                <w:rFonts w:eastAsia="仿宋_GB2312"/>
              </w:rPr>
            </w:pPr>
            <w:r>
              <w:rPr>
                <w:rFonts w:eastAsia="仿宋_GB2312"/>
              </w:rPr>
              <w:t>310.84</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9.33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6"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园地</w:t>
            </w:r>
          </w:p>
        </w:tc>
        <w:tc>
          <w:tcPr>
            <w:tcW w:w="1112" w:type="dxa"/>
            <w:vAlign w:val="center"/>
          </w:tcPr>
          <w:p>
            <w:pPr>
              <w:pStyle w:val="53"/>
              <w:rPr>
                <w:rFonts w:eastAsia="仿宋_GB2312"/>
              </w:rPr>
            </w:pPr>
            <w:r>
              <w:rPr>
                <w:rFonts w:eastAsia="仿宋_GB2312"/>
              </w:rPr>
              <w:t>165.64</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28.99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6"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林地</w:t>
            </w:r>
          </w:p>
        </w:tc>
        <w:tc>
          <w:tcPr>
            <w:tcW w:w="1112" w:type="dxa"/>
            <w:vAlign w:val="center"/>
          </w:tcPr>
          <w:p>
            <w:pPr>
              <w:pStyle w:val="53"/>
              <w:rPr>
                <w:rFonts w:eastAsia="仿宋_GB2312"/>
              </w:rPr>
            </w:pPr>
            <w:r>
              <w:rPr>
                <w:rFonts w:eastAsia="仿宋_GB2312"/>
              </w:rPr>
              <w:t>328.71</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57.52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9"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草地</w:t>
            </w:r>
          </w:p>
        </w:tc>
        <w:tc>
          <w:tcPr>
            <w:tcW w:w="1112" w:type="dxa"/>
            <w:vAlign w:val="center"/>
          </w:tcPr>
          <w:p>
            <w:pPr>
              <w:pStyle w:val="53"/>
              <w:rPr>
                <w:rFonts w:eastAsia="仿宋_GB2312"/>
              </w:rPr>
            </w:pPr>
            <w:r>
              <w:rPr>
                <w:rFonts w:eastAsia="仿宋_GB2312"/>
              </w:rPr>
              <w:t>3.19</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0.56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0"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商服用地</w:t>
            </w:r>
          </w:p>
        </w:tc>
        <w:tc>
          <w:tcPr>
            <w:tcW w:w="1112" w:type="dxa"/>
            <w:vAlign w:val="center"/>
          </w:tcPr>
          <w:p>
            <w:pPr>
              <w:pStyle w:val="53"/>
              <w:rPr>
                <w:rFonts w:eastAsia="仿宋_GB2312"/>
              </w:rPr>
            </w:pPr>
            <w:r>
              <w:rPr>
                <w:rFonts w:eastAsia="仿宋_GB2312"/>
              </w:rPr>
              <w:t>0.08</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1"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工矿仓储用地</w:t>
            </w:r>
          </w:p>
        </w:tc>
        <w:tc>
          <w:tcPr>
            <w:tcW w:w="1112" w:type="dxa"/>
            <w:vAlign w:val="center"/>
          </w:tcPr>
          <w:p>
            <w:pPr>
              <w:pStyle w:val="53"/>
              <w:rPr>
                <w:rFonts w:eastAsia="仿宋_GB2312"/>
              </w:rPr>
            </w:pPr>
            <w:r>
              <w:rPr>
                <w:rFonts w:eastAsia="仿宋_GB2312"/>
              </w:rPr>
              <w:t>59.54</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22.33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0"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住宅用地</w:t>
            </w:r>
          </w:p>
        </w:tc>
        <w:tc>
          <w:tcPr>
            <w:tcW w:w="1112" w:type="dxa"/>
            <w:vAlign w:val="center"/>
          </w:tcPr>
          <w:p>
            <w:pPr>
              <w:pStyle w:val="53"/>
              <w:rPr>
                <w:rFonts w:eastAsia="仿宋_GB2312"/>
              </w:rPr>
            </w:pPr>
            <w:r>
              <w:rPr>
                <w:rFonts w:eastAsia="仿宋_GB2312"/>
              </w:rPr>
              <w:t>48.06</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0"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公共管理与公共服务用地</w:t>
            </w:r>
          </w:p>
        </w:tc>
        <w:tc>
          <w:tcPr>
            <w:tcW w:w="1112" w:type="dxa"/>
            <w:vAlign w:val="center"/>
          </w:tcPr>
          <w:p>
            <w:pPr>
              <w:pStyle w:val="53"/>
              <w:rPr>
                <w:rFonts w:eastAsia="仿宋_GB2312"/>
              </w:rPr>
            </w:pPr>
            <w:r>
              <w:rPr>
                <w:rFonts w:eastAsia="仿宋_GB2312"/>
              </w:rPr>
              <w:t>0.67</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0.12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特殊用地</w:t>
            </w:r>
          </w:p>
        </w:tc>
        <w:tc>
          <w:tcPr>
            <w:tcW w:w="1112" w:type="dxa"/>
            <w:vAlign w:val="center"/>
          </w:tcPr>
          <w:p>
            <w:pPr>
              <w:pStyle w:val="53"/>
              <w:rPr>
                <w:rFonts w:eastAsia="仿宋_GB2312"/>
              </w:rPr>
            </w:pPr>
            <w:r>
              <w:rPr>
                <w:rFonts w:eastAsia="仿宋_GB2312"/>
              </w:rPr>
              <w:t>0.06</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2"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交通运输用地</w:t>
            </w:r>
          </w:p>
        </w:tc>
        <w:tc>
          <w:tcPr>
            <w:tcW w:w="1112" w:type="dxa"/>
            <w:vAlign w:val="center"/>
          </w:tcPr>
          <w:p>
            <w:pPr>
              <w:pStyle w:val="53"/>
              <w:rPr>
                <w:rFonts w:eastAsia="仿宋_GB2312"/>
              </w:rPr>
            </w:pPr>
            <w:r>
              <w:rPr>
                <w:rFonts w:eastAsia="仿宋_GB2312"/>
              </w:rPr>
              <w:t>15.84</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0.48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rPr>
              <w:t>水域及水利设施用地</w:t>
            </w:r>
          </w:p>
        </w:tc>
        <w:tc>
          <w:tcPr>
            <w:tcW w:w="1112" w:type="dxa"/>
            <w:vAlign w:val="center"/>
          </w:tcPr>
          <w:p>
            <w:pPr>
              <w:pStyle w:val="53"/>
              <w:rPr>
                <w:rFonts w:eastAsia="仿宋_GB2312"/>
              </w:rPr>
            </w:pPr>
            <w:r>
              <w:rPr>
                <w:rFonts w:eastAsia="仿宋_GB2312"/>
              </w:rPr>
              <w:t>23.52</w:t>
            </w:r>
          </w:p>
        </w:tc>
        <w:tc>
          <w:tcPr>
            <w:tcW w:w="1112" w:type="dxa"/>
            <w:vAlign w:val="center"/>
          </w:tcPr>
          <w:p>
            <w:pPr>
              <w:pStyle w:val="53"/>
              <w:rPr>
                <w:rFonts w:eastAsia="仿宋_GB2312"/>
              </w:rPr>
            </w:pPr>
            <w:r>
              <w:rPr>
                <w:rFonts w:eastAsia="仿宋_GB2312"/>
              </w:rPr>
              <w:t>/</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w:t>
            </w:r>
          </w:p>
        </w:tc>
        <w:tc>
          <w:tcPr>
            <w:tcW w:w="1287" w:type="dxa"/>
            <w:vAlign w:val="center"/>
          </w:tcPr>
          <w:p>
            <w:pPr>
              <w:pStyle w:val="53"/>
              <w:rPr>
                <w:rFonts w:eastAsia="仿宋_GB2312"/>
              </w:rPr>
            </w:pPr>
            <w:r>
              <w:rPr>
                <w:rFonts w:eastAsia="仿宋_GB2312"/>
              </w:rPr>
              <w:t>/</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rPr>
            </w:pPr>
            <w:r>
              <w:rPr>
                <w:rFonts w:eastAsia="仿宋_GB2312"/>
              </w:rPr>
              <w:t>其他土地</w:t>
            </w:r>
          </w:p>
        </w:tc>
        <w:tc>
          <w:tcPr>
            <w:tcW w:w="1112" w:type="dxa"/>
            <w:vAlign w:val="center"/>
          </w:tcPr>
          <w:p>
            <w:pPr>
              <w:pStyle w:val="53"/>
              <w:rPr>
                <w:rFonts w:eastAsia="仿宋_GB2312"/>
              </w:rPr>
            </w:pPr>
            <w:r>
              <w:rPr>
                <w:rFonts w:eastAsia="仿宋_GB2312"/>
              </w:rPr>
              <w:t>1.65</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0.62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9" w:hRule="atLeast"/>
        </w:trPr>
        <w:tc>
          <w:tcPr>
            <w:tcW w:w="1045" w:type="dxa"/>
            <w:vMerge w:val="continue"/>
            <w:vAlign w:val="center"/>
          </w:tcPr>
          <w:p>
            <w:pPr>
              <w:tabs>
                <w:tab w:val="left" w:pos="1050"/>
              </w:tabs>
              <w:spacing w:line="240" w:lineRule="auto"/>
              <w:ind w:firstLine="0" w:firstLineChars="0"/>
              <w:rPr>
                <w:sz w:val="21"/>
                <w:szCs w:val="21"/>
              </w:rPr>
            </w:pPr>
          </w:p>
        </w:tc>
        <w:tc>
          <w:tcPr>
            <w:tcW w:w="1378" w:type="dxa"/>
            <w:vAlign w:val="center"/>
          </w:tcPr>
          <w:p>
            <w:pPr>
              <w:pStyle w:val="53"/>
              <w:rPr>
                <w:rFonts w:eastAsia="仿宋_GB2312"/>
                <w:b/>
                <w:bCs/>
              </w:rPr>
            </w:pPr>
            <w:r>
              <w:rPr>
                <w:rFonts w:eastAsia="仿宋_GB2312"/>
                <w:b/>
                <w:bCs/>
              </w:rPr>
              <w:t>小计</w:t>
            </w:r>
          </w:p>
        </w:tc>
        <w:tc>
          <w:tcPr>
            <w:tcW w:w="1112" w:type="dxa"/>
            <w:vAlign w:val="center"/>
          </w:tcPr>
          <w:p>
            <w:pPr>
              <w:pStyle w:val="53"/>
              <w:rPr>
                <w:rFonts w:eastAsia="仿宋_GB2312"/>
                <w:b/>
                <w:bCs/>
              </w:rPr>
            </w:pPr>
            <w:r>
              <w:rPr>
                <w:rFonts w:eastAsia="仿宋_GB2312"/>
                <w:b/>
                <w:bCs/>
              </w:rPr>
              <w:t>957.80</w:t>
            </w:r>
          </w:p>
        </w:tc>
        <w:tc>
          <w:tcPr>
            <w:tcW w:w="1112" w:type="dxa"/>
            <w:vAlign w:val="center"/>
          </w:tcPr>
          <w:p>
            <w:pPr>
              <w:pStyle w:val="53"/>
              <w:rPr>
                <w:rFonts w:eastAsia="仿宋_GB2312"/>
                <w:b/>
                <w:bCs/>
              </w:rPr>
            </w:pPr>
          </w:p>
        </w:tc>
        <w:tc>
          <w:tcPr>
            <w:tcW w:w="1112" w:type="dxa"/>
            <w:vAlign w:val="center"/>
          </w:tcPr>
          <w:p>
            <w:pPr>
              <w:pStyle w:val="53"/>
              <w:rPr>
                <w:rFonts w:eastAsia="仿宋_GB2312"/>
                <w:b/>
                <w:bCs/>
              </w:rPr>
            </w:pPr>
          </w:p>
        </w:tc>
        <w:tc>
          <w:tcPr>
            <w:tcW w:w="937" w:type="dxa"/>
            <w:vAlign w:val="center"/>
          </w:tcPr>
          <w:p>
            <w:pPr>
              <w:pStyle w:val="53"/>
              <w:rPr>
                <w:rFonts w:eastAsia="仿宋_GB2312"/>
                <w:b/>
                <w:bCs/>
              </w:rPr>
            </w:pPr>
          </w:p>
        </w:tc>
        <w:tc>
          <w:tcPr>
            <w:tcW w:w="1287" w:type="dxa"/>
            <w:vAlign w:val="center"/>
          </w:tcPr>
          <w:p>
            <w:pPr>
              <w:pStyle w:val="53"/>
              <w:rPr>
                <w:rFonts w:eastAsia="仿宋_GB2312"/>
                <w:b/>
                <w:bCs/>
              </w:rPr>
            </w:pPr>
            <w:r>
              <w:rPr>
                <w:rFonts w:eastAsia="仿宋_GB2312"/>
                <w:b/>
                <w:bCs/>
              </w:rPr>
              <w:t>1252.35</w:t>
            </w:r>
          </w:p>
        </w:tc>
        <w:tc>
          <w:tcPr>
            <w:tcW w:w="1118" w:type="dxa"/>
            <w:vAlign w:val="center"/>
          </w:tcPr>
          <w:p>
            <w:pPr>
              <w:pStyle w:val="53"/>
              <w:rPr>
                <w:rFonts w:eastAsia="仿宋_GB2312"/>
              </w:rPr>
            </w:pPr>
            <w:r>
              <w:rPr>
                <w:rFonts w:eastAsia="仿宋_GB2312"/>
                <w:b/>
                <w:bCs/>
              </w:rPr>
              <w:t>119.95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restart"/>
            <w:vAlign w:val="center"/>
          </w:tcPr>
          <w:p>
            <w:pPr>
              <w:tabs>
                <w:tab w:val="left" w:pos="1050"/>
              </w:tabs>
              <w:spacing w:line="240" w:lineRule="auto"/>
              <w:ind w:firstLine="0" w:firstLineChars="0"/>
              <w:rPr>
                <w:b/>
                <w:bCs/>
                <w:sz w:val="21"/>
                <w:szCs w:val="21"/>
              </w:rPr>
            </w:pPr>
            <w:r>
              <w:rPr>
                <w:sz w:val="21"/>
                <w:szCs w:val="21"/>
              </w:rPr>
              <w:t>道路与交通设施用地</w:t>
            </w:r>
          </w:p>
        </w:tc>
        <w:tc>
          <w:tcPr>
            <w:tcW w:w="1378" w:type="dxa"/>
            <w:vAlign w:val="center"/>
          </w:tcPr>
          <w:p>
            <w:pPr>
              <w:pStyle w:val="53"/>
              <w:rPr>
                <w:rFonts w:eastAsia="仿宋_GB2312"/>
                <w:b/>
                <w:bCs/>
              </w:rPr>
            </w:pPr>
            <w:r>
              <w:rPr>
                <w:rFonts w:eastAsia="仿宋_GB2312"/>
              </w:rPr>
              <w:t>耕地</w:t>
            </w:r>
          </w:p>
        </w:tc>
        <w:tc>
          <w:tcPr>
            <w:tcW w:w="1112" w:type="dxa"/>
            <w:vAlign w:val="center"/>
          </w:tcPr>
          <w:p>
            <w:pPr>
              <w:pStyle w:val="53"/>
              <w:rPr>
                <w:rFonts w:eastAsia="仿宋_GB2312"/>
              </w:rPr>
            </w:pPr>
            <w:r>
              <w:rPr>
                <w:rFonts w:eastAsia="仿宋_GB2312"/>
              </w:rPr>
              <w:t>35.23</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1.06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rPr>
            </w:pPr>
          </w:p>
        </w:tc>
        <w:tc>
          <w:tcPr>
            <w:tcW w:w="1378" w:type="dxa"/>
            <w:vAlign w:val="center"/>
          </w:tcPr>
          <w:p>
            <w:pPr>
              <w:pStyle w:val="53"/>
              <w:rPr>
                <w:rFonts w:eastAsia="仿宋_GB2312"/>
                <w:b/>
                <w:bCs/>
              </w:rPr>
            </w:pPr>
            <w:r>
              <w:rPr>
                <w:rFonts w:eastAsia="仿宋_GB2312"/>
              </w:rPr>
              <w:t>园地</w:t>
            </w:r>
          </w:p>
        </w:tc>
        <w:tc>
          <w:tcPr>
            <w:tcW w:w="1112" w:type="dxa"/>
            <w:vAlign w:val="center"/>
          </w:tcPr>
          <w:p>
            <w:pPr>
              <w:pStyle w:val="53"/>
              <w:rPr>
                <w:rFonts w:eastAsia="仿宋_GB2312"/>
              </w:rPr>
            </w:pPr>
            <w:r>
              <w:rPr>
                <w:rFonts w:eastAsia="仿宋_GB2312"/>
              </w:rPr>
              <w:t>7.42</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林地</w:t>
            </w:r>
          </w:p>
        </w:tc>
        <w:tc>
          <w:tcPr>
            <w:tcW w:w="1112" w:type="dxa"/>
            <w:vAlign w:val="center"/>
          </w:tcPr>
          <w:p>
            <w:pPr>
              <w:pStyle w:val="53"/>
              <w:rPr>
                <w:rFonts w:eastAsia="仿宋_GB2312"/>
              </w:rPr>
            </w:pPr>
            <w:r>
              <w:rPr>
                <w:rFonts w:eastAsia="仿宋_GB2312"/>
              </w:rPr>
              <w:t>23.58</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4.13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草地</w:t>
            </w:r>
          </w:p>
        </w:tc>
        <w:tc>
          <w:tcPr>
            <w:tcW w:w="1112" w:type="dxa"/>
            <w:vAlign w:val="center"/>
          </w:tcPr>
          <w:p>
            <w:pPr>
              <w:pStyle w:val="53"/>
              <w:rPr>
                <w:rFonts w:eastAsia="仿宋_GB2312"/>
              </w:rPr>
            </w:pPr>
            <w:r>
              <w:rPr>
                <w:rFonts w:eastAsia="仿宋_GB2312"/>
              </w:rPr>
              <w:t>0.17</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0.03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商服用地</w:t>
            </w:r>
          </w:p>
        </w:tc>
        <w:tc>
          <w:tcPr>
            <w:tcW w:w="1112" w:type="dxa"/>
            <w:vAlign w:val="center"/>
          </w:tcPr>
          <w:p>
            <w:pPr>
              <w:pStyle w:val="53"/>
              <w:rPr>
                <w:rFonts w:eastAsia="仿宋_GB2312"/>
              </w:rPr>
            </w:pPr>
            <w:r>
              <w:rPr>
                <w:rFonts w:eastAsia="仿宋_GB2312"/>
              </w:rPr>
              <w:t>0.14</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工矿仓储用地</w:t>
            </w:r>
          </w:p>
        </w:tc>
        <w:tc>
          <w:tcPr>
            <w:tcW w:w="1112" w:type="dxa"/>
            <w:vAlign w:val="center"/>
          </w:tcPr>
          <w:p>
            <w:pPr>
              <w:pStyle w:val="53"/>
              <w:rPr>
                <w:rFonts w:eastAsia="仿宋_GB2312"/>
              </w:rPr>
            </w:pPr>
            <w:r>
              <w:rPr>
                <w:rFonts w:eastAsia="仿宋_GB2312"/>
              </w:rPr>
              <w:t>1.51</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0.57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住宅用地</w:t>
            </w:r>
          </w:p>
        </w:tc>
        <w:tc>
          <w:tcPr>
            <w:tcW w:w="1112" w:type="dxa"/>
            <w:vAlign w:val="center"/>
          </w:tcPr>
          <w:p>
            <w:pPr>
              <w:pStyle w:val="53"/>
              <w:rPr>
                <w:rFonts w:eastAsia="仿宋_GB2312"/>
              </w:rPr>
            </w:pPr>
            <w:r>
              <w:rPr>
                <w:rFonts w:eastAsia="仿宋_GB2312"/>
              </w:rPr>
              <w:t>5.42</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交通运输用地</w:t>
            </w:r>
          </w:p>
        </w:tc>
        <w:tc>
          <w:tcPr>
            <w:tcW w:w="1112" w:type="dxa"/>
            <w:vAlign w:val="center"/>
          </w:tcPr>
          <w:p>
            <w:pPr>
              <w:pStyle w:val="53"/>
              <w:rPr>
                <w:rFonts w:eastAsia="仿宋_GB2312"/>
              </w:rPr>
            </w:pPr>
            <w:r>
              <w:rPr>
                <w:rFonts w:eastAsia="仿宋_GB2312"/>
              </w:rPr>
              <w:t>6.96</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22"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水域及水利设施用地</w:t>
            </w:r>
          </w:p>
        </w:tc>
        <w:tc>
          <w:tcPr>
            <w:tcW w:w="1112" w:type="dxa"/>
            <w:vAlign w:val="center"/>
          </w:tcPr>
          <w:p>
            <w:pPr>
              <w:pStyle w:val="53"/>
              <w:rPr>
                <w:rFonts w:eastAsia="仿宋_GB2312"/>
              </w:rPr>
            </w:pPr>
            <w:r>
              <w:rPr>
                <w:rFonts w:eastAsia="仿宋_GB2312"/>
              </w:rPr>
              <w:t>1.13</w:t>
            </w:r>
          </w:p>
        </w:tc>
        <w:tc>
          <w:tcPr>
            <w:tcW w:w="1112" w:type="dxa"/>
            <w:vAlign w:val="center"/>
          </w:tcPr>
          <w:p>
            <w:pPr>
              <w:pStyle w:val="53"/>
              <w:rPr>
                <w:rFonts w:eastAsia="仿宋_GB2312"/>
              </w:rPr>
            </w:pPr>
            <w:r>
              <w:rPr>
                <w:rFonts w:eastAsia="仿宋_GB2312"/>
              </w:rPr>
              <w:t>/</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w:t>
            </w:r>
          </w:p>
        </w:tc>
        <w:tc>
          <w:tcPr>
            <w:tcW w:w="1287" w:type="dxa"/>
            <w:vAlign w:val="center"/>
          </w:tcPr>
          <w:p>
            <w:pPr>
              <w:pStyle w:val="53"/>
              <w:rPr>
                <w:rFonts w:eastAsia="仿宋_GB2312"/>
              </w:rPr>
            </w:pPr>
            <w:r>
              <w:rPr>
                <w:rFonts w:eastAsia="仿宋_GB2312"/>
              </w:rPr>
              <w:t>/</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1"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rPr>
            </w:pPr>
            <w:r>
              <w:rPr>
                <w:rFonts w:eastAsia="仿宋_GB2312"/>
              </w:rPr>
              <w:t>其他土地</w:t>
            </w:r>
          </w:p>
        </w:tc>
        <w:tc>
          <w:tcPr>
            <w:tcW w:w="1112" w:type="dxa"/>
            <w:vAlign w:val="center"/>
          </w:tcPr>
          <w:p>
            <w:pPr>
              <w:pStyle w:val="53"/>
              <w:rPr>
                <w:rFonts w:eastAsia="仿宋_GB2312"/>
              </w:rPr>
            </w:pPr>
            <w:r>
              <w:rPr>
                <w:rFonts w:eastAsia="仿宋_GB2312"/>
              </w:rPr>
              <w:t>0.03</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5"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b/>
                <w:bCs/>
              </w:rPr>
              <w:t>小计</w:t>
            </w:r>
          </w:p>
        </w:tc>
        <w:tc>
          <w:tcPr>
            <w:tcW w:w="1112" w:type="dxa"/>
            <w:vAlign w:val="center"/>
          </w:tcPr>
          <w:p>
            <w:pPr>
              <w:pStyle w:val="53"/>
              <w:rPr>
                <w:rFonts w:eastAsia="仿宋_GB2312"/>
                <w:b/>
                <w:bCs/>
              </w:rPr>
            </w:pPr>
            <w:r>
              <w:rPr>
                <w:rFonts w:eastAsia="仿宋_GB2312"/>
                <w:b/>
                <w:bCs/>
              </w:rPr>
              <w:t>81.59</w:t>
            </w:r>
          </w:p>
        </w:tc>
        <w:tc>
          <w:tcPr>
            <w:tcW w:w="1112" w:type="dxa"/>
            <w:vAlign w:val="center"/>
          </w:tcPr>
          <w:p>
            <w:pPr>
              <w:pStyle w:val="53"/>
              <w:rPr>
                <w:rFonts w:eastAsia="仿宋_GB2312"/>
                <w:b/>
                <w:bCs/>
              </w:rPr>
            </w:pPr>
          </w:p>
        </w:tc>
        <w:tc>
          <w:tcPr>
            <w:tcW w:w="1112" w:type="dxa"/>
            <w:vAlign w:val="center"/>
          </w:tcPr>
          <w:p>
            <w:pPr>
              <w:pStyle w:val="53"/>
              <w:rPr>
                <w:rFonts w:eastAsia="仿宋_GB2312"/>
                <w:b/>
                <w:bCs/>
              </w:rPr>
            </w:pPr>
          </w:p>
        </w:tc>
        <w:tc>
          <w:tcPr>
            <w:tcW w:w="937" w:type="dxa"/>
            <w:vAlign w:val="center"/>
          </w:tcPr>
          <w:p>
            <w:pPr>
              <w:pStyle w:val="53"/>
              <w:rPr>
                <w:rFonts w:eastAsia="仿宋_GB2312"/>
                <w:b/>
                <w:bCs/>
              </w:rPr>
            </w:pPr>
          </w:p>
        </w:tc>
        <w:tc>
          <w:tcPr>
            <w:tcW w:w="1287" w:type="dxa"/>
            <w:vAlign w:val="center"/>
          </w:tcPr>
          <w:p>
            <w:pPr>
              <w:pStyle w:val="53"/>
              <w:rPr>
                <w:rFonts w:eastAsia="仿宋_GB2312"/>
                <w:b/>
                <w:bCs/>
              </w:rPr>
            </w:pPr>
            <w:r>
              <w:rPr>
                <w:rFonts w:eastAsia="仿宋_GB2312"/>
                <w:b/>
                <w:bCs/>
              </w:rPr>
              <w:t>895.94</w:t>
            </w:r>
          </w:p>
        </w:tc>
        <w:tc>
          <w:tcPr>
            <w:tcW w:w="1118" w:type="dxa"/>
            <w:vAlign w:val="center"/>
          </w:tcPr>
          <w:p>
            <w:pPr>
              <w:pStyle w:val="53"/>
              <w:rPr>
                <w:rFonts w:eastAsia="仿宋_GB2312"/>
              </w:rPr>
            </w:pPr>
            <w:r>
              <w:rPr>
                <w:rFonts w:eastAsia="仿宋_GB2312"/>
                <w:b/>
                <w:bCs/>
              </w:rPr>
              <w:t>7.31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restart"/>
            <w:vAlign w:val="center"/>
          </w:tcPr>
          <w:p>
            <w:pPr>
              <w:tabs>
                <w:tab w:val="left" w:pos="1050"/>
              </w:tabs>
              <w:spacing w:line="240" w:lineRule="auto"/>
              <w:ind w:firstLine="0" w:firstLineChars="0"/>
              <w:rPr>
                <w:b/>
                <w:bCs/>
                <w:sz w:val="21"/>
                <w:szCs w:val="21"/>
              </w:rPr>
            </w:pPr>
            <w:r>
              <w:rPr>
                <w:sz w:val="21"/>
                <w:szCs w:val="21"/>
              </w:rPr>
              <w:t>公用设施用地</w:t>
            </w:r>
          </w:p>
        </w:tc>
        <w:tc>
          <w:tcPr>
            <w:tcW w:w="1378" w:type="dxa"/>
            <w:vAlign w:val="center"/>
          </w:tcPr>
          <w:p>
            <w:pPr>
              <w:pStyle w:val="53"/>
              <w:rPr>
                <w:rFonts w:eastAsia="仿宋_GB2312"/>
                <w:b/>
                <w:bCs/>
              </w:rPr>
            </w:pPr>
            <w:r>
              <w:rPr>
                <w:rFonts w:eastAsia="仿宋_GB2312"/>
              </w:rPr>
              <w:t>耕地</w:t>
            </w:r>
          </w:p>
        </w:tc>
        <w:tc>
          <w:tcPr>
            <w:tcW w:w="1112" w:type="dxa"/>
            <w:vAlign w:val="center"/>
          </w:tcPr>
          <w:p>
            <w:pPr>
              <w:pStyle w:val="53"/>
              <w:rPr>
                <w:rFonts w:eastAsia="仿宋_GB2312"/>
              </w:rPr>
            </w:pPr>
            <w:r>
              <w:rPr>
                <w:rFonts w:eastAsia="仿宋_GB2312"/>
              </w:rPr>
              <w:t>16.17</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0.49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continue"/>
            <w:vAlign w:val="center"/>
          </w:tcPr>
          <w:p>
            <w:pPr>
              <w:pStyle w:val="53"/>
              <w:rPr>
                <w:rFonts w:eastAsia="仿宋_GB2312"/>
              </w:rPr>
            </w:pPr>
          </w:p>
        </w:tc>
        <w:tc>
          <w:tcPr>
            <w:tcW w:w="1378" w:type="dxa"/>
            <w:vAlign w:val="center"/>
          </w:tcPr>
          <w:p>
            <w:pPr>
              <w:pStyle w:val="53"/>
              <w:rPr>
                <w:rFonts w:eastAsia="仿宋_GB2312"/>
                <w:b/>
                <w:bCs/>
              </w:rPr>
            </w:pPr>
            <w:r>
              <w:rPr>
                <w:rFonts w:eastAsia="仿宋_GB2312"/>
              </w:rPr>
              <w:t>园地</w:t>
            </w:r>
          </w:p>
        </w:tc>
        <w:tc>
          <w:tcPr>
            <w:tcW w:w="1112" w:type="dxa"/>
            <w:vAlign w:val="center"/>
          </w:tcPr>
          <w:p>
            <w:pPr>
              <w:pStyle w:val="53"/>
              <w:rPr>
                <w:rFonts w:eastAsia="仿宋_GB2312"/>
              </w:rPr>
            </w:pPr>
            <w:r>
              <w:rPr>
                <w:rFonts w:eastAsia="仿宋_GB2312"/>
              </w:rPr>
              <w:t>2.88</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0.50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林地</w:t>
            </w:r>
          </w:p>
        </w:tc>
        <w:tc>
          <w:tcPr>
            <w:tcW w:w="1112" w:type="dxa"/>
            <w:vAlign w:val="center"/>
          </w:tcPr>
          <w:p>
            <w:pPr>
              <w:pStyle w:val="53"/>
              <w:rPr>
                <w:rFonts w:eastAsia="仿宋_GB2312"/>
              </w:rPr>
            </w:pPr>
            <w:r>
              <w:rPr>
                <w:rFonts w:eastAsia="仿宋_GB2312"/>
              </w:rPr>
              <w:t>9.91</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1.73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工矿仓储用地</w:t>
            </w:r>
          </w:p>
        </w:tc>
        <w:tc>
          <w:tcPr>
            <w:tcW w:w="1112" w:type="dxa"/>
            <w:vAlign w:val="center"/>
          </w:tcPr>
          <w:p>
            <w:pPr>
              <w:pStyle w:val="53"/>
              <w:rPr>
                <w:rFonts w:eastAsia="仿宋_GB2312"/>
              </w:rPr>
            </w:pPr>
            <w:r>
              <w:rPr>
                <w:rFonts w:eastAsia="仿宋_GB2312"/>
              </w:rPr>
              <w:t>0.94</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住宅用地</w:t>
            </w:r>
          </w:p>
        </w:tc>
        <w:tc>
          <w:tcPr>
            <w:tcW w:w="1112" w:type="dxa"/>
            <w:vAlign w:val="center"/>
          </w:tcPr>
          <w:p>
            <w:pPr>
              <w:pStyle w:val="53"/>
              <w:rPr>
                <w:rFonts w:eastAsia="仿宋_GB2312"/>
              </w:rPr>
            </w:pPr>
            <w:r>
              <w:rPr>
                <w:rFonts w:eastAsia="仿宋_GB2312"/>
              </w:rPr>
              <w:t>2.36</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公共管理与公共服务用地</w:t>
            </w:r>
          </w:p>
        </w:tc>
        <w:tc>
          <w:tcPr>
            <w:tcW w:w="1112" w:type="dxa"/>
            <w:vAlign w:val="center"/>
          </w:tcPr>
          <w:p>
            <w:pPr>
              <w:pStyle w:val="53"/>
              <w:rPr>
                <w:rFonts w:eastAsia="仿宋_GB2312"/>
              </w:rPr>
            </w:pPr>
            <w:r>
              <w:rPr>
                <w:rFonts w:eastAsia="仿宋_GB2312"/>
              </w:rPr>
              <w:t>0.03</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0.01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8"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交通运输用地</w:t>
            </w:r>
          </w:p>
        </w:tc>
        <w:tc>
          <w:tcPr>
            <w:tcW w:w="1112" w:type="dxa"/>
            <w:vAlign w:val="center"/>
          </w:tcPr>
          <w:p>
            <w:pPr>
              <w:pStyle w:val="53"/>
              <w:rPr>
                <w:rFonts w:eastAsia="仿宋_GB2312"/>
              </w:rPr>
            </w:pPr>
            <w:r>
              <w:rPr>
                <w:rFonts w:eastAsia="仿宋_GB2312"/>
              </w:rPr>
              <w:t>1.58</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58"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水域及水利设施用地</w:t>
            </w:r>
          </w:p>
        </w:tc>
        <w:tc>
          <w:tcPr>
            <w:tcW w:w="1112" w:type="dxa"/>
            <w:vAlign w:val="center"/>
          </w:tcPr>
          <w:p>
            <w:pPr>
              <w:pStyle w:val="53"/>
              <w:rPr>
                <w:rFonts w:eastAsia="仿宋_GB2312"/>
              </w:rPr>
            </w:pPr>
            <w:r>
              <w:rPr>
                <w:rFonts w:eastAsia="仿宋_GB2312"/>
              </w:rPr>
              <w:t>0.38</w:t>
            </w:r>
          </w:p>
        </w:tc>
        <w:tc>
          <w:tcPr>
            <w:tcW w:w="1112" w:type="dxa"/>
            <w:vAlign w:val="center"/>
          </w:tcPr>
          <w:p>
            <w:pPr>
              <w:pStyle w:val="53"/>
              <w:rPr>
                <w:rFonts w:eastAsia="仿宋_GB2312"/>
              </w:rPr>
            </w:pPr>
            <w:r>
              <w:rPr>
                <w:rFonts w:eastAsia="仿宋_GB2312"/>
              </w:rPr>
              <w:t>/</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w:t>
            </w:r>
          </w:p>
        </w:tc>
        <w:tc>
          <w:tcPr>
            <w:tcW w:w="1287" w:type="dxa"/>
            <w:vAlign w:val="center"/>
          </w:tcPr>
          <w:p>
            <w:pPr>
              <w:pStyle w:val="53"/>
              <w:rPr>
                <w:rFonts w:eastAsia="仿宋_GB2312"/>
              </w:rPr>
            </w:pPr>
            <w:r>
              <w:rPr>
                <w:rFonts w:eastAsia="仿宋_GB2312"/>
              </w:rPr>
              <w:t>/</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0"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rPr>
            </w:pPr>
            <w:r>
              <w:rPr>
                <w:rFonts w:eastAsia="仿宋_GB2312"/>
              </w:rPr>
              <w:t>其他土地</w:t>
            </w:r>
          </w:p>
        </w:tc>
        <w:tc>
          <w:tcPr>
            <w:tcW w:w="1112" w:type="dxa"/>
            <w:vAlign w:val="center"/>
          </w:tcPr>
          <w:p>
            <w:pPr>
              <w:pStyle w:val="53"/>
              <w:rPr>
                <w:rFonts w:eastAsia="仿宋_GB2312"/>
              </w:rPr>
            </w:pPr>
            <w:r>
              <w:rPr>
                <w:rFonts w:eastAsia="仿宋_GB2312"/>
              </w:rPr>
              <w:t>0.09</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7"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b/>
                <w:bCs/>
              </w:rPr>
              <w:t>小计</w:t>
            </w:r>
          </w:p>
        </w:tc>
        <w:tc>
          <w:tcPr>
            <w:tcW w:w="1112" w:type="dxa"/>
            <w:vAlign w:val="center"/>
          </w:tcPr>
          <w:p>
            <w:pPr>
              <w:pStyle w:val="53"/>
              <w:rPr>
                <w:rFonts w:eastAsia="仿宋_GB2312"/>
                <w:b/>
                <w:bCs/>
              </w:rPr>
            </w:pPr>
            <w:r>
              <w:rPr>
                <w:rFonts w:eastAsia="仿宋_GB2312"/>
                <w:b/>
                <w:bCs/>
              </w:rPr>
              <w:t>34.34</w:t>
            </w:r>
          </w:p>
        </w:tc>
        <w:tc>
          <w:tcPr>
            <w:tcW w:w="1112" w:type="dxa"/>
            <w:vAlign w:val="center"/>
          </w:tcPr>
          <w:p>
            <w:pPr>
              <w:pStyle w:val="53"/>
              <w:rPr>
                <w:rFonts w:eastAsia="仿宋_GB2312"/>
                <w:b/>
                <w:bCs/>
              </w:rPr>
            </w:pPr>
          </w:p>
        </w:tc>
        <w:tc>
          <w:tcPr>
            <w:tcW w:w="1112" w:type="dxa"/>
            <w:vAlign w:val="center"/>
          </w:tcPr>
          <w:p>
            <w:pPr>
              <w:pStyle w:val="53"/>
              <w:rPr>
                <w:rFonts w:eastAsia="仿宋_GB2312"/>
                <w:b/>
                <w:bCs/>
              </w:rPr>
            </w:pPr>
          </w:p>
        </w:tc>
        <w:tc>
          <w:tcPr>
            <w:tcW w:w="937" w:type="dxa"/>
            <w:vAlign w:val="center"/>
          </w:tcPr>
          <w:p>
            <w:pPr>
              <w:pStyle w:val="53"/>
              <w:rPr>
                <w:rFonts w:eastAsia="仿宋_GB2312"/>
                <w:b/>
                <w:bCs/>
              </w:rPr>
            </w:pPr>
          </w:p>
        </w:tc>
        <w:tc>
          <w:tcPr>
            <w:tcW w:w="1287" w:type="dxa"/>
            <w:vAlign w:val="center"/>
          </w:tcPr>
          <w:p>
            <w:pPr>
              <w:pStyle w:val="53"/>
              <w:rPr>
                <w:rFonts w:eastAsia="仿宋_GB2312"/>
                <w:b/>
                <w:bCs/>
              </w:rPr>
            </w:pPr>
            <w:r>
              <w:rPr>
                <w:rFonts w:eastAsia="仿宋_GB2312"/>
                <w:b/>
                <w:bCs/>
              </w:rPr>
              <w:t>920.21</w:t>
            </w:r>
          </w:p>
        </w:tc>
        <w:tc>
          <w:tcPr>
            <w:tcW w:w="1118" w:type="dxa"/>
            <w:vAlign w:val="center"/>
          </w:tcPr>
          <w:p>
            <w:pPr>
              <w:pStyle w:val="53"/>
              <w:rPr>
                <w:rFonts w:eastAsia="仿宋_GB2312"/>
              </w:rPr>
            </w:pPr>
            <w:r>
              <w:rPr>
                <w:rFonts w:eastAsia="仿宋_GB2312"/>
                <w:b/>
                <w:bCs/>
              </w:rPr>
              <w:t>3.16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restart"/>
            <w:vAlign w:val="center"/>
          </w:tcPr>
          <w:p>
            <w:pPr>
              <w:tabs>
                <w:tab w:val="left" w:pos="1050"/>
              </w:tabs>
              <w:spacing w:line="240" w:lineRule="auto"/>
              <w:ind w:firstLine="0" w:firstLineChars="0"/>
              <w:rPr>
                <w:b/>
                <w:bCs/>
                <w:sz w:val="21"/>
                <w:szCs w:val="21"/>
              </w:rPr>
            </w:pPr>
            <w:r>
              <w:rPr>
                <w:sz w:val="21"/>
                <w:szCs w:val="21"/>
              </w:rPr>
              <w:t>绿地与广场用地</w:t>
            </w:r>
          </w:p>
        </w:tc>
        <w:tc>
          <w:tcPr>
            <w:tcW w:w="1378" w:type="dxa"/>
            <w:vAlign w:val="center"/>
          </w:tcPr>
          <w:p>
            <w:pPr>
              <w:pStyle w:val="53"/>
              <w:rPr>
                <w:rFonts w:eastAsia="仿宋_GB2312"/>
                <w:b/>
                <w:bCs/>
              </w:rPr>
            </w:pPr>
            <w:r>
              <w:rPr>
                <w:rFonts w:eastAsia="仿宋_GB2312"/>
              </w:rPr>
              <w:t>耕地</w:t>
            </w:r>
          </w:p>
        </w:tc>
        <w:tc>
          <w:tcPr>
            <w:tcW w:w="1112" w:type="dxa"/>
            <w:vAlign w:val="center"/>
          </w:tcPr>
          <w:p>
            <w:pPr>
              <w:pStyle w:val="53"/>
              <w:rPr>
                <w:rFonts w:eastAsia="仿宋_GB2312"/>
              </w:rPr>
            </w:pPr>
            <w:r>
              <w:rPr>
                <w:rFonts w:eastAsia="仿宋_GB2312"/>
              </w:rPr>
              <w:t>22.41</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0.67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continue"/>
            <w:vAlign w:val="center"/>
          </w:tcPr>
          <w:p>
            <w:pPr>
              <w:pStyle w:val="53"/>
              <w:rPr>
                <w:rFonts w:eastAsia="仿宋_GB2312"/>
              </w:rPr>
            </w:pPr>
          </w:p>
        </w:tc>
        <w:tc>
          <w:tcPr>
            <w:tcW w:w="1378" w:type="dxa"/>
            <w:vAlign w:val="center"/>
          </w:tcPr>
          <w:p>
            <w:pPr>
              <w:pStyle w:val="53"/>
              <w:rPr>
                <w:rFonts w:eastAsia="仿宋_GB2312"/>
                <w:b/>
                <w:bCs/>
              </w:rPr>
            </w:pPr>
            <w:r>
              <w:rPr>
                <w:rFonts w:eastAsia="仿宋_GB2312"/>
              </w:rPr>
              <w:t>园地</w:t>
            </w:r>
          </w:p>
        </w:tc>
        <w:tc>
          <w:tcPr>
            <w:tcW w:w="1112" w:type="dxa"/>
            <w:vAlign w:val="center"/>
          </w:tcPr>
          <w:p>
            <w:pPr>
              <w:pStyle w:val="53"/>
              <w:rPr>
                <w:rFonts w:eastAsia="仿宋_GB2312"/>
              </w:rPr>
            </w:pPr>
            <w:r>
              <w:rPr>
                <w:rFonts w:eastAsia="仿宋_GB2312"/>
              </w:rPr>
              <w:t>7.24</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1.27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林地</w:t>
            </w:r>
          </w:p>
        </w:tc>
        <w:tc>
          <w:tcPr>
            <w:tcW w:w="1112" w:type="dxa"/>
            <w:vAlign w:val="center"/>
          </w:tcPr>
          <w:p>
            <w:pPr>
              <w:pStyle w:val="53"/>
              <w:rPr>
                <w:rFonts w:eastAsia="仿宋_GB2312"/>
              </w:rPr>
            </w:pPr>
            <w:r>
              <w:rPr>
                <w:rFonts w:eastAsia="仿宋_GB2312"/>
              </w:rPr>
              <w:t>17.83</w:t>
            </w:r>
          </w:p>
        </w:tc>
        <w:tc>
          <w:tcPr>
            <w:tcW w:w="1112" w:type="dxa"/>
            <w:vAlign w:val="center"/>
          </w:tcPr>
          <w:p>
            <w:pPr>
              <w:pStyle w:val="53"/>
              <w:rPr>
                <w:rFonts w:eastAsia="仿宋_GB2312"/>
              </w:rPr>
            </w:pPr>
            <w:r>
              <w:rPr>
                <w:rFonts w:eastAsia="仿宋_GB2312"/>
              </w:rPr>
              <w:t>5~8</w:t>
            </w:r>
          </w:p>
        </w:tc>
        <w:tc>
          <w:tcPr>
            <w:tcW w:w="1112" w:type="dxa"/>
            <w:vAlign w:val="center"/>
          </w:tcPr>
          <w:p>
            <w:pPr>
              <w:pStyle w:val="53"/>
              <w:rPr>
                <w:rFonts w:eastAsia="仿宋_GB2312"/>
              </w:rPr>
            </w:pPr>
            <w:r>
              <w:rPr>
                <w:rFonts w:eastAsia="仿宋_GB2312"/>
              </w:rPr>
              <w:t>45~60</w:t>
            </w:r>
          </w:p>
        </w:tc>
        <w:tc>
          <w:tcPr>
            <w:tcW w:w="937" w:type="dxa"/>
            <w:vAlign w:val="center"/>
          </w:tcPr>
          <w:p>
            <w:pPr>
              <w:pStyle w:val="53"/>
              <w:rPr>
                <w:rFonts w:eastAsia="仿宋_GB2312"/>
              </w:rPr>
            </w:pPr>
            <w:r>
              <w:rPr>
                <w:rFonts w:eastAsia="仿宋_GB2312"/>
              </w:rPr>
              <w:t>轻度</w:t>
            </w:r>
          </w:p>
        </w:tc>
        <w:tc>
          <w:tcPr>
            <w:tcW w:w="1287" w:type="dxa"/>
            <w:vAlign w:val="center"/>
          </w:tcPr>
          <w:p>
            <w:pPr>
              <w:pStyle w:val="53"/>
              <w:rPr>
                <w:rFonts w:eastAsia="仿宋_GB2312"/>
              </w:rPr>
            </w:pPr>
            <w:r>
              <w:rPr>
                <w:rFonts w:eastAsia="仿宋_GB2312"/>
              </w:rPr>
              <w:t>1750</w:t>
            </w:r>
          </w:p>
        </w:tc>
        <w:tc>
          <w:tcPr>
            <w:tcW w:w="1118" w:type="dxa"/>
            <w:vAlign w:val="center"/>
          </w:tcPr>
          <w:p>
            <w:pPr>
              <w:pStyle w:val="53"/>
              <w:rPr>
                <w:rFonts w:eastAsia="仿宋_GB2312"/>
              </w:rPr>
            </w:pPr>
            <w:r>
              <w:rPr>
                <w:rFonts w:eastAsia="仿宋_GB2312"/>
              </w:rPr>
              <w:t>3.12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工矿仓储用地</w:t>
            </w:r>
          </w:p>
        </w:tc>
        <w:tc>
          <w:tcPr>
            <w:tcW w:w="1112" w:type="dxa"/>
            <w:vAlign w:val="center"/>
          </w:tcPr>
          <w:p>
            <w:pPr>
              <w:pStyle w:val="53"/>
              <w:rPr>
                <w:rFonts w:eastAsia="仿宋_GB2312"/>
              </w:rPr>
            </w:pPr>
            <w:r>
              <w:rPr>
                <w:rFonts w:eastAsia="仿宋_GB2312"/>
              </w:rPr>
              <w:t>1.62</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0.61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住宅用地</w:t>
            </w:r>
          </w:p>
        </w:tc>
        <w:tc>
          <w:tcPr>
            <w:tcW w:w="1112" w:type="dxa"/>
            <w:vAlign w:val="center"/>
          </w:tcPr>
          <w:p>
            <w:pPr>
              <w:pStyle w:val="53"/>
              <w:rPr>
                <w:rFonts w:eastAsia="仿宋_GB2312"/>
              </w:rPr>
            </w:pPr>
            <w:r>
              <w:rPr>
                <w:rFonts w:eastAsia="仿宋_GB2312"/>
              </w:rPr>
              <w:t>3.05</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0</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交通运输用地</w:t>
            </w:r>
          </w:p>
        </w:tc>
        <w:tc>
          <w:tcPr>
            <w:tcW w:w="1112" w:type="dxa"/>
            <w:vAlign w:val="center"/>
          </w:tcPr>
          <w:p>
            <w:pPr>
              <w:pStyle w:val="53"/>
              <w:rPr>
                <w:rFonts w:eastAsia="仿宋_GB2312"/>
              </w:rPr>
            </w:pPr>
            <w:r>
              <w:rPr>
                <w:rFonts w:eastAsia="仿宋_GB2312"/>
              </w:rPr>
              <w:t>1.97</w:t>
            </w:r>
          </w:p>
        </w:tc>
        <w:tc>
          <w:tcPr>
            <w:tcW w:w="1112" w:type="dxa"/>
            <w:vAlign w:val="center"/>
          </w:tcPr>
          <w:p>
            <w:pPr>
              <w:pStyle w:val="53"/>
              <w:rPr>
                <w:rFonts w:eastAsia="仿宋_GB2312"/>
              </w:rPr>
            </w:pPr>
            <w:r>
              <w:rPr>
                <w:rFonts w:eastAsia="仿宋_GB2312"/>
              </w:rPr>
              <w:t>0~5</w:t>
            </w:r>
          </w:p>
        </w:tc>
        <w:tc>
          <w:tcPr>
            <w:tcW w:w="1112" w:type="dxa"/>
            <w:vAlign w:val="center"/>
          </w:tcPr>
          <w:p>
            <w:pPr>
              <w:pStyle w:val="53"/>
              <w:rPr>
                <w:rFonts w:eastAsia="仿宋_GB2312"/>
              </w:rPr>
            </w:pPr>
            <w:r>
              <w:rPr>
                <w:rFonts w:eastAsia="仿宋_GB2312"/>
              </w:rPr>
              <w:t>硬化为主</w:t>
            </w:r>
          </w:p>
        </w:tc>
        <w:tc>
          <w:tcPr>
            <w:tcW w:w="937" w:type="dxa"/>
            <w:vAlign w:val="center"/>
          </w:tcPr>
          <w:p>
            <w:pPr>
              <w:pStyle w:val="53"/>
              <w:rPr>
                <w:rFonts w:eastAsia="仿宋_GB2312"/>
              </w:rPr>
            </w:pPr>
            <w:r>
              <w:rPr>
                <w:rFonts w:eastAsia="仿宋_GB2312"/>
              </w:rPr>
              <w:t>微度</w:t>
            </w:r>
          </w:p>
        </w:tc>
        <w:tc>
          <w:tcPr>
            <w:tcW w:w="1287" w:type="dxa"/>
            <w:vAlign w:val="center"/>
          </w:tcPr>
          <w:p>
            <w:pPr>
              <w:pStyle w:val="53"/>
              <w:rPr>
                <w:rFonts w:eastAsia="仿宋_GB2312"/>
              </w:rPr>
            </w:pPr>
            <w:r>
              <w:rPr>
                <w:rFonts w:eastAsia="仿宋_GB2312"/>
              </w:rPr>
              <w:t>300</w:t>
            </w:r>
          </w:p>
        </w:tc>
        <w:tc>
          <w:tcPr>
            <w:tcW w:w="1118" w:type="dxa"/>
            <w:vAlign w:val="center"/>
          </w:tcPr>
          <w:p>
            <w:pPr>
              <w:pStyle w:val="53"/>
              <w:rPr>
                <w:rFonts w:eastAsia="仿宋_GB2312"/>
              </w:rPr>
            </w:pPr>
            <w:r>
              <w:rPr>
                <w:rFonts w:eastAsia="仿宋_GB2312"/>
              </w:rPr>
              <w:t>0.06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rPr>
              <w:t>水域及水利设施用地</w:t>
            </w:r>
          </w:p>
        </w:tc>
        <w:tc>
          <w:tcPr>
            <w:tcW w:w="1112" w:type="dxa"/>
            <w:vAlign w:val="center"/>
          </w:tcPr>
          <w:p>
            <w:pPr>
              <w:pStyle w:val="53"/>
              <w:rPr>
                <w:rFonts w:eastAsia="仿宋_GB2312"/>
              </w:rPr>
            </w:pPr>
            <w:r>
              <w:rPr>
                <w:rFonts w:eastAsia="仿宋_GB2312"/>
              </w:rPr>
              <w:t>1.16</w:t>
            </w:r>
          </w:p>
        </w:tc>
        <w:tc>
          <w:tcPr>
            <w:tcW w:w="1112" w:type="dxa"/>
            <w:vAlign w:val="center"/>
          </w:tcPr>
          <w:p>
            <w:pPr>
              <w:pStyle w:val="53"/>
              <w:rPr>
                <w:rFonts w:eastAsia="仿宋_GB2312"/>
              </w:rPr>
            </w:pPr>
            <w:r>
              <w:rPr>
                <w:rFonts w:eastAsia="仿宋_GB2312"/>
              </w:rPr>
              <w:t>/</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w:t>
            </w:r>
          </w:p>
        </w:tc>
        <w:tc>
          <w:tcPr>
            <w:tcW w:w="1287" w:type="dxa"/>
            <w:vAlign w:val="center"/>
          </w:tcPr>
          <w:p>
            <w:pPr>
              <w:pStyle w:val="53"/>
              <w:rPr>
                <w:rFonts w:eastAsia="仿宋_GB2312"/>
              </w:rPr>
            </w:pPr>
            <w:r>
              <w:rPr>
                <w:rFonts w:eastAsia="仿宋_GB2312"/>
              </w:rPr>
              <w:t>/</w:t>
            </w:r>
          </w:p>
        </w:tc>
        <w:tc>
          <w:tcPr>
            <w:tcW w:w="1118" w:type="dxa"/>
            <w:vAlign w:val="center"/>
          </w:tcPr>
          <w:p>
            <w:pPr>
              <w:pStyle w:val="53"/>
              <w:rPr>
                <w:rFonts w:eastAsia="仿宋_GB2312"/>
              </w:rPr>
            </w:pPr>
            <w:r>
              <w:rPr>
                <w:rFonts w:eastAsia="仿宋_GB2312"/>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2"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rPr>
            </w:pPr>
            <w:r>
              <w:rPr>
                <w:rFonts w:eastAsia="仿宋_GB2312"/>
              </w:rPr>
              <w:t>其他土地</w:t>
            </w:r>
          </w:p>
        </w:tc>
        <w:tc>
          <w:tcPr>
            <w:tcW w:w="1112" w:type="dxa"/>
            <w:vAlign w:val="center"/>
          </w:tcPr>
          <w:p>
            <w:pPr>
              <w:pStyle w:val="53"/>
              <w:rPr>
                <w:rFonts w:eastAsia="仿宋_GB2312"/>
              </w:rPr>
            </w:pPr>
            <w:r>
              <w:rPr>
                <w:rFonts w:eastAsia="仿宋_GB2312"/>
              </w:rPr>
              <w:t>0.17</w:t>
            </w:r>
          </w:p>
        </w:tc>
        <w:tc>
          <w:tcPr>
            <w:tcW w:w="1112" w:type="dxa"/>
            <w:vAlign w:val="center"/>
          </w:tcPr>
          <w:p>
            <w:pPr>
              <w:pStyle w:val="53"/>
              <w:rPr>
                <w:rFonts w:eastAsia="仿宋_GB2312"/>
              </w:rPr>
            </w:pPr>
            <w:r>
              <w:rPr>
                <w:rFonts w:eastAsia="仿宋_GB2312"/>
              </w:rPr>
              <w:t>8~15</w:t>
            </w:r>
          </w:p>
        </w:tc>
        <w:tc>
          <w:tcPr>
            <w:tcW w:w="1112" w:type="dxa"/>
            <w:vAlign w:val="center"/>
          </w:tcPr>
          <w:p>
            <w:pPr>
              <w:pStyle w:val="53"/>
              <w:rPr>
                <w:rFonts w:eastAsia="仿宋_GB2312"/>
              </w:rPr>
            </w:pPr>
            <w:r>
              <w:rPr>
                <w:rFonts w:eastAsia="仿宋_GB2312"/>
              </w:rPr>
              <w:t>/</w:t>
            </w:r>
          </w:p>
        </w:tc>
        <w:tc>
          <w:tcPr>
            <w:tcW w:w="937" w:type="dxa"/>
            <w:vAlign w:val="center"/>
          </w:tcPr>
          <w:p>
            <w:pPr>
              <w:pStyle w:val="53"/>
              <w:rPr>
                <w:rFonts w:eastAsia="仿宋_GB2312"/>
              </w:rPr>
            </w:pPr>
            <w:r>
              <w:rPr>
                <w:rFonts w:eastAsia="仿宋_GB2312"/>
              </w:rPr>
              <w:t>中度</w:t>
            </w:r>
          </w:p>
        </w:tc>
        <w:tc>
          <w:tcPr>
            <w:tcW w:w="1287" w:type="dxa"/>
            <w:vAlign w:val="center"/>
          </w:tcPr>
          <w:p>
            <w:pPr>
              <w:pStyle w:val="53"/>
              <w:rPr>
                <w:rFonts w:eastAsia="仿宋_GB2312"/>
              </w:rPr>
            </w:pPr>
            <w:r>
              <w:rPr>
                <w:rFonts w:eastAsia="仿宋_GB2312"/>
              </w:rPr>
              <w:t>3750</w:t>
            </w:r>
          </w:p>
        </w:tc>
        <w:tc>
          <w:tcPr>
            <w:tcW w:w="1118" w:type="dxa"/>
            <w:vAlign w:val="center"/>
          </w:tcPr>
          <w:p>
            <w:pPr>
              <w:pStyle w:val="53"/>
              <w:rPr>
                <w:rFonts w:eastAsia="仿宋_GB2312"/>
              </w:rPr>
            </w:pPr>
            <w:r>
              <w:rPr>
                <w:rFonts w:eastAsia="仿宋_GB2312"/>
              </w:rPr>
              <w:t>0.06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5" w:hRule="atLeast"/>
        </w:trPr>
        <w:tc>
          <w:tcPr>
            <w:tcW w:w="1045" w:type="dxa"/>
            <w:vMerge w:val="continue"/>
            <w:vAlign w:val="center"/>
          </w:tcPr>
          <w:p>
            <w:pPr>
              <w:pStyle w:val="53"/>
              <w:rPr>
                <w:rFonts w:eastAsia="仿宋_GB2312"/>
                <w:b/>
                <w:bCs/>
              </w:rPr>
            </w:pPr>
          </w:p>
        </w:tc>
        <w:tc>
          <w:tcPr>
            <w:tcW w:w="1378" w:type="dxa"/>
            <w:vAlign w:val="center"/>
          </w:tcPr>
          <w:p>
            <w:pPr>
              <w:pStyle w:val="53"/>
              <w:rPr>
                <w:rFonts w:eastAsia="仿宋_GB2312"/>
                <w:b/>
                <w:bCs/>
              </w:rPr>
            </w:pPr>
            <w:r>
              <w:rPr>
                <w:rFonts w:eastAsia="仿宋_GB2312"/>
                <w:b/>
                <w:bCs/>
              </w:rPr>
              <w:t>小计</w:t>
            </w:r>
          </w:p>
        </w:tc>
        <w:tc>
          <w:tcPr>
            <w:tcW w:w="1112" w:type="dxa"/>
            <w:vAlign w:val="center"/>
          </w:tcPr>
          <w:p>
            <w:pPr>
              <w:pStyle w:val="53"/>
              <w:rPr>
                <w:rFonts w:eastAsia="仿宋_GB2312"/>
                <w:b/>
                <w:bCs/>
              </w:rPr>
            </w:pPr>
            <w:r>
              <w:rPr>
                <w:rFonts w:eastAsia="仿宋_GB2312"/>
                <w:b/>
                <w:bCs/>
              </w:rPr>
              <w:t>55.45</w:t>
            </w:r>
          </w:p>
        </w:tc>
        <w:tc>
          <w:tcPr>
            <w:tcW w:w="1112" w:type="dxa"/>
            <w:vAlign w:val="center"/>
          </w:tcPr>
          <w:p>
            <w:pPr>
              <w:pStyle w:val="53"/>
              <w:rPr>
                <w:rFonts w:eastAsia="仿宋_GB2312"/>
                <w:b/>
                <w:bCs/>
              </w:rPr>
            </w:pPr>
          </w:p>
        </w:tc>
        <w:tc>
          <w:tcPr>
            <w:tcW w:w="1112" w:type="dxa"/>
            <w:vAlign w:val="center"/>
          </w:tcPr>
          <w:p>
            <w:pPr>
              <w:pStyle w:val="53"/>
              <w:rPr>
                <w:rFonts w:eastAsia="仿宋_GB2312"/>
                <w:b/>
                <w:bCs/>
              </w:rPr>
            </w:pPr>
          </w:p>
        </w:tc>
        <w:tc>
          <w:tcPr>
            <w:tcW w:w="937" w:type="dxa"/>
            <w:vAlign w:val="center"/>
          </w:tcPr>
          <w:p>
            <w:pPr>
              <w:pStyle w:val="53"/>
              <w:rPr>
                <w:rFonts w:eastAsia="仿宋_GB2312"/>
                <w:b/>
                <w:bCs/>
              </w:rPr>
            </w:pPr>
          </w:p>
        </w:tc>
        <w:tc>
          <w:tcPr>
            <w:tcW w:w="1287" w:type="dxa"/>
            <w:vAlign w:val="center"/>
          </w:tcPr>
          <w:p>
            <w:pPr>
              <w:pStyle w:val="53"/>
              <w:rPr>
                <w:rFonts w:eastAsia="仿宋_GB2312"/>
                <w:b/>
                <w:bCs/>
              </w:rPr>
            </w:pPr>
            <w:r>
              <w:rPr>
                <w:rFonts w:eastAsia="仿宋_GB2312"/>
                <w:b/>
                <w:bCs/>
              </w:rPr>
              <w:t>1044.18</w:t>
            </w:r>
          </w:p>
        </w:tc>
        <w:tc>
          <w:tcPr>
            <w:tcW w:w="1118" w:type="dxa"/>
            <w:vAlign w:val="center"/>
          </w:tcPr>
          <w:p>
            <w:pPr>
              <w:pStyle w:val="53"/>
              <w:rPr>
                <w:rFonts w:eastAsia="仿宋_GB2312"/>
                <w:b/>
                <w:bCs/>
              </w:rPr>
            </w:pPr>
            <w:r>
              <w:rPr>
                <w:rFonts w:eastAsia="仿宋_GB2312"/>
                <w:b/>
                <w:bCs/>
              </w:rPr>
              <w:t>5.79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2423" w:type="dxa"/>
            <w:gridSpan w:val="2"/>
            <w:vAlign w:val="center"/>
          </w:tcPr>
          <w:p>
            <w:pPr>
              <w:pStyle w:val="53"/>
              <w:rPr>
                <w:rFonts w:eastAsia="仿宋_GB2312"/>
                <w:b/>
                <w:bCs/>
              </w:rPr>
            </w:pPr>
            <w:r>
              <w:rPr>
                <w:rFonts w:eastAsia="仿宋_GB2312"/>
                <w:b/>
                <w:bCs/>
              </w:rPr>
              <w:t>合计</w:t>
            </w:r>
          </w:p>
        </w:tc>
        <w:tc>
          <w:tcPr>
            <w:tcW w:w="1112" w:type="dxa"/>
            <w:vAlign w:val="center"/>
          </w:tcPr>
          <w:p>
            <w:pPr>
              <w:pStyle w:val="53"/>
              <w:rPr>
                <w:rFonts w:eastAsia="仿宋_GB2312"/>
                <w:b/>
                <w:bCs/>
              </w:rPr>
            </w:pPr>
            <w:r>
              <w:rPr>
                <w:rFonts w:eastAsia="仿宋_GB2312"/>
                <w:b/>
                <w:bCs/>
              </w:rPr>
              <w:t>1129.18</w:t>
            </w:r>
          </w:p>
        </w:tc>
        <w:tc>
          <w:tcPr>
            <w:tcW w:w="1112" w:type="dxa"/>
            <w:vAlign w:val="center"/>
          </w:tcPr>
          <w:p>
            <w:pPr>
              <w:pStyle w:val="53"/>
              <w:rPr>
                <w:rFonts w:eastAsia="仿宋_GB2312"/>
                <w:b/>
                <w:bCs/>
              </w:rPr>
            </w:pPr>
          </w:p>
        </w:tc>
        <w:tc>
          <w:tcPr>
            <w:tcW w:w="1112" w:type="dxa"/>
            <w:vAlign w:val="center"/>
          </w:tcPr>
          <w:p>
            <w:pPr>
              <w:pStyle w:val="53"/>
              <w:rPr>
                <w:rFonts w:eastAsia="仿宋_GB2312"/>
                <w:b/>
                <w:bCs/>
              </w:rPr>
            </w:pPr>
          </w:p>
        </w:tc>
        <w:tc>
          <w:tcPr>
            <w:tcW w:w="937" w:type="dxa"/>
            <w:vAlign w:val="center"/>
          </w:tcPr>
          <w:p>
            <w:pPr>
              <w:pStyle w:val="53"/>
              <w:rPr>
                <w:rFonts w:eastAsia="仿宋_GB2312"/>
                <w:b/>
                <w:bCs/>
              </w:rPr>
            </w:pPr>
          </w:p>
        </w:tc>
        <w:tc>
          <w:tcPr>
            <w:tcW w:w="1287" w:type="dxa"/>
            <w:vAlign w:val="center"/>
          </w:tcPr>
          <w:p>
            <w:pPr>
              <w:pStyle w:val="53"/>
              <w:rPr>
                <w:rFonts w:eastAsia="仿宋_GB2312"/>
                <w:b/>
                <w:bCs/>
              </w:rPr>
            </w:pPr>
            <w:r>
              <w:rPr>
                <w:rFonts w:eastAsia="仿宋_GB2312"/>
                <w:b/>
                <w:bCs/>
              </w:rPr>
              <w:t>1141.54</w:t>
            </w:r>
          </w:p>
        </w:tc>
        <w:tc>
          <w:tcPr>
            <w:tcW w:w="1118" w:type="dxa"/>
            <w:vAlign w:val="center"/>
          </w:tcPr>
          <w:p>
            <w:pPr>
              <w:pStyle w:val="53"/>
              <w:rPr>
                <w:rFonts w:eastAsia="仿宋_GB2312"/>
                <w:b/>
                <w:bCs/>
              </w:rPr>
            </w:pPr>
            <w:r>
              <w:rPr>
                <w:rFonts w:eastAsia="仿宋_GB2312"/>
                <w:b/>
                <w:bCs/>
              </w:rPr>
              <w:t>128.90</w:t>
            </w:r>
          </w:p>
        </w:tc>
      </w:tr>
    </w:tbl>
    <w:p>
      <w:pPr>
        <w:pStyle w:val="5"/>
        <w:spacing w:beforeLines="50"/>
      </w:pPr>
      <w:bookmarkStart w:id="81" w:name="_Toc11727"/>
      <w:r>
        <w:t>4.2水土流失影响因素分析</w:t>
      </w:r>
      <w:bookmarkEnd w:id="81"/>
    </w:p>
    <w:p>
      <w:pPr>
        <w:pStyle w:val="6"/>
      </w:pPr>
      <w:r>
        <w:t>4.2.1水土流失的主要因素及分析</w:t>
      </w:r>
    </w:p>
    <w:p>
      <w:pPr>
        <w:ind w:firstLine="480"/>
      </w:pPr>
      <w:r>
        <w:t>水土流失的形成与区域地形地貌、岩性、土壤、植被、气候等自然因素和人为因素密切相关。自然因素是水土流失发生、发展的潜在条件。人类活动是水土流失发生、发展的主导因素。</w:t>
      </w:r>
    </w:p>
    <w:p>
      <w:pPr>
        <w:ind w:firstLine="482"/>
        <w:rPr>
          <w:b/>
          <w:bCs/>
        </w:rPr>
      </w:pPr>
      <w:r>
        <w:rPr>
          <w:b/>
          <w:bCs/>
        </w:rPr>
        <w:t>1、自然因素</w:t>
      </w:r>
    </w:p>
    <w:p>
      <w:pPr>
        <w:ind w:firstLine="480"/>
      </w:pPr>
      <w:r>
        <w:t>包括地形地貌、降雨、植被、土壤等因素，其中降雨是形成土壤侵蚀的自然动力因素，项目区多年平均降水量为1231.5mm，连续性降雨主要发生在夏季和秋季，以夏季居多，降雨充沛，且暴雨集中，为水土流失创造了先决条件。</w:t>
      </w:r>
    </w:p>
    <w:p>
      <w:pPr>
        <w:ind w:firstLine="480"/>
      </w:pPr>
      <w:r>
        <w:t>1）地貌：</w:t>
      </w:r>
      <w:bookmarkStart w:id="82" w:name="_Hlk89963966"/>
      <w:r>
        <w:t>园区建设区内地形复杂。在自然状况下，水土流失随地表坡度的增大而增大。在工程施工等外营力作用下，地表坡度加大对水土流失的作用随之大幅度加大，水土流失强度成倍增加</w:t>
      </w:r>
      <w:bookmarkEnd w:id="82"/>
      <w:r>
        <w:t>。</w:t>
      </w:r>
    </w:p>
    <w:p>
      <w:pPr>
        <w:ind w:firstLine="480"/>
      </w:pPr>
      <w:r>
        <w:t>2）降雨：降雨是造成水土流失的主要动力因素，园区为</w:t>
      </w:r>
      <w:r>
        <w:rPr>
          <w:rFonts w:hint="eastAsia"/>
        </w:rPr>
        <w:t>亚热带季风湿润气候区</w:t>
      </w:r>
      <w:r>
        <w:t>，在人工地表扰动条件下，降雨对水土流失的影响将随之加大，成为园区影响工程施工新增水土流失的主要自然因素。项目建设施工过程中造成的裸露地表如不及时防护和治理，雨季暴雨径流将会携带大量泥砂下泄，进入下游地区的河道、沟渠、农田，对下游人民的产和生活的安全形成较大威胁。</w:t>
      </w:r>
    </w:p>
    <w:p>
      <w:pPr>
        <w:ind w:firstLine="480"/>
      </w:pPr>
      <w:r>
        <w:t>3）植被：园区原植被主要为林地、园地，有利于水土保持，但在工程施工过程中，植被损坏后，使土壤裸露，表土失去有效保护层，影响土壤的含水量、透水性、抗蚀性、抗冲性等，造成土壤质地的下降，土壤中腐殖质、有机质含量明显降低，造成土地退化，降低生态环境质量，进而加剧区域的水土流失。</w:t>
      </w:r>
    </w:p>
    <w:p>
      <w:pPr>
        <w:ind w:firstLine="480"/>
      </w:pPr>
      <w:r>
        <w:t>4）土壤：园区土壤类型主要为黄壤，在人工扰动下极易产生水土流失。土壤侵蚀是在地貌、岩性、土壤、植被、降雨量等多种因素作用的结果，在工程施工等扰动作用下，削弱甚至损坏了土地的水土保持功能，水土流失随之大幅度加大，水土流失强度成倍增加。</w:t>
      </w:r>
    </w:p>
    <w:p>
      <w:pPr>
        <w:ind w:firstLine="482"/>
        <w:rPr>
          <w:b/>
          <w:bCs/>
        </w:rPr>
      </w:pPr>
      <w:r>
        <w:rPr>
          <w:b/>
          <w:bCs/>
        </w:rPr>
        <w:t>2、人为因素</w:t>
      </w:r>
    </w:p>
    <w:p>
      <w:pPr>
        <w:ind w:firstLine="480"/>
      </w:pPr>
      <w:r>
        <w:t>园区开发及项目建设过程中，场地平整、建构筑物基础开挖及填筑、道路开挖及填筑、施工活动、土石方的临时堆放等将不可避免的改变原有地形、地貌，扰动或破坏原有地表和植被，损坏原有的水土保持设施，导致土壤结构破坏，降低了表层土壤的抗蚀性，造成新增水土流失。项目建设期间的土石方开挖量和临时堆土量较大，若不采取有效措施将产生大量水土流失，其水土流失主要产生在施工期，主要表现为水力侵蚀，侵蚀程度可达强烈甚至极强烈。绿化区域短期内植被郁闭度和覆盖率低，自然恢复期植物措施发挥功能的滞后性，易受降水冲刷，仍存在一定水土流失风险。因此在园区开发及项目建设过程采取水土流失防治工作是十分必要的。项目建设对水土流失的影响分析详见表4.2-1。</w:t>
      </w:r>
    </w:p>
    <w:p>
      <w:pPr>
        <w:ind w:firstLine="0" w:firstLineChars="0"/>
        <w:jc w:val="center"/>
        <w:rPr>
          <w:b/>
          <w:bCs/>
        </w:rPr>
      </w:pPr>
      <w:r>
        <w:rPr>
          <w:b/>
          <w:bCs/>
        </w:rPr>
        <w:t>表4.2-1项目建设对水土流失的影响分析表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321"/>
        <w:gridCol w:w="2322"/>
        <w:gridCol w:w="2322"/>
        <w:gridCol w:w="232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21" w:type="dxa"/>
            <w:vAlign w:val="center"/>
          </w:tcPr>
          <w:p>
            <w:pPr>
              <w:spacing w:line="240" w:lineRule="auto"/>
              <w:ind w:firstLine="0" w:firstLineChars="0"/>
              <w:jc w:val="center"/>
              <w:rPr>
                <w:b/>
                <w:bCs/>
                <w:sz w:val="21"/>
                <w:szCs w:val="21"/>
              </w:rPr>
            </w:pPr>
            <w:r>
              <w:rPr>
                <w:b/>
                <w:bCs/>
                <w:sz w:val="21"/>
                <w:szCs w:val="21"/>
              </w:rPr>
              <w:t>工程区</w:t>
            </w:r>
          </w:p>
        </w:tc>
        <w:tc>
          <w:tcPr>
            <w:tcW w:w="2322" w:type="dxa"/>
            <w:vAlign w:val="center"/>
          </w:tcPr>
          <w:p>
            <w:pPr>
              <w:spacing w:line="240" w:lineRule="auto"/>
              <w:ind w:firstLine="0" w:firstLineChars="0"/>
              <w:jc w:val="center"/>
              <w:rPr>
                <w:b/>
                <w:bCs/>
                <w:sz w:val="21"/>
                <w:szCs w:val="21"/>
              </w:rPr>
            </w:pPr>
            <w:r>
              <w:rPr>
                <w:b/>
                <w:bCs/>
                <w:sz w:val="21"/>
                <w:szCs w:val="21"/>
              </w:rPr>
              <w:t>影响因素</w:t>
            </w:r>
          </w:p>
        </w:tc>
        <w:tc>
          <w:tcPr>
            <w:tcW w:w="2322" w:type="dxa"/>
            <w:vAlign w:val="center"/>
          </w:tcPr>
          <w:p>
            <w:pPr>
              <w:spacing w:line="240" w:lineRule="auto"/>
              <w:ind w:firstLine="0" w:firstLineChars="0"/>
              <w:jc w:val="center"/>
              <w:rPr>
                <w:b/>
                <w:bCs/>
                <w:sz w:val="21"/>
                <w:szCs w:val="21"/>
              </w:rPr>
            </w:pPr>
            <w:r>
              <w:rPr>
                <w:b/>
                <w:bCs/>
                <w:sz w:val="21"/>
                <w:szCs w:val="21"/>
              </w:rPr>
              <w:t>影响分析</w:t>
            </w:r>
          </w:p>
        </w:tc>
        <w:tc>
          <w:tcPr>
            <w:tcW w:w="2322" w:type="dxa"/>
            <w:vAlign w:val="center"/>
          </w:tcPr>
          <w:p>
            <w:pPr>
              <w:spacing w:line="240" w:lineRule="auto"/>
              <w:ind w:firstLine="0" w:firstLineChars="0"/>
              <w:jc w:val="center"/>
              <w:rPr>
                <w:b/>
                <w:bCs/>
                <w:sz w:val="21"/>
                <w:szCs w:val="21"/>
              </w:rPr>
            </w:pPr>
            <w:r>
              <w:rPr>
                <w:b/>
                <w:bCs/>
                <w:sz w:val="21"/>
                <w:szCs w:val="21"/>
              </w:rPr>
              <w:t>可能发生的影响结果</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21" w:type="dxa"/>
            <w:vAlign w:val="center"/>
          </w:tcPr>
          <w:p>
            <w:pPr>
              <w:spacing w:line="240" w:lineRule="auto"/>
              <w:ind w:firstLine="0" w:firstLineChars="0"/>
              <w:jc w:val="center"/>
              <w:rPr>
                <w:sz w:val="21"/>
                <w:szCs w:val="21"/>
              </w:rPr>
            </w:pPr>
            <w:r>
              <w:rPr>
                <w:sz w:val="21"/>
                <w:szCs w:val="16"/>
              </w:rPr>
              <w:t>工业用地、</w:t>
            </w:r>
            <w:r>
              <w:rPr>
                <w:sz w:val="21"/>
                <w:szCs w:val="21"/>
              </w:rPr>
              <w:t>公用设施用地</w:t>
            </w:r>
          </w:p>
        </w:tc>
        <w:tc>
          <w:tcPr>
            <w:tcW w:w="2322" w:type="dxa"/>
            <w:vAlign w:val="center"/>
          </w:tcPr>
          <w:p>
            <w:pPr>
              <w:spacing w:line="240" w:lineRule="auto"/>
              <w:ind w:firstLine="0" w:firstLineChars="0"/>
              <w:jc w:val="center"/>
              <w:rPr>
                <w:sz w:val="21"/>
                <w:szCs w:val="21"/>
              </w:rPr>
            </w:pPr>
            <w:r>
              <w:rPr>
                <w:sz w:val="21"/>
                <w:szCs w:val="21"/>
              </w:rPr>
              <w:t>场地平整、建构筑物基础开挖</w:t>
            </w:r>
          </w:p>
        </w:tc>
        <w:tc>
          <w:tcPr>
            <w:tcW w:w="2322" w:type="dxa"/>
            <w:vAlign w:val="center"/>
          </w:tcPr>
          <w:p>
            <w:pPr>
              <w:spacing w:line="240" w:lineRule="auto"/>
              <w:ind w:firstLine="0" w:firstLineChars="0"/>
              <w:jc w:val="center"/>
              <w:rPr>
                <w:sz w:val="21"/>
                <w:szCs w:val="21"/>
              </w:rPr>
            </w:pPr>
            <w:r>
              <w:rPr>
                <w:sz w:val="21"/>
                <w:szCs w:val="21"/>
              </w:rPr>
              <w:t>场地平整、建构筑基础开挖、表土堆放、临时土石方堆放、材料堆放等破坏原有水土保持设施，造成祼露面，遇雨极易造成水土流失</w:t>
            </w:r>
          </w:p>
        </w:tc>
        <w:tc>
          <w:tcPr>
            <w:tcW w:w="2322" w:type="dxa"/>
            <w:vMerge w:val="restart"/>
            <w:vAlign w:val="center"/>
          </w:tcPr>
          <w:p>
            <w:pPr>
              <w:spacing w:line="240" w:lineRule="auto"/>
              <w:ind w:firstLine="0" w:firstLineChars="0"/>
              <w:jc w:val="center"/>
              <w:rPr>
                <w:sz w:val="21"/>
                <w:szCs w:val="21"/>
              </w:rPr>
            </w:pPr>
            <w:r>
              <w:rPr>
                <w:sz w:val="21"/>
                <w:szCs w:val="21"/>
              </w:rPr>
              <w:t>裸露地面在降水作用下发生面蚀或沟蚀等水力侵蚀。土石堆放等松散堆积物其结构疏松，孔隙度大，在雨滴溅蚀和地表径流的冲刷下容易造成较大的水土流失。</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04" w:hRule="atLeast"/>
        </w:trPr>
        <w:tc>
          <w:tcPr>
            <w:tcW w:w="2321" w:type="dxa"/>
            <w:vAlign w:val="center"/>
          </w:tcPr>
          <w:p>
            <w:pPr>
              <w:spacing w:line="240" w:lineRule="auto"/>
              <w:ind w:firstLine="0" w:firstLineChars="0"/>
              <w:jc w:val="center"/>
              <w:rPr>
                <w:sz w:val="21"/>
                <w:szCs w:val="21"/>
              </w:rPr>
            </w:pPr>
            <w:r>
              <w:rPr>
                <w:sz w:val="21"/>
                <w:szCs w:val="21"/>
              </w:rPr>
              <w:t>道路与交通设施用地</w:t>
            </w:r>
          </w:p>
        </w:tc>
        <w:tc>
          <w:tcPr>
            <w:tcW w:w="2322" w:type="dxa"/>
            <w:vAlign w:val="center"/>
          </w:tcPr>
          <w:p>
            <w:pPr>
              <w:spacing w:line="240" w:lineRule="auto"/>
              <w:ind w:firstLine="0" w:firstLineChars="0"/>
              <w:jc w:val="center"/>
              <w:rPr>
                <w:sz w:val="21"/>
                <w:szCs w:val="21"/>
              </w:rPr>
            </w:pPr>
            <w:r>
              <w:rPr>
                <w:sz w:val="21"/>
                <w:szCs w:val="21"/>
              </w:rPr>
              <w:t>路基开挖、管线开挖、土石方开挖和临时堆放</w:t>
            </w:r>
          </w:p>
        </w:tc>
        <w:tc>
          <w:tcPr>
            <w:tcW w:w="2322" w:type="dxa"/>
            <w:vAlign w:val="center"/>
          </w:tcPr>
          <w:p>
            <w:pPr>
              <w:spacing w:line="240" w:lineRule="auto"/>
              <w:ind w:firstLine="0" w:firstLineChars="0"/>
              <w:jc w:val="center"/>
              <w:rPr>
                <w:sz w:val="21"/>
                <w:szCs w:val="21"/>
              </w:rPr>
            </w:pPr>
            <w:r>
              <w:rPr>
                <w:sz w:val="21"/>
                <w:szCs w:val="21"/>
              </w:rPr>
              <w:t>道路路基开挖填筑等破坏原地表水土保持设施，形成裸露开挖边坡，遇雨极易造成水土流失</w:t>
            </w:r>
          </w:p>
        </w:tc>
        <w:tc>
          <w:tcPr>
            <w:tcW w:w="2322"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8" w:hRule="atLeast"/>
        </w:trPr>
        <w:tc>
          <w:tcPr>
            <w:tcW w:w="2321" w:type="dxa"/>
            <w:vAlign w:val="center"/>
          </w:tcPr>
          <w:p>
            <w:pPr>
              <w:tabs>
                <w:tab w:val="left" w:pos="1050"/>
              </w:tabs>
              <w:spacing w:line="240" w:lineRule="auto"/>
              <w:ind w:firstLine="0" w:firstLineChars="0"/>
              <w:jc w:val="center"/>
              <w:rPr>
                <w:sz w:val="21"/>
                <w:szCs w:val="21"/>
              </w:rPr>
            </w:pPr>
            <w:r>
              <w:rPr>
                <w:sz w:val="21"/>
                <w:szCs w:val="21"/>
              </w:rPr>
              <w:t>绿地与广场用地</w:t>
            </w:r>
          </w:p>
        </w:tc>
        <w:tc>
          <w:tcPr>
            <w:tcW w:w="2322" w:type="dxa"/>
            <w:vAlign w:val="center"/>
          </w:tcPr>
          <w:p>
            <w:pPr>
              <w:spacing w:line="240" w:lineRule="auto"/>
              <w:ind w:firstLine="0" w:firstLineChars="0"/>
              <w:jc w:val="center"/>
              <w:rPr>
                <w:sz w:val="21"/>
                <w:szCs w:val="21"/>
              </w:rPr>
            </w:pPr>
            <w:r>
              <w:rPr>
                <w:sz w:val="21"/>
                <w:szCs w:val="21"/>
              </w:rPr>
              <w:t>表土剥离与回覆、场地平整、土石方开挖和临</w:t>
            </w:r>
          </w:p>
          <w:p>
            <w:pPr>
              <w:spacing w:line="240" w:lineRule="auto"/>
              <w:ind w:firstLine="0" w:firstLineChars="0"/>
              <w:jc w:val="center"/>
              <w:rPr>
                <w:sz w:val="21"/>
                <w:szCs w:val="21"/>
              </w:rPr>
            </w:pPr>
            <w:r>
              <w:rPr>
                <w:sz w:val="21"/>
                <w:szCs w:val="21"/>
              </w:rPr>
              <w:t>时堆放</w:t>
            </w:r>
          </w:p>
        </w:tc>
        <w:tc>
          <w:tcPr>
            <w:tcW w:w="2322" w:type="dxa"/>
            <w:vAlign w:val="center"/>
          </w:tcPr>
          <w:p>
            <w:pPr>
              <w:spacing w:line="240" w:lineRule="auto"/>
              <w:ind w:firstLine="0" w:firstLineChars="0"/>
              <w:jc w:val="center"/>
              <w:rPr>
                <w:sz w:val="21"/>
                <w:szCs w:val="21"/>
              </w:rPr>
            </w:pPr>
            <w:r>
              <w:rPr>
                <w:sz w:val="21"/>
                <w:szCs w:val="21"/>
              </w:rPr>
              <w:t>场地平整、表土剥离等破坏原有水土保持设施，造成裸露面，遇雨极易造成水土流失</w:t>
            </w:r>
          </w:p>
        </w:tc>
        <w:tc>
          <w:tcPr>
            <w:tcW w:w="2322" w:type="dxa"/>
            <w:vMerge w:val="continue"/>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17" w:hRule="atLeast"/>
        </w:trPr>
        <w:tc>
          <w:tcPr>
            <w:tcW w:w="2321" w:type="dxa"/>
            <w:vAlign w:val="center"/>
          </w:tcPr>
          <w:p>
            <w:pPr>
              <w:tabs>
                <w:tab w:val="left" w:pos="1050"/>
              </w:tabs>
              <w:spacing w:line="240" w:lineRule="auto"/>
              <w:ind w:firstLine="0" w:firstLineChars="0"/>
              <w:jc w:val="center"/>
              <w:rPr>
                <w:sz w:val="21"/>
                <w:szCs w:val="21"/>
              </w:rPr>
            </w:pPr>
            <w:r>
              <w:rPr>
                <w:sz w:val="21"/>
                <w:szCs w:val="21"/>
              </w:rPr>
              <w:t>土石方、表土中转场</w:t>
            </w:r>
          </w:p>
        </w:tc>
        <w:tc>
          <w:tcPr>
            <w:tcW w:w="2322" w:type="dxa"/>
            <w:vAlign w:val="center"/>
          </w:tcPr>
          <w:p>
            <w:pPr>
              <w:spacing w:line="240" w:lineRule="auto"/>
              <w:ind w:firstLine="0" w:firstLineChars="0"/>
              <w:jc w:val="center"/>
              <w:rPr>
                <w:sz w:val="21"/>
                <w:szCs w:val="21"/>
              </w:rPr>
            </w:pPr>
            <w:r>
              <w:rPr>
                <w:sz w:val="21"/>
                <w:szCs w:val="21"/>
              </w:rPr>
              <w:t>表土堆放、土石方堆放和转运等</w:t>
            </w:r>
          </w:p>
        </w:tc>
        <w:tc>
          <w:tcPr>
            <w:tcW w:w="2322" w:type="dxa"/>
            <w:vAlign w:val="center"/>
          </w:tcPr>
          <w:p>
            <w:pPr>
              <w:spacing w:line="240" w:lineRule="auto"/>
              <w:ind w:firstLine="0" w:firstLineChars="0"/>
              <w:jc w:val="center"/>
              <w:rPr>
                <w:sz w:val="21"/>
                <w:szCs w:val="21"/>
              </w:rPr>
            </w:pPr>
            <w:r>
              <w:rPr>
                <w:sz w:val="21"/>
                <w:szCs w:val="21"/>
              </w:rPr>
              <w:t>表土堆放占压植被、形成不稳定松散堆积体，临时堆放土石方形成大面积裸露松散堆积体</w:t>
            </w:r>
          </w:p>
        </w:tc>
        <w:tc>
          <w:tcPr>
            <w:tcW w:w="2322" w:type="dxa"/>
            <w:vAlign w:val="center"/>
          </w:tcPr>
          <w:p>
            <w:pPr>
              <w:spacing w:line="240" w:lineRule="auto"/>
              <w:ind w:firstLine="0" w:firstLineChars="0"/>
              <w:jc w:val="center"/>
              <w:rPr>
                <w:sz w:val="21"/>
                <w:szCs w:val="21"/>
              </w:rPr>
            </w:pPr>
            <w:r>
              <w:rPr>
                <w:sz w:val="21"/>
                <w:szCs w:val="21"/>
              </w:rPr>
              <w:t>土石堆放等松散堆积物其结构疏松，孔隙度大，在雨滴溅蚀和地表径流的冲刷下容易造成较大的水土流失</w:t>
            </w:r>
          </w:p>
        </w:tc>
      </w:tr>
    </w:tbl>
    <w:p>
      <w:pPr>
        <w:pStyle w:val="6"/>
        <w:spacing w:beforeLines="50"/>
      </w:pPr>
      <w:r>
        <w:t>4.2.2项目实际扰动地表、损毁植被面积</w:t>
      </w:r>
    </w:p>
    <w:p>
      <w:pPr>
        <w:pStyle w:val="46"/>
        <w:ind w:firstLine="480"/>
      </w:pPr>
      <w:r>
        <w:t>根据</w:t>
      </w:r>
      <w:r>
        <w:rPr>
          <w:szCs w:val="21"/>
        </w:rPr>
        <w:t>《乐山五通桥化工园区总体规划》</w:t>
      </w:r>
      <w:r>
        <w:t>、《土地利用现状分类》（GB/T21010-2017）并结合现场调查，园区建设过程中实际扰动地表面积为1129.18hm</w:t>
      </w:r>
      <w:r>
        <w:rPr>
          <w:vertAlign w:val="superscript"/>
        </w:rPr>
        <w:t>2</w:t>
      </w:r>
      <w:r>
        <w:t>、损毁植被面积为566.57hm</w:t>
      </w:r>
      <w:r>
        <w:rPr>
          <w:vertAlign w:val="superscript"/>
        </w:rPr>
        <w:t>2</w:t>
      </w:r>
      <w:r>
        <w:t>。扰动破坏原地表面积与损毁植被面积详见表4.2-2。</w:t>
      </w:r>
    </w:p>
    <w:p>
      <w:pPr>
        <w:ind w:firstLine="0" w:firstLineChars="0"/>
        <w:jc w:val="center"/>
      </w:pPr>
      <w:r>
        <w:rPr>
          <w:b/>
          <w:bCs/>
        </w:rPr>
        <w:t>表4.2-2扰动破坏原地表面积与损毁植被面积统计表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604"/>
        <w:gridCol w:w="3034"/>
        <w:gridCol w:w="2321"/>
        <w:gridCol w:w="232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2" w:hRule="atLeast"/>
        </w:trPr>
        <w:tc>
          <w:tcPr>
            <w:tcW w:w="2498" w:type="pct"/>
            <w:gridSpan w:val="2"/>
            <w:vAlign w:val="center"/>
          </w:tcPr>
          <w:p>
            <w:pPr>
              <w:tabs>
                <w:tab w:val="left" w:pos="1050"/>
              </w:tabs>
              <w:adjustRightInd w:val="0"/>
              <w:snapToGrid w:val="0"/>
              <w:spacing w:line="240" w:lineRule="auto"/>
              <w:ind w:firstLine="0" w:firstLineChars="0"/>
              <w:jc w:val="center"/>
              <w:rPr>
                <w:b/>
                <w:bCs/>
                <w:sz w:val="21"/>
              </w:rPr>
            </w:pPr>
            <w:r>
              <w:rPr>
                <w:b/>
                <w:bCs/>
                <w:sz w:val="21"/>
              </w:rPr>
              <w:t>项目组成</w:t>
            </w:r>
          </w:p>
        </w:tc>
        <w:tc>
          <w:tcPr>
            <w:tcW w:w="1250" w:type="pct"/>
            <w:vAlign w:val="center"/>
          </w:tcPr>
          <w:p>
            <w:pPr>
              <w:tabs>
                <w:tab w:val="left" w:pos="1050"/>
              </w:tabs>
              <w:adjustRightInd w:val="0"/>
              <w:snapToGrid w:val="0"/>
              <w:spacing w:line="240" w:lineRule="auto"/>
              <w:ind w:firstLine="0" w:firstLineChars="0"/>
              <w:jc w:val="center"/>
              <w:rPr>
                <w:b/>
                <w:bCs/>
                <w:sz w:val="21"/>
              </w:rPr>
            </w:pPr>
            <w:r>
              <w:rPr>
                <w:b/>
                <w:bCs/>
                <w:sz w:val="21"/>
              </w:rPr>
              <w:t>扰动地表面积（hm</w:t>
            </w:r>
            <w:r>
              <w:rPr>
                <w:b/>
                <w:bCs/>
                <w:sz w:val="21"/>
                <w:vertAlign w:val="superscript"/>
              </w:rPr>
              <w:t>2</w:t>
            </w:r>
            <w:r>
              <w:rPr>
                <w:b/>
                <w:bCs/>
                <w:sz w:val="21"/>
              </w:rPr>
              <w:t>）</w:t>
            </w:r>
          </w:p>
        </w:tc>
        <w:tc>
          <w:tcPr>
            <w:tcW w:w="1250" w:type="pct"/>
            <w:vAlign w:val="center"/>
          </w:tcPr>
          <w:p>
            <w:pPr>
              <w:tabs>
                <w:tab w:val="left" w:pos="1050"/>
              </w:tabs>
              <w:adjustRightInd w:val="0"/>
              <w:snapToGrid w:val="0"/>
              <w:spacing w:line="240" w:lineRule="auto"/>
              <w:ind w:firstLine="0" w:firstLineChars="0"/>
              <w:jc w:val="center"/>
              <w:rPr>
                <w:b/>
                <w:bCs/>
                <w:sz w:val="21"/>
              </w:rPr>
            </w:pPr>
            <w:r>
              <w:rPr>
                <w:b/>
                <w:bCs/>
                <w:sz w:val="21"/>
              </w:rPr>
              <w:t>损毁植被面积（hm</w:t>
            </w:r>
            <w:r>
              <w:rPr>
                <w:b/>
                <w:bCs/>
                <w:sz w:val="21"/>
                <w:vertAlign w:val="superscript"/>
              </w:rPr>
              <w:t>2</w:t>
            </w:r>
            <w:r>
              <w:rPr>
                <w:b/>
                <w:bCs/>
                <w:sz w:val="21"/>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 w:hRule="atLeast"/>
        </w:trPr>
        <w:tc>
          <w:tcPr>
            <w:tcW w:w="864" w:type="pct"/>
            <w:vMerge w:val="restart"/>
            <w:vAlign w:val="center"/>
          </w:tcPr>
          <w:p>
            <w:pPr>
              <w:tabs>
                <w:tab w:val="left" w:pos="1050"/>
              </w:tabs>
              <w:spacing w:line="240" w:lineRule="auto"/>
              <w:ind w:firstLine="0" w:firstLineChars="0"/>
              <w:jc w:val="center"/>
              <w:rPr>
                <w:sz w:val="21"/>
                <w:szCs w:val="16"/>
              </w:rPr>
            </w:pPr>
            <w:r>
              <w:rPr>
                <w:sz w:val="21"/>
                <w:szCs w:val="21"/>
              </w:rPr>
              <w:t>近期建设区</w:t>
            </w:r>
          </w:p>
        </w:tc>
        <w:tc>
          <w:tcPr>
            <w:tcW w:w="1634" w:type="pct"/>
            <w:vAlign w:val="center"/>
          </w:tcPr>
          <w:p>
            <w:pPr>
              <w:tabs>
                <w:tab w:val="left" w:pos="1050"/>
              </w:tabs>
              <w:spacing w:line="240" w:lineRule="auto"/>
              <w:ind w:firstLine="0" w:firstLineChars="0"/>
              <w:jc w:val="center"/>
              <w:rPr>
                <w:sz w:val="21"/>
                <w:szCs w:val="16"/>
              </w:rPr>
            </w:pPr>
            <w:r>
              <w:rPr>
                <w:sz w:val="21"/>
                <w:szCs w:val="21"/>
              </w:rPr>
              <w:t>工业用地</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598.64</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258.62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7" w:hRule="atLeast"/>
        </w:trPr>
        <w:tc>
          <w:tcPr>
            <w:tcW w:w="864" w:type="pct"/>
            <w:vMerge w:val="continue"/>
            <w:vAlign w:val="center"/>
          </w:tcPr>
          <w:p>
            <w:pPr>
              <w:tabs>
                <w:tab w:val="left" w:pos="1050"/>
              </w:tabs>
              <w:spacing w:line="240" w:lineRule="auto"/>
              <w:ind w:firstLine="0" w:firstLineChars="0"/>
              <w:jc w:val="center"/>
              <w:rPr>
                <w:sz w:val="21"/>
                <w:szCs w:val="16"/>
              </w:rPr>
            </w:pPr>
          </w:p>
        </w:tc>
        <w:tc>
          <w:tcPr>
            <w:tcW w:w="1634" w:type="pct"/>
            <w:vAlign w:val="center"/>
          </w:tcPr>
          <w:p>
            <w:pPr>
              <w:tabs>
                <w:tab w:val="left" w:pos="1050"/>
              </w:tabs>
              <w:spacing w:line="240" w:lineRule="auto"/>
              <w:ind w:firstLine="0" w:firstLineChars="0"/>
              <w:jc w:val="center"/>
              <w:rPr>
                <w:sz w:val="21"/>
                <w:szCs w:val="16"/>
              </w:rPr>
            </w:pPr>
            <w:r>
              <w:rPr>
                <w:sz w:val="21"/>
                <w:szCs w:val="21"/>
              </w:rPr>
              <w:t>道路与交通设施用地</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kern w:val="0"/>
                <w:sz w:val="21"/>
                <w:szCs w:val="21"/>
              </w:rPr>
              <w:t>73.89</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25.49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7" w:hRule="atLeast"/>
        </w:trPr>
        <w:tc>
          <w:tcPr>
            <w:tcW w:w="864" w:type="pct"/>
            <w:vMerge w:val="continue"/>
            <w:vAlign w:val="center"/>
          </w:tcPr>
          <w:p>
            <w:pPr>
              <w:tabs>
                <w:tab w:val="left" w:pos="1050"/>
              </w:tabs>
              <w:spacing w:line="240" w:lineRule="auto"/>
              <w:ind w:firstLine="0" w:firstLineChars="0"/>
              <w:jc w:val="center"/>
              <w:rPr>
                <w:sz w:val="21"/>
                <w:szCs w:val="16"/>
              </w:rPr>
            </w:pPr>
          </w:p>
        </w:tc>
        <w:tc>
          <w:tcPr>
            <w:tcW w:w="1634" w:type="pct"/>
            <w:vAlign w:val="center"/>
          </w:tcPr>
          <w:p>
            <w:pPr>
              <w:tabs>
                <w:tab w:val="left" w:pos="1050"/>
              </w:tabs>
              <w:spacing w:line="240" w:lineRule="auto"/>
              <w:ind w:firstLine="0" w:firstLineChars="0"/>
              <w:jc w:val="center"/>
            </w:pPr>
            <w:r>
              <w:rPr>
                <w:sz w:val="21"/>
                <w:szCs w:val="21"/>
              </w:rPr>
              <w:t>公用设施用地</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31.46</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11.31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4" w:hRule="atLeast"/>
        </w:trPr>
        <w:tc>
          <w:tcPr>
            <w:tcW w:w="864" w:type="pct"/>
            <w:vMerge w:val="continue"/>
            <w:vAlign w:val="center"/>
          </w:tcPr>
          <w:p>
            <w:pPr>
              <w:tabs>
                <w:tab w:val="left" w:pos="1050"/>
              </w:tabs>
              <w:spacing w:line="240" w:lineRule="auto"/>
              <w:ind w:firstLine="0" w:firstLineChars="0"/>
              <w:jc w:val="center"/>
              <w:rPr>
                <w:sz w:val="21"/>
                <w:szCs w:val="16"/>
              </w:rPr>
            </w:pPr>
          </w:p>
        </w:tc>
        <w:tc>
          <w:tcPr>
            <w:tcW w:w="1634" w:type="pct"/>
            <w:vAlign w:val="center"/>
          </w:tcPr>
          <w:p>
            <w:pPr>
              <w:tabs>
                <w:tab w:val="left" w:pos="1050"/>
              </w:tabs>
              <w:spacing w:line="240" w:lineRule="auto"/>
              <w:ind w:firstLine="0" w:firstLineChars="0"/>
              <w:jc w:val="center"/>
            </w:pPr>
            <w:r>
              <w:rPr>
                <w:sz w:val="21"/>
                <w:szCs w:val="21"/>
              </w:rPr>
              <w:t>绿地与广场用地</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41.57</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15.29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8" w:hRule="atLeast"/>
        </w:trPr>
        <w:tc>
          <w:tcPr>
            <w:tcW w:w="864" w:type="pct"/>
            <w:vMerge w:val="continue"/>
            <w:vAlign w:val="center"/>
          </w:tcPr>
          <w:p>
            <w:pPr>
              <w:tabs>
                <w:tab w:val="left" w:pos="1050"/>
              </w:tabs>
              <w:spacing w:line="240" w:lineRule="auto"/>
              <w:ind w:firstLine="0" w:firstLineChars="0"/>
              <w:jc w:val="center"/>
              <w:rPr>
                <w:sz w:val="21"/>
                <w:szCs w:val="16"/>
              </w:rPr>
            </w:pPr>
          </w:p>
        </w:tc>
        <w:tc>
          <w:tcPr>
            <w:tcW w:w="1634" w:type="pct"/>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1250" w:type="pct"/>
            <w:vAlign w:val="center"/>
          </w:tcPr>
          <w:p>
            <w:pPr>
              <w:tabs>
                <w:tab w:val="left" w:pos="1050"/>
              </w:tabs>
              <w:adjustRightInd w:val="0"/>
              <w:snapToGrid w:val="0"/>
              <w:spacing w:line="240" w:lineRule="auto"/>
              <w:ind w:firstLine="0" w:firstLineChars="0"/>
              <w:jc w:val="center"/>
              <w:rPr>
                <w:b/>
                <w:bCs/>
                <w:sz w:val="21"/>
                <w:szCs w:val="21"/>
              </w:rPr>
            </w:pPr>
            <w:r>
              <w:rPr>
                <w:b/>
                <w:bCs/>
                <w:sz w:val="21"/>
                <w:szCs w:val="21"/>
              </w:rPr>
              <w:t>745.56</w:t>
            </w:r>
          </w:p>
        </w:tc>
        <w:tc>
          <w:tcPr>
            <w:tcW w:w="1250" w:type="pct"/>
            <w:vAlign w:val="center"/>
          </w:tcPr>
          <w:p>
            <w:pPr>
              <w:tabs>
                <w:tab w:val="left" w:pos="1050"/>
              </w:tabs>
              <w:adjustRightInd w:val="0"/>
              <w:snapToGrid w:val="0"/>
              <w:spacing w:line="240" w:lineRule="auto"/>
              <w:ind w:firstLine="0" w:firstLineChars="0"/>
              <w:jc w:val="center"/>
              <w:rPr>
                <w:b/>
                <w:bCs/>
                <w:sz w:val="21"/>
                <w:szCs w:val="21"/>
              </w:rPr>
            </w:pPr>
            <w:r>
              <w:rPr>
                <w:b/>
                <w:bCs/>
                <w:sz w:val="21"/>
                <w:szCs w:val="21"/>
              </w:rPr>
              <w:t>310.71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3" w:hRule="atLeast"/>
        </w:trPr>
        <w:tc>
          <w:tcPr>
            <w:tcW w:w="1604" w:type="dxa"/>
            <w:vMerge w:val="restart"/>
            <w:vAlign w:val="center"/>
          </w:tcPr>
          <w:p>
            <w:pPr>
              <w:tabs>
                <w:tab w:val="left" w:pos="1050"/>
              </w:tabs>
              <w:spacing w:line="240" w:lineRule="auto"/>
              <w:ind w:firstLine="0" w:firstLineChars="0"/>
              <w:jc w:val="center"/>
              <w:rPr>
                <w:szCs w:val="21"/>
              </w:rPr>
            </w:pPr>
            <w:r>
              <w:rPr>
                <w:sz w:val="21"/>
                <w:szCs w:val="21"/>
              </w:rPr>
              <w:t>远期建设区</w:t>
            </w:r>
          </w:p>
        </w:tc>
        <w:tc>
          <w:tcPr>
            <w:tcW w:w="3034" w:type="dxa"/>
            <w:vAlign w:val="center"/>
          </w:tcPr>
          <w:p>
            <w:pPr>
              <w:tabs>
                <w:tab w:val="left" w:pos="1050"/>
              </w:tabs>
              <w:spacing w:line="240" w:lineRule="auto"/>
              <w:ind w:firstLine="0" w:firstLineChars="0"/>
              <w:jc w:val="center"/>
            </w:pPr>
            <w:r>
              <w:rPr>
                <w:sz w:val="21"/>
                <w:szCs w:val="21"/>
              </w:rPr>
              <w:t>工业用地</w:t>
            </w:r>
          </w:p>
        </w:tc>
        <w:tc>
          <w:tcPr>
            <w:tcW w:w="2321" w:type="dxa"/>
            <w:vAlign w:val="center"/>
          </w:tcPr>
          <w:p>
            <w:pPr>
              <w:tabs>
                <w:tab w:val="left" w:pos="1050"/>
              </w:tabs>
              <w:spacing w:line="240" w:lineRule="auto"/>
              <w:ind w:firstLine="0" w:firstLineChars="0"/>
              <w:jc w:val="center"/>
              <w:rPr>
                <w:sz w:val="21"/>
                <w:szCs w:val="21"/>
              </w:rPr>
            </w:pPr>
            <w:r>
              <w:rPr>
                <w:sz w:val="21"/>
                <w:szCs w:val="21"/>
              </w:rPr>
              <w:t>359.16</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238.92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0" w:hRule="atLeast"/>
        </w:trPr>
        <w:tc>
          <w:tcPr>
            <w:tcW w:w="1604" w:type="dxa"/>
            <w:vMerge w:val="continue"/>
            <w:vAlign w:val="center"/>
          </w:tcPr>
          <w:p>
            <w:pPr>
              <w:tabs>
                <w:tab w:val="left" w:pos="1050"/>
              </w:tabs>
              <w:spacing w:line="240" w:lineRule="auto"/>
              <w:ind w:firstLine="0" w:firstLineChars="0"/>
              <w:jc w:val="center"/>
              <w:rPr>
                <w:szCs w:val="21"/>
              </w:rPr>
            </w:pPr>
          </w:p>
        </w:tc>
        <w:tc>
          <w:tcPr>
            <w:tcW w:w="3034" w:type="dxa"/>
            <w:vAlign w:val="center"/>
          </w:tcPr>
          <w:p>
            <w:pPr>
              <w:tabs>
                <w:tab w:val="left" w:pos="1050"/>
              </w:tabs>
              <w:spacing w:line="240" w:lineRule="auto"/>
              <w:ind w:firstLine="0" w:firstLineChars="0"/>
              <w:jc w:val="center"/>
              <w:rPr>
                <w:szCs w:val="21"/>
              </w:rPr>
            </w:pPr>
            <w:r>
              <w:rPr>
                <w:sz w:val="21"/>
                <w:szCs w:val="21"/>
              </w:rPr>
              <w:t>道路与交通设施用地</w:t>
            </w:r>
          </w:p>
        </w:tc>
        <w:tc>
          <w:tcPr>
            <w:tcW w:w="2321" w:type="dxa"/>
            <w:vAlign w:val="center"/>
          </w:tcPr>
          <w:p>
            <w:pPr>
              <w:tabs>
                <w:tab w:val="left" w:pos="1050"/>
              </w:tabs>
              <w:spacing w:line="240" w:lineRule="auto"/>
              <w:ind w:firstLine="0" w:firstLineChars="0"/>
              <w:jc w:val="center"/>
              <w:rPr>
                <w:sz w:val="21"/>
                <w:szCs w:val="21"/>
              </w:rPr>
            </w:pPr>
            <w:r>
              <w:rPr>
                <w:sz w:val="21"/>
                <w:szCs w:val="21"/>
              </w:rPr>
              <w:t>7.70</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5.68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 w:hRule="atLeast"/>
        </w:trPr>
        <w:tc>
          <w:tcPr>
            <w:tcW w:w="1604" w:type="dxa"/>
            <w:vMerge w:val="continue"/>
            <w:vAlign w:val="center"/>
          </w:tcPr>
          <w:p>
            <w:pPr>
              <w:tabs>
                <w:tab w:val="left" w:pos="1050"/>
              </w:tabs>
              <w:spacing w:line="240" w:lineRule="auto"/>
              <w:ind w:firstLine="0" w:firstLineChars="0"/>
              <w:jc w:val="center"/>
              <w:rPr>
                <w:szCs w:val="21"/>
              </w:rPr>
            </w:pPr>
          </w:p>
        </w:tc>
        <w:tc>
          <w:tcPr>
            <w:tcW w:w="3034" w:type="dxa"/>
            <w:vAlign w:val="center"/>
          </w:tcPr>
          <w:p>
            <w:pPr>
              <w:tabs>
                <w:tab w:val="left" w:pos="1050"/>
              </w:tabs>
              <w:spacing w:line="240" w:lineRule="auto"/>
              <w:ind w:firstLine="0" w:firstLineChars="0"/>
              <w:jc w:val="center"/>
              <w:rPr>
                <w:szCs w:val="21"/>
              </w:rPr>
            </w:pPr>
            <w:r>
              <w:rPr>
                <w:sz w:val="21"/>
                <w:szCs w:val="21"/>
              </w:rPr>
              <w:t>公用设施用地</w:t>
            </w:r>
          </w:p>
        </w:tc>
        <w:tc>
          <w:tcPr>
            <w:tcW w:w="2321" w:type="dxa"/>
            <w:vAlign w:val="center"/>
          </w:tcPr>
          <w:p>
            <w:pPr>
              <w:tabs>
                <w:tab w:val="left" w:pos="1050"/>
              </w:tabs>
              <w:spacing w:line="240" w:lineRule="auto"/>
              <w:ind w:firstLine="0" w:firstLineChars="0"/>
              <w:jc w:val="center"/>
              <w:rPr>
                <w:sz w:val="21"/>
                <w:szCs w:val="21"/>
              </w:rPr>
            </w:pPr>
            <w:r>
              <w:rPr>
                <w:sz w:val="21"/>
                <w:szCs w:val="21"/>
              </w:rPr>
              <w:t>2.88</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1.48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9" w:hRule="atLeast"/>
        </w:trPr>
        <w:tc>
          <w:tcPr>
            <w:tcW w:w="1604" w:type="dxa"/>
            <w:vMerge w:val="continue"/>
            <w:vAlign w:val="center"/>
          </w:tcPr>
          <w:p>
            <w:pPr>
              <w:tabs>
                <w:tab w:val="left" w:pos="1050"/>
              </w:tabs>
              <w:spacing w:line="240" w:lineRule="auto"/>
              <w:ind w:firstLine="0" w:firstLineChars="0"/>
              <w:jc w:val="center"/>
              <w:rPr>
                <w:sz w:val="21"/>
                <w:szCs w:val="16"/>
              </w:rPr>
            </w:pPr>
          </w:p>
        </w:tc>
        <w:tc>
          <w:tcPr>
            <w:tcW w:w="3034" w:type="dxa"/>
            <w:vAlign w:val="center"/>
          </w:tcPr>
          <w:p>
            <w:pPr>
              <w:tabs>
                <w:tab w:val="left" w:pos="1050"/>
              </w:tabs>
              <w:spacing w:line="240" w:lineRule="auto"/>
              <w:ind w:firstLine="0" w:firstLineChars="0"/>
              <w:jc w:val="center"/>
            </w:pPr>
            <w:r>
              <w:rPr>
                <w:sz w:val="21"/>
                <w:szCs w:val="21"/>
              </w:rPr>
              <w:t>绿地与广场用地</w:t>
            </w:r>
          </w:p>
        </w:tc>
        <w:tc>
          <w:tcPr>
            <w:tcW w:w="2321" w:type="dxa"/>
            <w:vAlign w:val="center"/>
          </w:tcPr>
          <w:p>
            <w:pPr>
              <w:tabs>
                <w:tab w:val="left" w:pos="1050"/>
              </w:tabs>
              <w:spacing w:line="240" w:lineRule="auto"/>
              <w:ind w:firstLine="0" w:firstLineChars="0"/>
              <w:jc w:val="center"/>
              <w:rPr>
                <w:sz w:val="21"/>
                <w:szCs w:val="21"/>
              </w:rPr>
            </w:pPr>
            <w:r>
              <w:rPr>
                <w:sz w:val="21"/>
                <w:szCs w:val="21"/>
              </w:rPr>
              <w:t>13.88</w:t>
            </w:r>
          </w:p>
        </w:tc>
        <w:tc>
          <w:tcPr>
            <w:tcW w:w="1250" w:type="pct"/>
            <w:vAlign w:val="center"/>
          </w:tcPr>
          <w:p>
            <w:pPr>
              <w:tabs>
                <w:tab w:val="left" w:pos="1050"/>
              </w:tabs>
              <w:adjustRightInd w:val="0"/>
              <w:snapToGrid w:val="0"/>
              <w:spacing w:line="240" w:lineRule="auto"/>
              <w:ind w:firstLine="0" w:firstLineChars="0"/>
              <w:jc w:val="center"/>
              <w:rPr>
                <w:sz w:val="21"/>
                <w:szCs w:val="21"/>
              </w:rPr>
            </w:pPr>
            <w:r>
              <w:rPr>
                <w:sz w:val="21"/>
                <w:szCs w:val="21"/>
              </w:rPr>
              <w:t>9.78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3" w:hRule="atLeast"/>
        </w:trPr>
        <w:tc>
          <w:tcPr>
            <w:tcW w:w="1604" w:type="dxa"/>
            <w:vMerge w:val="continue"/>
            <w:vAlign w:val="center"/>
          </w:tcPr>
          <w:p>
            <w:pPr>
              <w:tabs>
                <w:tab w:val="left" w:pos="1050"/>
              </w:tabs>
              <w:spacing w:line="240" w:lineRule="auto"/>
              <w:ind w:firstLine="0" w:firstLineChars="0"/>
              <w:jc w:val="center"/>
              <w:rPr>
                <w:sz w:val="21"/>
                <w:szCs w:val="16"/>
              </w:rPr>
            </w:pPr>
          </w:p>
        </w:tc>
        <w:tc>
          <w:tcPr>
            <w:tcW w:w="3034" w:type="dxa"/>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2321" w:type="dxa"/>
            <w:vAlign w:val="center"/>
          </w:tcPr>
          <w:p>
            <w:pPr>
              <w:tabs>
                <w:tab w:val="left" w:pos="1050"/>
              </w:tabs>
              <w:spacing w:line="240" w:lineRule="auto"/>
              <w:ind w:firstLine="0" w:firstLineChars="0"/>
              <w:jc w:val="center"/>
              <w:rPr>
                <w:b/>
                <w:bCs/>
                <w:sz w:val="21"/>
                <w:szCs w:val="21"/>
              </w:rPr>
            </w:pPr>
            <w:r>
              <w:rPr>
                <w:b/>
                <w:bCs/>
                <w:sz w:val="21"/>
                <w:szCs w:val="21"/>
              </w:rPr>
              <w:t>383.62</w:t>
            </w:r>
          </w:p>
        </w:tc>
        <w:tc>
          <w:tcPr>
            <w:tcW w:w="1250" w:type="pct"/>
            <w:vAlign w:val="center"/>
          </w:tcPr>
          <w:p>
            <w:pPr>
              <w:tabs>
                <w:tab w:val="left" w:pos="1050"/>
              </w:tabs>
              <w:adjustRightInd w:val="0"/>
              <w:snapToGrid w:val="0"/>
              <w:spacing w:line="240" w:lineRule="auto"/>
              <w:ind w:firstLine="0" w:firstLineChars="0"/>
              <w:jc w:val="center"/>
              <w:rPr>
                <w:b/>
                <w:bCs/>
                <w:sz w:val="21"/>
                <w:szCs w:val="21"/>
              </w:rPr>
            </w:pPr>
            <w:r>
              <w:rPr>
                <w:b/>
                <w:bCs/>
                <w:sz w:val="21"/>
                <w:szCs w:val="21"/>
              </w:rPr>
              <w:t>255.86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9" w:hRule="atLeast"/>
        </w:trPr>
        <w:tc>
          <w:tcPr>
            <w:tcW w:w="2498" w:type="pct"/>
            <w:gridSpan w:val="2"/>
            <w:vAlign w:val="center"/>
          </w:tcPr>
          <w:p>
            <w:pPr>
              <w:pStyle w:val="53"/>
              <w:jc w:val="center"/>
              <w:rPr>
                <w:rFonts w:eastAsia="仿宋_GB2312"/>
                <w:b/>
                <w:bCs/>
              </w:rPr>
            </w:pPr>
            <w:r>
              <w:rPr>
                <w:rFonts w:eastAsia="仿宋_GB2312"/>
                <w:b/>
                <w:bCs/>
              </w:rPr>
              <w:t>合计</w:t>
            </w:r>
          </w:p>
        </w:tc>
        <w:tc>
          <w:tcPr>
            <w:tcW w:w="1250" w:type="pct"/>
            <w:vAlign w:val="center"/>
          </w:tcPr>
          <w:p>
            <w:pPr>
              <w:tabs>
                <w:tab w:val="left" w:pos="1050"/>
              </w:tabs>
              <w:adjustRightInd w:val="0"/>
              <w:snapToGrid w:val="0"/>
              <w:spacing w:line="240" w:lineRule="auto"/>
              <w:ind w:firstLine="0" w:firstLineChars="0"/>
              <w:jc w:val="center"/>
              <w:rPr>
                <w:b/>
                <w:bCs/>
                <w:sz w:val="21"/>
                <w:szCs w:val="21"/>
              </w:rPr>
            </w:pPr>
            <w:r>
              <w:rPr>
                <w:b/>
                <w:bCs/>
                <w:sz w:val="21"/>
                <w:szCs w:val="21"/>
              </w:rPr>
              <w:t>1129.18</w:t>
            </w:r>
          </w:p>
        </w:tc>
        <w:tc>
          <w:tcPr>
            <w:tcW w:w="1250" w:type="pct"/>
            <w:vAlign w:val="center"/>
          </w:tcPr>
          <w:p>
            <w:pPr>
              <w:tabs>
                <w:tab w:val="left" w:pos="1050"/>
              </w:tabs>
              <w:adjustRightInd w:val="0"/>
              <w:snapToGrid w:val="0"/>
              <w:spacing w:line="240" w:lineRule="auto"/>
              <w:ind w:firstLine="0" w:firstLineChars="0"/>
              <w:jc w:val="center"/>
              <w:rPr>
                <w:b/>
                <w:bCs/>
                <w:sz w:val="21"/>
                <w:szCs w:val="21"/>
              </w:rPr>
            </w:pPr>
            <w:r>
              <w:rPr>
                <w:b/>
                <w:bCs/>
                <w:sz w:val="21"/>
                <w:szCs w:val="21"/>
              </w:rPr>
              <w:t>566.57</w:t>
            </w:r>
          </w:p>
        </w:tc>
      </w:tr>
    </w:tbl>
    <w:p>
      <w:pPr>
        <w:pStyle w:val="6"/>
        <w:spacing w:beforeLines="50"/>
      </w:pPr>
      <w:r>
        <w:t>4.2.3废弃土（石、渣、灰、矸石、尾矿）量</w:t>
      </w:r>
    </w:p>
    <w:p>
      <w:pPr>
        <w:ind w:firstLine="480"/>
      </w:pPr>
      <w:r>
        <w:t>园区土石方总体上按内部平衡、不向外弃方的原则进行平衡。根据园区控规中的开发时序、道路高程、综合管线竖向规划布置、场平控制高程、原地形地貌等资料，园区土石方挖方总量为3012.45万m</w:t>
      </w:r>
      <w:r>
        <w:rPr>
          <w:vertAlign w:val="superscript"/>
        </w:rPr>
        <w:t>3</w:t>
      </w:r>
      <w:r>
        <w:t>（包含表土剥离</w:t>
      </w:r>
      <w:r>
        <w:rPr>
          <w:rFonts w:hint="eastAsia"/>
        </w:rPr>
        <w:t>165.35万m</w:t>
      </w:r>
      <w:r>
        <w:rPr>
          <w:vertAlign w:val="superscript"/>
        </w:rPr>
        <w:t>3</w:t>
      </w:r>
      <w:r>
        <w:t>），填方总量为3012.45万m</w:t>
      </w:r>
      <w:r>
        <w:rPr>
          <w:vertAlign w:val="superscript"/>
        </w:rPr>
        <w:t>3</w:t>
      </w:r>
      <w:r>
        <w:t>（含表土回覆</w:t>
      </w:r>
      <w:r>
        <w:rPr>
          <w:rFonts w:hint="eastAsia"/>
        </w:rPr>
        <w:t>165.35万m</w:t>
      </w:r>
      <w:r>
        <w:rPr>
          <w:vertAlign w:val="superscript"/>
        </w:rPr>
        <w:t>3</w:t>
      </w:r>
      <w:r>
        <w:t>），无余方、借方。上述土石方工程量未包含入驻企业项目施工的二次土石方挖填工程量。园区内部分地块项目存在余方、借方，将通过同期建设项目或园区规划的表土中转场、土石方中转场满足余方、借方中转需求，确保实现土石方园区内平衡、不出园区。</w:t>
      </w:r>
    </w:p>
    <w:p>
      <w:pPr>
        <w:pStyle w:val="5"/>
      </w:pPr>
      <w:bookmarkStart w:id="83" w:name="_Toc23804"/>
      <w:r>
        <w:t>4.3土壤流失量调查及预测</w:t>
      </w:r>
      <w:bookmarkEnd w:id="83"/>
    </w:p>
    <w:p>
      <w:pPr>
        <w:pStyle w:val="6"/>
        <w:rPr>
          <w:kern w:val="0"/>
        </w:rPr>
      </w:pPr>
      <w:r>
        <w:rPr>
          <w:kern w:val="0"/>
        </w:rPr>
        <w:t>4.3.1调查单元及调查时段</w:t>
      </w:r>
    </w:p>
    <w:p>
      <w:pPr>
        <w:pStyle w:val="2"/>
        <w:adjustRightInd w:val="0"/>
        <w:snapToGrid w:val="0"/>
        <w:spacing w:after="0"/>
        <w:ind w:firstLine="480" w:firstLineChars="200"/>
        <w:rPr>
          <w:sz w:val="24"/>
          <w:szCs w:val="24"/>
        </w:rPr>
      </w:pPr>
      <w:r>
        <w:rPr>
          <w:sz w:val="24"/>
          <w:szCs w:val="24"/>
        </w:rPr>
        <w:t>根据现场调查，园区内</w:t>
      </w:r>
      <w:r>
        <w:rPr>
          <w:kern w:val="0"/>
          <w:sz w:val="24"/>
          <w:szCs w:val="24"/>
        </w:rPr>
        <w:t>已建区占地59.0hm</w:t>
      </w:r>
      <w:r>
        <w:rPr>
          <w:kern w:val="0"/>
          <w:sz w:val="24"/>
          <w:szCs w:val="24"/>
          <w:vertAlign w:val="superscript"/>
        </w:rPr>
        <w:t>2</w:t>
      </w:r>
      <w:r>
        <w:rPr>
          <w:kern w:val="0"/>
          <w:sz w:val="24"/>
          <w:szCs w:val="24"/>
        </w:rPr>
        <w:t>、在建区占地368.72hm</w:t>
      </w:r>
      <w:r>
        <w:rPr>
          <w:kern w:val="0"/>
          <w:sz w:val="24"/>
          <w:szCs w:val="24"/>
          <w:vertAlign w:val="superscript"/>
        </w:rPr>
        <w:t>2</w:t>
      </w:r>
      <w:r>
        <w:rPr>
          <w:sz w:val="24"/>
          <w:szCs w:val="24"/>
        </w:rPr>
        <w:t>。已开工建设区域施工期调查时段主要通过参考已建成的同类型项目的施工工期，工业用地施工期调查时间按2.5年计，道路与交通设施用地、公用设施用地、绿地与广场用地施工期调查时间均按2年计。根据《生产建设项目水土保持技术标准》（GB50433-2018），区域属于湿润区，各单元自然恢复期按2年计算。</w:t>
      </w:r>
    </w:p>
    <w:p>
      <w:pPr>
        <w:pStyle w:val="2"/>
        <w:adjustRightInd w:val="0"/>
        <w:snapToGrid w:val="0"/>
        <w:spacing w:after="0"/>
        <w:ind w:firstLine="480" w:firstLineChars="200"/>
        <w:rPr>
          <w:sz w:val="24"/>
          <w:szCs w:val="24"/>
        </w:rPr>
      </w:pPr>
      <w:r>
        <w:rPr>
          <w:sz w:val="24"/>
          <w:szCs w:val="24"/>
        </w:rPr>
        <w:t>本报告对已开工建设区域土壤流失量采用调查分析法进行水土流失调查，项目土壤流失调查单元、时段及面积详见表4.3-1。</w:t>
      </w:r>
    </w:p>
    <w:p>
      <w:pPr>
        <w:adjustRightInd w:val="0"/>
        <w:snapToGrid w:val="0"/>
        <w:ind w:firstLine="0" w:firstLineChars="0"/>
        <w:jc w:val="center"/>
      </w:pPr>
      <w:r>
        <w:rPr>
          <w:b/>
          <w:bCs/>
        </w:rPr>
        <w:t>表4.3-1土壤流失调查单元、时段及面积一览表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012"/>
        <w:gridCol w:w="2476"/>
        <w:gridCol w:w="1448"/>
        <w:gridCol w:w="1448"/>
        <w:gridCol w:w="1448"/>
        <w:gridCol w:w="144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Merge w:val="restart"/>
            <w:vAlign w:val="center"/>
          </w:tcPr>
          <w:p>
            <w:pPr>
              <w:adjustRightInd w:val="0"/>
              <w:snapToGrid w:val="0"/>
              <w:spacing w:line="240" w:lineRule="auto"/>
              <w:ind w:firstLine="0" w:firstLineChars="0"/>
              <w:jc w:val="center"/>
              <w:rPr>
                <w:b/>
                <w:bCs/>
                <w:sz w:val="21"/>
                <w:szCs w:val="21"/>
              </w:rPr>
            </w:pPr>
            <w:r>
              <w:rPr>
                <w:b/>
                <w:bCs/>
                <w:sz w:val="21"/>
                <w:szCs w:val="21"/>
              </w:rPr>
              <w:t>项目组成</w:t>
            </w:r>
          </w:p>
        </w:tc>
        <w:tc>
          <w:tcPr>
            <w:tcW w:w="3120" w:type="pct"/>
            <w:gridSpan w:val="4"/>
            <w:vAlign w:val="center"/>
          </w:tcPr>
          <w:p>
            <w:pPr>
              <w:adjustRightInd w:val="0"/>
              <w:snapToGrid w:val="0"/>
              <w:spacing w:line="240" w:lineRule="auto"/>
              <w:ind w:firstLine="0" w:firstLineChars="0"/>
              <w:jc w:val="center"/>
              <w:rPr>
                <w:b/>
                <w:bCs/>
                <w:sz w:val="21"/>
                <w:szCs w:val="21"/>
              </w:rPr>
            </w:pPr>
            <w:r>
              <w:rPr>
                <w:b/>
                <w:bCs/>
                <w:sz w:val="21"/>
                <w:szCs w:val="21"/>
              </w:rPr>
              <w:t>调查时段及面积</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Merge w:val="continue"/>
            <w:vAlign w:val="center"/>
          </w:tcPr>
          <w:p>
            <w:pPr>
              <w:adjustRightInd w:val="0"/>
              <w:snapToGrid w:val="0"/>
              <w:spacing w:line="240" w:lineRule="auto"/>
              <w:ind w:firstLine="0" w:firstLineChars="0"/>
              <w:jc w:val="center"/>
              <w:rPr>
                <w:b/>
                <w:bCs/>
                <w:sz w:val="21"/>
                <w:szCs w:val="21"/>
              </w:rPr>
            </w:pPr>
          </w:p>
        </w:tc>
        <w:tc>
          <w:tcPr>
            <w:tcW w:w="1560" w:type="pct"/>
            <w:gridSpan w:val="2"/>
            <w:vAlign w:val="center"/>
          </w:tcPr>
          <w:p>
            <w:pPr>
              <w:adjustRightInd w:val="0"/>
              <w:snapToGrid w:val="0"/>
              <w:spacing w:line="240" w:lineRule="auto"/>
              <w:ind w:firstLine="0" w:firstLineChars="0"/>
              <w:jc w:val="center"/>
              <w:rPr>
                <w:b/>
                <w:bCs/>
                <w:sz w:val="21"/>
                <w:szCs w:val="21"/>
              </w:rPr>
            </w:pPr>
            <w:r>
              <w:rPr>
                <w:b/>
                <w:bCs/>
                <w:sz w:val="21"/>
                <w:szCs w:val="21"/>
              </w:rPr>
              <w:t>施工期</w:t>
            </w:r>
          </w:p>
        </w:tc>
        <w:tc>
          <w:tcPr>
            <w:tcW w:w="1560" w:type="pct"/>
            <w:gridSpan w:val="2"/>
            <w:vAlign w:val="center"/>
          </w:tcPr>
          <w:p>
            <w:pPr>
              <w:adjustRightInd w:val="0"/>
              <w:snapToGrid w:val="0"/>
              <w:spacing w:line="240" w:lineRule="auto"/>
              <w:ind w:firstLine="0" w:firstLineChars="0"/>
              <w:jc w:val="center"/>
              <w:rPr>
                <w:b/>
                <w:bCs/>
                <w:sz w:val="21"/>
                <w:szCs w:val="21"/>
              </w:rPr>
            </w:pPr>
            <w:r>
              <w:rPr>
                <w:b/>
                <w:bCs/>
                <w:sz w:val="21"/>
                <w:szCs w:val="21"/>
              </w:rPr>
              <w:t>自然恢复期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Merge w:val="continue"/>
            <w:vAlign w:val="center"/>
          </w:tcPr>
          <w:p>
            <w:pPr>
              <w:adjustRightInd w:val="0"/>
              <w:snapToGrid w:val="0"/>
              <w:spacing w:line="240" w:lineRule="auto"/>
              <w:ind w:firstLine="0" w:firstLineChars="0"/>
              <w:jc w:val="center"/>
              <w:rPr>
                <w:b/>
                <w:bCs/>
                <w:sz w:val="21"/>
                <w:szCs w:val="21"/>
              </w:rPr>
            </w:pP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调查时段（a）</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调查时段（a）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545" w:type="pct"/>
            <w:vMerge w:val="restart"/>
            <w:vAlign w:val="center"/>
          </w:tcPr>
          <w:p>
            <w:pPr>
              <w:adjustRightInd w:val="0"/>
              <w:snapToGrid w:val="0"/>
              <w:spacing w:line="240" w:lineRule="auto"/>
              <w:ind w:firstLine="0" w:firstLineChars="0"/>
              <w:jc w:val="center"/>
              <w:rPr>
                <w:sz w:val="21"/>
                <w:szCs w:val="21"/>
              </w:rPr>
            </w:pPr>
            <w:r>
              <w:rPr>
                <w:sz w:val="21"/>
                <w:szCs w:val="21"/>
              </w:rPr>
              <w:t>近期建设区</w:t>
            </w:r>
          </w:p>
        </w:tc>
        <w:tc>
          <w:tcPr>
            <w:tcW w:w="1334" w:type="pct"/>
            <w:vAlign w:val="center"/>
          </w:tcPr>
          <w:p>
            <w:pPr>
              <w:tabs>
                <w:tab w:val="left" w:pos="1050"/>
              </w:tabs>
              <w:spacing w:line="240" w:lineRule="auto"/>
              <w:ind w:firstLine="0" w:firstLineChars="0"/>
              <w:jc w:val="center"/>
              <w:rPr>
                <w:sz w:val="21"/>
                <w:szCs w:val="21"/>
              </w:rPr>
            </w:pPr>
            <w:r>
              <w:rPr>
                <w:sz w:val="21"/>
                <w:szCs w:val="21"/>
              </w:rPr>
              <w:t>工业用地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353.05</w:t>
            </w:r>
          </w:p>
        </w:tc>
        <w:tc>
          <w:tcPr>
            <w:tcW w:w="780" w:type="pct"/>
            <w:vAlign w:val="center"/>
          </w:tcPr>
          <w:p>
            <w:pPr>
              <w:adjustRightInd w:val="0"/>
              <w:snapToGrid w:val="0"/>
              <w:spacing w:line="240" w:lineRule="auto"/>
              <w:ind w:firstLine="0" w:firstLineChars="0"/>
              <w:jc w:val="center"/>
              <w:rPr>
                <w:sz w:val="21"/>
                <w:szCs w:val="21"/>
              </w:rPr>
            </w:pPr>
            <w:r>
              <w:rPr>
                <w:sz w:val="21"/>
                <w:szCs w:val="21"/>
              </w:rPr>
              <w:t>2.50</w:t>
            </w:r>
          </w:p>
        </w:tc>
        <w:tc>
          <w:tcPr>
            <w:tcW w:w="780" w:type="pct"/>
            <w:vAlign w:val="center"/>
          </w:tcPr>
          <w:p>
            <w:pPr>
              <w:adjustRightInd w:val="0"/>
              <w:snapToGrid w:val="0"/>
              <w:spacing w:line="240" w:lineRule="auto"/>
              <w:ind w:firstLine="0" w:firstLineChars="0"/>
              <w:jc w:val="center"/>
              <w:rPr>
                <w:sz w:val="21"/>
                <w:szCs w:val="21"/>
              </w:rPr>
            </w:pPr>
            <w:r>
              <w:rPr>
                <w:sz w:val="21"/>
                <w:szCs w:val="21"/>
              </w:rPr>
              <w:t>30.88</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7" w:hRule="atLeast"/>
        </w:trPr>
        <w:tc>
          <w:tcPr>
            <w:tcW w:w="545" w:type="pct"/>
            <w:vMerge w:val="continue"/>
            <w:vAlign w:val="center"/>
          </w:tcPr>
          <w:p>
            <w:pPr>
              <w:adjustRightInd w:val="0"/>
              <w:snapToGrid w:val="0"/>
              <w:spacing w:line="240" w:lineRule="auto"/>
              <w:ind w:firstLine="0" w:firstLineChars="0"/>
              <w:jc w:val="center"/>
              <w:rPr>
                <w:sz w:val="21"/>
                <w:szCs w:val="21"/>
              </w:rPr>
            </w:pPr>
          </w:p>
        </w:tc>
        <w:tc>
          <w:tcPr>
            <w:tcW w:w="1334"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47.72</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780" w:type="pct"/>
            <w:vAlign w:val="center"/>
          </w:tcPr>
          <w:p>
            <w:pPr>
              <w:adjustRightInd w:val="0"/>
              <w:snapToGrid w:val="0"/>
              <w:spacing w:line="240" w:lineRule="auto"/>
              <w:ind w:firstLine="0" w:firstLineChars="0"/>
              <w:jc w:val="center"/>
              <w:rPr>
                <w:sz w:val="21"/>
                <w:szCs w:val="21"/>
              </w:rPr>
            </w:pPr>
            <w:r>
              <w:rPr>
                <w:sz w:val="21"/>
                <w:szCs w:val="21"/>
              </w:rPr>
              <w:t>0.07</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1" w:hRule="atLeast"/>
        </w:trPr>
        <w:tc>
          <w:tcPr>
            <w:tcW w:w="545" w:type="pct"/>
            <w:vMerge w:val="continue"/>
            <w:vAlign w:val="center"/>
          </w:tcPr>
          <w:p>
            <w:pPr>
              <w:pStyle w:val="53"/>
              <w:jc w:val="center"/>
              <w:rPr>
                <w:rFonts w:eastAsia="仿宋_GB2312"/>
              </w:rPr>
            </w:pPr>
          </w:p>
        </w:tc>
        <w:tc>
          <w:tcPr>
            <w:tcW w:w="1334"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8.15</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780" w:type="pct"/>
            <w:vAlign w:val="center"/>
          </w:tcPr>
          <w:p>
            <w:pPr>
              <w:adjustRightInd w:val="0"/>
              <w:snapToGrid w:val="0"/>
              <w:spacing w:line="240" w:lineRule="auto"/>
              <w:ind w:firstLine="0" w:firstLineChars="0"/>
              <w:jc w:val="center"/>
              <w:rPr>
                <w:sz w:val="21"/>
                <w:szCs w:val="21"/>
              </w:rPr>
            </w:pPr>
          </w:p>
        </w:tc>
        <w:tc>
          <w:tcPr>
            <w:tcW w:w="780" w:type="pct"/>
            <w:vAlign w:val="center"/>
          </w:tcPr>
          <w:p>
            <w:pPr>
              <w:adjustRightInd w:val="0"/>
              <w:snapToGrid w:val="0"/>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0" w:hRule="atLeast"/>
        </w:trPr>
        <w:tc>
          <w:tcPr>
            <w:tcW w:w="545" w:type="pct"/>
            <w:vMerge w:val="continue"/>
            <w:vAlign w:val="center"/>
          </w:tcPr>
          <w:p>
            <w:pPr>
              <w:pStyle w:val="53"/>
              <w:jc w:val="center"/>
              <w:rPr>
                <w:rFonts w:eastAsia="仿宋_GB2312"/>
              </w:rPr>
            </w:pPr>
          </w:p>
        </w:tc>
        <w:tc>
          <w:tcPr>
            <w:tcW w:w="1334"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18.80</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780" w:type="pct"/>
            <w:vAlign w:val="center"/>
          </w:tcPr>
          <w:p>
            <w:pPr>
              <w:adjustRightInd w:val="0"/>
              <w:snapToGrid w:val="0"/>
              <w:spacing w:line="240" w:lineRule="auto"/>
              <w:ind w:firstLine="0" w:firstLineChars="0"/>
              <w:jc w:val="center"/>
              <w:rPr>
                <w:sz w:val="21"/>
                <w:szCs w:val="21"/>
              </w:rPr>
            </w:pPr>
            <w:r>
              <w:rPr>
                <w:sz w:val="21"/>
                <w:szCs w:val="21"/>
              </w:rPr>
              <w:t>18.80</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Align w:val="center"/>
          </w:tcPr>
          <w:p>
            <w:pPr>
              <w:pStyle w:val="53"/>
              <w:jc w:val="center"/>
              <w:rPr>
                <w:rFonts w:eastAsia="仿宋_GB2312"/>
                <w:b/>
                <w:bCs/>
              </w:rPr>
            </w:pPr>
            <w:r>
              <w:rPr>
                <w:rFonts w:eastAsia="仿宋_GB2312"/>
                <w:b/>
                <w:bCs/>
              </w:rPr>
              <w:t>合计</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427.72</w:t>
            </w:r>
          </w:p>
        </w:tc>
        <w:tc>
          <w:tcPr>
            <w:tcW w:w="780" w:type="pct"/>
            <w:vAlign w:val="center"/>
          </w:tcPr>
          <w:p>
            <w:pPr>
              <w:adjustRightInd w:val="0"/>
              <w:snapToGrid w:val="0"/>
              <w:spacing w:line="240" w:lineRule="auto"/>
              <w:ind w:firstLine="0" w:firstLineChars="0"/>
              <w:jc w:val="center"/>
              <w:rPr>
                <w:b/>
                <w:bCs/>
                <w:sz w:val="21"/>
                <w:szCs w:val="21"/>
              </w:rPr>
            </w:pP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49.75</w:t>
            </w:r>
          </w:p>
        </w:tc>
        <w:tc>
          <w:tcPr>
            <w:tcW w:w="780" w:type="pct"/>
            <w:vAlign w:val="center"/>
          </w:tcPr>
          <w:p>
            <w:pPr>
              <w:adjustRightInd w:val="0"/>
              <w:snapToGrid w:val="0"/>
              <w:spacing w:line="240" w:lineRule="auto"/>
              <w:ind w:firstLine="0" w:firstLineChars="0"/>
              <w:jc w:val="center"/>
              <w:rPr>
                <w:b/>
                <w:bCs/>
                <w:sz w:val="21"/>
                <w:szCs w:val="21"/>
              </w:rPr>
            </w:pPr>
          </w:p>
        </w:tc>
      </w:tr>
    </w:tbl>
    <w:p>
      <w:pPr>
        <w:pStyle w:val="6"/>
        <w:spacing w:beforeLines="50"/>
        <w:rPr>
          <w:kern w:val="0"/>
        </w:rPr>
      </w:pPr>
      <w:r>
        <w:rPr>
          <w:kern w:val="0"/>
        </w:rPr>
        <w:t>4.3.2预测单元及预测时段</w:t>
      </w:r>
    </w:p>
    <w:p>
      <w:pPr>
        <w:pStyle w:val="2"/>
        <w:adjustRightInd w:val="0"/>
        <w:snapToGrid w:val="0"/>
        <w:spacing w:after="0"/>
        <w:ind w:firstLine="480" w:firstLineChars="200"/>
        <w:rPr>
          <w:sz w:val="24"/>
          <w:szCs w:val="24"/>
        </w:rPr>
      </w:pPr>
      <w:r>
        <w:rPr>
          <w:sz w:val="24"/>
          <w:szCs w:val="24"/>
        </w:rPr>
        <w:t>目前待建项目大部分地块尚未出让，而且部分项目还需要通过招商引资，因此很多项目不能确定开工及完工时间，本报告根据园区总体规划，并参考园区内已建成项目的施工进度，估算项目预测时间，工业用地施工期预测时间按2.5年计，道路与交通设施用地、公用设施用地、绿地与广场用地施工期预测时间均按2.0年计，土石方中转场及表土中转场施工期预测时间均按3.0年计。根据《生产建设项目水土保持技术标准》（GB50433-2018），区域属于湿润区，各单元自然恢复期按2年计算。</w:t>
      </w:r>
    </w:p>
    <w:p>
      <w:pPr>
        <w:ind w:firstLine="480"/>
        <w:rPr>
          <w:szCs w:val="24"/>
        </w:rPr>
      </w:pPr>
      <w:r>
        <w:rPr>
          <w:szCs w:val="24"/>
        </w:rPr>
        <w:t>本报告对未开工区域土壤流失量采用预测分析法进行水土流失预测，项目土壤流失有预测单元、时段及面积详见表4.3-2。</w:t>
      </w:r>
    </w:p>
    <w:p>
      <w:pPr>
        <w:adjustRightInd w:val="0"/>
        <w:snapToGrid w:val="0"/>
        <w:ind w:firstLine="482"/>
        <w:jc w:val="center"/>
        <w:rPr>
          <w:vertAlign w:val="superscript"/>
        </w:rPr>
      </w:pPr>
      <w:r>
        <w:rPr>
          <w:b/>
          <w:bCs/>
        </w:rPr>
        <w:t>表4.3-2土壤流失预测单元、时段及面积一览表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296"/>
        <w:gridCol w:w="2192"/>
        <w:gridCol w:w="1448"/>
        <w:gridCol w:w="1448"/>
        <w:gridCol w:w="1448"/>
        <w:gridCol w:w="144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Merge w:val="restart"/>
            <w:vAlign w:val="center"/>
          </w:tcPr>
          <w:p>
            <w:pPr>
              <w:adjustRightInd w:val="0"/>
              <w:snapToGrid w:val="0"/>
              <w:spacing w:line="240" w:lineRule="auto"/>
              <w:ind w:firstLine="0" w:firstLineChars="0"/>
              <w:jc w:val="center"/>
              <w:rPr>
                <w:b/>
                <w:bCs/>
                <w:sz w:val="21"/>
                <w:szCs w:val="21"/>
              </w:rPr>
            </w:pPr>
            <w:r>
              <w:rPr>
                <w:b/>
                <w:bCs/>
                <w:sz w:val="21"/>
                <w:szCs w:val="21"/>
              </w:rPr>
              <w:t>项目组成</w:t>
            </w:r>
          </w:p>
        </w:tc>
        <w:tc>
          <w:tcPr>
            <w:tcW w:w="3120" w:type="pct"/>
            <w:gridSpan w:val="4"/>
            <w:vAlign w:val="center"/>
          </w:tcPr>
          <w:p>
            <w:pPr>
              <w:adjustRightInd w:val="0"/>
              <w:snapToGrid w:val="0"/>
              <w:spacing w:line="240" w:lineRule="auto"/>
              <w:ind w:firstLine="0" w:firstLineChars="0"/>
              <w:jc w:val="center"/>
              <w:rPr>
                <w:b/>
                <w:bCs/>
                <w:sz w:val="21"/>
                <w:szCs w:val="21"/>
              </w:rPr>
            </w:pPr>
            <w:r>
              <w:rPr>
                <w:b/>
                <w:bCs/>
                <w:sz w:val="21"/>
                <w:szCs w:val="21"/>
              </w:rPr>
              <w:t>预测时段及面积</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Merge w:val="continue"/>
            <w:vAlign w:val="center"/>
          </w:tcPr>
          <w:p>
            <w:pPr>
              <w:adjustRightInd w:val="0"/>
              <w:snapToGrid w:val="0"/>
              <w:spacing w:line="240" w:lineRule="auto"/>
              <w:ind w:firstLine="0" w:firstLineChars="0"/>
              <w:jc w:val="center"/>
              <w:rPr>
                <w:b/>
                <w:bCs/>
                <w:sz w:val="21"/>
                <w:szCs w:val="21"/>
              </w:rPr>
            </w:pPr>
          </w:p>
        </w:tc>
        <w:tc>
          <w:tcPr>
            <w:tcW w:w="1560" w:type="pct"/>
            <w:gridSpan w:val="2"/>
            <w:vAlign w:val="center"/>
          </w:tcPr>
          <w:p>
            <w:pPr>
              <w:adjustRightInd w:val="0"/>
              <w:snapToGrid w:val="0"/>
              <w:spacing w:line="240" w:lineRule="auto"/>
              <w:ind w:firstLine="0" w:firstLineChars="0"/>
              <w:jc w:val="center"/>
              <w:rPr>
                <w:b/>
                <w:bCs/>
                <w:sz w:val="21"/>
                <w:szCs w:val="21"/>
              </w:rPr>
            </w:pPr>
            <w:r>
              <w:rPr>
                <w:b/>
                <w:bCs/>
                <w:sz w:val="21"/>
                <w:szCs w:val="21"/>
              </w:rPr>
              <w:t>施工期</w:t>
            </w:r>
          </w:p>
        </w:tc>
        <w:tc>
          <w:tcPr>
            <w:tcW w:w="1560" w:type="pct"/>
            <w:gridSpan w:val="2"/>
            <w:vAlign w:val="center"/>
          </w:tcPr>
          <w:p>
            <w:pPr>
              <w:adjustRightInd w:val="0"/>
              <w:snapToGrid w:val="0"/>
              <w:spacing w:line="240" w:lineRule="auto"/>
              <w:ind w:firstLine="0" w:firstLineChars="0"/>
              <w:jc w:val="center"/>
              <w:rPr>
                <w:b/>
                <w:bCs/>
                <w:sz w:val="21"/>
                <w:szCs w:val="21"/>
              </w:rPr>
            </w:pPr>
            <w:r>
              <w:rPr>
                <w:b/>
                <w:bCs/>
                <w:sz w:val="21"/>
                <w:szCs w:val="21"/>
              </w:rPr>
              <w:t>自然恢复期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Merge w:val="continue"/>
            <w:vAlign w:val="center"/>
          </w:tcPr>
          <w:p>
            <w:pPr>
              <w:adjustRightInd w:val="0"/>
              <w:snapToGrid w:val="0"/>
              <w:spacing w:line="240" w:lineRule="auto"/>
              <w:ind w:firstLine="0" w:firstLineChars="0"/>
              <w:jc w:val="center"/>
              <w:rPr>
                <w:b/>
                <w:bCs/>
                <w:sz w:val="21"/>
                <w:szCs w:val="21"/>
              </w:rPr>
            </w:pP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预测时段（a）</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预测时段（a）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4" w:hRule="atLeast"/>
        </w:trPr>
        <w:tc>
          <w:tcPr>
            <w:tcW w:w="698" w:type="pct"/>
            <w:vMerge w:val="restart"/>
            <w:vAlign w:val="center"/>
          </w:tcPr>
          <w:p>
            <w:pPr>
              <w:adjustRightInd w:val="0"/>
              <w:snapToGrid w:val="0"/>
              <w:spacing w:line="240" w:lineRule="auto"/>
              <w:ind w:firstLine="0" w:firstLineChars="0"/>
              <w:jc w:val="center"/>
              <w:rPr>
                <w:sz w:val="21"/>
                <w:szCs w:val="21"/>
              </w:rPr>
            </w:pPr>
            <w:r>
              <w:rPr>
                <w:sz w:val="21"/>
                <w:szCs w:val="21"/>
              </w:rPr>
              <w:t>近期建设区</w:t>
            </w:r>
          </w:p>
        </w:tc>
        <w:tc>
          <w:tcPr>
            <w:tcW w:w="1181" w:type="pct"/>
            <w:vAlign w:val="center"/>
          </w:tcPr>
          <w:p>
            <w:pPr>
              <w:tabs>
                <w:tab w:val="left" w:pos="1050"/>
              </w:tabs>
              <w:spacing w:line="240" w:lineRule="auto"/>
              <w:ind w:firstLine="0" w:firstLineChars="0"/>
              <w:jc w:val="center"/>
              <w:rPr>
                <w:sz w:val="21"/>
                <w:szCs w:val="21"/>
              </w:rPr>
            </w:pPr>
            <w:r>
              <w:rPr>
                <w:sz w:val="21"/>
                <w:szCs w:val="21"/>
              </w:rPr>
              <w:t>工业用地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245.59</w:t>
            </w:r>
          </w:p>
        </w:tc>
        <w:tc>
          <w:tcPr>
            <w:tcW w:w="780" w:type="pct"/>
            <w:vAlign w:val="center"/>
          </w:tcPr>
          <w:p>
            <w:pPr>
              <w:adjustRightInd w:val="0"/>
              <w:snapToGrid w:val="0"/>
              <w:spacing w:line="240" w:lineRule="auto"/>
              <w:ind w:firstLine="0" w:firstLineChars="0"/>
              <w:jc w:val="center"/>
              <w:rPr>
                <w:sz w:val="21"/>
                <w:szCs w:val="21"/>
              </w:rPr>
            </w:pPr>
            <w:r>
              <w:rPr>
                <w:sz w:val="21"/>
                <w:szCs w:val="21"/>
              </w:rPr>
              <w:t>2.50</w:t>
            </w:r>
          </w:p>
        </w:tc>
        <w:tc>
          <w:tcPr>
            <w:tcW w:w="1448" w:type="dxa"/>
            <w:vAlign w:val="center"/>
          </w:tcPr>
          <w:p>
            <w:pPr>
              <w:adjustRightInd w:val="0"/>
              <w:snapToGrid w:val="0"/>
              <w:spacing w:line="240" w:lineRule="auto"/>
              <w:ind w:firstLine="0" w:firstLineChars="0"/>
              <w:jc w:val="center"/>
              <w:rPr>
                <w:sz w:val="21"/>
                <w:szCs w:val="21"/>
              </w:rPr>
            </w:pPr>
            <w:r>
              <w:rPr>
                <w:sz w:val="21"/>
                <w:szCs w:val="21"/>
              </w:rPr>
              <w:t>38.71</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7" w:hRule="atLeast"/>
        </w:trPr>
        <w:tc>
          <w:tcPr>
            <w:tcW w:w="698" w:type="pct"/>
            <w:vMerge w:val="continue"/>
            <w:vAlign w:val="center"/>
          </w:tcPr>
          <w:p>
            <w:pPr>
              <w:adjustRightInd w:val="0"/>
              <w:snapToGrid w:val="0"/>
              <w:spacing w:line="240" w:lineRule="auto"/>
              <w:ind w:firstLine="0" w:firstLineChars="0"/>
              <w:jc w:val="center"/>
              <w:rPr>
                <w:sz w:val="21"/>
                <w:szCs w:val="21"/>
              </w:rPr>
            </w:pPr>
          </w:p>
        </w:tc>
        <w:tc>
          <w:tcPr>
            <w:tcW w:w="1181"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26.17</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1448" w:type="dxa"/>
            <w:vAlign w:val="center"/>
          </w:tcPr>
          <w:p>
            <w:pPr>
              <w:adjustRightInd w:val="0"/>
              <w:snapToGrid w:val="0"/>
              <w:spacing w:line="240" w:lineRule="auto"/>
              <w:ind w:firstLine="0" w:firstLineChars="0"/>
              <w:jc w:val="center"/>
              <w:rPr>
                <w:sz w:val="21"/>
                <w:szCs w:val="21"/>
              </w:rPr>
            </w:pPr>
            <w:r>
              <w:rPr>
                <w:sz w:val="21"/>
                <w:szCs w:val="21"/>
              </w:rPr>
              <w:t>4.74</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1"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23.31</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1448" w:type="dxa"/>
            <w:vAlign w:val="center"/>
          </w:tcPr>
          <w:p>
            <w:pPr>
              <w:adjustRightInd w:val="0"/>
              <w:snapToGrid w:val="0"/>
              <w:spacing w:line="240" w:lineRule="auto"/>
              <w:ind w:firstLine="0" w:firstLineChars="0"/>
              <w:jc w:val="center"/>
              <w:rPr>
                <w:sz w:val="21"/>
                <w:szCs w:val="21"/>
              </w:rPr>
            </w:pPr>
            <w:r>
              <w:rPr>
                <w:sz w:val="21"/>
                <w:szCs w:val="21"/>
              </w:rPr>
              <w:t>4.89</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6"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780" w:type="pct"/>
            <w:vAlign w:val="center"/>
          </w:tcPr>
          <w:p>
            <w:pPr>
              <w:adjustRightInd w:val="0"/>
              <w:snapToGrid w:val="0"/>
              <w:spacing w:line="240" w:lineRule="auto"/>
              <w:ind w:firstLine="0" w:firstLineChars="0"/>
              <w:jc w:val="center"/>
              <w:rPr>
                <w:sz w:val="21"/>
                <w:szCs w:val="21"/>
              </w:rPr>
            </w:pPr>
            <w:r>
              <w:rPr>
                <w:sz w:val="21"/>
                <w:szCs w:val="21"/>
              </w:rPr>
              <w:t>22.77</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1448" w:type="dxa"/>
            <w:vAlign w:val="center"/>
          </w:tcPr>
          <w:p>
            <w:pPr>
              <w:adjustRightInd w:val="0"/>
              <w:snapToGrid w:val="0"/>
              <w:spacing w:line="240" w:lineRule="auto"/>
              <w:ind w:firstLine="0" w:firstLineChars="0"/>
              <w:jc w:val="center"/>
              <w:rPr>
                <w:sz w:val="21"/>
                <w:szCs w:val="21"/>
              </w:rPr>
            </w:pPr>
            <w:r>
              <w:rPr>
                <w:sz w:val="21"/>
                <w:szCs w:val="21"/>
              </w:rPr>
              <w:t>22.77</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9"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317.84</w:t>
            </w:r>
          </w:p>
        </w:tc>
        <w:tc>
          <w:tcPr>
            <w:tcW w:w="780" w:type="pct"/>
            <w:vAlign w:val="center"/>
          </w:tcPr>
          <w:p>
            <w:pPr>
              <w:adjustRightInd w:val="0"/>
              <w:snapToGrid w:val="0"/>
              <w:spacing w:line="240" w:lineRule="auto"/>
              <w:ind w:firstLine="0" w:firstLineChars="0"/>
              <w:jc w:val="center"/>
              <w:rPr>
                <w:b/>
                <w:bCs/>
                <w:sz w:val="21"/>
                <w:szCs w:val="21"/>
              </w:rPr>
            </w:pP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71.11</w:t>
            </w:r>
          </w:p>
        </w:tc>
        <w:tc>
          <w:tcPr>
            <w:tcW w:w="780" w:type="pct"/>
            <w:vAlign w:val="center"/>
          </w:tcPr>
          <w:p>
            <w:pPr>
              <w:adjustRightInd w:val="0"/>
              <w:snapToGrid w:val="0"/>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698" w:type="pct"/>
            <w:vMerge w:val="restart"/>
            <w:vAlign w:val="center"/>
          </w:tcPr>
          <w:p>
            <w:pPr>
              <w:pStyle w:val="53"/>
              <w:jc w:val="center"/>
              <w:rPr>
                <w:rFonts w:eastAsia="仿宋_GB2312"/>
              </w:rPr>
            </w:pPr>
            <w:r>
              <w:rPr>
                <w:rFonts w:eastAsia="仿宋_GB2312"/>
              </w:rPr>
              <w:t>远期建设区</w:t>
            </w:r>
          </w:p>
        </w:tc>
        <w:tc>
          <w:tcPr>
            <w:tcW w:w="1181" w:type="pct"/>
            <w:vAlign w:val="center"/>
          </w:tcPr>
          <w:p>
            <w:pPr>
              <w:tabs>
                <w:tab w:val="left" w:pos="1050"/>
              </w:tabs>
              <w:spacing w:line="240" w:lineRule="auto"/>
              <w:ind w:firstLine="0" w:firstLineChars="0"/>
              <w:jc w:val="center"/>
              <w:rPr>
                <w:sz w:val="21"/>
                <w:szCs w:val="21"/>
              </w:rPr>
            </w:pPr>
            <w:r>
              <w:rPr>
                <w:sz w:val="21"/>
                <w:szCs w:val="21"/>
              </w:rPr>
              <w:t>工业用地</w:t>
            </w:r>
          </w:p>
        </w:tc>
        <w:tc>
          <w:tcPr>
            <w:tcW w:w="780" w:type="pct"/>
            <w:vAlign w:val="center"/>
          </w:tcPr>
          <w:p>
            <w:pPr>
              <w:tabs>
                <w:tab w:val="left" w:pos="1050"/>
              </w:tabs>
              <w:spacing w:line="240" w:lineRule="auto"/>
              <w:ind w:firstLine="0" w:firstLineChars="0"/>
              <w:jc w:val="center"/>
              <w:rPr>
                <w:sz w:val="21"/>
                <w:szCs w:val="21"/>
              </w:rPr>
            </w:pPr>
            <w:r>
              <w:rPr>
                <w:sz w:val="21"/>
                <w:szCs w:val="21"/>
              </w:rPr>
              <w:t>359.16</w:t>
            </w:r>
          </w:p>
        </w:tc>
        <w:tc>
          <w:tcPr>
            <w:tcW w:w="780" w:type="pct"/>
            <w:vAlign w:val="center"/>
          </w:tcPr>
          <w:p>
            <w:pPr>
              <w:adjustRightInd w:val="0"/>
              <w:snapToGrid w:val="0"/>
              <w:spacing w:line="240" w:lineRule="auto"/>
              <w:ind w:firstLine="0" w:firstLineChars="0"/>
              <w:jc w:val="center"/>
              <w:rPr>
                <w:sz w:val="21"/>
                <w:szCs w:val="21"/>
              </w:rPr>
            </w:pPr>
            <w:r>
              <w:rPr>
                <w:sz w:val="21"/>
                <w:szCs w:val="21"/>
              </w:rPr>
              <w:t>2.50</w:t>
            </w:r>
          </w:p>
        </w:tc>
        <w:tc>
          <w:tcPr>
            <w:tcW w:w="780" w:type="pct"/>
            <w:vAlign w:val="center"/>
          </w:tcPr>
          <w:p>
            <w:pPr>
              <w:adjustRightInd w:val="0"/>
              <w:snapToGrid w:val="0"/>
              <w:spacing w:line="240" w:lineRule="auto"/>
              <w:ind w:firstLine="0" w:firstLineChars="0"/>
              <w:jc w:val="center"/>
              <w:rPr>
                <w:sz w:val="21"/>
                <w:szCs w:val="21"/>
              </w:rPr>
            </w:pPr>
            <w:r>
              <w:rPr>
                <w:sz w:val="21"/>
                <w:szCs w:val="21"/>
              </w:rPr>
              <w:t>57.47</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780" w:type="pct"/>
            <w:vAlign w:val="center"/>
          </w:tcPr>
          <w:p>
            <w:pPr>
              <w:tabs>
                <w:tab w:val="left" w:pos="1050"/>
              </w:tabs>
              <w:spacing w:line="240" w:lineRule="auto"/>
              <w:ind w:firstLine="0" w:firstLineChars="0"/>
              <w:jc w:val="center"/>
              <w:rPr>
                <w:sz w:val="21"/>
                <w:szCs w:val="21"/>
              </w:rPr>
            </w:pPr>
            <w:r>
              <w:rPr>
                <w:sz w:val="21"/>
                <w:szCs w:val="21"/>
              </w:rPr>
              <w:t>7.70</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780" w:type="pct"/>
            <w:vAlign w:val="center"/>
          </w:tcPr>
          <w:p>
            <w:pPr>
              <w:adjustRightInd w:val="0"/>
              <w:snapToGrid w:val="0"/>
              <w:spacing w:line="240" w:lineRule="auto"/>
              <w:ind w:firstLine="0" w:firstLineChars="0"/>
              <w:jc w:val="center"/>
              <w:rPr>
                <w:sz w:val="21"/>
                <w:szCs w:val="21"/>
              </w:rPr>
            </w:pPr>
            <w:r>
              <w:rPr>
                <w:sz w:val="21"/>
                <w:szCs w:val="21"/>
              </w:rPr>
              <w:t>0.14</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780" w:type="pct"/>
            <w:vAlign w:val="center"/>
          </w:tcPr>
          <w:p>
            <w:pPr>
              <w:tabs>
                <w:tab w:val="left" w:pos="1050"/>
              </w:tabs>
              <w:spacing w:line="240" w:lineRule="auto"/>
              <w:ind w:firstLine="0" w:firstLineChars="0"/>
              <w:jc w:val="center"/>
              <w:rPr>
                <w:sz w:val="21"/>
                <w:szCs w:val="21"/>
              </w:rPr>
            </w:pPr>
            <w:r>
              <w:rPr>
                <w:sz w:val="21"/>
                <w:szCs w:val="21"/>
              </w:rPr>
              <w:t>2.88</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780" w:type="pct"/>
            <w:vAlign w:val="center"/>
          </w:tcPr>
          <w:p>
            <w:pPr>
              <w:adjustRightInd w:val="0"/>
              <w:snapToGrid w:val="0"/>
              <w:spacing w:line="240" w:lineRule="auto"/>
              <w:ind w:firstLine="0" w:firstLineChars="0"/>
              <w:jc w:val="center"/>
              <w:rPr>
                <w:sz w:val="21"/>
                <w:szCs w:val="21"/>
              </w:rPr>
            </w:pPr>
          </w:p>
        </w:tc>
        <w:tc>
          <w:tcPr>
            <w:tcW w:w="780" w:type="pct"/>
            <w:vAlign w:val="center"/>
          </w:tcPr>
          <w:p>
            <w:pPr>
              <w:adjustRightInd w:val="0"/>
              <w:snapToGrid w:val="0"/>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7"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780" w:type="pct"/>
            <w:vAlign w:val="center"/>
          </w:tcPr>
          <w:p>
            <w:pPr>
              <w:tabs>
                <w:tab w:val="left" w:pos="1050"/>
              </w:tabs>
              <w:spacing w:line="240" w:lineRule="auto"/>
              <w:ind w:firstLine="0" w:firstLineChars="0"/>
              <w:jc w:val="center"/>
              <w:rPr>
                <w:sz w:val="21"/>
                <w:szCs w:val="21"/>
              </w:rPr>
            </w:pPr>
            <w:r>
              <w:rPr>
                <w:sz w:val="21"/>
                <w:szCs w:val="21"/>
              </w:rPr>
              <w:t>13.88</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c>
          <w:tcPr>
            <w:tcW w:w="780" w:type="pct"/>
            <w:vAlign w:val="center"/>
          </w:tcPr>
          <w:p>
            <w:pPr>
              <w:adjustRightInd w:val="0"/>
              <w:snapToGrid w:val="0"/>
              <w:spacing w:line="240" w:lineRule="auto"/>
              <w:ind w:firstLine="0" w:firstLineChars="0"/>
              <w:jc w:val="center"/>
              <w:rPr>
                <w:sz w:val="21"/>
                <w:szCs w:val="21"/>
              </w:rPr>
            </w:pPr>
            <w:r>
              <w:rPr>
                <w:sz w:val="21"/>
                <w:szCs w:val="21"/>
              </w:rPr>
              <w:t>13.88</w:t>
            </w:r>
          </w:p>
        </w:tc>
        <w:tc>
          <w:tcPr>
            <w:tcW w:w="780" w:type="pct"/>
            <w:vAlign w:val="center"/>
          </w:tcPr>
          <w:p>
            <w:pPr>
              <w:adjustRightInd w:val="0"/>
              <w:snapToGrid w:val="0"/>
              <w:spacing w:line="240" w:lineRule="auto"/>
              <w:ind w:firstLine="0" w:firstLineChars="0"/>
              <w:jc w:val="center"/>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2" w:hRule="atLeast"/>
        </w:trPr>
        <w:tc>
          <w:tcPr>
            <w:tcW w:w="698" w:type="pct"/>
            <w:vMerge w:val="continue"/>
            <w:vAlign w:val="center"/>
          </w:tcPr>
          <w:p>
            <w:pPr>
              <w:pStyle w:val="53"/>
              <w:jc w:val="center"/>
              <w:rPr>
                <w:rFonts w:eastAsia="仿宋_GB2312"/>
              </w:rPr>
            </w:pPr>
          </w:p>
        </w:tc>
        <w:tc>
          <w:tcPr>
            <w:tcW w:w="1181" w:type="pct"/>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780" w:type="pct"/>
            <w:vAlign w:val="center"/>
          </w:tcPr>
          <w:p>
            <w:pPr>
              <w:tabs>
                <w:tab w:val="left" w:pos="1050"/>
              </w:tabs>
              <w:spacing w:line="240" w:lineRule="auto"/>
              <w:ind w:firstLine="0" w:firstLineChars="0"/>
              <w:jc w:val="center"/>
              <w:rPr>
                <w:b/>
                <w:bCs/>
                <w:sz w:val="21"/>
                <w:szCs w:val="21"/>
              </w:rPr>
            </w:pPr>
            <w:r>
              <w:rPr>
                <w:b/>
                <w:bCs/>
                <w:sz w:val="21"/>
                <w:szCs w:val="21"/>
              </w:rPr>
              <w:t>383.62</w:t>
            </w:r>
          </w:p>
        </w:tc>
        <w:tc>
          <w:tcPr>
            <w:tcW w:w="780" w:type="pct"/>
            <w:vAlign w:val="center"/>
          </w:tcPr>
          <w:p>
            <w:pPr>
              <w:adjustRightInd w:val="0"/>
              <w:snapToGrid w:val="0"/>
              <w:spacing w:line="240" w:lineRule="auto"/>
              <w:ind w:firstLine="0" w:firstLineChars="0"/>
              <w:jc w:val="center"/>
              <w:rPr>
                <w:sz w:val="21"/>
                <w:szCs w:val="21"/>
              </w:rPr>
            </w:pPr>
          </w:p>
        </w:tc>
        <w:tc>
          <w:tcPr>
            <w:tcW w:w="780" w:type="pct"/>
            <w:vAlign w:val="center"/>
          </w:tcPr>
          <w:p>
            <w:pPr>
              <w:adjustRightInd w:val="0"/>
              <w:snapToGrid w:val="0"/>
              <w:spacing w:line="240" w:lineRule="auto"/>
              <w:ind w:firstLine="0" w:firstLineChars="0"/>
              <w:jc w:val="center"/>
              <w:rPr>
                <w:sz w:val="21"/>
                <w:szCs w:val="21"/>
              </w:rPr>
            </w:pPr>
            <w:r>
              <w:rPr>
                <w:b/>
                <w:bCs/>
                <w:sz w:val="21"/>
                <w:szCs w:val="21"/>
              </w:rPr>
              <w:t>71.49</w:t>
            </w:r>
          </w:p>
        </w:tc>
        <w:tc>
          <w:tcPr>
            <w:tcW w:w="780" w:type="pct"/>
            <w:vAlign w:val="center"/>
          </w:tcPr>
          <w:p>
            <w:pPr>
              <w:adjustRightInd w:val="0"/>
              <w:snapToGrid w:val="0"/>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5" w:hRule="atLeast"/>
        </w:trPr>
        <w:tc>
          <w:tcPr>
            <w:tcW w:w="1879" w:type="pct"/>
            <w:gridSpan w:val="2"/>
            <w:vAlign w:val="center"/>
          </w:tcPr>
          <w:p>
            <w:pPr>
              <w:pStyle w:val="53"/>
              <w:jc w:val="center"/>
              <w:rPr>
                <w:rFonts w:eastAsia="仿宋_GB2312"/>
              </w:rPr>
            </w:pPr>
            <w:r>
              <w:rPr>
                <w:rFonts w:eastAsia="仿宋_GB2312"/>
              </w:rPr>
              <w:t>土石方中转场*</w:t>
            </w:r>
          </w:p>
        </w:tc>
        <w:tc>
          <w:tcPr>
            <w:tcW w:w="780" w:type="pct"/>
            <w:vAlign w:val="center"/>
          </w:tcPr>
          <w:p>
            <w:pPr>
              <w:adjustRightInd w:val="0"/>
              <w:snapToGrid w:val="0"/>
              <w:spacing w:line="240" w:lineRule="auto"/>
              <w:ind w:firstLine="0" w:firstLineChars="0"/>
              <w:jc w:val="center"/>
              <w:rPr>
                <w:sz w:val="21"/>
                <w:szCs w:val="21"/>
              </w:rPr>
            </w:pPr>
            <w:r>
              <w:rPr>
                <w:sz w:val="21"/>
                <w:szCs w:val="21"/>
              </w:rPr>
              <w:t>12.17</w:t>
            </w:r>
          </w:p>
        </w:tc>
        <w:tc>
          <w:tcPr>
            <w:tcW w:w="780" w:type="pct"/>
            <w:vAlign w:val="center"/>
          </w:tcPr>
          <w:p>
            <w:pPr>
              <w:adjustRightInd w:val="0"/>
              <w:snapToGrid w:val="0"/>
              <w:spacing w:line="240" w:lineRule="auto"/>
              <w:ind w:firstLine="0" w:firstLineChars="0"/>
              <w:jc w:val="center"/>
              <w:rPr>
                <w:sz w:val="21"/>
                <w:szCs w:val="21"/>
              </w:rPr>
            </w:pPr>
            <w:r>
              <w:rPr>
                <w:sz w:val="21"/>
                <w:szCs w:val="21"/>
              </w:rPr>
              <w:t>3.0</w:t>
            </w:r>
          </w:p>
        </w:tc>
        <w:tc>
          <w:tcPr>
            <w:tcW w:w="780" w:type="pct"/>
            <w:vAlign w:val="center"/>
          </w:tcPr>
          <w:p>
            <w:pPr>
              <w:adjustRightInd w:val="0"/>
              <w:snapToGrid w:val="0"/>
              <w:spacing w:line="240" w:lineRule="auto"/>
              <w:ind w:firstLine="0" w:firstLineChars="0"/>
              <w:jc w:val="center"/>
              <w:rPr>
                <w:sz w:val="21"/>
                <w:szCs w:val="21"/>
              </w:rPr>
            </w:pPr>
          </w:p>
        </w:tc>
        <w:tc>
          <w:tcPr>
            <w:tcW w:w="780" w:type="pct"/>
            <w:vAlign w:val="center"/>
          </w:tcPr>
          <w:p>
            <w:pPr>
              <w:adjustRightInd w:val="0"/>
              <w:snapToGrid w:val="0"/>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879" w:type="pct"/>
            <w:gridSpan w:val="2"/>
            <w:vAlign w:val="center"/>
          </w:tcPr>
          <w:p>
            <w:pPr>
              <w:pStyle w:val="53"/>
              <w:jc w:val="center"/>
              <w:rPr>
                <w:rFonts w:eastAsia="仿宋_GB2312"/>
              </w:rPr>
            </w:pPr>
            <w:r>
              <w:rPr>
                <w:rFonts w:eastAsia="仿宋_GB2312"/>
              </w:rPr>
              <w:t>表土中转场*</w:t>
            </w:r>
          </w:p>
        </w:tc>
        <w:tc>
          <w:tcPr>
            <w:tcW w:w="780" w:type="pct"/>
            <w:vAlign w:val="center"/>
          </w:tcPr>
          <w:p>
            <w:pPr>
              <w:adjustRightInd w:val="0"/>
              <w:snapToGrid w:val="0"/>
              <w:spacing w:line="240" w:lineRule="auto"/>
              <w:ind w:firstLine="0" w:firstLineChars="0"/>
              <w:jc w:val="center"/>
              <w:rPr>
                <w:sz w:val="21"/>
                <w:szCs w:val="21"/>
              </w:rPr>
            </w:pPr>
            <w:r>
              <w:rPr>
                <w:sz w:val="21"/>
                <w:szCs w:val="21"/>
              </w:rPr>
              <w:t>39.55</w:t>
            </w:r>
          </w:p>
        </w:tc>
        <w:tc>
          <w:tcPr>
            <w:tcW w:w="780" w:type="pct"/>
            <w:vAlign w:val="center"/>
          </w:tcPr>
          <w:p>
            <w:pPr>
              <w:adjustRightInd w:val="0"/>
              <w:snapToGrid w:val="0"/>
              <w:spacing w:line="240" w:lineRule="auto"/>
              <w:ind w:firstLine="0" w:firstLineChars="0"/>
              <w:jc w:val="center"/>
              <w:rPr>
                <w:sz w:val="21"/>
                <w:szCs w:val="21"/>
              </w:rPr>
            </w:pPr>
            <w:r>
              <w:rPr>
                <w:sz w:val="21"/>
                <w:szCs w:val="21"/>
              </w:rPr>
              <w:t>3.0</w:t>
            </w:r>
          </w:p>
        </w:tc>
        <w:tc>
          <w:tcPr>
            <w:tcW w:w="780" w:type="pct"/>
            <w:vAlign w:val="center"/>
          </w:tcPr>
          <w:p>
            <w:pPr>
              <w:adjustRightInd w:val="0"/>
              <w:snapToGrid w:val="0"/>
              <w:spacing w:line="240" w:lineRule="auto"/>
              <w:ind w:firstLine="0" w:firstLineChars="0"/>
              <w:jc w:val="center"/>
              <w:rPr>
                <w:sz w:val="21"/>
                <w:szCs w:val="21"/>
              </w:rPr>
            </w:pPr>
          </w:p>
        </w:tc>
        <w:tc>
          <w:tcPr>
            <w:tcW w:w="780" w:type="pct"/>
            <w:vAlign w:val="center"/>
          </w:tcPr>
          <w:p>
            <w:pPr>
              <w:adjustRightInd w:val="0"/>
              <w:snapToGrid w:val="0"/>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79" w:type="pct"/>
            <w:gridSpan w:val="2"/>
            <w:vAlign w:val="center"/>
          </w:tcPr>
          <w:p>
            <w:pPr>
              <w:pStyle w:val="53"/>
              <w:jc w:val="center"/>
              <w:rPr>
                <w:rFonts w:eastAsia="仿宋_GB2312"/>
                <w:b/>
                <w:bCs/>
              </w:rPr>
            </w:pPr>
            <w:r>
              <w:rPr>
                <w:rFonts w:eastAsia="仿宋_GB2312"/>
                <w:b/>
                <w:bCs/>
              </w:rPr>
              <w:t>合计</w:t>
            </w: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753.18</w:t>
            </w:r>
          </w:p>
        </w:tc>
        <w:tc>
          <w:tcPr>
            <w:tcW w:w="780" w:type="pct"/>
            <w:vAlign w:val="center"/>
          </w:tcPr>
          <w:p>
            <w:pPr>
              <w:adjustRightInd w:val="0"/>
              <w:snapToGrid w:val="0"/>
              <w:spacing w:line="240" w:lineRule="auto"/>
              <w:ind w:firstLine="0" w:firstLineChars="0"/>
              <w:jc w:val="center"/>
              <w:rPr>
                <w:b/>
                <w:bCs/>
                <w:sz w:val="21"/>
                <w:szCs w:val="21"/>
              </w:rPr>
            </w:pPr>
          </w:p>
        </w:tc>
        <w:tc>
          <w:tcPr>
            <w:tcW w:w="780" w:type="pct"/>
            <w:vAlign w:val="center"/>
          </w:tcPr>
          <w:p>
            <w:pPr>
              <w:adjustRightInd w:val="0"/>
              <w:snapToGrid w:val="0"/>
              <w:spacing w:line="240" w:lineRule="auto"/>
              <w:ind w:firstLine="0" w:firstLineChars="0"/>
              <w:jc w:val="center"/>
              <w:rPr>
                <w:b/>
                <w:bCs/>
                <w:sz w:val="21"/>
                <w:szCs w:val="21"/>
              </w:rPr>
            </w:pPr>
            <w:r>
              <w:rPr>
                <w:b/>
                <w:bCs/>
                <w:sz w:val="21"/>
                <w:szCs w:val="21"/>
              </w:rPr>
              <w:t>142.60</w:t>
            </w:r>
          </w:p>
        </w:tc>
        <w:tc>
          <w:tcPr>
            <w:tcW w:w="780" w:type="pct"/>
            <w:vAlign w:val="center"/>
          </w:tcPr>
          <w:p>
            <w:pPr>
              <w:adjustRightInd w:val="0"/>
              <w:snapToGrid w:val="0"/>
              <w:spacing w:line="240" w:lineRule="auto"/>
              <w:ind w:firstLine="0" w:firstLineChars="0"/>
              <w:jc w:val="center"/>
              <w:rPr>
                <w:b/>
                <w:bCs/>
                <w:sz w:val="21"/>
                <w:szCs w:val="21"/>
              </w:rPr>
            </w:pPr>
          </w:p>
        </w:tc>
      </w:tr>
    </w:tbl>
    <w:p>
      <w:pPr>
        <w:pStyle w:val="6"/>
        <w:spacing w:beforeLines="50"/>
        <w:rPr>
          <w:kern w:val="0"/>
        </w:rPr>
      </w:pPr>
      <w:r>
        <w:rPr>
          <w:kern w:val="0"/>
        </w:rPr>
        <w:t>4.3.3土壤侵蚀模数</w:t>
      </w:r>
    </w:p>
    <w:p>
      <w:pPr>
        <w:pStyle w:val="7"/>
      </w:pPr>
      <w:r>
        <w:rPr>
          <w:sz w:val="28"/>
          <w:szCs w:val="28"/>
        </w:rPr>
        <w:t>4.3.3.1</w:t>
      </w:r>
      <w:r>
        <w:t>调查、预测方法</w:t>
      </w:r>
    </w:p>
    <w:p>
      <w:pPr>
        <w:ind w:firstLine="480"/>
      </w:pPr>
      <w:r>
        <w:t>一、调查方法</w:t>
      </w:r>
    </w:p>
    <w:p>
      <w:pPr>
        <w:ind w:firstLine="480"/>
      </w:pPr>
      <w:r>
        <w:t>根据调查内容，调查方法主要采用资料收集与室内分析相结合方法。</w:t>
      </w:r>
    </w:p>
    <w:p>
      <w:pPr>
        <w:ind w:firstLine="480"/>
      </w:pPr>
      <w:r>
        <w:t>（1）收集、分析资料。收集内容包括：主体设计方案、施工组织设计、施工记录、施工监理资料、施工时气象水文资料等。</w:t>
      </w:r>
    </w:p>
    <w:p>
      <w:pPr>
        <w:ind w:firstLine="480"/>
      </w:pPr>
      <w:r>
        <w:t>（2）具体内容和方法</w:t>
      </w:r>
    </w:p>
    <w:p>
      <w:pPr>
        <w:ind w:firstLine="480"/>
      </w:pPr>
      <w:r>
        <w:t>根据项目施工记录及施工监理资料，结合项目主体设计方案、施工组织设计、咨询建设单位和施工单位，得出项目施工过程中产生的水土流失类型、强度、危害，推断施工过程中产生的水土流失影响。</w:t>
      </w:r>
    </w:p>
    <w:p>
      <w:pPr>
        <w:ind w:firstLine="480"/>
      </w:pPr>
      <w:r>
        <w:t>二、预测方法</w:t>
      </w:r>
    </w:p>
    <w:p>
      <w:pPr>
        <w:adjustRightInd w:val="0"/>
        <w:snapToGrid w:val="0"/>
        <w:ind w:firstLine="480"/>
        <w:rPr>
          <w:bCs/>
          <w:kern w:val="0"/>
          <w:szCs w:val="24"/>
        </w:rPr>
      </w:pPr>
      <w:r>
        <w:t>水土流失预测方法主要是根据当地区域土壤侵蚀资料和当地水土保持规划，确定水土流失背景值；并通过周边类比项目确定扰动后土壤侵蚀模数，根据该工程特点，使用经验公式对土壤流失量进行预测，公式为：</w:t>
      </w:r>
    </w:p>
    <w:p>
      <w:pPr>
        <w:adjustRightInd w:val="0"/>
        <w:snapToGrid w:val="0"/>
        <w:ind w:firstLine="560"/>
        <w:jc w:val="center"/>
        <w:rPr>
          <w:kern w:val="0"/>
          <w:sz w:val="28"/>
          <w:szCs w:val="28"/>
        </w:rPr>
      </w:pPr>
      <w:r>
        <w:rPr>
          <w:kern w:val="0"/>
          <w:position w:val="-6"/>
          <w:sz w:val="28"/>
          <w:szCs w:val="28"/>
        </w:rPr>
        <w:drawing>
          <wp:inline distT="0" distB="0" distL="114300" distR="114300">
            <wp:extent cx="180975" cy="180975"/>
            <wp:effectExtent l="0" t="0" r="8890" b="8890"/>
            <wp:docPr id="8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3"/>
                    <pic:cNvPicPr>
                      <a:picLocks noChangeAspect="1"/>
                    </pic:cNvPicPr>
                  </pic:nvPicPr>
                  <pic:blipFill>
                    <a:blip r:embed="rId182"/>
                    <a:stretch>
                      <a:fillRect/>
                    </a:stretch>
                  </pic:blipFill>
                  <pic:spPr>
                    <a:xfrm>
                      <a:off x="0" y="0"/>
                      <a:ext cx="180975" cy="180975"/>
                    </a:xfrm>
                    <a:prstGeom prst="rect">
                      <a:avLst/>
                    </a:prstGeom>
                    <a:noFill/>
                    <a:ln>
                      <a:noFill/>
                    </a:ln>
                  </pic:spPr>
                </pic:pic>
              </a:graphicData>
            </a:graphic>
          </wp:inline>
        </w:drawing>
      </w:r>
      <w:r>
        <w:rPr>
          <w:kern w:val="0"/>
          <w:sz w:val="28"/>
          <w:szCs w:val="28"/>
        </w:rPr>
        <w:t>=</w:t>
      </w:r>
      <w:r>
        <w:rPr>
          <w:kern w:val="0"/>
          <w:position w:val="-28"/>
          <w:sz w:val="28"/>
          <w:szCs w:val="28"/>
        </w:rPr>
        <w:drawing>
          <wp:inline distT="0" distB="0" distL="114300" distR="114300">
            <wp:extent cx="1371600" cy="427990"/>
            <wp:effectExtent l="0" t="0" r="0" b="10795"/>
            <wp:docPr id="8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4"/>
                    <pic:cNvPicPr>
                      <a:picLocks noChangeAspect="1"/>
                    </pic:cNvPicPr>
                  </pic:nvPicPr>
                  <pic:blipFill>
                    <a:blip r:embed="rId183"/>
                    <a:stretch>
                      <a:fillRect/>
                    </a:stretch>
                  </pic:blipFill>
                  <pic:spPr>
                    <a:xfrm>
                      <a:off x="0" y="0"/>
                      <a:ext cx="1371600" cy="427990"/>
                    </a:xfrm>
                    <a:prstGeom prst="rect">
                      <a:avLst/>
                    </a:prstGeom>
                    <a:noFill/>
                    <a:ln>
                      <a:noFill/>
                    </a:ln>
                  </pic:spPr>
                </pic:pic>
              </a:graphicData>
            </a:graphic>
          </wp:inline>
        </w:drawing>
      </w:r>
    </w:p>
    <w:p>
      <w:pPr>
        <w:adjustRightInd w:val="0"/>
        <w:snapToGrid w:val="0"/>
        <w:ind w:firstLine="480"/>
        <w:rPr>
          <w:kern w:val="0"/>
          <w:szCs w:val="24"/>
        </w:rPr>
      </w:pPr>
      <w:r>
        <w:rPr>
          <w:kern w:val="0"/>
          <w:szCs w:val="24"/>
        </w:rPr>
        <w:t>新增土壤流失量按下式计算：</w:t>
      </w:r>
    </w:p>
    <w:p>
      <w:pPr>
        <w:adjustRightInd w:val="0"/>
        <w:snapToGrid w:val="0"/>
        <w:ind w:firstLine="560"/>
        <w:jc w:val="center"/>
        <w:rPr>
          <w:kern w:val="0"/>
          <w:sz w:val="28"/>
          <w:szCs w:val="28"/>
        </w:rPr>
      </w:pPr>
      <w:r>
        <w:rPr>
          <w:kern w:val="0"/>
          <w:sz w:val="28"/>
          <w:szCs w:val="28"/>
        </w:rPr>
        <w:drawing>
          <wp:inline distT="0" distB="0" distL="114300" distR="114300">
            <wp:extent cx="1895475" cy="427990"/>
            <wp:effectExtent l="0" t="0" r="0" b="10795"/>
            <wp:docPr id="8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5"/>
                    <pic:cNvPicPr>
                      <a:picLocks noChangeAspect="1"/>
                    </pic:cNvPicPr>
                  </pic:nvPicPr>
                  <pic:blipFill>
                    <a:blip r:embed="rId184"/>
                    <a:stretch>
                      <a:fillRect/>
                    </a:stretch>
                  </pic:blipFill>
                  <pic:spPr>
                    <a:xfrm>
                      <a:off x="0" y="0"/>
                      <a:ext cx="1895475" cy="427990"/>
                    </a:xfrm>
                    <a:prstGeom prst="rect">
                      <a:avLst/>
                    </a:prstGeom>
                    <a:noFill/>
                    <a:ln>
                      <a:noFill/>
                    </a:ln>
                  </pic:spPr>
                </pic:pic>
              </a:graphicData>
            </a:graphic>
          </wp:inline>
        </w:drawing>
      </w:r>
    </w:p>
    <w:p>
      <w:pPr>
        <w:adjustRightInd w:val="0"/>
        <w:snapToGrid w:val="0"/>
        <w:ind w:firstLine="560"/>
        <w:jc w:val="center"/>
        <w:rPr>
          <w:kern w:val="0"/>
          <w:sz w:val="28"/>
          <w:szCs w:val="28"/>
        </w:rPr>
      </w:pPr>
      <w:r>
        <w:rPr>
          <w:kern w:val="0"/>
          <w:sz w:val="28"/>
          <w:szCs w:val="28"/>
        </w:rPr>
        <w:drawing>
          <wp:inline distT="0" distB="0" distL="114300" distR="114300">
            <wp:extent cx="1972310" cy="381000"/>
            <wp:effectExtent l="0" t="0" r="8890" b="0"/>
            <wp:docPr id="9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6"/>
                    <pic:cNvPicPr>
                      <a:picLocks noChangeAspect="1"/>
                    </pic:cNvPicPr>
                  </pic:nvPicPr>
                  <pic:blipFill>
                    <a:blip r:embed="rId185"/>
                    <a:stretch>
                      <a:fillRect/>
                    </a:stretch>
                  </pic:blipFill>
                  <pic:spPr>
                    <a:xfrm>
                      <a:off x="0" y="0"/>
                      <a:ext cx="1972310" cy="381000"/>
                    </a:xfrm>
                    <a:prstGeom prst="rect">
                      <a:avLst/>
                    </a:prstGeom>
                    <a:noFill/>
                    <a:ln>
                      <a:noFill/>
                    </a:ln>
                  </pic:spPr>
                </pic:pic>
              </a:graphicData>
            </a:graphic>
          </wp:inline>
        </w:drawing>
      </w:r>
    </w:p>
    <w:p>
      <w:pPr>
        <w:ind w:firstLine="480"/>
      </w:pPr>
      <w:r>
        <w:t>式中：W——土壤流失量，t；</w:t>
      </w:r>
    </w:p>
    <w:p>
      <w:pPr>
        <w:ind w:firstLine="480"/>
      </w:pPr>
      <w:r>
        <w:drawing>
          <wp:inline distT="0" distB="0" distL="114300" distR="114300">
            <wp:extent cx="292100" cy="177165"/>
            <wp:effectExtent l="0" t="0" r="0" b="13970"/>
            <wp:docPr id="91"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312"/>
                    <pic:cNvPicPr>
                      <a:picLocks noChangeAspect="1"/>
                    </pic:cNvPicPr>
                  </pic:nvPicPr>
                  <pic:blipFill>
                    <a:blip r:embed="rId186"/>
                    <a:stretch>
                      <a:fillRect/>
                    </a:stretch>
                  </pic:blipFill>
                  <pic:spPr>
                    <a:xfrm>
                      <a:off x="0" y="0"/>
                      <a:ext cx="292100" cy="177165"/>
                    </a:xfrm>
                    <a:prstGeom prst="rect">
                      <a:avLst/>
                    </a:prstGeom>
                    <a:noFill/>
                    <a:ln>
                      <a:noFill/>
                    </a:ln>
                  </pic:spPr>
                </pic:pic>
              </a:graphicData>
            </a:graphic>
          </wp:inline>
        </w:drawing>
      </w:r>
      <w:r>
        <w:t>——新增土壤流失量，t；</w:t>
      </w:r>
    </w:p>
    <w:p>
      <w:pPr>
        <w:ind w:firstLine="480"/>
      </w:pPr>
      <w:r>
        <w:t>F</w:t>
      </w:r>
      <w:r>
        <w:rPr>
          <w:vertAlign w:val="subscript"/>
        </w:rPr>
        <w:t>ji</w:t>
      </w:r>
      <w:r>
        <w:t>——某时段某单元的预测面积，km</w:t>
      </w:r>
      <w:r>
        <w:rPr>
          <w:vertAlign w:val="superscript"/>
        </w:rPr>
        <w:t>2</w:t>
      </w:r>
      <w:r>
        <w:t>；</w:t>
      </w:r>
    </w:p>
    <w:p>
      <w:pPr>
        <w:ind w:firstLine="480"/>
      </w:pPr>
      <w:r>
        <w:t>M</w:t>
      </w:r>
      <w:r>
        <w:rPr>
          <w:vertAlign w:val="subscript"/>
        </w:rPr>
        <w:t>ji</w:t>
      </w:r>
      <w:r>
        <w:t>——某时段某单元的土壤侵蚀模数，t/（km</w:t>
      </w:r>
      <w:r>
        <w:rPr>
          <w:vertAlign w:val="superscript"/>
        </w:rPr>
        <w:t>2</w:t>
      </w:r>
      <w:r>
        <w:rPr>
          <w:b/>
          <w:bCs/>
        </w:rPr>
        <w:t>·</w:t>
      </w:r>
      <w:r>
        <w:t>a）；</w:t>
      </w:r>
    </w:p>
    <w:p>
      <w:pPr>
        <w:ind w:firstLine="480"/>
      </w:pPr>
      <w:r>
        <w:t>∆Mji——某时段某单元的新增土壤侵蚀模数，t/（km</w:t>
      </w:r>
      <w:r>
        <w:rPr>
          <w:vertAlign w:val="superscript"/>
        </w:rPr>
        <w:t>2</w:t>
      </w:r>
      <w:r>
        <w:rPr>
          <w:b/>
          <w:bCs/>
        </w:rPr>
        <w:t>·</w:t>
      </w:r>
      <w:r>
        <w:t>a），只计正值，负值按0计；</w:t>
      </w:r>
    </w:p>
    <w:p>
      <w:pPr>
        <w:ind w:firstLine="480"/>
      </w:pPr>
      <w:r>
        <w:t>T</w:t>
      </w:r>
      <w:r>
        <w:rPr>
          <w:vertAlign w:val="subscript"/>
        </w:rPr>
        <w:t>ji</w:t>
      </w:r>
      <w:r>
        <w:t>——某时段某单元的预测时段，a；</w:t>
      </w:r>
    </w:p>
    <w:p>
      <w:pPr>
        <w:ind w:firstLine="480"/>
      </w:pPr>
      <w:r>
        <w:t>i——预测单元，i＝1、2、3、……、n；</w:t>
      </w:r>
    </w:p>
    <w:p>
      <w:pPr>
        <w:ind w:firstLine="480"/>
      </w:pPr>
      <w:r>
        <w:t>j——预测时段，j＝1、2，指施工期（含施工准备期）和自然恢复期。</w:t>
      </w:r>
    </w:p>
    <w:p>
      <w:pPr>
        <w:ind w:firstLine="480"/>
      </w:pPr>
      <w:r>
        <w:t>在具体计算时，将根据有关资料并结合工程区域的自然条件，经综合分析确定有关的计算参数。</w:t>
      </w:r>
    </w:p>
    <w:p>
      <w:pPr>
        <w:pStyle w:val="7"/>
      </w:pPr>
      <w:r>
        <w:t>4.3.3.2扰动前后土壤侵蚀模数分析与取值</w:t>
      </w:r>
    </w:p>
    <w:p>
      <w:pPr>
        <w:ind w:firstLine="480"/>
      </w:pPr>
      <w:r>
        <w:t>1、原地貌土壤侵蚀模数</w:t>
      </w:r>
    </w:p>
    <w:p>
      <w:pPr>
        <w:ind w:firstLine="480"/>
      </w:pPr>
      <w:r>
        <w:t>根据园区占地面积及占地类型、地表植被和人为扰动情况等，参照《土壤侵蚀分类分级标准》（SL190-2007），确定原地貌土壤侵蚀模数值。根据表4.1-2园区原地貌土壤侵蚀模数调查表计算得出，工程区水土流失平均侵蚀模数为1141.54t/km</w:t>
      </w:r>
      <w:r>
        <w:rPr>
          <w:vertAlign w:val="superscript"/>
        </w:rPr>
        <w:t>2</w:t>
      </w:r>
      <w:r>
        <w:t>·a，流失强度表现为轻度，其中工业用地原地貌土壤侵蚀模数取值为1252.35t/km²·a，道路与交通设施用地原地貌土壤侵蚀模数取值为895.94t/km²·a，公用设施用地原地貌土壤侵蚀模数取值为920.21t/km²·a，绿地与广场用地原地貌土壤侵蚀模数取值为1044.18t/km²·a。</w:t>
      </w:r>
    </w:p>
    <w:p>
      <w:pPr>
        <w:adjustRightInd w:val="0"/>
        <w:snapToGrid w:val="0"/>
        <w:ind w:firstLine="480"/>
      </w:pPr>
      <w:r>
        <w:t>2、扰动后土壤侵蚀模数</w:t>
      </w:r>
    </w:p>
    <w:p>
      <w:pPr>
        <w:ind w:firstLine="480"/>
      </w:pPr>
      <w:r>
        <w:t>项目类比工程中已建工程选择乐山协鑫新能源新建10万吨颗粒硅项目。项目位于园区内，各类比工程项目组成、施工组织、施工工艺和自然条件相似，所以选择的类比工程是合理可行的。通过收集资料、现场调查，与类比工程的自然环境条件、规模、施工工艺等的相似性比较详见表。</w:t>
      </w:r>
    </w:p>
    <w:p>
      <w:pPr>
        <w:keepNext/>
        <w:keepLines/>
        <w:ind w:firstLine="0" w:firstLineChars="0"/>
        <w:jc w:val="center"/>
      </w:pPr>
      <w:r>
        <w:rPr>
          <w:b/>
          <w:bCs/>
        </w:rPr>
        <w:t>表4.3-3工程基本情况对比表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149"/>
        <w:gridCol w:w="4860"/>
        <w:gridCol w:w="227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7" w:hRule="atLeast"/>
        </w:trPr>
        <w:tc>
          <w:tcPr>
            <w:tcW w:w="2149" w:type="dxa"/>
            <w:vAlign w:val="center"/>
          </w:tcPr>
          <w:p>
            <w:pPr>
              <w:keepNext/>
              <w:keepLines/>
              <w:spacing w:line="240" w:lineRule="auto"/>
              <w:ind w:firstLine="0" w:firstLineChars="0"/>
              <w:jc w:val="center"/>
              <w:rPr>
                <w:b/>
                <w:bCs/>
                <w:sz w:val="21"/>
                <w:szCs w:val="21"/>
              </w:rPr>
            </w:pPr>
            <w:r>
              <w:rPr>
                <w:b/>
                <w:bCs/>
                <w:sz w:val="21"/>
                <w:szCs w:val="21"/>
              </w:rPr>
              <w:t>类别</w:t>
            </w:r>
          </w:p>
        </w:tc>
        <w:tc>
          <w:tcPr>
            <w:tcW w:w="4860" w:type="dxa"/>
            <w:vAlign w:val="center"/>
          </w:tcPr>
          <w:p>
            <w:pPr>
              <w:keepNext/>
              <w:keepLines/>
              <w:spacing w:line="240" w:lineRule="auto"/>
              <w:ind w:firstLine="0" w:firstLineChars="0"/>
              <w:jc w:val="center"/>
              <w:rPr>
                <w:b/>
                <w:bCs/>
                <w:sz w:val="21"/>
                <w:szCs w:val="21"/>
              </w:rPr>
            </w:pPr>
            <w:r>
              <w:rPr>
                <w:b/>
                <w:bCs/>
                <w:sz w:val="21"/>
                <w:szCs w:val="21"/>
              </w:rPr>
              <w:t>本项目</w:t>
            </w:r>
          </w:p>
        </w:tc>
        <w:tc>
          <w:tcPr>
            <w:tcW w:w="2278" w:type="dxa"/>
            <w:vAlign w:val="center"/>
          </w:tcPr>
          <w:p>
            <w:pPr>
              <w:keepNext/>
              <w:keepLines/>
              <w:spacing w:line="240" w:lineRule="auto"/>
              <w:ind w:firstLine="0" w:firstLineChars="0"/>
              <w:jc w:val="center"/>
              <w:rPr>
                <w:b/>
                <w:bCs/>
                <w:sz w:val="21"/>
                <w:szCs w:val="21"/>
              </w:rPr>
            </w:pPr>
            <w:r>
              <w:rPr>
                <w:b/>
                <w:bCs/>
                <w:sz w:val="21"/>
                <w:szCs w:val="21"/>
              </w:rPr>
              <w:t>类比工程</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地理位置</w:t>
            </w:r>
          </w:p>
        </w:tc>
        <w:tc>
          <w:tcPr>
            <w:tcW w:w="4860" w:type="dxa"/>
            <w:vAlign w:val="center"/>
          </w:tcPr>
          <w:p>
            <w:pPr>
              <w:keepNext/>
              <w:keepLines/>
              <w:spacing w:line="240" w:lineRule="auto"/>
              <w:ind w:firstLine="0" w:firstLineChars="0"/>
              <w:jc w:val="center"/>
              <w:rPr>
                <w:sz w:val="21"/>
                <w:szCs w:val="21"/>
              </w:rPr>
            </w:pPr>
            <w:r>
              <w:rPr>
                <w:sz w:val="21"/>
                <w:szCs w:val="21"/>
              </w:rPr>
              <w:t>乐山市五通桥区</w:t>
            </w:r>
          </w:p>
        </w:tc>
        <w:tc>
          <w:tcPr>
            <w:tcW w:w="2278" w:type="dxa"/>
            <w:vAlign w:val="center"/>
          </w:tcPr>
          <w:p>
            <w:pPr>
              <w:keepNext/>
              <w:keepLines/>
              <w:spacing w:line="240" w:lineRule="auto"/>
              <w:ind w:firstLine="0" w:firstLineChars="0"/>
              <w:jc w:val="center"/>
              <w:rPr>
                <w:sz w:val="21"/>
                <w:szCs w:val="21"/>
              </w:rPr>
            </w:pPr>
            <w:r>
              <w:rPr>
                <w:sz w:val="21"/>
                <w:szCs w:val="21"/>
              </w:rPr>
              <w:t>乐山市五通桥区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地形地貌</w:t>
            </w:r>
          </w:p>
        </w:tc>
        <w:tc>
          <w:tcPr>
            <w:tcW w:w="4860" w:type="dxa"/>
            <w:vAlign w:val="center"/>
          </w:tcPr>
          <w:p>
            <w:pPr>
              <w:keepNext/>
              <w:keepLines/>
              <w:spacing w:line="240" w:lineRule="auto"/>
              <w:ind w:firstLine="0" w:firstLineChars="0"/>
              <w:jc w:val="center"/>
              <w:rPr>
                <w:sz w:val="21"/>
                <w:szCs w:val="21"/>
              </w:rPr>
            </w:pPr>
            <w:r>
              <w:rPr>
                <w:sz w:val="21"/>
                <w:szCs w:val="21"/>
              </w:rPr>
              <w:t>丘陵</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土壤</w:t>
            </w:r>
          </w:p>
        </w:tc>
        <w:tc>
          <w:tcPr>
            <w:tcW w:w="4860" w:type="dxa"/>
            <w:vAlign w:val="center"/>
          </w:tcPr>
          <w:p>
            <w:pPr>
              <w:keepNext/>
              <w:keepLines/>
              <w:spacing w:line="240" w:lineRule="auto"/>
              <w:ind w:firstLine="0" w:firstLineChars="0"/>
              <w:jc w:val="center"/>
              <w:rPr>
                <w:sz w:val="21"/>
                <w:szCs w:val="21"/>
              </w:rPr>
            </w:pPr>
            <w:r>
              <w:rPr>
                <w:sz w:val="21"/>
                <w:szCs w:val="21"/>
              </w:rPr>
              <w:t>水稻土、潮土、紫色土、黄壤、盐土等</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植被</w:t>
            </w:r>
          </w:p>
        </w:tc>
        <w:tc>
          <w:tcPr>
            <w:tcW w:w="4860" w:type="dxa"/>
            <w:vAlign w:val="center"/>
          </w:tcPr>
          <w:p>
            <w:pPr>
              <w:keepNext/>
              <w:keepLines/>
              <w:spacing w:line="240" w:lineRule="auto"/>
              <w:ind w:firstLine="0" w:firstLineChars="0"/>
              <w:jc w:val="center"/>
              <w:rPr>
                <w:sz w:val="21"/>
                <w:szCs w:val="21"/>
              </w:rPr>
            </w:pPr>
            <w:r>
              <w:rPr>
                <w:sz w:val="21"/>
                <w:szCs w:val="21"/>
              </w:rPr>
              <w:t>亚热带常绿阔叶林</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气象特征</w:t>
            </w:r>
          </w:p>
        </w:tc>
        <w:tc>
          <w:tcPr>
            <w:tcW w:w="4860" w:type="dxa"/>
            <w:vAlign w:val="center"/>
          </w:tcPr>
          <w:p>
            <w:pPr>
              <w:keepNext/>
              <w:keepLines/>
              <w:spacing w:line="240" w:lineRule="auto"/>
              <w:ind w:firstLine="0" w:firstLineChars="0"/>
              <w:jc w:val="center"/>
              <w:rPr>
                <w:sz w:val="21"/>
                <w:szCs w:val="21"/>
              </w:rPr>
            </w:pPr>
            <w:r>
              <w:rPr>
                <w:sz w:val="21"/>
                <w:szCs w:val="21"/>
              </w:rPr>
              <w:t>属亚热带湿润气候区，多年年平均气温17.4℃，历年最高、最低气温分别为39.7℃和-1.9℃，多年平均降雨量1231.5mm，历年一日最大雨量326.8mm，相对湿度79.8%，无霜期333天，平均风速1.2m/s，历年最大风速17.0m/s</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7" w:hRule="atLeast"/>
        </w:trPr>
        <w:tc>
          <w:tcPr>
            <w:tcW w:w="2149" w:type="dxa"/>
            <w:vAlign w:val="center"/>
          </w:tcPr>
          <w:p>
            <w:pPr>
              <w:keepNext/>
              <w:keepLines/>
              <w:spacing w:line="240" w:lineRule="auto"/>
              <w:ind w:firstLine="0" w:firstLineChars="0"/>
              <w:jc w:val="center"/>
              <w:rPr>
                <w:sz w:val="21"/>
                <w:szCs w:val="21"/>
              </w:rPr>
            </w:pPr>
            <w:r>
              <w:rPr>
                <w:sz w:val="21"/>
                <w:szCs w:val="21"/>
              </w:rPr>
              <w:t>水土流失类型</w:t>
            </w:r>
          </w:p>
        </w:tc>
        <w:tc>
          <w:tcPr>
            <w:tcW w:w="4860" w:type="dxa"/>
            <w:vAlign w:val="center"/>
          </w:tcPr>
          <w:p>
            <w:pPr>
              <w:keepNext/>
              <w:keepLines/>
              <w:spacing w:line="240" w:lineRule="auto"/>
              <w:ind w:firstLine="0" w:firstLineChars="0"/>
              <w:jc w:val="center"/>
              <w:rPr>
                <w:sz w:val="21"/>
                <w:szCs w:val="21"/>
              </w:rPr>
            </w:pPr>
            <w:r>
              <w:rPr>
                <w:sz w:val="21"/>
                <w:szCs w:val="21"/>
              </w:rPr>
              <w:t>水力侵蚀为主（轻度）</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措施类型</w:t>
            </w:r>
          </w:p>
        </w:tc>
        <w:tc>
          <w:tcPr>
            <w:tcW w:w="4860" w:type="dxa"/>
            <w:vAlign w:val="center"/>
          </w:tcPr>
          <w:p>
            <w:pPr>
              <w:keepNext/>
              <w:keepLines/>
              <w:spacing w:line="240" w:lineRule="auto"/>
              <w:ind w:firstLine="0" w:firstLineChars="0"/>
              <w:jc w:val="center"/>
              <w:rPr>
                <w:sz w:val="21"/>
                <w:szCs w:val="21"/>
              </w:rPr>
            </w:pPr>
            <w:r>
              <w:rPr>
                <w:sz w:val="21"/>
                <w:szCs w:val="21"/>
              </w:rPr>
              <w:t>排水管沟、绿化等</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149" w:type="dxa"/>
            <w:vAlign w:val="center"/>
          </w:tcPr>
          <w:p>
            <w:pPr>
              <w:keepNext/>
              <w:keepLines/>
              <w:spacing w:line="240" w:lineRule="auto"/>
              <w:ind w:firstLine="0" w:firstLineChars="0"/>
              <w:jc w:val="center"/>
              <w:rPr>
                <w:sz w:val="21"/>
                <w:szCs w:val="21"/>
              </w:rPr>
            </w:pPr>
            <w:r>
              <w:rPr>
                <w:sz w:val="21"/>
                <w:szCs w:val="21"/>
              </w:rPr>
              <w:t>施工工艺</w:t>
            </w:r>
          </w:p>
        </w:tc>
        <w:tc>
          <w:tcPr>
            <w:tcW w:w="4860" w:type="dxa"/>
            <w:vAlign w:val="center"/>
          </w:tcPr>
          <w:p>
            <w:pPr>
              <w:keepNext/>
              <w:keepLines/>
              <w:spacing w:line="240" w:lineRule="auto"/>
              <w:ind w:firstLine="0" w:firstLineChars="0"/>
              <w:jc w:val="center"/>
              <w:rPr>
                <w:sz w:val="21"/>
                <w:szCs w:val="21"/>
              </w:rPr>
            </w:pPr>
            <w:r>
              <w:rPr>
                <w:sz w:val="21"/>
                <w:szCs w:val="21"/>
              </w:rPr>
              <w:t>建构筑物基础开挖、道路路基填筑以机械施工为主，人力施工为辅</w:t>
            </w:r>
          </w:p>
        </w:tc>
        <w:tc>
          <w:tcPr>
            <w:tcW w:w="2278" w:type="dxa"/>
            <w:vAlign w:val="center"/>
          </w:tcPr>
          <w:p>
            <w:pPr>
              <w:keepNext/>
              <w:keepLines/>
              <w:spacing w:line="240" w:lineRule="auto"/>
              <w:ind w:firstLine="0" w:firstLineChars="0"/>
              <w:jc w:val="center"/>
              <w:rPr>
                <w:sz w:val="21"/>
                <w:szCs w:val="21"/>
              </w:rPr>
            </w:pPr>
            <w:r>
              <w:rPr>
                <w:sz w:val="21"/>
                <w:szCs w:val="21"/>
              </w:rPr>
              <w:t>相同</w:t>
            </w:r>
          </w:p>
        </w:tc>
      </w:tr>
    </w:tbl>
    <w:p>
      <w:pPr>
        <w:spacing w:beforeLines="50"/>
        <w:ind w:firstLine="480"/>
      </w:pPr>
      <w:r>
        <w:t>类比项目与本项目在同一区域，地貌类型、水热条件一致，在施工工艺及施工布置上较一致。上表可以看出，本项目与类比工程在可能造成水土流失的重点环节上类比项目具备类比工程的条件，可作为本项目工程水土流失预测的类比工程。本项目土壤侵蚀模数的确定过程参考了乐山市五通桥区土壤侵蚀强度分布图以及类比工程水土保持相关资料，通过现场调查和了解到了工程区的地形、地质、土壤类型、地区的降雨情况、植被覆盖情况及水土流失状况等，统计得出项目区的原地貌状态土壤侵蚀模数。类比工程建设特性及水土流失成因、形式上与本工程具有相似性，故本项目扰动前后土壤侵蚀模数可参考其调查结果确定，且由于类比工程与本项目在地形地貌、各分区具体占地类型及坡度上均极为相似，故本工程施工期及自然恢复期土壤侵蚀模数不进行修正。</w:t>
      </w:r>
    </w:p>
    <w:p>
      <w:pPr>
        <w:ind w:firstLine="0" w:firstLineChars="0"/>
        <w:jc w:val="center"/>
        <w:rPr>
          <w:b/>
          <w:bCs/>
        </w:rPr>
      </w:pPr>
      <w:r>
        <w:rPr>
          <w:b/>
          <w:bCs/>
        </w:rPr>
        <w:t>表4.3-4工程施工期及自然恢复期土壤侵蚀模数取值表</w:t>
      </w:r>
    </w:p>
    <w:tbl>
      <w:tblPr>
        <w:tblStyle w:val="110"/>
        <w:tblW w:w="4997"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066"/>
        <w:gridCol w:w="3607"/>
        <w:gridCol w:w="360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13" w:type="pct"/>
            <w:vMerge w:val="restart"/>
            <w:vAlign w:val="center"/>
          </w:tcPr>
          <w:p>
            <w:pPr>
              <w:spacing w:line="240" w:lineRule="auto"/>
              <w:ind w:firstLine="0" w:firstLineChars="0"/>
              <w:jc w:val="center"/>
              <w:rPr>
                <w:b/>
                <w:bCs/>
                <w:sz w:val="21"/>
                <w:szCs w:val="21"/>
              </w:rPr>
            </w:pPr>
            <w:r>
              <w:rPr>
                <w:b/>
                <w:bCs/>
                <w:sz w:val="21"/>
                <w:szCs w:val="21"/>
              </w:rPr>
              <w:t>项目组成</w:t>
            </w:r>
          </w:p>
        </w:tc>
        <w:tc>
          <w:tcPr>
            <w:tcW w:w="3884" w:type="pct"/>
            <w:gridSpan w:val="2"/>
            <w:vAlign w:val="center"/>
          </w:tcPr>
          <w:p>
            <w:pPr>
              <w:spacing w:line="240" w:lineRule="auto"/>
              <w:ind w:firstLine="0" w:firstLineChars="0"/>
              <w:jc w:val="center"/>
              <w:rPr>
                <w:b/>
                <w:bCs/>
                <w:sz w:val="21"/>
                <w:szCs w:val="21"/>
              </w:rPr>
            </w:pPr>
            <w:r>
              <w:rPr>
                <w:b/>
                <w:bCs/>
                <w:sz w:val="21"/>
                <w:szCs w:val="21"/>
              </w:rPr>
              <w:t>扰动后土壤平均侵蚀模数（t/km</w:t>
            </w:r>
            <w:r>
              <w:rPr>
                <w:b/>
                <w:bCs/>
                <w:sz w:val="21"/>
                <w:szCs w:val="21"/>
                <w:vertAlign w:val="superscript"/>
              </w:rPr>
              <w:t>2</w:t>
            </w:r>
            <w:r>
              <w:rPr>
                <w:b/>
                <w:bCs/>
                <w:sz w:val="21"/>
                <w:szCs w:val="21"/>
              </w:rPr>
              <w:t>·a）</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93" w:hRule="atLeast"/>
        </w:trPr>
        <w:tc>
          <w:tcPr>
            <w:tcW w:w="1113" w:type="pct"/>
            <w:vMerge w:val="continue"/>
            <w:vAlign w:val="center"/>
          </w:tcPr>
          <w:p>
            <w:pPr>
              <w:spacing w:line="240" w:lineRule="auto"/>
              <w:ind w:firstLine="0" w:firstLineChars="0"/>
              <w:jc w:val="center"/>
              <w:rPr>
                <w:sz w:val="21"/>
                <w:szCs w:val="21"/>
              </w:rPr>
            </w:pPr>
          </w:p>
        </w:tc>
        <w:tc>
          <w:tcPr>
            <w:tcW w:w="1942" w:type="pct"/>
            <w:vAlign w:val="center"/>
          </w:tcPr>
          <w:p>
            <w:pPr>
              <w:spacing w:line="240" w:lineRule="auto"/>
              <w:ind w:firstLine="0" w:firstLineChars="0"/>
              <w:jc w:val="center"/>
              <w:rPr>
                <w:sz w:val="21"/>
                <w:szCs w:val="21"/>
              </w:rPr>
            </w:pPr>
            <w:r>
              <w:rPr>
                <w:b/>
                <w:bCs/>
                <w:sz w:val="21"/>
                <w:szCs w:val="21"/>
              </w:rPr>
              <w:t>施工期</w:t>
            </w:r>
          </w:p>
        </w:tc>
        <w:tc>
          <w:tcPr>
            <w:tcW w:w="1942" w:type="pct"/>
            <w:vAlign w:val="center"/>
          </w:tcPr>
          <w:p>
            <w:pPr>
              <w:spacing w:line="240" w:lineRule="auto"/>
              <w:ind w:firstLine="0" w:firstLineChars="0"/>
              <w:jc w:val="center"/>
              <w:rPr>
                <w:b/>
                <w:bCs/>
                <w:sz w:val="21"/>
                <w:szCs w:val="21"/>
              </w:rPr>
            </w:pPr>
            <w:r>
              <w:rPr>
                <w:b/>
                <w:bCs/>
                <w:sz w:val="21"/>
                <w:szCs w:val="21"/>
              </w:rPr>
              <w:t>自然恢复期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13" w:type="pct"/>
            <w:vAlign w:val="center"/>
          </w:tcPr>
          <w:p>
            <w:pPr>
              <w:tabs>
                <w:tab w:val="left" w:pos="1050"/>
              </w:tabs>
              <w:spacing w:line="240" w:lineRule="auto"/>
              <w:ind w:firstLine="0" w:firstLineChars="0"/>
              <w:jc w:val="center"/>
              <w:rPr>
                <w:sz w:val="21"/>
                <w:szCs w:val="21"/>
              </w:rPr>
            </w:pPr>
            <w:r>
              <w:rPr>
                <w:sz w:val="21"/>
                <w:szCs w:val="21"/>
              </w:rPr>
              <w:t>工业用地</w:t>
            </w:r>
          </w:p>
        </w:tc>
        <w:tc>
          <w:tcPr>
            <w:tcW w:w="1943" w:type="pct"/>
            <w:vAlign w:val="center"/>
          </w:tcPr>
          <w:p>
            <w:pPr>
              <w:spacing w:line="240" w:lineRule="auto"/>
              <w:ind w:firstLine="0" w:firstLineChars="0"/>
              <w:jc w:val="center"/>
              <w:rPr>
                <w:sz w:val="21"/>
                <w:szCs w:val="21"/>
              </w:rPr>
            </w:pPr>
            <w:r>
              <w:rPr>
                <w:sz w:val="21"/>
                <w:szCs w:val="21"/>
              </w:rPr>
              <w:t>3962</w:t>
            </w:r>
          </w:p>
        </w:tc>
        <w:tc>
          <w:tcPr>
            <w:tcW w:w="1943" w:type="pct"/>
            <w:vAlign w:val="center"/>
          </w:tcPr>
          <w:p>
            <w:pPr>
              <w:spacing w:line="240" w:lineRule="auto"/>
              <w:ind w:firstLine="0" w:firstLineChars="0"/>
              <w:jc w:val="center"/>
              <w:rPr>
                <w:sz w:val="21"/>
                <w:szCs w:val="21"/>
              </w:rPr>
            </w:pPr>
            <w:r>
              <w:rPr>
                <w:sz w:val="21"/>
                <w:szCs w:val="21"/>
              </w:rPr>
              <w:t>1353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13"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1943" w:type="pct"/>
            <w:vAlign w:val="center"/>
          </w:tcPr>
          <w:p>
            <w:pPr>
              <w:spacing w:line="240" w:lineRule="auto"/>
              <w:ind w:firstLine="0" w:firstLineChars="0"/>
              <w:jc w:val="center"/>
              <w:rPr>
                <w:sz w:val="21"/>
                <w:szCs w:val="21"/>
              </w:rPr>
            </w:pPr>
            <w:r>
              <w:rPr>
                <w:sz w:val="21"/>
                <w:szCs w:val="21"/>
              </w:rPr>
              <w:t>3222</w:t>
            </w:r>
          </w:p>
        </w:tc>
        <w:tc>
          <w:tcPr>
            <w:tcW w:w="1943" w:type="pct"/>
            <w:vAlign w:val="center"/>
          </w:tcPr>
          <w:p>
            <w:pPr>
              <w:spacing w:line="240" w:lineRule="auto"/>
              <w:ind w:firstLine="0" w:firstLineChars="0"/>
              <w:jc w:val="center"/>
              <w:rPr>
                <w:sz w:val="21"/>
                <w:szCs w:val="21"/>
              </w:rPr>
            </w:pPr>
            <w:r>
              <w:rPr>
                <w:sz w:val="21"/>
                <w:szCs w:val="21"/>
              </w:rPr>
              <w:t>1353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113"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1943" w:type="pct"/>
            <w:vAlign w:val="center"/>
          </w:tcPr>
          <w:p>
            <w:pPr>
              <w:spacing w:line="240" w:lineRule="auto"/>
              <w:ind w:firstLine="0" w:firstLineChars="0"/>
              <w:jc w:val="center"/>
              <w:rPr>
                <w:sz w:val="21"/>
                <w:szCs w:val="21"/>
              </w:rPr>
            </w:pPr>
            <w:r>
              <w:rPr>
                <w:sz w:val="21"/>
                <w:szCs w:val="21"/>
              </w:rPr>
              <w:t>3222</w:t>
            </w:r>
          </w:p>
        </w:tc>
        <w:tc>
          <w:tcPr>
            <w:tcW w:w="1943" w:type="pct"/>
            <w:vAlign w:val="center"/>
          </w:tcPr>
          <w:p>
            <w:pPr>
              <w:spacing w:line="240" w:lineRule="auto"/>
              <w:ind w:firstLine="0" w:firstLineChars="0"/>
              <w:jc w:val="center"/>
              <w:rPr>
                <w:sz w:val="21"/>
                <w:szCs w:val="21"/>
              </w:rPr>
            </w:pPr>
            <w:r>
              <w:rPr>
                <w:sz w:val="21"/>
                <w:szCs w:val="21"/>
              </w:rPr>
              <w:t>1353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7" w:hRule="atLeast"/>
        </w:trPr>
        <w:tc>
          <w:tcPr>
            <w:tcW w:w="1113"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1943" w:type="pct"/>
            <w:vAlign w:val="center"/>
          </w:tcPr>
          <w:p>
            <w:pPr>
              <w:spacing w:line="240" w:lineRule="auto"/>
              <w:ind w:firstLine="0" w:firstLineChars="0"/>
              <w:jc w:val="center"/>
              <w:rPr>
                <w:sz w:val="21"/>
                <w:szCs w:val="21"/>
              </w:rPr>
            </w:pPr>
            <w:r>
              <w:rPr>
                <w:sz w:val="21"/>
                <w:szCs w:val="21"/>
              </w:rPr>
              <w:t>3178</w:t>
            </w:r>
          </w:p>
        </w:tc>
        <w:tc>
          <w:tcPr>
            <w:tcW w:w="1943" w:type="pct"/>
            <w:vAlign w:val="center"/>
          </w:tcPr>
          <w:p>
            <w:pPr>
              <w:spacing w:line="240" w:lineRule="auto"/>
              <w:ind w:firstLine="0" w:firstLineChars="0"/>
              <w:jc w:val="center"/>
              <w:rPr>
                <w:sz w:val="21"/>
                <w:szCs w:val="21"/>
              </w:rPr>
            </w:pPr>
            <w:r>
              <w:rPr>
                <w:sz w:val="21"/>
                <w:szCs w:val="21"/>
              </w:rPr>
              <w:t>1353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1113" w:type="pct"/>
            <w:vAlign w:val="center"/>
          </w:tcPr>
          <w:p>
            <w:pPr>
              <w:pStyle w:val="53"/>
              <w:jc w:val="center"/>
              <w:rPr>
                <w:rFonts w:eastAsia="仿宋_GB2312"/>
              </w:rPr>
            </w:pPr>
            <w:r>
              <w:rPr>
                <w:rFonts w:eastAsia="仿宋_GB2312"/>
              </w:rPr>
              <w:t>土石方中转场*</w:t>
            </w:r>
          </w:p>
        </w:tc>
        <w:tc>
          <w:tcPr>
            <w:tcW w:w="1943" w:type="pct"/>
            <w:vAlign w:val="center"/>
          </w:tcPr>
          <w:p>
            <w:pPr>
              <w:spacing w:line="240" w:lineRule="auto"/>
              <w:ind w:firstLine="0" w:firstLineChars="0"/>
              <w:jc w:val="center"/>
              <w:rPr>
                <w:sz w:val="21"/>
                <w:szCs w:val="21"/>
              </w:rPr>
            </w:pPr>
            <w:r>
              <w:rPr>
                <w:sz w:val="21"/>
                <w:szCs w:val="21"/>
              </w:rPr>
              <w:t>4341</w:t>
            </w:r>
          </w:p>
        </w:tc>
        <w:tc>
          <w:tcPr>
            <w:tcW w:w="1943" w:type="pct"/>
            <w:vAlign w:val="center"/>
          </w:tcPr>
          <w:p>
            <w:pPr>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113" w:type="pct"/>
            <w:vAlign w:val="center"/>
          </w:tcPr>
          <w:p>
            <w:pPr>
              <w:pStyle w:val="53"/>
              <w:jc w:val="center"/>
              <w:rPr>
                <w:rFonts w:eastAsia="仿宋_GB2312"/>
              </w:rPr>
            </w:pPr>
            <w:r>
              <w:rPr>
                <w:rFonts w:eastAsia="仿宋_GB2312"/>
              </w:rPr>
              <w:t>表土中转场*</w:t>
            </w:r>
          </w:p>
        </w:tc>
        <w:tc>
          <w:tcPr>
            <w:tcW w:w="1943" w:type="pct"/>
            <w:vAlign w:val="center"/>
          </w:tcPr>
          <w:p>
            <w:pPr>
              <w:spacing w:line="240" w:lineRule="auto"/>
              <w:ind w:firstLine="0" w:firstLineChars="0"/>
              <w:jc w:val="center"/>
              <w:rPr>
                <w:sz w:val="21"/>
                <w:szCs w:val="21"/>
              </w:rPr>
            </w:pPr>
            <w:r>
              <w:rPr>
                <w:sz w:val="21"/>
                <w:szCs w:val="21"/>
              </w:rPr>
              <w:t>4341</w:t>
            </w:r>
          </w:p>
        </w:tc>
        <w:tc>
          <w:tcPr>
            <w:tcW w:w="1943" w:type="pct"/>
            <w:vAlign w:val="center"/>
          </w:tcPr>
          <w:p>
            <w:pPr>
              <w:spacing w:line="240" w:lineRule="auto"/>
              <w:ind w:firstLine="0" w:firstLineChars="0"/>
              <w:jc w:val="center"/>
              <w:rPr>
                <w:sz w:val="21"/>
                <w:szCs w:val="21"/>
              </w:rPr>
            </w:pPr>
          </w:p>
        </w:tc>
      </w:tr>
    </w:tbl>
    <w:p>
      <w:pPr>
        <w:pStyle w:val="6"/>
        <w:spacing w:beforeLines="50"/>
      </w:pPr>
      <w:r>
        <w:t>4.3.4调查及预测结果</w:t>
      </w:r>
    </w:p>
    <w:p>
      <w:pPr>
        <w:pStyle w:val="7"/>
      </w:pPr>
      <w:r>
        <w:t>4.3.4.1调查结果</w:t>
      </w:r>
    </w:p>
    <w:p>
      <w:pPr>
        <w:ind w:firstLine="480"/>
      </w:pPr>
      <w:r>
        <w:t>通过对施工区域的水土流失情况进行调查回顾，其调查结果详见下表。</w:t>
      </w:r>
    </w:p>
    <w:p>
      <w:pPr>
        <w:ind w:firstLine="0" w:firstLineChars="0"/>
        <w:jc w:val="center"/>
        <w:rPr>
          <w:b/>
          <w:bCs/>
        </w:rPr>
      </w:pPr>
      <w:r>
        <w:rPr>
          <w:b/>
          <w:bCs/>
        </w:rPr>
        <w:t>表4.3-5施工期水土流失调查结果表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356"/>
        <w:gridCol w:w="870"/>
        <w:gridCol w:w="1347"/>
        <w:gridCol w:w="1312"/>
        <w:gridCol w:w="1049"/>
        <w:gridCol w:w="804"/>
        <w:gridCol w:w="1180"/>
        <w:gridCol w:w="1180"/>
        <w:gridCol w:w="118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61" w:type="pct"/>
            <w:gridSpan w:val="2"/>
            <w:vAlign w:val="center"/>
          </w:tcPr>
          <w:p>
            <w:pPr>
              <w:spacing w:line="240" w:lineRule="auto"/>
              <w:ind w:firstLine="0" w:firstLineChars="0"/>
              <w:jc w:val="center"/>
              <w:rPr>
                <w:b/>
                <w:bCs/>
                <w:sz w:val="21"/>
                <w:szCs w:val="21"/>
              </w:rPr>
            </w:pPr>
            <w:r>
              <w:rPr>
                <w:b/>
                <w:bCs/>
                <w:sz w:val="21"/>
                <w:szCs w:val="21"/>
              </w:rPr>
              <w:t>调查单元</w:t>
            </w:r>
          </w:p>
        </w:tc>
        <w:tc>
          <w:tcPr>
            <w:tcW w:w="725" w:type="pct"/>
            <w:vAlign w:val="center"/>
          </w:tcPr>
          <w:p>
            <w:pPr>
              <w:spacing w:line="240" w:lineRule="auto"/>
              <w:ind w:firstLine="0" w:firstLineChars="0"/>
              <w:jc w:val="center"/>
              <w:rPr>
                <w:b/>
                <w:bCs/>
                <w:sz w:val="21"/>
                <w:szCs w:val="21"/>
              </w:rPr>
            </w:pPr>
            <w:r>
              <w:rPr>
                <w:b/>
                <w:bCs/>
                <w:sz w:val="21"/>
                <w:szCs w:val="21"/>
              </w:rPr>
              <w:t>土壤侵蚀</w:t>
            </w:r>
          </w:p>
          <w:p>
            <w:pPr>
              <w:spacing w:line="240" w:lineRule="auto"/>
              <w:ind w:firstLine="0" w:firstLineChars="0"/>
              <w:jc w:val="center"/>
              <w:rPr>
                <w:b/>
                <w:bCs/>
                <w:sz w:val="21"/>
                <w:szCs w:val="21"/>
              </w:rPr>
            </w:pPr>
            <w:r>
              <w:rPr>
                <w:b/>
                <w:bCs/>
                <w:sz w:val="21"/>
                <w:szCs w:val="21"/>
              </w:rPr>
              <w:t>背景值（t/km</w:t>
            </w:r>
            <w:r>
              <w:rPr>
                <w:b/>
                <w:bCs/>
                <w:sz w:val="21"/>
                <w:szCs w:val="21"/>
                <w:vertAlign w:val="superscript"/>
              </w:rPr>
              <w:t>2</w:t>
            </w:r>
            <w:r>
              <w:rPr>
                <w:b/>
                <w:bCs/>
                <w:sz w:val="21"/>
                <w:szCs w:val="21"/>
              </w:rPr>
              <w:t>·a）</w:t>
            </w:r>
          </w:p>
        </w:tc>
        <w:tc>
          <w:tcPr>
            <w:tcW w:w="705" w:type="pct"/>
            <w:vAlign w:val="center"/>
          </w:tcPr>
          <w:p>
            <w:pPr>
              <w:spacing w:line="240" w:lineRule="auto"/>
              <w:ind w:firstLine="0" w:firstLineChars="0"/>
              <w:jc w:val="center"/>
              <w:rPr>
                <w:b/>
                <w:bCs/>
                <w:sz w:val="21"/>
                <w:szCs w:val="21"/>
              </w:rPr>
            </w:pPr>
            <w:r>
              <w:rPr>
                <w:b/>
                <w:bCs/>
                <w:sz w:val="21"/>
                <w:szCs w:val="21"/>
              </w:rPr>
              <w:t>扰动后侵蚀模数（t/km</w:t>
            </w:r>
            <w:r>
              <w:rPr>
                <w:b/>
                <w:bCs/>
                <w:sz w:val="21"/>
                <w:szCs w:val="21"/>
                <w:vertAlign w:val="superscript"/>
              </w:rPr>
              <w:t>2</w:t>
            </w:r>
            <w:r>
              <w:rPr>
                <w:b/>
                <w:bCs/>
                <w:sz w:val="21"/>
                <w:szCs w:val="21"/>
              </w:rPr>
              <w:t>·a）</w:t>
            </w:r>
          </w:p>
        </w:tc>
        <w:tc>
          <w:tcPr>
            <w:tcW w:w="565" w:type="pct"/>
            <w:vAlign w:val="center"/>
          </w:tcPr>
          <w:p>
            <w:pPr>
              <w:spacing w:line="240" w:lineRule="auto"/>
              <w:ind w:firstLine="0" w:firstLineChars="0"/>
              <w:jc w:val="center"/>
              <w:rPr>
                <w:b/>
                <w:bCs/>
                <w:sz w:val="21"/>
                <w:szCs w:val="21"/>
              </w:rPr>
            </w:pPr>
            <w:r>
              <w:rPr>
                <w:b/>
                <w:bCs/>
                <w:sz w:val="21"/>
                <w:szCs w:val="21"/>
              </w:rPr>
              <w:t>侵蚀</w:t>
            </w:r>
          </w:p>
          <w:p>
            <w:pPr>
              <w:spacing w:line="240" w:lineRule="auto"/>
              <w:ind w:firstLine="0" w:firstLineChars="0"/>
              <w:jc w:val="center"/>
              <w:rPr>
                <w:b/>
                <w:bCs/>
                <w:sz w:val="21"/>
                <w:szCs w:val="21"/>
              </w:rPr>
            </w:pPr>
            <w:r>
              <w:rPr>
                <w:b/>
                <w:bCs/>
                <w:sz w:val="21"/>
                <w:szCs w:val="21"/>
              </w:rPr>
              <w:t>面积</w:t>
            </w:r>
          </w:p>
          <w:p>
            <w:pPr>
              <w:spacing w:line="240" w:lineRule="auto"/>
              <w:ind w:firstLine="0" w:firstLineChars="0"/>
              <w:jc w:val="center"/>
              <w:rPr>
                <w:b/>
                <w:bCs/>
                <w:sz w:val="21"/>
                <w:szCs w:val="21"/>
              </w:rPr>
            </w:pPr>
            <w:r>
              <w:rPr>
                <w:b/>
                <w:bCs/>
                <w:sz w:val="21"/>
                <w:szCs w:val="21"/>
              </w:rPr>
              <w:t>（hm</w:t>
            </w:r>
            <w:r>
              <w:rPr>
                <w:b/>
                <w:bCs/>
                <w:sz w:val="21"/>
                <w:szCs w:val="21"/>
                <w:vertAlign w:val="superscript"/>
              </w:rPr>
              <w:t>2</w:t>
            </w:r>
            <w:r>
              <w:rPr>
                <w:b/>
                <w:bCs/>
                <w:sz w:val="21"/>
                <w:szCs w:val="21"/>
              </w:rPr>
              <w:t>）</w:t>
            </w:r>
          </w:p>
        </w:tc>
        <w:tc>
          <w:tcPr>
            <w:tcW w:w="433" w:type="pct"/>
            <w:vAlign w:val="center"/>
          </w:tcPr>
          <w:p>
            <w:pPr>
              <w:spacing w:line="240" w:lineRule="auto"/>
              <w:ind w:firstLine="0" w:firstLineChars="0"/>
              <w:jc w:val="center"/>
              <w:rPr>
                <w:b/>
                <w:bCs/>
                <w:sz w:val="21"/>
                <w:szCs w:val="21"/>
              </w:rPr>
            </w:pPr>
            <w:r>
              <w:rPr>
                <w:b/>
                <w:bCs/>
                <w:sz w:val="21"/>
                <w:szCs w:val="21"/>
              </w:rPr>
              <w:t>侵蚀</w:t>
            </w:r>
          </w:p>
          <w:p>
            <w:pPr>
              <w:spacing w:line="240" w:lineRule="auto"/>
              <w:ind w:firstLine="0" w:firstLineChars="0"/>
              <w:jc w:val="center"/>
              <w:rPr>
                <w:b/>
                <w:bCs/>
                <w:sz w:val="21"/>
                <w:szCs w:val="21"/>
              </w:rPr>
            </w:pPr>
            <w:r>
              <w:rPr>
                <w:b/>
                <w:bCs/>
                <w:sz w:val="21"/>
                <w:szCs w:val="21"/>
              </w:rPr>
              <w:t>时段（a）</w:t>
            </w:r>
          </w:p>
        </w:tc>
        <w:tc>
          <w:tcPr>
            <w:tcW w:w="635" w:type="pct"/>
            <w:vAlign w:val="center"/>
          </w:tcPr>
          <w:p>
            <w:pPr>
              <w:spacing w:line="240" w:lineRule="auto"/>
              <w:ind w:firstLine="0" w:firstLineChars="0"/>
              <w:jc w:val="center"/>
              <w:rPr>
                <w:b/>
                <w:bCs/>
                <w:sz w:val="21"/>
                <w:szCs w:val="21"/>
              </w:rPr>
            </w:pPr>
            <w:r>
              <w:rPr>
                <w:b/>
                <w:bCs/>
                <w:sz w:val="21"/>
                <w:szCs w:val="21"/>
              </w:rPr>
              <w:t>背景</w:t>
            </w:r>
          </w:p>
          <w:p>
            <w:pPr>
              <w:spacing w:line="240" w:lineRule="auto"/>
              <w:ind w:firstLine="0" w:firstLineChars="0"/>
              <w:jc w:val="center"/>
              <w:rPr>
                <w:b/>
                <w:bCs/>
                <w:sz w:val="21"/>
                <w:szCs w:val="21"/>
              </w:rPr>
            </w:pPr>
            <w:r>
              <w:rPr>
                <w:b/>
                <w:bCs/>
                <w:sz w:val="21"/>
                <w:szCs w:val="21"/>
              </w:rPr>
              <w:t>流失量（t）</w:t>
            </w:r>
          </w:p>
        </w:tc>
        <w:tc>
          <w:tcPr>
            <w:tcW w:w="635" w:type="pct"/>
            <w:vAlign w:val="center"/>
          </w:tcPr>
          <w:p>
            <w:pPr>
              <w:spacing w:line="240" w:lineRule="auto"/>
              <w:ind w:firstLine="0" w:firstLineChars="0"/>
              <w:jc w:val="center"/>
              <w:rPr>
                <w:b/>
                <w:bCs/>
                <w:sz w:val="21"/>
                <w:szCs w:val="21"/>
              </w:rPr>
            </w:pPr>
            <w:r>
              <w:rPr>
                <w:b/>
                <w:bCs/>
                <w:sz w:val="21"/>
                <w:szCs w:val="21"/>
              </w:rPr>
              <w:t>调查</w:t>
            </w:r>
          </w:p>
          <w:p>
            <w:pPr>
              <w:spacing w:line="240" w:lineRule="auto"/>
              <w:ind w:firstLine="0" w:firstLineChars="0"/>
              <w:jc w:val="center"/>
              <w:rPr>
                <w:b/>
                <w:bCs/>
                <w:sz w:val="21"/>
                <w:szCs w:val="21"/>
              </w:rPr>
            </w:pPr>
            <w:r>
              <w:rPr>
                <w:b/>
                <w:bCs/>
                <w:sz w:val="21"/>
                <w:szCs w:val="21"/>
              </w:rPr>
              <w:t>流失量（t）</w:t>
            </w:r>
          </w:p>
        </w:tc>
        <w:tc>
          <w:tcPr>
            <w:tcW w:w="636" w:type="pct"/>
            <w:vAlign w:val="center"/>
          </w:tcPr>
          <w:p>
            <w:pPr>
              <w:spacing w:line="240" w:lineRule="auto"/>
              <w:ind w:firstLine="0" w:firstLineChars="0"/>
              <w:jc w:val="center"/>
              <w:rPr>
                <w:b/>
                <w:bCs/>
                <w:sz w:val="21"/>
                <w:szCs w:val="21"/>
              </w:rPr>
            </w:pPr>
            <w:r>
              <w:rPr>
                <w:b/>
                <w:bCs/>
                <w:sz w:val="21"/>
                <w:szCs w:val="21"/>
              </w:rPr>
              <w:t>新增</w:t>
            </w:r>
          </w:p>
          <w:p>
            <w:pPr>
              <w:spacing w:line="240" w:lineRule="auto"/>
              <w:ind w:firstLine="0" w:firstLineChars="0"/>
              <w:jc w:val="center"/>
              <w:rPr>
                <w:b/>
                <w:bCs/>
                <w:sz w:val="21"/>
                <w:szCs w:val="21"/>
              </w:rPr>
            </w:pPr>
            <w:r>
              <w:rPr>
                <w:b/>
                <w:bCs/>
                <w:sz w:val="21"/>
                <w:szCs w:val="21"/>
              </w:rPr>
              <w:t>流失量（t）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2" w:hRule="atLeast"/>
        </w:trPr>
        <w:tc>
          <w:tcPr>
            <w:tcW w:w="192" w:type="pct"/>
            <w:vMerge w:val="restart"/>
            <w:vAlign w:val="center"/>
          </w:tcPr>
          <w:p>
            <w:pPr>
              <w:spacing w:line="240" w:lineRule="auto"/>
              <w:ind w:firstLine="0" w:firstLineChars="0"/>
              <w:jc w:val="center"/>
              <w:rPr>
                <w:sz w:val="21"/>
                <w:szCs w:val="21"/>
              </w:rPr>
            </w:pPr>
            <w:r>
              <w:rPr>
                <w:sz w:val="21"/>
                <w:szCs w:val="21"/>
              </w:rPr>
              <w:t>近期建设区</w:t>
            </w:r>
          </w:p>
        </w:tc>
        <w:tc>
          <w:tcPr>
            <w:tcW w:w="468" w:type="pct"/>
            <w:vAlign w:val="center"/>
          </w:tcPr>
          <w:p>
            <w:pPr>
              <w:tabs>
                <w:tab w:val="left" w:pos="1050"/>
              </w:tabs>
              <w:spacing w:line="240" w:lineRule="auto"/>
              <w:ind w:firstLine="0" w:firstLineChars="0"/>
              <w:jc w:val="center"/>
              <w:rPr>
                <w:sz w:val="21"/>
                <w:szCs w:val="21"/>
              </w:rPr>
            </w:pPr>
            <w:r>
              <w:rPr>
                <w:sz w:val="21"/>
                <w:szCs w:val="21"/>
              </w:rPr>
              <w:t>工业用地</w:t>
            </w:r>
          </w:p>
        </w:tc>
        <w:tc>
          <w:tcPr>
            <w:tcW w:w="725" w:type="pct"/>
            <w:vAlign w:val="center"/>
          </w:tcPr>
          <w:p>
            <w:pPr>
              <w:spacing w:line="240" w:lineRule="auto"/>
              <w:ind w:firstLine="0" w:firstLineChars="0"/>
              <w:jc w:val="center"/>
              <w:rPr>
                <w:sz w:val="21"/>
                <w:szCs w:val="21"/>
              </w:rPr>
            </w:pPr>
            <w:r>
              <w:rPr>
                <w:sz w:val="21"/>
                <w:szCs w:val="21"/>
              </w:rPr>
              <w:t>1252.35</w:t>
            </w:r>
          </w:p>
        </w:tc>
        <w:tc>
          <w:tcPr>
            <w:tcW w:w="705" w:type="pct"/>
            <w:vAlign w:val="center"/>
          </w:tcPr>
          <w:p>
            <w:pPr>
              <w:spacing w:line="240" w:lineRule="auto"/>
              <w:ind w:firstLine="0" w:firstLineChars="0"/>
              <w:jc w:val="center"/>
              <w:rPr>
                <w:sz w:val="21"/>
                <w:szCs w:val="21"/>
              </w:rPr>
            </w:pPr>
            <w:r>
              <w:rPr>
                <w:sz w:val="21"/>
                <w:szCs w:val="21"/>
              </w:rPr>
              <w:t>3962</w:t>
            </w:r>
          </w:p>
        </w:tc>
        <w:tc>
          <w:tcPr>
            <w:tcW w:w="565" w:type="pct"/>
            <w:vAlign w:val="center"/>
          </w:tcPr>
          <w:p>
            <w:pPr>
              <w:adjustRightInd w:val="0"/>
              <w:snapToGrid w:val="0"/>
              <w:spacing w:line="240" w:lineRule="auto"/>
              <w:ind w:firstLine="0" w:firstLineChars="0"/>
              <w:jc w:val="center"/>
              <w:rPr>
                <w:sz w:val="21"/>
                <w:szCs w:val="21"/>
              </w:rPr>
            </w:pPr>
            <w:r>
              <w:rPr>
                <w:sz w:val="21"/>
                <w:szCs w:val="21"/>
              </w:rPr>
              <w:t>353.05</w:t>
            </w:r>
          </w:p>
        </w:tc>
        <w:tc>
          <w:tcPr>
            <w:tcW w:w="433" w:type="pct"/>
            <w:vAlign w:val="center"/>
          </w:tcPr>
          <w:p>
            <w:pPr>
              <w:adjustRightInd w:val="0"/>
              <w:snapToGrid w:val="0"/>
              <w:spacing w:line="240" w:lineRule="auto"/>
              <w:ind w:firstLine="0" w:firstLineChars="0"/>
              <w:jc w:val="center"/>
              <w:rPr>
                <w:sz w:val="21"/>
                <w:szCs w:val="21"/>
              </w:rPr>
            </w:pPr>
            <w:r>
              <w:rPr>
                <w:sz w:val="21"/>
                <w:szCs w:val="21"/>
              </w:rPr>
              <w:t>2.50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11054</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34970</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23916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0" w:hRule="atLeast"/>
        </w:trPr>
        <w:tc>
          <w:tcPr>
            <w:tcW w:w="192" w:type="pct"/>
            <w:vMerge w:val="continue"/>
            <w:vAlign w:val="center"/>
          </w:tcPr>
          <w:p>
            <w:pPr>
              <w:pStyle w:val="53"/>
              <w:jc w:val="center"/>
              <w:rPr>
                <w:rFonts w:eastAsia="仿宋_GB2312"/>
              </w:rPr>
            </w:pPr>
          </w:p>
        </w:tc>
        <w:tc>
          <w:tcPr>
            <w:tcW w:w="468"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725" w:type="pct"/>
            <w:vAlign w:val="center"/>
          </w:tcPr>
          <w:p>
            <w:pPr>
              <w:spacing w:line="240" w:lineRule="auto"/>
              <w:ind w:firstLine="0" w:firstLineChars="0"/>
              <w:jc w:val="center"/>
              <w:rPr>
                <w:sz w:val="21"/>
                <w:szCs w:val="21"/>
              </w:rPr>
            </w:pPr>
            <w:r>
              <w:rPr>
                <w:sz w:val="21"/>
                <w:szCs w:val="21"/>
              </w:rPr>
              <w:t>895.94</w:t>
            </w:r>
          </w:p>
        </w:tc>
        <w:tc>
          <w:tcPr>
            <w:tcW w:w="705" w:type="pct"/>
            <w:vAlign w:val="center"/>
          </w:tcPr>
          <w:p>
            <w:pPr>
              <w:spacing w:line="240" w:lineRule="auto"/>
              <w:ind w:firstLine="0" w:firstLineChars="0"/>
              <w:jc w:val="center"/>
              <w:rPr>
                <w:sz w:val="21"/>
                <w:szCs w:val="21"/>
              </w:rPr>
            </w:pPr>
            <w:r>
              <w:rPr>
                <w:sz w:val="21"/>
                <w:szCs w:val="21"/>
              </w:rPr>
              <w:t>3222</w:t>
            </w:r>
          </w:p>
        </w:tc>
        <w:tc>
          <w:tcPr>
            <w:tcW w:w="565" w:type="pct"/>
            <w:vAlign w:val="center"/>
          </w:tcPr>
          <w:p>
            <w:pPr>
              <w:adjustRightInd w:val="0"/>
              <w:snapToGrid w:val="0"/>
              <w:spacing w:line="240" w:lineRule="auto"/>
              <w:ind w:firstLine="0" w:firstLineChars="0"/>
              <w:jc w:val="center"/>
              <w:rPr>
                <w:sz w:val="21"/>
                <w:szCs w:val="21"/>
              </w:rPr>
            </w:pPr>
            <w:r>
              <w:rPr>
                <w:sz w:val="21"/>
                <w:szCs w:val="21"/>
              </w:rPr>
              <w:t>47.72</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855</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3075</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2220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4" w:hRule="atLeast"/>
        </w:trPr>
        <w:tc>
          <w:tcPr>
            <w:tcW w:w="192" w:type="pct"/>
            <w:vMerge w:val="continue"/>
            <w:vAlign w:val="center"/>
          </w:tcPr>
          <w:p>
            <w:pPr>
              <w:pStyle w:val="53"/>
              <w:jc w:val="center"/>
              <w:rPr>
                <w:rFonts w:eastAsia="仿宋_GB2312"/>
              </w:rPr>
            </w:pPr>
          </w:p>
        </w:tc>
        <w:tc>
          <w:tcPr>
            <w:tcW w:w="468"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725" w:type="pct"/>
            <w:vAlign w:val="center"/>
          </w:tcPr>
          <w:p>
            <w:pPr>
              <w:spacing w:line="240" w:lineRule="auto"/>
              <w:ind w:firstLine="0" w:firstLineChars="0"/>
              <w:jc w:val="center"/>
              <w:rPr>
                <w:sz w:val="21"/>
                <w:szCs w:val="21"/>
              </w:rPr>
            </w:pPr>
            <w:r>
              <w:rPr>
                <w:sz w:val="21"/>
                <w:szCs w:val="21"/>
              </w:rPr>
              <w:t>920.21</w:t>
            </w:r>
          </w:p>
        </w:tc>
        <w:tc>
          <w:tcPr>
            <w:tcW w:w="705" w:type="pct"/>
            <w:vAlign w:val="center"/>
          </w:tcPr>
          <w:p>
            <w:pPr>
              <w:spacing w:line="240" w:lineRule="auto"/>
              <w:ind w:firstLine="0" w:firstLineChars="0"/>
              <w:jc w:val="center"/>
              <w:rPr>
                <w:sz w:val="21"/>
                <w:szCs w:val="21"/>
              </w:rPr>
            </w:pPr>
            <w:r>
              <w:rPr>
                <w:sz w:val="21"/>
                <w:szCs w:val="21"/>
              </w:rPr>
              <w:t>3222</w:t>
            </w:r>
          </w:p>
        </w:tc>
        <w:tc>
          <w:tcPr>
            <w:tcW w:w="565" w:type="pct"/>
            <w:vAlign w:val="center"/>
          </w:tcPr>
          <w:p>
            <w:pPr>
              <w:adjustRightInd w:val="0"/>
              <w:snapToGrid w:val="0"/>
              <w:spacing w:line="240" w:lineRule="auto"/>
              <w:ind w:firstLine="0" w:firstLineChars="0"/>
              <w:jc w:val="center"/>
              <w:rPr>
                <w:sz w:val="21"/>
                <w:szCs w:val="21"/>
              </w:rPr>
            </w:pPr>
            <w:r>
              <w:rPr>
                <w:sz w:val="21"/>
                <w:szCs w:val="21"/>
              </w:rPr>
              <w:t>8.15</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150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525</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375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5" w:hRule="atLeast"/>
        </w:trPr>
        <w:tc>
          <w:tcPr>
            <w:tcW w:w="192" w:type="pct"/>
            <w:vMerge w:val="continue"/>
            <w:vAlign w:val="center"/>
          </w:tcPr>
          <w:p>
            <w:pPr>
              <w:pStyle w:val="53"/>
              <w:jc w:val="center"/>
              <w:rPr>
                <w:rFonts w:eastAsia="仿宋_GB2312"/>
              </w:rPr>
            </w:pPr>
          </w:p>
        </w:tc>
        <w:tc>
          <w:tcPr>
            <w:tcW w:w="468"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725" w:type="pct"/>
            <w:vAlign w:val="center"/>
          </w:tcPr>
          <w:p>
            <w:pPr>
              <w:spacing w:line="240" w:lineRule="auto"/>
              <w:ind w:firstLine="0" w:firstLineChars="0"/>
              <w:jc w:val="center"/>
              <w:rPr>
                <w:sz w:val="21"/>
                <w:szCs w:val="21"/>
              </w:rPr>
            </w:pPr>
            <w:r>
              <w:rPr>
                <w:sz w:val="21"/>
                <w:szCs w:val="21"/>
              </w:rPr>
              <w:t>1044.18</w:t>
            </w:r>
          </w:p>
        </w:tc>
        <w:tc>
          <w:tcPr>
            <w:tcW w:w="705" w:type="pct"/>
            <w:vAlign w:val="center"/>
          </w:tcPr>
          <w:p>
            <w:pPr>
              <w:spacing w:line="240" w:lineRule="auto"/>
              <w:ind w:firstLine="0" w:firstLineChars="0"/>
              <w:jc w:val="center"/>
              <w:rPr>
                <w:sz w:val="21"/>
                <w:szCs w:val="21"/>
              </w:rPr>
            </w:pPr>
            <w:r>
              <w:rPr>
                <w:sz w:val="21"/>
                <w:szCs w:val="21"/>
              </w:rPr>
              <w:t>3178</w:t>
            </w:r>
          </w:p>
        </w:tc>
        <w:tc>
          <w:tcPr>
            <w:tcW w:w="565" w:type="pct"/>
            <w:vAlign w:val="center"/>
          </w:tcPr>
          <w:p>
            <w:pPr>
              <w:adjustRightInd w:val="0"/>
              <w:snapToGrid w:val="0"/>
              <w:spacing w:line="240" w:lineRule="auto"/>
              <w:ind w:firstLine="0" w:firstLineChars="0"/>
              <w:jc w:val="center"/>
              <w:rPr>
                <w:sz w:val="21"/>
                <w:szCs w:val="21"/>
              </w:rPr>
            </w:pPr>
            <w:r>
              <w:rPr>
                <w:sz w:val="21"/>
                <w:szCs w:val="21"/>
              </w:rPr>
              <w:t>18.80</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393</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1195</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802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092" w:type="pct"/>
            <w:gridSpan w:val="4"/>
            <w:vAlign w:val="center"/>
          </w:tcPr>
          <w:p>
            <w:pPr>
              <w:spacing w:line="240" w:lineRule="auto"/>
              <w:ind w:firstLine="0" w:firstLineChars="0"/>
              <w:jc w:val="center"/>
              <w:rPr>
                <w:sz w:val="21"/>
                <w:szCs w:val="21"/>
              </w:rPr>
            </w:pPr>
            <w:r>
              <w:rPr>
                <w:b/>
                <w:bCs/>
                <w:sz w:val="21"/>
                <w:szCs w:val="21"/>
              </w:rPr>
              <w:t>合计</w:t>
            </w:r>
          </w:p>
        </w:tc>
        <w:tc>
          <w:tcPr>
            <w:tcW w:w="565" w:type="pct"/>
            <w:vAlign w:val="center"/>
          </w:tcPr>
          <w:p>
            <w:pPr>
              <w:adjustRightInd w:val="0"/>
              <w:snapToGrid w:val="0"/>
              <w:spacing w:line="240" w:lineRule="auto"/>
              <w:ind w:firstLine="0" w:firstLineChars="0"/>
              <w:jc w:val="center"/>
              <w:rPr>
                <w:sz w:val="21"/>
                <w:szCs w:val="21"/>
              </w:rPr>
            </w:pPr>
            <w:r>
              <w:rPr>
                <w:b/>
                <w:bCs/>
                <w:sz w:val="21"/>
                <w:szCs w:val="21"/>
              </w:rPr>
              <w:t>427.72</w:t>
            </w:r>
          </w:p>
        </w:tc>
        <w:tc>
          <w:tcPr>
            <w:tcW w:w="433" w:type="pct"/>
            <w:vAlign w:val="center"/>
          </w:tcPr>
          <w:p>
            <w:pPr>
              <w:pStyle w:val="53"/>
              <w:jc w:val="center"/>
              <w:rPr>
                <w:rFonts w:eastAsia="仿宋_GB2312"/>
              </w:rPr>
            </w:pP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12452</w:t>
            </w: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39765</w:t>
            </w:r>
          </w:p>
        </w:tc>
        <w:tc>
          <w:tcPr>
            <w:tcW w:w="1182"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27313</w:t>
            </w:r>
          </w:p>
        </w:tc>
      </w:tr>
    </w:tbl>
    <w:p>
      <w:pPr>
        <w:spacing w:beforeLines="50"/>
        <w:ind w:firstLine="0" w:firstLineChars="0"/>
        <w:jc w:val="center"/>
        <w:rPr>
          <w:b/>
          <w:bCs/>
          <w:szCs w:val="24"/>
        </w:rPr>
      </w:pPr>
      <w:r>
        <w:rPr>
          <w:b/>
          <w:bCs/>
        </w:rPr>
        <w:t>表4.3-6</w:t>
      </w:r>
      <w:r>
        <w:rPr>
          <w:b/>
          <w:bCs/>
          <w:szCs w:val="24"/>
        </w:rPr>
        <w:t>自然恢复期水土流失调查</w:t>
      </w:r>
      <w:r>
        <w:rPr>
          <w:b/>
          <w:bCs/>
        </w:rPr>
        <w:t>结果</w:t>
      </w:r>
      <w:r>
        <w:rPr>
          <w:b/>
          <w:bCs/>
          <w:szCs w:val="24"/>
        </w:rPr>
        <w:t>表</w:t>
      </w:r>
    </w:p>
    <w:tbl>
      <w:tblPr>
        <w:tblStyle w:val="110"/>
        <w:tblW w:w="9320"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391"/>
        <w:gridCol w:w="811"/>
        <w:gridCol w:w="1391"/>
        <w:gridCol w:w="1309"/>
        <w:gridCol w:w="1050"/>
        <w:gridCol w:w="818"/>
        <w:gridCol w:w="1179"/>
        <w:gridCol w:w="1187"/>
        <w:gridCol w:w="118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202" w:type="dxa"/>
            <w:gridSpan w:val="2"/>
            <w:vAlign w:val="center"/>
          </w:tcPr>
          <w:p>
            <w:pPr>
              <w:spacing w:line="240" w:lineRule="exact"/>
              <w:ind w:firstLine="0" w:firstLineChars="0"/>
              <w:jc w:val="center"/>
              <w:rPr>
                <w:b/>
                <w:bCs/>
                <w:sz w:val="21"/>
                <w:szCs w:val="21"/>
              </w:rPr>
            </w:pPr>
            <w:r>
              <w:rPr>
                <w:b/>
                <w:bCs/>
                <w:sz w:val="21"/>
                <w:szCs w:val="21"/>
              </w:rPr>
              <w:t>调查单元</w:t>
            </w:r>
          </w:p>
        </w:tc>
        <w:tc>
          <w:tcPr>
            <w:tcW w:w="1391" w:type="dxa"/>
            <w:vAlign w:val="center"/>
          </w:tcPr>
          <w:p>
            <w:pPr>
              <w:spacing w:line="240" w:lineRule="exact"/>
              <w:ind w:firstLine="0" w:firstLineChars="0"/>
              <w:jc w:val="center"/>
              <w:rPr>
                <w:b/>
                <w:bCs/>
                <w:sz w:val="21"/>
                <w:szCs w:val="21"/>
              </w:rPr>
            </w:pPr>
            <w:r>
              <w:rPr>
                <w:b/>
                <w:bCs/>
                <w:sz w:val="21"/>
                <w:szCs w:val="21"/>
              </w:rPr>
              <w:t>土壤侵蚀</w:t>
            </w:r>
          </w:p>
          <w:p>
            <w:pPr>
              <w:spacing w:line="240" w:lineRule="exact"/>
              <w:ind w:firstLine="0" w:firstLineChars="0"/>
              <w:jc w:val="center"/>
              <w:rPr>
                <w:b/>
                <w:bCs/>
                <w:sz w:val="21"/>
                <w:szCs w:val="21"/>
              </w:rPr>
            </w:pPr>
            <w:r>
              <w:rPr>
                <w:b/>
                <w:bCs/>
                <w:sz w:val="21"/>
                <w:szCs w:val="21"/>
              </w:rPr>
              <w:t>背景值（t/km</w:t>
            </w:r>
            <w:r>
              <w:rPr>
                <w:b/>
                <w:bCs/>
                <w:sz w:val="21"/>
                <w:szCs w:val="21"/>
                <w:vertAlign w:val="superscript"/>
              </w:rPr>
              <w:t>2</w:t>
            </w:r>
            <w:r>
              <w:rPr>
                <w:b/>
                <w:bCs/>
                <w:sz w:val="21"/>
                <w:szCs w:val="21"/>
              </w:rPr>
              <w:t>·a）</w:t>
            </w:r>
          </w:p>
        </w:tc>
        <w:tc>
          <w:tcPr>
            <w:tcW w:w="1309" w:type="dxa"/>
            <w:vAlign w:val="center"/>
          </w:tcPr>
          <w:p>
            <w:pPr>
              <w:spacing w:line="240" w:lineRule="exact"/>
              <w:ind w:firstLine="0" w:firstLineChars="0"/>
              <w:jc w:val="center"/>
              <w:rPr>
                <w:b/>
                <w:bCs/>
                <w:sz w:val="21"/>
                <w:szCs w:val="21"/>
              </w:rPr>
            </w:pPr>
            <w:r>
              <w:rPr>
                <w:b/>
                <w:bCs/>
                <w:sz w:val="21"/>
                <w:szCs w:val="21"/>
              </w:rPr>
              <w:t>扰动后</w:t>
            </w:r>
          </w:p>
          <w:p>
            <w:pPr>
              <w:spacing w:line="240" w:lineRule="exact"/>
              <w:ind w:firstLine="0" w:firstLineChars="0"/>
              <w:jc w:val="center"/>
              <w:rPr>
                <w:b/>
                <w:bCs/>
                <w:sz w:val="21"/>
                <w:szCs w:val="21"/>
              </w:rPr>
            </w:pPr>
            <w:r>
              <w:rPr>
                <w:b/>
                <w:bCs/>
                <w:sz w:val="21"/>
                <w:szCs w:val="21"/>
              </w:rPr>
              <w:t>侵蚀模数（t/km</w:t>
            </w:r>
            <w:r>
              <w:rPr>
                <w:b/>
                <w:bCs/>
                <w:sz w:val="21"/>
                <w:szCs w:val="21"/>
                <w:vertAlign w:val="superscript"/>
              </w:rPr>
              <w:t>2</w:t>
            </w:r>
            <w:r>
              <w:rPr>
                <w:b/>
                <w:bCs/>
                <w:sz w:val="21"/>
                <w:szCs w:val="21"/>
              </w:rPr>
              <w:t>·a）</w:t>
            </w:r>
          </w:p>
        </w:tc>
        <w:tc>
          <w:tcPr>
            <w:tcW w:w="1050" w:type="dxa"/>
            <w:vAlign w:val="center"/>
          </w:tcPr>
          <w:p>
            <w:pPr>
              <w:spacing w:line="240" w:lineRule="exact"/>
              <w:ind w:firstLine="0" w:firstLineChars="0"/>
              <w:jc w:val="center"/>
              <w:rPr>
                <w:b/>
                <w:bCs/>
                <w:sz w:val="21"/>
                <w:szCs w:val="21"/>
              </w:rPr>
            </w:pPr>
            <w:r>
              <w:rPr>
                <w:b/>
                <w:bCs/>
                <w:sz w:val="21"/>
                <w:szCs w:val="21"/>
              </w:rPr>
              <w:t>侵蚀</w:t>
            </w:r>
          </w:p>
          <w:p>
            <w:pPr>
              <w:spacing w:line="240" w:lineRule="exact"/>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818" w:type="dxa"/>
            <w:vAlign w:val="center"/>
          </w:tcPr>
          <w:p>
            <w:pPr>
              <w:spacing w:line="240" w:lineRule="exact"/>
              <w:ind w:firstLine="0" w:firstLineChars="0"/>
              <w:jc w:val="center"/>
              <w:rPr>
                <w:b/>
                <w:bCs/>
                <w:sz w:val="21"/>
                <w:szCs w:val="21"/>
              </w:rPr>
            </w:pPr>
            <w:r>
              <w:rPr>
                <w:b/>
                <w:bCs/>
                <w:sz w:val="21"/>
                <w:szCs w:val="21"/>
              </w:rPr>
              <w:t>侵蚀</w:t>
            </w:r>
          </w:p>
          <w:p>
            <w:pPr>
              <w:spacing w:line="240" w:lineRule="exact"/>
              <w:ind w:firstLine="0" w:firstLineChars="0"/>
              <w:jc w:val="center"/>
              <w:rPr>
                <w:b/>
                <w:bCs/>
                <w:sz w:val="21"/>
                <w:szCs w:val="21"/>
              </w:rPr>
            </w:pPr>
            <w:r>
              <w:rPr>
                <w:b/>
                <w:bCs/>
                <w:sz w:val="21"/>
                <w:szCs w:val="21"/>
              </w:rPr>
              <w:t>时段（a）</w:t>
            </w:r>
          </w:p>
        </w:tc>
        <w:tc>
          <w:tcPr>
            <w:tcW w:w="1179" w:type="dxa"/>
            <w:vAlign w:val="center"/>
          </w:tcPr>
          <w:p>
            <w:pPr>
              <w:spacing w:line="240" w:lineRule="exact"/>
              <w:ind w:firstLine="0" w:firstLineChars="0"/>
              <w:jc w:val="center"/>
              <w:rPr>
                <w:b/>
                <w:bCs/>
                <w:sz w:val="21"/>
                <w:szCs w:val="21"/>
              </w:rPr>
            </w:pPr>
            <w:r>
              <w:rPr>
                <w:b/>
                <w:bCs/>
                <w:sz w:val="21"/>
                <w:szCs w:val="21"/>
              </w:rPr>
              <w:t>背景</w:t>
            </w:r>
          </w:p>
          <w:p>
            <w:pPr>
              <w:spacing w:line="240" w:lineRule="exact"/>
              <w:ind w:firstLine="0" w:firstLineChars="0"/>
              <w:jc w:val="center"/>
              <w:rPr>
                <w:b/>
                <w:bCs/>
                <w:sz w:val="21"/>
                <w:szCs w:val="21"/>
              </w:rPr>
            </w:pPr>
            <w:r>
              <w:rPr>
                <w:b/>
                <w:bCs/>
                <w:sz w:val="21"/>
                <w:szCs w:val="21"/>
              </w:rPr>
              <w:t>流失量（t）</w:t>
            </w:r>
          </w:p>
        </w:tc>
        <w:tc>
          <w:tcPr>
            <w:tcW w:w="1187" w:type="dxa"/>
            <w:vAlign w:val="center"/>
          </w:tcPr>
          <w:p>
            <w:pPr>
              <w:spacing w:line="240" w:lineRule="exact"/>
              <w:ind w:firstLine="0" w:firstLineChars="0"/>
              <w:jc w:val="center"/>
              <w:rPr>
                <w:b/>
                <w:bCs/>
                <w:sz w:val="21"/>
                <w:szCs w:val="21"/>
              </w:rPr>
            </w:pPr>
            <w:r>
              <w:rPr>
                <w:b/>
                <w:bCs/>
                <w:sz w:val="21"/>
                <w:szCs w:val="21"/>
              </w:rPr>
              <w:t>调查</w:t>
            </w:r>
          </w:p>
          <w:p>
            <w:pPr>
              <w:spacing w:line="240" w:lineRule="exact"/>
              <w:ind w:firstLine="0" w:firstLineChars="0"/>
              <w:jc w:val="center"/>
              <w:rPr>
                <w:b/>
                <w:bCs/>
                <w:sz w:val="21"/>
                <w:szCs w:val="21"/>
              </w:rPr>
            </w:pPr>
            <w:r>
              <w:rPr>
                <w:b/>
                <w:bCs/>
                <w:sz w:val="21"/>
                <w:szCs w:val="21"/>
              </w:rPr>
              <w:t>流失量（t）</w:t>
            </w:r>
          </w:p>
        </w:tc>
        <w:tc>
          <w:tcPr>
            <w:tcW w:w="1179" w:type="dxa"/>
            <w:vAlign w:val="center"/>
          </w:tcPr>
          <w:p>
            <w:pPr>
              <w:spacing w:line="240" w:lineRule="exact"/>
              <w:ind w:firstLine="0" w:firstLineChars="0"/>
              <w:jc w:val="center"/>
              <w:rPr>
                <w:b/>
                <w:bCs/>
                <w:sz w:val="21"/>
                <w:szCs w:val="21"/>
              </w:rPr>
            </w:pPr>
            <w:r>
              <w:rPr>
                <w:b/>
                <w:bCs/>
                <w:sz w:val="21"/>
                <w:szCs w:val="21"/>
              </w:rPr>
              <w:t>新增</w:t>
            </w:r>
          </w:p>
          <w:p>
            <w:pPr>
              <w:spacing w:line="240" w:lineRule="exact"/>
              <w:ind w:firstLine="0" w:firstLineChars="0"/>
              <w:jc w:val="center"/>
              <w:rPr>
                <w:b/>
                <w:bCs/>
                <w:sz w:val="21"/>
                <w:szCs w:val="21"/>
              </w:rPr>
            </w:pPr>
            <w:r>
              <w:rPr>
                <w:b/>
                <w:bCs/>
                <w:sz w:val="21"/>
                <w:szCs w:val="21"/>
              </w:rPr>
              <w:t>流失量（t）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40" w:hRule="atLeast"/>
        </w:trPr>
        <w:tc>
          <w:tcPr>
            <w:tcW w:w="391" w:type="dxa"/>
            <w:vMerge w:val="restart"/>
            <w:vAlign w:val="center"/>
          </w:tcPr>
          <w:p>
            <w:pPr>
              <w:spacing w:line="240" w:lineRule="auto"/>
              <w:ind w:firstLine="0" w:firstLineChars="0"/>
              <w:jc w:val="center"/>
              <w:rPr>
                <w:sz w:val="21"/>
                <w:szCs w:val="21"/>
              </w:rPr>
            </w:pPr>
            <w:r>
              <w:rPr>
                <w:sz w:val="21"/>
                <w:szCs w:val="21"/>
              </w:rPr>
              <w:t>近期建设区</w:t>
            </w:r>
          </w:p>
        </w:tc>
        <w:tc>
          <w:tcPr>
            <w:tcW w:w="811" w:type="dxa"/>
            <w:vAlign w:val="center"/>
          </w:tcPr>
          <w:p>
            <w:pPr>
              <w:tabs>
                <w:tab w:val="left" w:pos="1050"/>
              </w:tabs>
              <w:spacing w:line="240" w:lineRule="auto"/>
              <w:ind w:firstLine="0" w:firstLineChars="0"/>
              <w:jc w:val="center"/>
              <w:rPr>
                <w:sz w:val="21"/>
                <w:szCs w:val="21"/>
              </w:rPr>
            </w:pPr>
            <w:r>
              <w:rPr>
                <w:sz w:val="21"/>
                <w:szCs w:val="21"/>
              </w:rPr>
              <w:t>工业用地</w:t>
            </w:r>
          </w:p>
        </w:tc>
        <w:tc>
          <w:tcPr>
            <w:tcW w:w="1391" w:type="dxa"/>
            <w:vAlign w:val="center"/>
          </w:tcPr>
          <w:p>
            <w:pPr>
              <w:spacing w:line="240" w:lineRule="auto"/>
              <w:ind w:firstLine="0" w:firstLineChars="0"/>
              <w:jc w:val="center"/>
              <w:rPr>
                <w:b/>
                <w:bCs/>
                <w:sz w:val="21"/>
                <w:szCs w:val="21"/>
              </w:rPr>
            </w:pPr>
            <w:r>
              <w:rPr>
                <w:sz w:val="21"/>
                <w:szCs w:val="21"/>
              </w:rPr>
              <w:t>1252.35</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30.88</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79" w:type="dxa"/>
            <w:vAlign w:val="center"/>
          </w:tcPr>
          <w:p>
            <w:pPr>
              <w:adjustRightInd w:val="0"/>
              <w:snapToGrid w:val="0"/>
              <w:spacing w:line="240" w:lineRule="auto"/>
              <w:ind w:firstLine="0" w:firstLineChars="0"/>
              <w:jc w:val="center"/>
              <w:rPr>
                <w:sz w:val="21"/>
                <w:szCs w:val="21"/>
              </w:rPr>
            </w:pPr>
            <w:r>
              <w:rPr>
                <w:rFonts w:hint="eastAsia"/>
                <w:sz w:val="21"/>
                <w:szCs w:val="21"/>
              </w:rPr>
              <w:t>773</w:t>
            </w:r>
          </w:p>
        </w:tc>
        <w:tc>
          <w:tcPr>
            <w:tcW w:w="1187" w:type="dxa"/>
            <w:vAlign w:val="center"/>
          </w:tcPr>
          <w:p>
            <w:pPr>
              <w:adjustRightInd w:val="0"/>
              <w:snapToGrid w:val="0"/>
              <w:spacing w:line="240" w:lineRule="auto"/>
              <w:ind w:firstLine="0" w:firstLineChars="0"/>
              <w:jc w:val="center"/>
              <w:rPr>
                <w:sz w:val="21"/>
                <w:szCs w:val="21"/>
              </w:rPr>
            </w:pPr>
            <w:r>
              <w:rPr>
                <w:rFonts w:hint="eastAsia"/>
                <w:sz w:val="21"/>
                <w:szCs w:val="21"/>
              </w:rPr>
              <w:t>836</w:t>
            </w:r>
          </w:p>
        </w:tc>
        <w:tc>
          <w:tcPr>
            <w:tcW w:w="1184" w:type="dxa"/>
            <w:vAlign w:val="center"/>
          </w:tcPr>
          <w:p>
            <w:pPr>
              <w:adjustRightInd w:val="0"/>
              <w:snapToGrid w:val="0"/>
              <w:spacing w:line="240" w:lineRule="auto"/>
              <w:ind w:firstLine="0" w:firstLineChars="0"/>
              <w:jc w:val="center"/>
              <w:rPr>
                <w:sz w:val="21"/>
                <w:szCs w:val="21"/>
              </w:rPr>
            </w:pPr>
            <w:r>
              <w:rPr>
                <w:rFonts w:hint="eastAsia"/>
                <w:sz w:val="21"/>
                <w:szCs w:val="21"/>
              </w:rPr>
              <w:t>63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20" w:hRule="atLeast"/>
        </w:trPr>
        <w:tc>
          <w:tcPr>
            <w:tcW w:w="391" w:type="dxa"/>
            <w:vMerge w:val="continue"/>
            <w:vAlign w:val="center"/>
          </w:tcPr>
          <w:p>
            <w:pPr>
              <w:spacing w:line="240" w:lineRule="auto"/>
              <w:ind w:firstLine="0" w:firstLineChars="0"/>
              <w:jc w:val="center"/>
              <w:rPr>
                <w:sz w:val="21"/>
                <w:szCs w:val="21"/>
              </w:rPr>
            </w:pPr>
          </w:p>
        </w:tc>
        <w:tc>
          <w:tcPr>
            <w:tcW w:w="811" w:type="dxa"/>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1391" w:type="dxa"/>
            <w:vAlign w:val="center"/>
          </w:tcPr>
          <w:p>
            <w:pPr>
              <w:spacing w:line="240" w:lineRule="auto"/>
              <w:ind w:firstLine="0" w:firstLineChars="0"/>
              <w:jc w:val="center"/>
              <w:rPr>
                <w:sz w:val="21"/>
                <w:szCs w:val="21"/>
              </w:rPr>
            </w:pPr>
            <w:r>
              <w:rPr>
                <w:sz w:val="21"/>
                <w:szCs w:val="21"/>
              </w:rPr>
              <w:t>895.94</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0.07</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79" w:type="dxa"/>
            <w:vAlign w:val="center"/>
          </w:tcPr>
          <w:p>
            <w:pPr>
              <w:adjustRightInd w:val="0"/>
              <w:snapToGrid w:val="0"/>
              <w:spacing w:line="240" w:lineRule="auto"/>
              <w:ind w:firstLine="0" w:firstLineChars="0"/>
              <w:jc w:val="center"/>
              <w:rPr>
                <w:sz w:val="21"/>
                <w:szCs w:val="21"/>
              </w:rPr>
            </w:pPr>
            <w:r>
              <w:rPr>
                <w:rFonts w:hint="eastAsia"/>
                <w:sz w:val="21"/>
                <w:szCs w:val="21"/>
              </w:rPr>
              <w:t>1</w:t>
            </w:r>
          </w:p>
        </w:tc>
        <w:tc>
          <w:tcPr>
            <w:tcW w:w="1187" w:type="dxa"/>
            <w:vAlign w:val="center"/>
          </w:tcPr>
          <w:p>
            <w:pPr>
              <w:adjustRightInd w:val="0"/>
              <w:snapToGrid w:val="0"/>
              <w:spacing w:line="240" w:lineRule="auto"/>
              <w:ind w:firstLine="0" w:firstLineChars="0"/>
              <w:jc w:val="center"/>
              <w:rPr>
                <w:sz w:val="21"/>
                <w:szCs w:val="21"/>
              </w:rPr>
            </w:pPr>
            <w:r>
              <w:rPr>
                <w:rFonts w:hint="eastAsia"/>
                <w:sz w:val="21"/>
                <w:szCs w:val="21"/>
              </w:rPr>
              <w:t>2</w:t>
            </w:r>
          </w:p>
        </w:tc>
        <w:tc>
          <w:tcPr>
            <w:tcW w:w="1184" w:type="dxa"/>
            <w:vAlign w:val="center"/>
          </w:tcPr>
          <w:p>
            <w:pPr>
              <w:adjustRightInd w:val="0"/>
              <w:snapToGrid w:val="0"/>
              <w:spacing w:line="240" w:lineRule="auto"/>
              <w:ind w:firstLine="0" w:firstLineChars="0"/>
              <w:jc w:val="center"/>
              <w:rPr>
                <w:sz w:val="21"/>
                <w:szCs w:val="21"/>
              </w:rPr>
            </w:pPr>
            <w:r>
              <w:rPr>
                <w:rFonts w:hint="eastAsia"/>
                <w:sz w:val="21"/>
                <w:szCs w:val="21"/>
              </w:rPr>
              <w:t>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21" w:hRule="atLeast"/>
        </w:trPr>
        <w:tc>
          <w:tcPr>
            <w:tcW w:w="391" w:type="dxa"/>
            <w:vMerge w:val="continue"/>
            <w:vAlign w:val="center"/>
          </w:tcPr>
          <w:p>
            <w:pPr>
              <w:spacing w:line="240" w:lineRule="auto"/>
              <w:ind w:firstLine="0" w:firstLineChars="0"/>
              <w:jc w:val="center"/>
              <w:rPr>
                <w:sz w:val="21"/>
                <w:szCs w:val="21"/>
              </w:rPr>
            </w:pPr>
          </w:p>
        </w:tc>
        <w:tc>
          <w:tcPr>
            <w:tcW w:w="811" w:type="dxa"/>
            <w:vAlign w:val="center"/>
          </w:tcPr>
          <w:p>
            <w:pPr>
              <w:spacing w:line="240" w:lineRule="auto"/>
              <w:ind w:firstLine="0" w:firstLineChars="0"/>
              <w:jc w:val="center"/>
              <w:rPr>
                <w:sz w:val="21"/>
                <w:szCs w:val="21"/>
              </w:rPr>
            </w:pPr>
            <w:r>
              <w:rPr>
                <w:sz w:val="21"/>
                <w:szCs w:val="21"/>
              </w:rPr>
              <w:t>绿地与广场用地</w:t>
            </w:r>
          </w:p>
        </w:tc>
        <w:tc>
          <w:tcPr>
            <w:tcW w:w="1391" w:type="dxa"/>
            <w:vAlign w:val="center"/>
          </w:tcPr>
          <w:p>
            <w:pPr>
              <w:spacing w:line="240" w:lineRule="auto"/>
              <w:ind w:firstLine="0" w:firstLineChars="0"/>
              <w:jc w:val="center"/>
              <w:rPr>
                <w:sz w:val="21"/>
                <w:szCs w:val="21"/>
              </w:rPr>
            </w:pPr>
            <w:r>
              <w:rPr>
                <w:sz w:val="21"/>
                <w:szCs w:val="21"/>
              </w:rPr>
              <w:t>920.21</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18.80</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79" w:type="dxa"/>
            <w:vAlign w:val="center"/>
          </w:tcPr>
          <w:p>
            <w:pPr>
              <w:adjustRightInd w:val="0"/>
              <w:snapToGrid w:val="0"/>
              <w:spacing w:line="240" w:lineRule="auto"/>
              <w:ind w:firstLine="0" w:firstLineChars="0"/>
              <w:jc w:val="center"/>
              <w:rPr>
                <w:sz w:val="21"/>
                <w:szCs w:val="21"/>
              </w:rPr>
            </w:pPr>
            <w:r>
              <w:rPr>
                <w:rFonts w:hint="eastAsia"/>
                <w:sz w:val="21"/>
                <w:szCs w:val="21"/>
              </w:rPr>
              <w:t>346</w:t>
            </w:r>
          </w:p>
        </w:tc>
        <w:tc>
          <w:tcPr>
            <w:tcW w:w="1187" w:type="dxa"/>
            <w:vAlign w:val="center"/>
          </w:tcPr>
          <w:p>
            <w:pPr>
              <w:adjustRightInd w:val="0"/>
              <w:snapToGrid w:val="0"/>
              <w:spacing w:line="240" w:lineRule="auto"/>
              <w:ind w:firstLine="0" w:firstLineChars="0"/>
              <w:jc w:val="center"/>
              <w:rPr>
                <w:sz w:val="21"/>
                <w:szCs w:val="21"/>
              </w:rPr>
            </w:pPr>
            <w:r>
              <w:rPr>
                <w:rFonts w:hint="eastAsia"/>
                <w:sz w:val="21"/>
                <w:szCs w:val="21"/>
              </w:rPr>
              <w:t>509</w:t>
            </w:r>
          </w:p>
        </w:tc>
        <w:tc>
          <w:tcPr>
            <w:tcW w:w="1184" w:type="dxa"/>
            <w:vAlign w:val="center"/>
          </w:tcPr>
          <w:p>
            <w:pPr>
              <w:adjustRightInd w:val="0"/>
              <w:snapToGrid w:val="0"/>
              <w:spacing w:line="240" w:lineRule="auto"/>
              <w:ind w:firstLine="0" w:firstLineChars="0"/>
              <w:jc w:val="center"/>
              <w:rPr>
                <w:sz w:val="21"/>
                <w:szCs w:val="21"/>
              </w:rPr>
            </w:pPr>
            <w:r>
              <w:rPr>
                <w:rFonts w:hint="eastAsia"/>
                <w:sz w:val="21"/>
                <w:szCs w:val="21"/>
              </w:rPr>
              <w:t>163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1" w:hRule="atLeast"/>
        </w:trPr>
        <w:tc>
          <w:tcPr>
            <w:tcW w:w="3902" w:type="dxa"/>
            <w:gridSpan w:val="4"/>
            <w:vAlign w:val="center"/>
          </w:tcPr>
          <w:p>
            <w:pPr>
              <w:spacing w:line="240" w:lineRule="exact"/>
              <w:ind w:firstLine="0" w:firstLineChars="0"/>
              <w:jc w:val="center"/>
              <w:rPr>
                <w:b/>
                <w:bCs/>
                <w:sz w:val="21"/>
                <w:szCs w:val="21"/>
              </w:rPr>
            </w:pPr>
            <w:r>
              <w:rPr>
                <w:b/>
                <w:bCs/>
                <w:sz w:val="21"/>
                <w:szCs w:val="21"/>
              </w:rPr>
              <w:t>合计</w:t>
            </w:r>
          </w:p>
        </w:tc>
        <w:tc>
          <w:tcPr>
            <w:tcW w:w="1050" w:type="dxa"/>
            <w:vAlign w:val="center"/>
          </w:tcPr>
          <w:p>
            <w:pPr>
              <w:pStyle w:val="53"/>
              <w:spacing w:line="240" w:lineRule="exact"/>
              <w:jc w:val="center"/>
              <w:rPr>
                <w:rFonts w:eastAsia="仿宋_GB2312"/>
                <w:b/>
                <w:bCs/>
              </w:rPr>
            </w:pPr>
            <w:r>
              <w:rPr>
                <w:rFonts w:eastAsia="仿宋_GB2312"/>
                <w:b/>
                <w:bCs/>
              </w:rPr>
              <w:t>49.75</w:t>
            </w:r>
          </w:p>
        </w:tc>
        <w:tc>
          <w:tcPr>
            <w:tcW w:w="818" w:type="dxa"/>
            <w:vAlign w:val="center"/>
          </w:tcPr>
          <w:p>
            <w:pPr>
              <w:spacing w:line="240" w:lineRule="exact"/>
              <w:ind w:firstLine="0" w:firstLineChars="0"/>
              <w:jc w:val="center"/>
              <w:rPr>
                <w:b/>
                <w:bCs/>
                <w:sz w:val="21"/>
                <w:szCs w:val="21"/>
              </w:rPr>
            </w:pPr>
          </w:p>
        </w:tc>
        <w:tc>
          <w:tcPr>
            <w:tcW w:w="1179"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1120</w:t>
            </w:r>
          </w:p>
        </w:tc>
        <w:tc>
          <w:tcPr>
            <w:tcW w:w="1187"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1347</w:t>
            </w:r>
          </w:p>
        </w:tc>
        <w:tc>
          <w:tcPr>
            <w:tcW w:w="1179"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227</w:t>
            </w:r>
          </w:p>
        </w:tc>
      </w:tr>
    </w:tbl>
    <w:p>
      <w:pPr>
        <w:spacing w:beforeLines="50"/>
        <w:ind w:firstLine="0" w:firstLineChars="0"/>
        <w:jc w:val="center"/>
      </w:pPr>
      <w:r>
        <w:rPr>
          <w:b/>
          <w:bCs/>
        </w:rPr>
        <w:t>表4.3-7水土流失调查结果汇总表</w:t>
      </w:r>
    </w:p>
    <w:tbl>
      <w:tblPr>
        <w:tblStyle w:val="110"/>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378"/>
        <w:gridCol w:w="1724"/>
        <w:gridCol w:w="1726"/>
        <w:gridCol w:w="1726"/>
        <w:gridCol w:w="173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280" w:type="pct"/>
            <w:vAlign w:val="center"/>
          </w:tcPr>
          <w:p>
            <w:pPr>
              <w:spacing w:line="240" w:lineRule="auto"/>
              <w:ind w:firstLine="0" w:firstLineChars="0"/>
              <w:jc w:val="center"/>
              <w:rPr>
                <w:b/>
                <w:bCs/>
                <w:sz w:val="21"/>
                <w:szCs w:val="21"/>
              </w:rPr>
            </w:pPr>
            <w:r>
              <w:rPr>
                <w:b/>
                <w:bCs/>
                <w:sz w:val="21"/>
                <w:szCs w:val="21"/>
              </w:rPr>
              <w:t>时段</w:t>
            </w:r>
          </w:p>
        </w:tc>
        <w:tc>
          <w:tcPr>
            <w:tcW w:w="928" w:type="pct"/>
            <w:vAlign w:val="center"/>
          </w:tcPr>
          <w:p>
            <w:pPr>
              <w:spacing w:line="240" w:lineRule="auto"/>
              <w:ind w:firstLine="0" w:firstLineChars="0"/>
              <w:jc w:val="center"/>
              <w:rPr>
                <w:b/>
                <w:bCs/>
                <w:sz w:val="21"/>
                <w:szCs w:val="21"/>
              </w:rPr>
            </w:pPr>
            <w:r>
              <w:rPr>
                <w:b/>
                <w:bCs/>
                <w:sz w:val="21"/>
                <w:szCs w:val="21"/>
              </w:rPr>
              <w:t>侵蚀面积（hm</w:t>
            </w:r>
            <w:r>
              <w:rPr>
                <w:b/>
                <w:bCs/>
                <w:sz w:val="21"/>
                <w:szCs w:val="21"/>
                <w:vertAlign w:val="superscript"/>
              </w:rPr>
              <w:t>2</w:t>
            </w:r>
            <w:r>
              <w:rPr>
                <w:b/>
                <w:bCs/>
                <w:sz w:val="21"/>
                <w:szCs w:val="21"/>
              </w:rPr>
              <w:t>）</w:t>
            </w:r>
          </w:p>
        </w:tc>
        <w:tc>
          <w:tcPr>
            <w:tcW w:w="929" w:type="pct"/>
            <w:vAlign w:val="center"/>
          </w:tcPr>
          <w:p>
            <w:pPr>
              <w:spacing w:line="240" w:lineRule="auto"/>
              <w:ind w:firstLine="0" w:firstLineChars="0"/>
              <w:jc w:val="center"/>
              <w:rPr>
                <w:b/>
                <w:bCs/>
                <w:sz w:val="21"/>
                <w:szCs w:val="21"/>
              </w:rPr>
            </w:pPr>
            <w:r>
              <w:rPr>
                <w:b/>
                <w:bCs/>
                <w:sz w:val="21"/>
                <w:szCs w:val="21"/>
              </w:rPr>
              <w:t>背景流失量（t）</w:t>
            </w:r>
          </w:p>
        </w:tc>
        <w:tc>
          <w:tcPr>
            <w:tcW w:w="929" w:type="pct"/>
            <w:vAlign w:val="center"/>
          </w:tcPr>
          <w:p>
            <w:pPr>
              <w:spacing w:line="240" w:lineRule="auto"/>
              <w:ind w:firstLine="0" w:firstLineChars="0"/>
              <w:jc w:val="center"/>
              <w:rPr>
                <w:b/>
                <w:bCs/>
                <w:sz w:val="21"/>
                <w:szCs w:val="21"/>
              </w:rPr>
            </w:pPr>
            <w:r>
              <w:rPr>
                <w:b/>
                <w:bCs/>
                <w:sz w:val="21"/>
                <w:szCs w:val="21"/>
              </w:rPr>
              <w:t>调查流失量（t）</w:t>
            </w:r>
          </w:p>
        </w:tc>
        <w:tc>
          <w:tcPr>
            <w:tcW w:w="933" w:type="pct"/>
            <w:vAlign w:val="center"/>
          </w:tcPr>
          <w:p>
            <w:pPr>
              <w:spacing w:line="240" w:lineRule="auto"/>
              <w:ind w:firstLine="0" w:firstLineChars="0"/>
              <w:jc w:val="center"/>
              <w:rPr>
                <w:b/>
                <w:bCs/>
                <w:sz w:val="21"/>
                <w:szCs w:val="21"/>
              </w:rPr>
            </w:pPr>
            <w:r>
              <w:rPr>
                <w:b/>
                <w:bCs/>
                <w:sz w:val="21"/>
                <w:szCs w:val="21"/>
              </w:rPr>
              <w:t>新增流失量（t）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280" w:type="pct"/>
            <w:vAlign w:val="center"/>
          </w:tcPr>
          <w:p>
            <w:pPr>
              <w:spacing w:line="240" w:lineRule="auto"/>
              <w:ind w:firstLine="0" w:firstLineChars="0"/>
              <w:jc w:val="center"/>
              <w:rPr>
                <w:sz w:val="21"/>
                <w:szCs w:val="21"/>
              </w:rPr>
            </w:pPr>
            <w:r>
              <w:rPr>
                <w:sz w:val="21"/>
                <w:szCs w:val="21"/>
              </w:rPr>
              <w:t>施工期</w:t>
            </w:r>
          </w:p>
        </w:tc>
        <w:tc>
          <w:tcPr>
            <w:tcW w:w="928" w:type="pct"/>
            <w:vAlign w:val="center"/>
          </w:tcPr>
          <w:p>
            <w:pPr>
              <w:spacing w:line="240" w:lineRule="auto"/>
              <w:ind w:firstLine="0" w:firstLineChars="0"/>
              <w:jc w:val="center"/>
              <w:rPr>
                <w:sz w:val="21"/>
                <w:szCs w:val="21"/>
              </w:rPr>
            </w:pPr>
            <w:r>
              <w:rPr>
                <w:sz w:val="21"/>
                <w:szCs w:val="21"/>
              </w:rPr>
              <w:t>427.72</w:t>
            </w:r>
          </w:p>
        </w:tc>
        <w:tc>
          <w:tcPr>
            <w:tcW w:w="1726" w:type="dxa"/>
            <w:vAlign w:val="center"/>
          </w:tcPr>
          <w:p>
            <w:pPr>
              <w:adjustRightInd w:val="0"/>
              <w:snapToGrid w:val="0"/>
              <w:spacing w:line="240" w:lineRule="auto"/>
              <w:ind w:firstLine="0" w:firstLineChars="0"/>
              <w:jc w:val="center"/>
              <w:rPr>
                <w:sz w:val="21"/>
                <w:szCs w:val="21"/>
              </w:rPr>
            </w:pPr>
            <w:r>
              <w:rPr>
                <w:rFonts w:hint="eastAsia"/>
                <w:sz w:val="21"/>
                <w:szCs w:val="21"/>
              </w:rPr>
              <w:t>12452</w:t>
            </w:r>
          </w:p>
        </w:tc>
        <w:tc>
          <w:tcPr>
            <w:tcW w:w="1726" w:type="dxa"/>
            <w:vAlign w:val="center"/>
          </w:tcPr>
          <w:p>
            <w:pPr>
              <w:adjustRightInd w:val="0"/>
              <w:snapToGrid w:val="0"/>
              <w:spacing w:line="240" w:lineRule="auto"/>
              <w:ind w:firstLine="0" w:firstLineChars="0"/>
              <w:jc w:val="center"/>
              <w:rPr>
                <w:sz w:val="21"/>
                <w:szCs w:val="21"/>
              </w:rPr>
            </w:pPr>
            <w:r>
              <w:rPr>
                <w:rFonts w:hint="eastAsia"/>
                <w:sz w:val="21"/>
                <w:szCs w:val="21"/>
              </w:rPr>
              <w:t>39765</w:t>
            </w:r>
          </w:p>
        </w:tc>
        <w:tc>
          <w:tcPr>
            <w:tcW w:w="1733" w:type="dxa"/>
            <w:vAlign w:val="center"/>
          </w:tcPr>
          <w:p>
            <w:pPr>
              <w:adjustRightInd w:val="0"/>
              <w:snapToGrid w:val="0"/>
              <w:spacing w:line="240" w:lineRule="auto"/>
              <w:ind w:firstLine="0" w:firstLineChars="0"/>
              <w:jc w:val="center"/>
              <w:rPr>
                <w:sz w:val="21"/>
                <w:szCs w:val="21"/>
              </w:rPr>
            </w:pPr>
            <w:r>
              <w:rPr>
                <w:rFonts w:hint="eastAsia"/>
                <w:sz w:val="21"/>
                <w:szCs w:val="21"/>
              </w:rPr>
              <w:t>27313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PrEx>
        <w:tc>
          <w:tcPr>
            <w:tcW w:w="1280" w:type="pct"/>
            <w:vAlign w:val="center"/>
          </w:tcPr>
          <w:p>
            <w:pPr>
              <w:spacing w:line="240" w:lineRule="auto"/>
              <w:ind w:firstLine="0" w:firstLineChars="0"/>
              <w:jc w:val="center"/>
              <w:rPr>
                <w:sz w:val="21"/>
                <w:szCs w:val="21"/>
              </w:rPr>
            </w:pPr>
            <w:r>
              <w:rPr>
                <w:sz w:val="21"/>
                <w:szCs w:val="21"/>
              </w:rPr>
              <w:t>自然恢复期</w:t>
            </w:r>
          </w:p>
        </w:tc>
        <w:tc>
          <w:tcPr>
            <w:tcW w:w="928" w:type="pct"/>
            <w:vAlign w:val="center"/>
          </w:tcPr>
          <w:p>
            <w:pPr>
              <w:spacing w:line="240" w:lineRule="auto"/>
              <w:ind w:firstLine="0" w:firstLineChars="0"/>
              <w:jc w:val="center"/>
              <w:rPr>
                <w:sz w:val="21"/>
                <w:szCs w:val="21"/>
              </w:rPr>
            </w:pPr>
            <w:r>
              <w:rPr>
                <w:sz w:val="21"/>
                <w:szCs w:val="21"/>
              </w:rPr>
              <w:t>49.75</w:t>
            </w:r>
          </w:p>
        </w:tc>
        <w:tc>
          <w:tcPr>
            <w:tcW w:w="1726" w:type="dxa"/>
            <w:vAlign w:val="center"/>
          </w:tcPr>
          <w:p>
            <w:pPr>
              <w:adjustRightInd w:val="0"/>
              <w:snapToGrid w:val="0"/>
              <w:spacing w:line="240" w:lineRule="auto"/>
              <w:ind w:firstLine="0" w:firstLineChars="0"/>
              <w:jc w:val="center"/>
              <w:rPr>
                <w:sz w:val="21"/>
                <w:szCs w:val="21"/>
              </w:rPr>
            </w:pPr>
            <w:r>
              <w:rPr>
                <w:rFonts w:hint="eastAsia"/>
                <w:sz w:val="21"/>
                <w:szCs w:val="21"/>
              </w:rPr>
              <w:t>1120</w:t>
            </w:r>
          </w:p>
        </w:tc>
        <w:tc>
          <w:tcPr>
            <w:tcW w:w="1726" w:type="dxa"/>
            <w:vAlign w:val="center"/>
          </w:tcPr>
          <w:p>
            <w:pPr>
              <w:adjustRightInd w:val="0"/>
              <w:snapToGrid w:val="0"/>
              <w:spacing w:line="240" w:lineRule="auto"/>
              <w:ind w:firstLine="0" w:firstLineChars="0"/>
              <w:jc w:val="center"/>
              <w:rPr>
                <w:sz w:val="21"/>
                <w:szCs w:val="21"/>
              </w:rPr>
            </w:pPr>
            <w:r>
              <w:rPr>
                <w:rFonts w:hint="eastAsia"/>
                <w:sz w:val="21"/>
                <w:szCs w:val="21"/>
              </w:rPr>
              <w:t>1347</w:t>
            </w:r>
          </w:p>
        </w:tc>
        <w:tc>
          <w:tcPr>
            <w:tcW w:w="1733" w:type="dxa"/>
            <w:vAlign w:val="center"/>
          </w:tcPr>
          <w:p>
            <w:pPr>
              <w:adjustRightInd w:val="0"/>
              <w:snapToGrid w:val="0"/>
              <w:spacing w:line="240" w:lineRule="auto"/>
              <w:ind w:firstLine="0" w:firstLineChars="0"/>
              <w:jc w:val="center"/>
              <w:rPr>
                <w:sz w:val="21"/>
                <w:szCs w:val="21"/>
              </w:rPr>
            </w:pPr>
            <w:r>
              <w:rPr>
                <w:rFonts w:hint="eastAsia"/>
                <w:sz w:val="21"/>
                <w:szCs w:val="21"/>
              </w:rPr>
              <w:t>227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280" w:type="pct"/>
            <w:vAlign w:val="center"/>
          </w:tcPr>
          <w:p>
            <w:pPr>
              <w:spacing w:line="240" w:lineRule="auto"/>
              <w:ind w:firstLine="0" w:firstLineChars="0"/>
              <w:jc w:val="center"/>
              <w:rPr>
                <w:b/>
                <w:bCs/>
                <w:sz w:val="21"/>
                <w:szCs w:val="21"/>
              </w:rPr>
            </w:pPr>
            <w:r>
              <w:rPr>
                <w:b/>
                <w:bCs/>
                <w:sz w:val="21"/>
                <w:szCs w:val="21"/>
              </w:rPr>
              <w:t>合计</w:t>
            </w:r>
          </w:p>
        </w:tc>
        <w:tc>
          <w:tcPr>
            <w:tcW w:w="928" w:type="pct"/>
            <w:vAlign w:val="center"/>
          </w:tcPr>
          <w:p>
            <w:pPr>
              <w:spacing w:line="240" w:lineRule="auto"/>
              <w:ind w:firstLine="0" w:firstLineChars="0"/>
              <w:jc w:val="center"/>
              <w:rPr>
                <w:b/>
                <w:bCs/>
                <w:sz w:val="21"/>
                <w:szCs w:val="21"/>
              </w:rPr>
            </w:pPr>
            <w:r>
              <w:rPr>
                <w:b/>
                <w:bCs/>
                <w:sz w:val="21"/>
                <w:szCs w:val="21"/>
              </w:rPr>
              <w:t>477.47</w:t>
            </w:r>
          </w:p>
        </w:tc>
        <w:tc>
          <w:tcPr>
            <w:tcW w:w="1726" w:type="dxa"/>
            <w:vAlign w:val="center"/>
          </w:tcPr>
          <w:p>
            <w:pPr>
              <w:spacing w:line="240" w:lineRule="auto"/>
              <w:ind w:firstLine="0" w:firstLineChars="0"/>
              <w:jc w:val="center"/>
              <w:rPr>
                <w:b/>
                <w:bCs/>
                <w:sz w:val="21"/>
                <w:szCs w:val="21"/>
              </w:rPr>
            </w:pPr>
            <w:r>
              <w:rPr>
                <w:rFonts w:hint="eastAsia"/>
                <w:b/>
                <w:bCs/>
                <w:sz w:val="21"/>
                <w:szCs w:val="21"/>
              </w:rPr>
              <w:t>13572</w:t>
            </w:r>
          </w:p>
        </w:tc>
        <w:tc>
          <w:tcPr>
            <w:tcW w:w="1726" w:type="dxa"/>
            <w:vAlign w:val="center"/>
          </w:tcPr>
          <w:p>
            <w:pPr>
              <w:spacing w:line="240" w:lineRule="auto"/>
              <w:ind w:firstLine="0" w:firstLineChars="0"/>
              <w:jc w:val="center"/>
              <w:rPr>
                <w:b/>
                <w:bCs/>
                <w:sz w:val="21"/>
                <w:szCs w:val="21"/>
              </w:rPr>
            </w:pPr>
            <w:r>
              <w:rPr>
                <w:rFonts w:hint="eastAsia"/>
                <w:b/>
                <w:bCs/>
                <w:sz w:val="21"/>
                <w:szCs w:val="21"/>
              </w:rPr>
              <w:t>41112</w:t>
            </w:r>
          </w:p>
        </w:tc>
        <w:tc>
          <w:tcPr>
            <w:tcW w:w="1733" w:type="dxa"/>
            <w:vAlign w:val="center"/>
          </w:tcPr>
          <w:p>
            <w:pPr>
              <w:spacing w:line="240" w:lineRule="auto"/>
              <w:ind w:firstLine="0" w:firstLineChars="0"/>
              <w:jc w:val="center"/>
              <w:rPr>
                <w:b/>
                <w:bCs/>
                <w:sz w:val="21"/>
                <w:szCs w:val="21"/>
              </w:rPr>
            </w:pPr>
            <w:r>
              <w:rPr>
                <w:rFonts w:hint="eastAsia"/>
                <w:b/>
                <w:bCs/>
                <w:sz w:val="21"/>
                <w:szCs w:val="21"/>
              </w:rPr>
              <w:t>27540</w:t>
            </w:r>
          </w:p>
        </w:tc>
      </w:tr>
    </w:tbl>
    <w:p>
      <w:pPr>
        <w:pStyle w:val="7"/>
        <w:spacing w:beforeLines="50"/>
      </w:pPr>
      <w:r>
        <w:t>4.3.4.2预测结果</w:t>
      </w:r>
    </w:p>
    <w:p>
      <w:pPr>
        <w:ind w:firstLine="480"/>
      </w:pPr>
      <w:r>
        <w:t>依据《生产建设项目水土保持技术标准》（GB50433-2018）规定结合项目实际情况，水土流失预测时段划分为施工期和自然恢复期。具体预测结果详见下表。</w:t>
      </w:r>
    </w:p>
    <w:p>
      <w:pPr>
        <w:ind w:firstLine="0" w:firstLineChars="0"/>
        <w:jc w:val="center"/>
        <w:rPr>
          <w:b/>
          <w:bCs/>
        </w:rPr>
      </w:pPr>
      <w:r>
        <w:rPr>
          <w:b/>
          <w:bCs/>
        </w:rPr>
        <w:t>表4.3-8施工期水土流失预测结果表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326"/>
        <w:gridCol w:w="855"/>
        <w:gridCol w:w="1392"/>
        <w:gridCol w:w="1312"/>
        <w:gridCol w:w="1049"/>
        <w:gridCol w:w="804"/>
        <w:gridCol w:w="1180"/>
        <w:gridCol w:w="1180"/>
        <w:gridCol w:w="118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37" w:type="pct"/>
            <w:gridSpan w:val="2"/>
            <w:vAlign w:val="center"/>
          </w:tcPr>
          <w:p>
            <w:pPr>
              <w:spacing w:line="240" w:lineRule="auto"/>
              <w:ind w:firstLine="0" w:firstLineChars="0"/>
              <w:jc w:val="center"/>
              <w:rPr>
                <w:b/>
                <w:bCs/>
                <w:sz w:val="21"/>
                <w:szCs w:val="21"/>
              </w:rPr>
            </w:pPr>
            <w:r>
              <w:rPr>
                <w:b/>
                <w:bCs/>
                <w:sz w:val="21"/>
                <w:szCs w:val="21"/>
              </w:rPr>
              <w:t>预测单元</w:t>
            </w:r>
          </w:p>
        </w:tc>
        <w:tc>
          <w:tcPr>
            <w:tcW w:w="749" w:type="pct"/>
            <w:vAlign w:val="center"/>
          </w:tcPr>
          <w:p>
            <w:pPr>
              <w:spacing w:line="240" w:lineRule="auto"/>
              <w:ind w:firstLine="0" w:firstLineChars="0"/>
              <w:jc w:val="center"/>
              <w:rPr>
                <w:b/>
                <w:bCs/>
                <w:sz w:val="21"/>
                <w:szCs w:val="21"/>
              </w:rPr>
            </w:pPr>
            <w:r>
              <w:rPr>
                <w:b/>
                <w:bCs/>
                <w:sz w:val="21"/>
                <w:szCs w:val="21"/>
              </w:rPr>
              <w:t>土壤侵蚀</w:t>
            </w:r>
          </w:p>
          <w:p>
            <w:pPr>
              <w:spacing w:line="240" w:lineRule="auto"/>
              <w:ind w:firstLine="0" w:firstLineChars="0"/>
              <w:jc w:val="center"/>
              <w:rPr>
                <w:b/>
                <w:bCs/>
                <w:sz w:val="21"/>
                <w:szCs w:val="21"/>
              </w:rPr>
            </w:pPr>
            <w:r>
              <w:rPr>
                <w:b/>
                <w:bCs/>
                <w:sz w:val="21"/>
                <w:szCs w:val="21"/>
              </w:rPr>
              <w:t>背景值（t/km</w:t>
            </w:r>
            <w:r>
              <w:rPr>
                <w:b/>
                <w:bCs/>
                <w:sz w:val="21"/>
                <w:szCs w:val="21"/>
                <w:vertAlign w:val="superscript"/>
              </w:rPr>
              <w:t>2</w:t>
            </w:r>
            <w:r>
              <w:rPr>
                <w:b/>
                <w:bCs/>
                <w:sz w:val="21"/>
                <w:szCs w:val="21"/>
              </w:rPr>
              <w:t>·a）</w:t>
            </w:r>
          </w:p>
        </w:tc>
        <w:tc>
          <w:tcPr>
            <w:tcW w:w="705" w:type="pct"/>
            <w:vAlign w:val="center"/>
          </w:tcPr>
          <w:p>
            <w:pPr>
              <w:spacing w:line="240" w:lineRule="auto"/>
              <w:ind w:firstLine="0" w:firstLineChars="0"/>
              <w:jc w:val="center"/>
              <w:rPr>
                <w:b/>
                <w:bCs/>
                <w:sz w:val="21"/>
                <w:szCs w:val="21"/>
              </w:rPr>
            </w:pPr>
            <w:r>
              <w:rPr>
                <w:b/>
                <w:bCs/>
                <w:sz w:val="21"/>
                <w:szCs w:val="21"/>
              </w:rPr>
              <w:t>扰动后侵蚀模数（t/km</w:t>
            </w:r>
            <w:r>
              <w:rPr>
                <w:b/>
                <w:bCs/>
                <w:sz w:val="21"/>
                <w:szCs w:val="21"/>
                <w:vertAlign w:val="superscript"/>
              </w:rPr>
              <w:t>2</w:t>
            </w:r>
            <w:r>
              <w:rPr>
                <w:b/>
                <w:bCs/>
                <w:sz w:val="21"/>
                <w:szCs w:val="21"/>
              </w:rPr>
              <w:t>·a）</w:t>
            </w:r>
          </w:p>
        </w:tc>
        <w:tc>
          <w:tcPr>
            <w:tcW w:w="565" w:type="pct"/>
            <w:vAlign w:val="center"/>
          </w:tcPr>
          <w:p>
            <w:pPr>
              <w:spacing w:line="240" w:lineRule="auto"/>
              <w:ind w:firstLine="0" w:firstLineChars="0"/>
              <w:jc w:val="center"/>
              <w:rPr>
                <w:b/>
                <w:bCs/>
                <w:sz w:val="21"/>
                <w:szCs w:val="21"/>
              </w:rPr>
            </w:pPr>
            <w:r>
              <w:rPr>
                <w:b/>
                <w:bCs/>
                <w:sz w:val="21"/>
                <w:szCs w:val="21"/>
              </w:rPr>
              <w:t>侵蚀</w:t>
            </w:r>
          </w:p>
          <w:p>
            <w:pPr>
              <w:spacing w:line="240" w:lineRule="auto"/>
              <w:ind w:firstLine="0" w:firstLineChars="0"/>
              <w:jc w:val="center"/>
              <w:rPr>
                <w:b/>
                <w:bCs/>
                <w:sz w:val="21"/>
                <w:szCs w:val="21"/>
              </w:rPr>
            </w:pPr>
            <w:r>
              <w:rPr>
                <w:b/>
                <w:bCs/>
                <w:sz w:val="21"/>
                <w:szCs w:val="21"/>
              </w:rPr>
              <w:t>面积</w:t>
            </w:r>
          </w:p>
          <w:p>
            <w:pPr>
              <w:spacing w:line="240" w:lineRule="auto"/>
              <w:ind w:firstLine="0" w:firstLineChars="0"/>
              <w:jc w:val="center"/>
              <w:rPr>
                <w:b/>
                <w:bCs/>
                <w:sz w:val="21"/>
                <w:szCs w:val="21"/>
              </w:rPr>
            </w:pPr>
            <w:r>
              <w:rPr>
                <w:b/>
                <w:bCs/>
                <w:sz w:val="21"/>
                <w:szCs w:val="21"/>
              </w:rPr>
              <w:t>（hm</w:t>
            </w:r>
            <w:r>
              <w:rPr>
                <w:b/>
                <w:bCs/>
                <w:sz w:val="21"/>
                <w:szCs w:val="21"/>
                <w:vertAlign w:val="superscript"/>
              </w:rPr>
              <w:t>2</w:t>
            </w:r>
            <w:r>
              <w:rPr>
                <w:b/>
                <w:bCs/>
                <w:sz w:val="21"/>
                <w:szCs w:val="21"/>
              </w:rPr>
              <w:t>）</w:t>
            </w:r>
          </w:p>
        </w:tc>
        <w:tc>
          <w:tcPr>
            <w:tcW w:w="433" w:type="pct"/>
            <w:vAlign w:val="center"/>
          </w:tcPr>
          <w:p>
            <w:pPr>
              <w:spacing w:line="240" w:lineRule="auto"/>
              <w:ind w:firstLine="0" w:firstLineChars="0"/>
              <w:jc w:val="center"/>
              <w:rPr>
                <w:b/>
                <w:bCs/>
                <w:sz w:val="21"/>
                <w:szCs w:val="21"/>
              </w:rPr>
            </w:pPr>
            <w:r>
              <w:rPr>
                <w:b/>
                <w:bCs/>
                <w:sz w:val="21"/>
                <w:szCs w:val="21"/>
              </w:rPr>
              <w:t>侵蚀</w:t>
            </w:r>
          </w:p>
          <w:p>
            <w:pPr>
              <w:spacing w:line="240" w:lineRule="auto"/>
              <w:ind w:firstLine="0" w:firstLineChars="0"/>
              <w:jc w:val="center"/>
              <w:rPr>
                <w:b/>
                <w:bCs/>
                <w:sz w:val="21"/>
                <w:szCs w:val="21"/>
              </w:rPr>
            </w:pPr>
            <w:r>
              <w:rPr>
                <w:b/>
                <w:bCs/>
                <w:sz w:val="21"/>
                <w:szCs w:val="21"/>
              </w:rPr>
              <w:t>时段（a）</w:t>
            </w:r>
          </w:p>
        </w:tc>
        <w:tc>
          <w:tcPr>
            <w:tcW w:w="635" w:type="pct"/>
            <w:vAlign w:val="center"/>
          </w:tcPr>
          <w:p>
            <w:pPr>
              <w:spacing w:line="240" w:lineRule="auto"/>
              <w:ind w:firstLine="0" w:firstLineChars="0"/>
              <w:jc w:val="center"/>
              <w:rPr>
                <w:b/>
                <w:bCs/>
                <w:sz w:val="21"/>
                <w:szCs w:val="21"/>
              </w:rPr>
            </w:pPr>
            <w:r>
              <w:rPr>
                <w:b/>
                <w:bCs/>
                <w:sz w:val="21"/>
                <w:szCs w:val="21"/>
              </w:rPr>
              <w:t>背景</w:t>
            </w:r>
          </w:p>
          <w:p>
            <w:pPr>
              <w:spacing w:line="240" w:lineRule="auto"/>
              <w:ind w:firstLine="0" w:firstLineChars="0"/>
              <w:jc w:val="center"/>
              <w:rPr>
                <w:b/>
                <w:bCs/>
                <w:sz w:val="21"/>
                <w:szCs w:val="21"/>
              </w:rPr>
            </w:pPr>
            <w:r>
              <w:rPr>
                <w:b/>
                <w:bCs/>
                <w:sz w:val="21"/>
                <w:szCs w:val="21"/>
              </w:rPr>
              <w:t>流失量（t）</w:t>
            </w:r>
          </w:p>
        </w:tc>
        <w:tc>
          <w:tcPr>
            <w:tcW w:w="635" w:type="pct"/>
            <w:vAlign w:val="center"/>
          </w:tcPr>
          <w:p>
            <w:pPr>
              <w:spacing w:line="240" w:lineRule="auto"/>
              <w:ind w:firstLine="0" w:firstLineChars="0"/>
              <w:jc w:val="center"/>
              <w:rPr>
                <w:b/>
                <w:bCs/>
                <w:sz w:val="21"/>
                <w:szCs w:val="21"/>
              </w:rPr>
            </w:pPr>
            <w:r>
              <w:rPr>
                <w:b/>
                <w:bCs/>
                <w:sz w:val="21"/>
                <w:szCs w:val="21"/>
              </w:rPr>
              <w:t>预测</w:t>
            </w:r>
          </w:p>
          <w:p>
            <w:pPr>
              <w:spacing w:line="240" w:lineRule="auto"/>
              <w:ind w:firstLine="0" w:firstLineChars="0"/>
              <w:jc w:val="center"/>
              <w:rPr>
                <w:b/>
                <w:bCs/>
                <w:sz w:val="21"/>
                <w:szCs w:val="21"/>
              </w:rPr>
            </w:pPr>
            <w:r>
              <w:rPr>
                <w:b/>
                <w:bCs/>
                <w:sz w:val="21"/>
                <w:szCs w:val="21"/>
              </w:rPr>
              <w:t>流失量（t）</w:t>
            </w:r>
          </w:p>
        </w:tc>
        <w:tc>
          <w:tcPr>
            <w:tcW w:w="636" w:type="pct"/>
            <w:vAlign w:val="center"/>
          </w:tcPr>
          <w:p>
            <w:pPr>
              <w:spacing w:line="240" w:lineRule="auto"/>
              <w:ind w:firstLine="0" w:firstLineChars="0"/>
              <w:jc w:val="center"/>
              <w:rPr>
                <w:b/>
                <w:bCs/>
                <w:sz w:val="21"/>
                <w:szCs w:val="21"/>
              </w:rPr>
            </w:pPr>
            <w:r>
              <w:rPr>
                <w:b/>
                <w:bCs/>
                <w:sz w:val="21"/>
                <w:szCs w:val="21"/>
              </w:rPr>
              <w:t>新增</w:t>
            </w:r>
          </w:p>
          <w:p>
            <w:pPr>
              <w:spacing w:line="240" w:lineRule="auto"/>
              <w:ind w:firstLine="0" w:firstLineChars="0"/>
              <w:jc w:val="center"/>
              <w:rPr>
                <w:b/>
                <w:bCs/>
                <w:sz w:val="21"/>
                <w:szCs w:val="21"/>
              </w:rPr>
            </w:pPr>
            <w:r>
              <w:rPr>
                <w:b/>
                <w:bCs/>
                <w:sz w:val="21"/>
                <w:szCs w:val="21"/>
              </w:rPr>
              <w:t>流失量（t）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2" w:hRule="atLeast"/>
        </w:trPr>
        <w:tc>
          <w:tcPr>
            <w:tcW w:w="176" w:type="pct"/>
            <w:vMerge w:val="restart"/>
            <w:vAlign w:val="center"/>
          </w:tcPr>
          <w:p>
            <w:pPr>
              <w:spacing w:line="240" w:lineRule="auto"/>
              <w:ind w:firstLine="0" w:firstLineChars="0"/>
              <w:jc w:val="center"/>
              <w:rPr>
                <w:sz w:val="21"/>
                <w:szCs w:val="21"/>
              </w:rPr>
            </w:pPr>
            <w:r>
              <w:rPr>
                <w:sz w:val="21"/>
                <w:szCs w:val="21"/>
              </w:rPr>
              <w:t>近期建设区</w:t>
            </w:r>
          </w:p>
        </w:tc>
        <w:tc>
          <w:tcPr>
            <w:tcW w:w="461" w:type="pct"/>
            <w:vAlign w:val="center"/>
          </w:tcPr>
          <w:p>
            <w:pPr>
              <w:tabs>
                <w:tab w:val="left" w:pos="1050"/>
              </w:tabs>
              <w:spacing w:line="240" w:lineRule="auto"/>
              <w:ind w:firstLine="0" w:firstLineChars="0"/>
              <w:jc w:val="center"/>
              <w:rPr>
                <w:sz w:val="21"/>
                <w:szCs w:val="21"/>
              </w:rPr>
            </w:pPr>
            <w:r>
              <w:rPr>
                <w:sz w:val="21"/>
                <w:szCs w:val="21"/>
              </w:rPr>
              <w:t>工业用地</w:t>
            </w:r>
          </w:p>
        </w:tc>
        <w:tc>
          <w:tcPr>
            <w:tcW w:w="749" w:type="pct"/>
            <w:vAlign w:val="center"/>
          </w:tcPr>
          <w:p>
            <w:pPr>
              <w:spacing w:line="240" w:lineRule="auto"/>
              <w:ind w:firstLine="0" w:firstLineChars="0"/>
              <w:jc w:val="center"/>
              <w:rPr>
                <w:sz w:val="21"/>
                <w:szCs w:val="21"/>
              </w:rPr>
            </w:pPr>
            <w:r>
              <w:rPr>
                <w:sz w:val="21"/>
                <w:szCs w:val="21"/>
              </w:rPr>
              <w:t>1252.35</w:t>
            </w:r>
          </w:p>
        </w:tc>
        <w:tc>
          <w:tcPr>
            <w:tcW w:w="705" w:type="pct"/>
            <w:vAlign w:val="center"/>
          </w:tcPr>
          <w:p>
            <w:pPr>
              <w:spacing w:line="240" w:lineRule="auto"/>
              <w:ind w:firstLine="0" w:firstLineChars="0"/>
              <w:jc w:val="center"/>
              <w:rPr>
                <w:sz w:val="21"/>
                <w:szCs w:val="21"/>
              </w:rPr>
            </w:pPr>
            <w:r>
              <w:rPr>
                <w:sz w:val="21"/>
                <w:szCs w:val="21"/>
              </w:rPr>
              <w:t>3962</w:t>
            </w:r>
          </w:p>
        </w:tc>
        <w:tc>
          <w:tcPr>
            <w:tcW w:w="565" w:type="pct"/>
            <w:vAlign w:val="center"/>
          </w:tcPr>
          <w:p>
            <w:pPr>
              <w:adjustRightInd w:val="0"/>
              <w:snapToGrid w:val="0"/>
              <w:spacing w:line="240" w:lineRule="auto"/>
              <w:ind w:firstLine="0" w:firstLineChars="0"/>
              <w:jc w:val="center"/>
              <w:rPr>
                <w:sz w:val="21"/>
                <w:szCs w:val="21"/>
              </w:rPr>
            </w:pPr>
            <w:r>
              <w:rPr>
                <w:sz w:val="21"/>
                <w:szCs w:val="21"/>
              </w:rPr>
              <w:t>245.59</w:t>
            </w:r>
          </w:p>
        </w:tc>
        <w:tc>
          <w:tcPr>
            <w:tcW w:w="433" w:type="pct"/>
            <w:vAlign w:val="center"/>
          </w:tcPr>
          <w:p>
            <w:pPr>
              <w:adjustRightInd w:val="0"/>
              <w:snapToGrid w:val="0"/>
              <w:spacing w:line="240" w:lineRule="auto"/>
              <w:ind w:firstLine="0" w:firstLineChars="0"/>
              <w:jc w:val="center"/>
              <w:rPr>
                <w:sz w:val="21"/>
                <w:szCs w:val="21"/>
              </w:rPr>
            </w:pPr>
            <w:r>
              <w:rPr>
                <w:sz w:val="21"/>
                <w:szCs w:val="21"/>
              </w:rPr>
              <w:t>2.50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7689</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24326</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16637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2" w:hRule="atLeast"/>
        </w:trPr>
        <w:tc>
          <w:tcPr>
            <w:tcW w:w="176" w:type="pct"/>
            <w:vMerge w:val="continue"/>
            <w:vAlign w:val="center"/>
          </w:tcPr>
          <w:p>
            <w:pPr>
              <w:pStyle w:val="53"/>
              <w:jc w:val="center"/>
              <w:rPr>
                <w:rFonts w:eastAsia="仿宋_GB2312"/>
              </w:rPr>
            </w:pPr>
          </w:p>
        </w:tc>
        <w:tc>
          <w:tcPr>
            <w:tcW w:w="461"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749" w:type="pct"/>
            <w:vAlign w:val="center"/>
          </w:tcPr>
          <w:p>
            <w:pPr>
              <w:spacing w:line="240" w:lineRule="auto"/>
              <w:ind w:firstLine="0" w:firstLineChars="0"/>
              <w:jc w:val="center"/>
              <w:rPr>
                <w:sz w:val="21"/>
                <w:szCs w:val="21"/>
              </w:rPr>
            </w:pPr>
            <w:r>
              <w:rPr>
                <w:sz w:val="21"/>
                <w:szCs w:val="21"/>
              </w:rPr>
              <w:t>895.94</w:t>
            </w:r>
          </w:p>
        </w:tc>
        <w:tc>
          <w:tcPr>
            <w:tcW w:w="705" w:type="pct"/>
            <w:vAlign w:val="center"/>
          </w:tcPr>
          <w:p>
            <w:pPr>
              <w:spacing w:line="240" w:lineRule="auto"/>
              <w:ind w:firstLine="0" w:firstLineChars="0"/>
              <w:jc w:val="center"/>
              <w:rPr>
                <w:sz w:val="21"/>
                <w:szCs w:val="21"/>
              </w:rPr>
            </w:pPr>
            <w:r>
              <w:rPr>
                <w:sz w:val="21"/>
                <w:szCs w:val="21"/>
              </w:rPr>
              <w:t>3222</w:t>
            </w:r>
          </w:p>
        </w:tc>
        <w:tc>
          <w:tcPr>
            <w:tcW w:w="565" w:type="pct"/>
            <w:vAlign w:val="center"/>
          </w:tcPr>
          <w:p>
            <w:pPr>
              <w:adjustRightInd w:val="0"/>
              <w:snapToGrid w:val="0"/>
              <w:spacing w:line="240" w:lineRule="auto"/>
              <w:ind w:firstLine="0" w:firstLineChars="0"/>
              <w:jc w:val="center"/>
              <w:rPr>
                <w:sz w:val="21"/>
                <w:szCs w:val="21"/>
              </w:rPr>
            </w:pPr>
            <w:r>
              <w:rPr>
                <w:sz w:val="21"/>
                <w:szCs w:val="21"/>
              </w:rPr>
              <w:t>26.17</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469</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1686</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1217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2" w:hRule="atLeast"/>
        </w:trPr>
        <w:tc>
          <w:tcPr>
            <w:tcW w:w="176" w:type="pct"/>
            <w:vMerge w:val="continue"/>
            <w:vAlign w:val="center"/>
          </w:tcPr>
          <w:p>
            <w:pPr>
              <w:pStyle w:val="53"/>
              <w:jc w:val="center"/>
              <w:rPr>
                <w:rFonts w:eastAsia="仿宋_GB2312"/>
              </w:rPr>
            </w:pPr>
          </w:p>
        </w:tc>
        <w:tc>
          <w:tcPr>
            <w:tcW w:w="461"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749" w:type="pct"/>
            <w:vAlign w:val="center"/>
          </w:tcPr>
          <w:p>
            <w:pPr>
              <w:spacing w:line="240" w:lineRule="auto"/>
              <w:ind w:firstLine="0" w:firstLineChars="0"/>
              <w:jc w:val="center"/>
              <w:rPr>
                <w:sz w:val="21"/>
                <w:szCs w:val="21"/>
              </w:rPr>
            </w:pPr>
            <w:r>
              <w:rPr>
                <w:sz w:val="21"/>
                <w:szCs w:val="21"/>
              </w:rPr>
              <w:t>920.21</w:t>
            </w:r>
          </w:p>
        </w:tc>
        <w:tc>
          <w:tcPr>
            <w:tcW w:w="705" w:type="pct"/>
            <w:vAlign w:val="center"/>
          </w:tcPr>
          <w:p>
            <w:pPr>
              <w:spacing w:line="240" w:lineRule="auto"/>
              <w:ind w:firstLine="0" w:firstLineChars="0"/>
              <w:jc w:val="center"/>
              <w:rPr>
                <w:sz w:val="21"/>
                <w:szCs w:val="21"/>
              </w:rPr>
            </w:pPr>
            <w:r>
              <w:rPr>
                <w:sz w:val="21"/>
                <w:szCs w:val="21"/>
              </w:rPr>
              <w:t>3222</w:t>
            </w:r>
          </w:p>
        </w:tc>
        <w:tc>
          <w:tcPr>
            <w:tcW w:w="565" w:type="pct"/>
            <w:vAlign w:val="center"/>
          </w:tcPr>
          <w:p>
            <w:pPr>
              <w:adjustRightInd w:val="0"/>
              <w:snapToGrid w:val="0"/>
              <w:spacing w:line="240" w:lineRule="auto"/>
              <w:ind w:firstLine="0" w:firstLineChars="0"/>
              <w:jc w:val="center"/>
              <w:rPr>
                <w:sz w:val="21"/>
                <w:szCs w:val="21"/>
              </w:rPr>
            </w:pPr>
            <w:r>
              <w:rPr>
                <w:sz w:val="21"/>
                <w:szCs w:val="21"/>
              </w:rPr>
              <w:t>23.31</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429</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1502</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1073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30" w:hRule="atLeast"/>
        </w:trPr>
        <w:tc>
          <w:tcPr>
            <w:tcW w:w="176" w:type="pct"/>
            <w:vMerge w:val="continue"/>
            <w:vAlign w:val="center"/>
          </w:tcPr>
          <w:p>
            <w:pPr>
              <w:pStyle w:val="53"/>
              <w:jc w:val="center"/>
              <w:rPr>
                <w:rFonts w:eastAsia="仿宋_GB2312"/>
              </w:rPr>
            </w:pPr>
          </w:p>
        </w:tc>
        <w:tc>
          <w:tcPr>
            <w:tcW w:w="461"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749" w:type="pct"/>
            <w:vAlign w:val="center"/>
          </w:tcPr>
          <w:p>
            <w:pPr>
              <w:spacing w:line="240" w:lineRule="auto"/>
              <w:ind w:firstLine="0" w:firstLineChars="0"/>
              <w:jc w:val="center"/>
              <w:rPr>
                <w:sz w:val="21"/>
                <w:szCs w:val="21"/>
              </w:rPr>
            </w:pPr>
            <w:r>
              <w:rPr>
                <w:sz w:val="21"/>
                <w:szCs w:val="21"/>
              </w:rPr>
              <w:t>1044.18</w:t>
            </w:r>
          </w:p>
        </w:tc>
        <w:tc>
          <w:tcPr>
            <w:tcW w:w="705" w:type="pct"/>
            <w:vAlign w:val="center"/>
          </w:tcPr>
          <w:p>
            <w:pPr>
              <w:spacing w:line="240" w:lineRule="auto"/>
              <w:ind w:firstLine="0" w:firstLineChars="0"/>
              <w:jc w:val="center"/>
              <w:rPr>
                <w:sz w:val="21"/>
                <w:szCs w:val="21"/>
              </w:rPr>
            </w:pPr>
            <w:r>
              <w:rPr>
                <w:sz w:val="21"/>
                <w:szCs w:val="21"/>
              </w:rPr>
              <w:t>3178</w:t>
            </w:r>
          </w:p>
        </w:tc>
        <w:tc>
          <w:tcPr>
            <w:tcW w:w="565" w:type="pct"/>
            <w:vAlign w:val="center"/>
          </w:tcPr>
          <w:p>
            <w:pPr>
              <w:adjustRightInd w:val="0"/>
              <w:snapToGrid w:val="0"/>
              <w:spacing w:line="240" w:lineRule="auto"/>
              <w:ind w:firstLine="0" w:firstLineChars="0"/>
              <w:jc w:val="center"/>
              <w:rPr>
                <w:sz w:val="21"/>
                <w:szCs w:val="21"/>
              </w:rPr>
            </w:pPr>
            <w:r>
              <w:rPr>
                <w:sz w:val="21"/>
                <w:szCs w:val="21"/>
              </w:rPr>
              <w:t>22.77</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476</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1447</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971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7" w:hRule="atLeast"/>
        </w:trPr>
        <w:tc>
          <w:tcPr>
            <w:tcW w:w="176" w:type="pct"/>
            <w:vMerge w:val="continue"/>
            <w:vAlign w:val="center"/>
          </w:tcPr>
          <w:p>
            <w:pPr>
              <w:pStyle w:val="53"/>
              <w:jc w:val="center"/>
              <w:rPr>
                <w:rFonts w:eastAsia="仿宋_GB2312"/>
                <w:b/>
                <w:bCs/>
              </w:rPr>
            </w:pPr>
          </w:p>
        </w:tc>
        <w:tc>
          <w:tcPr>
            <w:tcW w:w="1915" w:type="pct"/>
            <w:gridSpan w:val="3"/>
            <w:vAlign w:val="center"/>
          </w:tcPr>
          <w:p>
            <w:pPr>
              <w:pStyle w:val="53"/>
              <w:jc w:val="center"/>
              <w:rPr>
                <w:rFonts w:eastAsia="仿宋_GB2312"/>
                <w:b/>
                <w:bCs/>
              </w:rPr>
            </w:pPr>
            <w:r>
              <w:rPr>
                <w:rFonts w:eastAsia="仿宋_GB2312"/>
                <w:b/>
                <w:bCs/>
              </w:rPr>
              <w:t>小计</w:t>
            </w:r>
          </w:p>
        </w:tc>
        <w:tc>
          <w:tcPr>
            <w:tcW w:w="565" w:type="pct"/>
            <w:vAlign w:val="center"/>
          </w:tcPr>
          <w:p>
            <w:pPr>
              <w:adjustRightInd w:val="0"/>
              <w:snapToGrid w:val="0"/>
              <w:spacing w:line="240" w:lineRule="auto"/>
              <w:ind w:firstLine="0" w:firstLineChars="0"/>
              <w:jc w:val="center"/>
              <w:rPr>
                <w:b/>
                <w:bCs/>
                <w:sz w:val="21"/>
                <w:szCs w:val="21"/>
              </w:rPr>
            </w:pPr>
            <w:r>
              <w:rPr>
                <w:b/>
                <w:bCs/>
                <w:sz w:val="21"/>
                <w:szCs w:val="21"/>
              </w:rPr>
              <w:t>317.84</w:t>
            </w:r>
          </w:p>
        </w:tc>
        <w:tc>
          <w:tcPr>
            <w:tcW w:w="433" w:type="pct"/>
            <w:vAlign w:val="center"/>
          </w:tcPr>
          <w:p>
            <w:pPr>
              <w:adjustRightInd w:val="0"/>
              <w:snapToGrid w:val="0"/>
              <w:spacing w:line="240" w:lineRule="auto"/>
              <w:ind w:firstLine="0" w:firstLineChars="0"/>
              <w:jc w:val="center"/>
              <w:rPr>
                <w:b/>
                <w:bCs/>
                <w:sz w:val="21"/>
                <w:szCs w:val="21"/>
              </w:rPr>
            </w:pP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9063</w:t>
            </w: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28961</w:t>
            </w:r>
          </w:p>
        </w:tc>
        <w:tc>
          <w:tcPr>
            <w:tcW w:w="1182"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19898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3" w:hRule="atLeast"/>
        </w:trPr>
        <w:tc>
          <w:tcPr>
            <w:tcW w:w="176" w:type="pct"/>
            <w:vMerge w:val="restart"/>
            <w:vAlign w:val="center"/>
          </w:tcPr>
          <w:p>
            <w:pPr>
              <w:pStyle w:val="53"/>
              <w:jc w:val="center"/>
              <w:rPr>
                <w:rFonts w:eastAsia="仿宋_GB2312"/>
              </w:rPr>
            </w:pPr>
            <w:r>
              <w:rPr>
                <w:rFonts w:eastAsia="仿宋_GB2312"/>
              </w:rPr>
              <w:t>远期建设区</w:t>
            </w:r>
          </w:p>
        </w:tc>
        <w:tc>
          <w:tcPr>
            <w:tcW w:w="461" w:type="pct"/>
            <w:vAlign w:val="center"/>
          </w:tcPr>
          <w:p>
            <w:pPr>
              <w:tabs>
                <w:tab w:val="left" w:pos="1050"/>
              </w:tabs>
              <w:spacing w:line="240" w:lineRule="auto"/>
              <w:ind w:firstLine="0" w:firstLineChars="0"/>
              <w:jc w:val="center"/>
              <w:rPr>
                <w:sz w:val="21"/>
                <w:szCs w:val="21"/>
              </w:rPr>
            </w:pPr>
            <w:r>
              <w:rPr>
                <w:sz w:val="21"/>
                <w:szCs w:val="21"/>
              </w:rPr>
              <w:t>工业用地</w:t>
            </w:r>
          </w:p>
        </w:tc>
        <w:tc>
          <w:tcPr>
            <w:tcW w:w="749" w:type="pct"/>
            <w:vAlign w:val="center"/>
          </w:tcPr>
          <w:p>
            <w:pPr>
              <w:spacing w:line="240" w:lineRule="auto"/>
              <w:ind w:firstLine="0" w:firstLineChars="0"/>
              <w:jc w:val="center"/>
              <w:rPr>
                <w:sz w:val="21"/>
                <w:szCs w:val="21"/>
              </w:rPr>
            </w:pPr>
            <w:r>
              <w:rPr>
                <w:sz w:val="21"/>
                <w:szCs w:val="21"/>
              </w:rPr>
              <w:t>1252.35</w:t>
            </w:r>
          </w:p>
        </w:tc>
        <w:tc>
          <w:tcPr>
            <w:tcW w:w="705" w:type="pct"/>
            <w:vAlign w:val="center"/>
          </w:tcPr>
          <w:p>
            <w:pPr>
              <w:spacing w:line="240" w:lineRule="auto"/>
              <w:ind w:firstLine="0" w:firstLineChars="0"/>
              <w:jc w:val="center"/>
              <w:rPr>
                <w:sz w:val="21"/>
                <w:szCs w:val="21"/>
              </w:rPr>
            </w:pPr>
            <w:r>
              <w:rPr>
                <w:sz w:val="21"/>
                <w:szCs w:val="21"/>
              </w:rPr>
              <w:t>3962</w:t>
            </w:r>
          </w:p>
        </w:tc>
        <w:tc>
          <w:tcPr>
            <w:tcW w:w="565" w:type="pct"/>
            <w:vAlign w:val="center"/>
          </w:tcPr>
          <w:p>
            <w:pPr>
              <w:tabs>
                <w:tab w:val="left" w:pos="1050"/>
              </w:tabs>
              <w:spacing w:line="240" w:lineRule="auto"/>
              <w:ind w:firstLine="0" w:firstLineChars="0"/>
              <w:jc w:val="center"/>
              <w:rPr>
                <w:sz w:val="21"/>
                <w:szCs w:val="21"/>
              </w:rPr>
            </w:pPr>
            <w:r>
              <w:rPr>
                <w:sz w:val="21"/>
                <w:szCs w:val="21"/>
              </w:rPr>
              <w:t>359.16</w:t>
            </w:r>
          </w:p>
        </w:tc>
        <w:tc>
          <w:tcPr>
            <w:tcW w:w="433" w:type="pct"/>
            <w:vAlign w:val="center"/>
          </w:tcPr>
          <w:p>
            <w:pPr>
              <w:adjustRightInd w:val="0"/>
              <w:snapToGrid w:val="0"/>
              <w:spacing w:line="240" w:lineRule="auto"/>
              <w:ind w:firstLine="0" w:firstLineChars="0"/>
              <w:jc w:val="center"/>
              <w:rPr>
                <w:sz w:val="21"/>
                <w:szCs w:val="21"/>
              </w:rPr>
            </w:pPr>
            <w:r>
              <w:rPr>
                <w:sz w:val="21"/>
                <w:szCs w:val="21"/>
              </w:rPr>
              <w:t>2.50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11245</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35575</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24330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7" w:hRule="atLeast"/>
        </w:trPr>
        <w:tc>
          <w:tcPr>
            <w:tcW w:w="176" w:type="pct"/>
            <w:vMerge w:val="continue"/>
            <w:vAlign w:val="center"/>
          </w:tcPr>
          <w:p>
            <w:pPr>
              <w:pStyle w:val="53"/>
              <w:jc w:val="center"/>
              <w:rPr>
                <w:rFonts w:eastAsia="仿宋_GB2312"/>
              </w:rPr>
            </w:pPr>
          </w:p>
        </w:tc>
        <w:tc>
          <w:tcPr>
            <w:tcW w:w="461" w:type="pct"/>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749" w:type="pct"/>
            <w:vAlign w:val="center"/>
          </w:tcPr>
          <w:p>
            <w:pPr>
              <w:spacing w:line="240" w:lineRule="auto"/>
              <w:ind w:firstLine="0" w:firstLineChars="0"/>
              <w:jc w:val="center"/>
              <w:rPr>
                <w:sz w:val="21"/>
                <w:szCs w:val="21"/>
              </w:rPr>
            </w:pPr>
            <w:r>
              <w:rPr>
                <w:sz w:val="21"/>
                <w:szCs w:val="21"/>
              </w:rPr>
              <w:t>895.94</w:t>
            </w:r>
          </w:p>
        </w:tc>
        <w:tc>
          <w:tcPr>
            <w:tcW w:w="705" w:type="pct"/>
            <w:vAlign w:val="center"/>
          </w:tcPr>
          <w:p>
            <w:pPr>
              <w:spacing w:line="240" w:lineRule="auto"/>
              <w:ind w:firstLine="0" w:firstLineChars="0"/>
              <w:jc w:val="center"/>
              <w:rPr>
                <w:sz w:val="21"/>
                <w:szCs w:val="21"/>
              </w:rPr>
            </w:pPr>
            <w:r>
              <w:rPr>
                <w:sz w:val="21"/>
                <w:szCs w:val="21"/>
              </w:rPr>
              <w:t>3222</w:t>
            </w:r>
          </w:p>
        </w:tc>
        <w:tc>
          <w:tcPr>
            <w:tcW w:w="565" w:type="pct"/>
            <w:vAlign w:val="center"/>
          </w:tcPr>
          <w:p>
            <w:pPr>
              <w:tabs>
                <w:tab w:val="left" w:pos="1050"/>
              </w:tabs>
              <w:spacing w:line="240" w:lineRule="auto"/>
              <w:ind w:firstLine="0" w:firstLineChars="0"/>
              <w:jc w:val="center"/>
              <w:rPr>
                <w:sz w:val="21"/>
                <w:szCs w:val="21"/>
              </w:rPr>
            </w:pPr>
            <w:r>
              <w:rPr>
                <w:sz w:val="21"/>
                <w:szCs w:val="21"/>
              </w:rPr>
              <w:t>7.70</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138</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496</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358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5" w:hRule="atLeast"/>
        </w:trPr>
        <w:tc>
          <w:tcPr>
            <w:tcW w:w="176" w:type="pct"/>
            <w:vMerge w:val="continue"/>
            <w:vAlign w:val="center"/>
          </w:tcPr>
          <w:p>
            <w:pPr>
              <w:pStyle w:val="53"/>
              <w:jc w:val="center"/>
              <w:rPr>
                <w:rFonts w:eastAsia="仿宋_GB2312"/>
              </w:rPr>
            </w:pPr>
          </w:p>
        </w:tc>
        <w:tc>
          <w:tcPr>
            <w:tcW w:w="461" w:type="pct"/>
            <w:vAlign w:val="center"/>
          </w:tcPr>
          <w:p>
            <w:pPr>
              <w:tabs>
                <w:tab w:val="left" w:pos="1050"/>
              </w:tabs>
              <w:spacing w:line="240" w:lineRule="auto"/>
              <w:ind w:firstLine="0" w:firstLineChars="0"/>
              <w:jc w:val="center"/>
              <w:rPr>
                <w:sz w:val="21"/>
                <w:szCs w:val="21"/>
              </w:rPr>
            </w:pPr>
            <w:r>
              <w:rPr>
                <w:sz w:val="21"/>
                <w:szCs w:val="21"/>
              </w:rPr>
              <w:t>公用设施用地</w:t>
            </w:r>
          </w:p>
        </w:tc>
        <w:tc>
          <w:tcPr>
            <w:tcW w:w="749" w:type="pct"/>
            <w:vAlign w:val="center"/>
          </w:tcPr>
          <w:p>
            <w:pPr>
              <w:spacing w:line="240" w:lineRule="auto"/>
              <w:ind w:firstLine="0" w:firstLineChars="0"/>
              <w:jc w:val="center"/>
              <w:rPr>
                <w:sz w:val="21"/>
                <w:szCs w:val="21"/>
              </w:rPr>
            </w:pPr>
            <w:r>
              <w:rPr>
                <w:sz w:val="21"/>
                <w:szCs w:val="21"/>
              </w:rPr>
              <w:t>920.21</w:t>
            </w:r>
          </w:p>
        </w:tc>
        <w:tc>
          <w:tcPr>
            <w:tcW w:w="705" w:type="pct"/>
            <w:vAlign w:val="center"/>
          </w:tcPr>
          <w:p>
            <w:pPr>
              <w:spacing w:line="240" w:lineRule="auto"/>
              <w:ind w:firstLine="0" w:firstLineChars="0"/>
              <w:jc w:val="center"/>
              <w:rPr>
                <w:sz w:val="21"/>
                <w:szCs w:val="21"/>
              </w:rPr>
            </w:pPr>
            <w:r>
              <w:rPr>
                <w:sz w:val="21"/>
                <w:szCs w:val="21"/>
              </w:rPr>
              <w:t>3222</w:t>
            </w:r>
          </w:p>
        </w:tc>
        <w:tc>
          <w:tcPr>
            <w:tcW w:w="565" w:type="pct"/>
            <w:vAlign w:val="center"/>
          </w:tcPr>
          <w:p>
            <w:pPr>
              <w:tabs>
                <w:tab w:val="left" w:pos="1050"/>
              </w:tabs>
              <w:spacing w:line="240" w:lineRule="auto"/>
              <w:ind w:firstLine="0" w:firstLineChars="0"/>
              <w:jc w:val="center"/>
              <w:rPr>
                <w:sz w:val="21"/>
                <w:szCs w:val="21"/>
              </w:rPr>
            </w:pPr>
            <w:r>
              <w:rPr>
                <w:sz w:val="21"/>
                <w:szCs w:val="21"/>
              </w:rPr>
              <w:t>2.88</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53</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186</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133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176" w:type="pct"/>
            <w:vMerge w:val="continue"/>
            <w:vAlign w:val="center"/>
          </w:tcPr>
          <w:p>
            <w:pPr>
              <w:pStyle w:val="53"/>
              <w:jc w:val="center"/>
              <w:rPr>
                <w:rFonts w:eastAsia="仿宋_GB2312"/>
              </w:rPr>
            </w:pPr>
          </w:p>
        </w:tc>
        <w:tc>
          <w:tcPr>
            <w:tcW w:w="461"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749" w:type="pct"/>
            <w:vAlign w:val="center"/>
          </w:tcPr>
          <w:p>
            <w:pPr>
              <w:spacing w:line="240" w:lineRule="auto"/>
              <w:ind w:firstLine="0" w:firstLineChars="0"/>
              <w:jc w:val="center"/>
              <w:rPr>
                <w:sz w:val="21"/>
                <w:szCs w:val="21"/>
              </w:rPr>
            </w:pPr>
            <w:r>
              <w:rPr>
                <w:sz w:val="21"/>
                <w:szCs w:val="21"/>
              </w:rPr>
              <w:t>1044.18</w:t>
            </w:r>
          </w:p>
        </w:tc>
        <w:tc>
          <w:tcPr>
            <w:tcW w:w="705" w:type="pct"/>
            <w:vAlign w:val="center"/>
          </w:tcPr>
          <w:p>
            <w:pPr>
              <w:spacing w:line="240" w:lineRule="auto"/>
              <w:ind w:firstLine="0" w:firstLineChars="0"/>
              <w:jc w:val="center"/>
              <w:rPr>
                <w:sz w:val="21"/>
                <w:szCs w:val="21"/>
              </w:rPr>
            </w:pPr>
            <w:r>
              <w:rPr>
                <w:sz w:val="21"/>
                <w:szCs w:val="21"/>
              </w:rPr>
              <w:t>3178</w:t>
            </w:r>
          </w:p>
        </w:tc>
        <w:tc>
          <w:tcPr>
            <w:tcW w:w="565" w:type="pct"/>
            <w:vAlign w:val="center"/>
          </w:tcPr>
          <w:p>
            <w:pPr>
              <w:tabs>
                <w:tab w:val="left" w:pos="1050"/>
              </w:tabs>
              <w:spacing w:line="240" w:lineRule="auto"/>
              <w:ind w:firstLine="0" w:firstLineChars="0"/>
              <w:jc w:val="center"/>
              <w:rPr>
                <w:sz w:val="21"/>
                <w:szCs w:val="21"/>
              </w:rPr>
            </w:pPr>
            <w:r>
              <w:rPr>
                <w:sz w:val="21"/>
                <w:szCs w:val="21"/>
              </w:rPr>
              <w:t>13.88</w:t>
            </w:r>
          </w:p>
        </w:tc>
        <w:tc>
          <w:tcPr>
            <w:tcW w:w="433" w:type="pct"/>
            <w:vAlign w:val="center"/>
          </w:tcPr>
          <w:p>
            <w:pPr>
              <w:adjustRightInd w:val="0"/>
              <w:snapToGrid w:val="0"/>
              <w:spacing w:line="240" w:lineRule="auto"/>
              <w:ind w:firstLine="0" w:firstLineChars="0"/>
              <w:jc w:val="center"/>
              <w:rPr>
                <w:sz w:val="21"/>
                <w:szCs w:val="21"/>
              </w:rPr>
            </w:pPr>
            <w:r>
              <w:rPr>
                <w:sz w:val="21"/>
                <w:szCs w:val="21"/>
              </w:rPr>
              <w:t>2.0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290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882</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592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1" w:hRule="atLeast"/>
        </w:trPr>
        <w:tc>
          <w:tcPr>
            <w:tcW w:w="176" w:type="pct"/>
            <w:vMerge w:val="continue"/>
            <w:vAlign w:val="center"/>
          </w:tcPr>
          <w:p>
            <w:pPr>
              <w:pStyle w:val="53"/>
              <w:jc w:val="center"/>
              <w:rPr>
                <w:rFonts w:eastAsia="仿宋_GB2312"/>
              </w:rPr>
            </w:pPr>
          </w:p>
        </w:tc>
        <w:tc>
          <w:tcPr>
            <w:tcW w:w="1915" w:type="pct"/>
            <w:gridSpan w:val="3"/>
            <w:vAlign w:val="center"/>
          </w:tcPr>
          <w:p>
            <w:pPr>
              <w:pStyle w:val="53"/>
              <w:jc w:val="center"/>
              <w:rPr>
                <w:rFonts w:eastAsia="仿宋_GB2312"/>
                <w:b/>
                <w:bCs/>
              </w:rPr>
            </w:pPr>
            <w:r>
              <w:rPr>
                <w:rFonts w:eastAsia="仿宋_GB2312"/>
                <w:b/>
                <w:bCs/>
              </w:rPr>
              <w:t>小计</w:t>
            </w:r>
          </w:p>
        </w:tc>
        <w:tc>
          <w:tcPr>
            <w:tcW w:w="565" w:type="pct"/>
            <w:vAlign w:val="center"/>
          </w:tcPr>
          <w:p>
            <w:pPr>
              <w:tabs>
                <w:tab w:val="left" w:pos="1050"/>
              </w:tabs>
              <w:spacing w:line="240" w:lineRule="auto"/>
              <w:ind w:firstLine="0" w:firstLineChars="0"/>
              <w:jc w:val="center"/>
              <w:rPr>
                <w:b/>
                <w:bCs/>
                <w:sz w:val="21"/>
                <w:szCs w:val="21"/>
              </w:rPr>
            </w:pPr>
            <w:r>
              <w:rPr>
                <w:b/>
                <w:bCs/>
                <w:sz w:val="21"/>
                <w:szCs w:val="21"/>
              </w:rPr>
              <w:t>383.62</w:t>
            </w:r>
          </w:p>
        </w:tc>
        <w:tc>
          <w:tcPr>
            <w:tcW w:w="433" w:type="pct"/>
            <w:vAlign w:val="center"/>
          </w:tcPr>
          <w:p>
            <w:pPr>
              <w:adjustRightInd w:val="0"/>
              <w:snapToGrid w:val="0"/>
              <w:spacing w:line="240" w:lineRule="auto"/>
              <w:ind w:firstLine="0" w:firstLineChars="0"/>
              <w:jc w:val="center"/>
              <w:rPr>
                <w:b/>
                <w:bCs/>
                <w:sz w:val="21"/>
                <w:szCs w:val="21"/>
              </w:rPr>
            </w:pP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11726</w:t>
            </w: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37139</w:t>
            </w:r>
          </w:p>
        </w:tc>
        <w:tc>
          <w:tcPr>
            <w:tcW w:w="1182"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25413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0" w:hRule="atLeast"/>
        </w:trPr>
        <w:tc>
          <w:tcPr>
            <w:tcW w:w="637" w:type="pct"/>
            <w:gridSpan w:val="2"/>
            <w:vAlign w:val="center"/>
          </w:tcPr>
          <w:p>
            <w:pPr>
              <w:pStyle w:val="53"/>
              <w:jc w:val="center"/>
              <w:rPr>
                <w:rFonts w:eastAsia="仿宋_GB2312"/>
              </w:rPr>
            </w:pPr>
            <w:r>
              <w:rPr>
                <w:rFonts w:eastAsia="仿宋_GB2312"/>
              </w:rPr>
              <w:t>土石方</w:t>
            </w:r>
          </w:p>
          <w:p>
            <w:pPr>
              <w:pStyle w:val="53"/>
              <w:jc w:val="center"/>
              <w:rPr>
                <w:rFonts w:eastAsia="仿宋_GB2312"/>
              </w:rPr>
            </w:pPr>
            <w:r>
              <w:rPr>
                <w:rFonts w:eastAsia="仿宋_GB2312"/>
              </w:rPr>
              <w:t>中转场*</w:t>
            </w:r>
          </w:p>
        </w:tc>
        <w:tc>
          <w:tcPr>
            <w:tcW w:w="749" w:type="pct"/>
            <w:vAlign w:val="center"/>
          </w:tcPr>
          <w:p>
            <w:pPr>
              <w:spacing w:line="240" w:lineRule="auto"/>
              <w:ind w:firstLine="0" w:firstLineChars="0"/>
              <w:jc w:val="center"/>
              <w:rPr>
                <w:sz w:val="21"/>
                <w:szCs w:val="21"/>
              </w:rPr>
            </w:pPr>
            <w:r>
              <w:rPr>
                <w:sz w:val="21"/>
                <w:szCs w:val="21"/>
              </w:rPr>
              <w:t>1252.35</w:t>
            </w:r>
          </w:p>
        </w:tc>
        <w:tc>
          <w:tcPr>
            <w:tcW w:w="705" w:type="pct"/>
            <w:vAlign w:val="center"/>
          </w:tcPr>
          <w:p>
            <w:pPr>
              <w:pStyle w:val="53"/>
              <w:jc w:val="center"/>
              <w:rPr>
                <w:rFonts w:eastAsia="仿宋_GB2312"/>
              </w:rPr>
            </w:pPr>
            <w:r>
              <w:rPr>
                <w:rFonts w:eastAsia="仿宋_GB2312"/>
              </w:rPr>
              <w:t>4341</w:t>
            </w:r>
          </w:p>
        </w:tc>
        <w:tc>
          <w:tcPr>
            <w:tcW w:w="565" w:type="pct"/>
            <w:vAlign w:val="center"/>
          </w:tcPr>
          <w:p>
            <w:pPr>
              <w:adjustRightInd w:val="0"/>
              <w:snapToGrid w:val="0"/>
              <w:spacing w:line="240" w:lineRule="auto"/>
              <w:ind w:firstLine="0" w:firstLineChars="0"/>
              <w:jc w:val="center"/>
              <w:rPr>
                <w:sz w:val="21"/>
                <w:szCs w:val="21"/>
              </w:rPr>
            </w:pPr>
            <w:r>
              <w:rPr>
                <w:sz w:val="21"/>
                <w:szCs w:val="21"/>
              </w:rPr>
              <w:t>12.17</w:t>
            </w:r>
          </w:p>
        </w:tc>
        <w:tc>
          <w:tcPr>
            <w:tcW w:w="433" w:type="pct"/>
            <w:vAlign w:val="center"/>
          </w:tcPr>
          <w:p>
            <w:pPr>
              <w:adjustRightInd w:val="0"/>
              <w:snapToGrid w:val="0"/>
              <w:spacing w:line="240" w:lineRule="auto"/>
              <w:ind w:firstLine="0" w:firstLineChars="0"/>
              <w:jc w:val="center"/>
              <w:rPr>
                <w:sz w:val="21"/>
                <w:szCs w:val="21"/>
              </w:rPr>
            </w:pPr>
            <w:r>
              <w:rPr>
                <w:sz w:val="21"/>
                <w:szCs w:val="21"/>
              </w:rPr>
              <w:t>3.0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457</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1585</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1128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0" w:hRule="atLeast"/>
        </w:trPr>
        <w:tc>
          <w:tcPr>
            <w:tcW w:w="637" w:type="pct"/>
            <w:gridSpan w:val="2"/>
            <w:vAlign w:val="center"/>
          </w:tcPr>
          <w:p>
            <w:pPr>
              <w:pStyle w:val="53"/>
              <w:jc w:val="center"/>
              <w:rPr>
                <w:rFonts w:eastAsia="仿宋_GB2312"/>
              </w:rPr>
            </w:pPr>
            <w:r>
              <w:rPr>
                <w:rFonts w:eastAsia="仿宋_GB2312"/>
              </w:rPr>
              <w:t>表土</w:t>
            </w:r>
          </w:p>
          <w:p>
            <w:pPr>
              <w:pStyle w:val="53"/>
              <w:jc w:val="center"/>
              <w:rPr>
                <w:rFonts w:eastAsia="仿宋_GB2312"/>
              </w:rPr>
            </w:pPr>
            <w:r>
              <w:rPr>
                <w:rFonts w:eastAsia="仿宋_GB2312"/>
              </w:rPr>
              <w:t>中转场*</w:t>
            </w:r>
          </w:p>
        </w:tc>
        <w:tc>
          <w:tcPr>
            <w:tcW w:w="749" w:type="pct"/>
            <w:vAlign w:val="center"/>
          </w:tcPr>
          <w:p>
            <w:pPr>
              <w:spacing w:line="240" w:lineRule="auto"/>
              <w:ind w:firstLine="0" w:firstLineChars="0"/>
              <w:jc w:val="center"/>
              <w:rPr>
                <w:sz w:val="21"/>
                <w:szCs w:val="21"/>
              </w:rPr>
            </w:pPr>
            <w:r>
              <w:rPr>
                <w:sz w:val="21"/>
                <w:szCs w:val="21"/>
              </w:rPr>
              <w:t>1044.18</w:t>
            </w:r>
          </w:p>
        </w:tc>
        <w:tc>
          <w:tcPr>
            <w:tcW w:w="705" w:type="pct"/>
            <w:vAlign w:val="center"/>
          </w:tcPr>
          <w:p>
            <w:pPr>
              <w:pStyle w:val="53"/>
              <w:jc w:val="center"/>
              <w:rPr>
                <w:rFonts w:eastAsia="仿宋_GB2312"/>
              </w:rPr>
            </w:pPr>
            <w:r>
              <w:rPr>
                <w:rFonts w:eastAsia="仿宋_GB2312"/>
              </w:rPr>
              <w:t>4341</w:t>
            </w:r>
          </w:p>
        </w:tc>
        <w:tc>
          <w:tcPr>
            <w:tcW w:w="565" w:type="pct"/>
            <w:vAlign w:val="center"/>
          </w:tcPr>
          <w:p>
            <w:pPr>
              <w:adjustRightInd w:val="0"/>
              <w:snapToGrid w:val="0"/>
              <w:spacing w:line="240" w:lineRule="auto"/>
              <w:ind w:firstLine="0" w:firstLineChars="0"/>
              <w:jc w:val="center"/>
              <w:rPr>
                <w:sz w:val="21"/>
                <w:szCs w:val="21"/>
              </w:rPr>
            </w:pPr>
            <w:r>
              <w:rPr>
                <w:sz w:val="21"/>
                <w:szCs w:val="21"/>
              </w:rPr>
              <w:t>39.55</w:t>
            </w:r>
          </w:p>
        </w:tc>
        <w:tc>
          <w:tcPr>
            <w:tcW w:w="433" w:type="pct"/>
            <w:vAlign w:val="center"/>
          </w:tcPr>
          <w:p>
            <w:pPr>
              <w:adjustRightInd w:val="0"/>
              <w:snapToGrid w:val="0"/>
              <w:spacing w:line="240" w:lineRule="auto"/>
              <w:ind w:firstLine="0" w:firstLineChars="0"/>
              <w:jc w:val="center"/>
              <w:rPr>
                <w:sz w:val="21"/>
                <w:szCs w:val="21"/>
              </w:rPr>
            </w:pPr>
            <w:r>
              <w:rPr>
                <w:sz w:val="21"/>
                <w:szCs w:val="21"/>
              </w:rPr>
              <w:t>3.0</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1239</w:t>
            </w:r>
          </w:p>
        </w:tc>
        <w:tc>
          <w:tcPr>
            <w:tcW w:w="1180" w:type="dxa"/>
            <w:vAlign w:val="center"/>
          </w:tcPr>
          <w:p>
            <w:pPr>
              <w:adjustRightInd w:val="0"/>
              <w:snapToGrid w:val="0"/>
              <w:spacing w:line="240" w:lineRule="auto"/>
              <w:ind w:firstLine="0" w:firstLineChars="0"/>
              <w:jc w:val="center"/>
              <w:rPr>
                <w:sz w:val="21"/>
                <w:szCs w:val="21"/>
              </w:rPr>
            </w:pPr>
            <w:r>
              <w:rPr>
                <w:rFonts w:hint="eastAsia"/>
                <w:sz w:val="21"/>
                <w:szCs w:val="21"/>
              </w:rPr>
              <w:t>5151</w:t>
            </w:r>
          </w:p>
        </w:tc>
        <w:tc>
          <w:tcPr>
            <w:tcW w:w="1182" w:type="dxa"/>
            <w:vAlign w:val="center"/>
          </w:tcPr>
          <w:p>
            <w:pPr>
              <w:adjustRightInd w:val="0"/>
              <w:snapToGrid w:val="0"/>
              <w:spacing w:line="240" w:lineRule="auto"/>
              <w:ind w:firstLine="0" w:firstLineChars="0"/>
              <w:jc w:val="center"/>
              <w:rPr>
                <w:sz w:val="21"/>
                <w:szCs w:val="21"/>
              </w:rPr>
            </w:pPr>
            <w:r>
              <w:rPr>
                <w:rFonts w:hint="eastAsia"/>
                <w:sz w:val="21"/>
                <w:szCs w:val="21"/>
              </w:rPr>
              <w:t>3912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092" w:type="pct"/>
            <w:gridSpan w:val="4"/>
            <w:vAlign w:val="center"/>
          </w:tcPr>
          <w:p>
            <w:pPr>
              <w:spacing w:line="240" w:lineRule="auto"/>
              <w:ind w:firstLine="0" w:firstLineChars="0"/>
              <w:jc w:val="center"/>
              <w:rPr>
                <w:sz w:val="21"/>
                <w:szCs w:val="21"/>
              </w:rPr>
            </w:pPr>
            <w:r>
              <w:rPr>
                <w:b/>
                <w:bCs/>
                <w:sz w:val="21"/>
                <w:szCs w:val="21"/>
              </w:rPr>
              <w:t>合计</w:t>
            </w:r>
          </w:p>
        </w:tc>
        <w:tc>
          <w:tcPr>
            <w:tcW w:w="565" w:type="pct"/>
            <w:vAlign w:val="center"/>
          </w:tcPr>
          <w:p>
            <w:pPr>
              <w:adjustRightInd w:val="0"/>
              <w:snapToGrid w:val="0"/>
              <w:spacing w:line="240" w:lineRule="auto"/>
              <w:ind w:firstLine="0" w:firstLineChars="0"/>
              <w:jc w:val="center"/>
              <w:rPr>
                <w:sz w:val="21"/>
                <w:szCs w:val="21"/>
              </w:rPr>
            </w:pPr>
            <w:r>
              <w:rPr>
                <w:b/>
                <w:bCs/>
                <w:sz w:val="21"/>
                <w:szCs w:val="21"/>
              </w:rPr>
              <w:t>753.18</w:t>
            </w:r>
          </w:p>
        </w:tc>
        <w:tc>
          <w:tcPr>
            <w:tcW w:w="433" w:type="pct"/>
            <w:vAlign w:val="center"/>
          </w:tcPr>
          <w:p>
            <w:pPr>
              <w:pStyle w:val="53"/>
              <w:jc w:val="center"/>
              <w:rPr>
                <w:rFonts w:eastAsia="仿宋_GB2312"/>
              </w:rPr>
            </w:pP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22485</w:t>
            </w:r>
          </w:p>
        </w:tc>
        <w:tc>
          <w:tcPr>
            <w:tcW w:w="1180"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72836</w:t>
            </w:r>
          </w:p>
        </w:tc>
        <w:tc>
          <w:tcPr>
            <w:tcW w:w="1182"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50351</w:t>
            </w:r>
          </w:p>
        </w:tc>
      </w:tr>
    </w:tbl>
    <w:p>
      <w:pPr>
        <w:spacing w:beforeLines="50"/>
        <w:ind w:firstLine="0" w:firstLineChars="0"/>
        <w:jc w:val="center"/>
        <w:rPr>
          <w:b/>
          <w:bCs/>
          <w:szCs w:val="24"/>
        </w:rPr>
      </w:pPr>
      <w:r>
        <w:rPr>
          <w:b/>
          <w:bCs/>
          <w:szCs w:val="24"/>
        </w:rPr>
        <w:t>表4.3-9自然恢复期水土流失预</w:t>
      </w:r>
      <w:r>
        <w:rPr>
          <w:b/>
          <w:bCs/>
        </w:rPr>
        <w:t>测结果</w:t>
      </w:r>
      <w:r>
        <w:rPr>
          <w:b/>
          <w:bCs/>
          <w:szCs w:val="24"/>
        </w:rPr>
        <w:t>表</w:t>
      </w:r>
    </w:p>
    <w:tbl>
      <w:tblPr>
        <w:tblStyle w:val="110"/>
        <w:tblW w:w="9320"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316"/>
        <w:gridCol w:w="886"/>
        <w:gridCol w:w="1391"/>
        <w:gridCol w:w="1309"/>
        <w:gridCol w:w="1050"/>
        <w:gridCol w:w="818"/>
        <w:gridCol w:w="1183"/>
        <w:gridCol w:w="1175"/>
        <w:gridCol w:w="119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202" w:type="dxa"/>
            <w:gridSpan w:val="2"/>
            <w:vAlign w:val="center"/>
          </w:tcPr>
          <w:p>
            <w:pPr>
              <w:spacing w:line="240" w:lineRule="exact"/>
              <w:ind w:firstLine="0" w:firstLineChars="0"/>
              <w:jc w:val="center"/>
              <w:rPr>
                <w:b/>
                <w:bCs/>
                <w:sz w:val="21"/>
                <w:szCs w:val="21"/>
              </w:rPr>
            </w:pPr>
            <w:r>
              <w:rPr>
                <w:b/>
                <w:bCs/>
                <w:sz w:val="21"/>
                <w:szCs w:val="21"/>
              </w:rPr>
              <w:t>预测单元</w:t>
            </w:r>
          </w:p>
        </w:tc>
        <w:tc>
          <w:tcPr>
            <w:tcW w:w="1391" w:type="dxa"/>
            <w:vAlign w:val="center"/>
          </w:tcPr>
          <w:p>
            <w:pPr>
              <w:spacing w:line="240" w:lineRule="exact"/>
              <w:ind w:firstLine="0" w:firstLineChars="0"/>
              <w:jc w:val="center"/>
              <w:rPr>
                <w:b/>
                <w:bCs/>
                <w:sz w:val="21"/>
                <w:szCs w:val="21"/>
              </w:rPr>
            </w:pPr>
            <w:r>
              <w:rPr>
                <w:b/>
                <w:bCs/>
                <w:sz w:val="21"/>
                <w:szCs w:val="21"/>
              </w:rPr>
              <w:t>土壤侵蚀</w:t>
            </w:r>
          </w:p>
          <w:p>
            <w:pPr>
              <w:spacing w:line="240" w:lineRule="exact"/>
              <w:ind w:firstLine="0" w:firstLineChars="0"/>
              <w:jc w:val="center"/>
              <w:rPr>
                <w:b/>
                <w:bCs/>
                <w:sz w:val="21"/>
                <w:szCs w:val="21"/>
              </w:rPr>
            </w:pPr>
            <w:r>
              <w:rPr>
                <w:b/>
                <w:bCs/>
                <w:sz w:val="21"/>
                <w:szCs w:val="21"/>
              </w:rPr>
              <w:t>背景值（t/km</w:t>
            </w:r>
            <w:r>
              <w:rPr>
                <w:b/>
                <w:bCs/>
                <w:sz w:val="21"/>
                <w:szCs w:val="21"/>
                <w:vertAlign w:val="superscript"/>
              </w:rPr>
              <w:t>2</w:t>
            </w:r>
            <w:r>
              <w:rPr>
                <w:b/>
                <w:bCs/>
                <w:sz w:val="21"/>
                <w:szCs w:val="21"/>
              </w:rPr>
              <w:t>·a）</w:t>
            </w:r>
          </w:p>
        </w:tc>
        <w:tc>
          <w:tcPr>
            <w:tcW w:w="1309" w:type="dxa"/>
            <w:vAlign w:val="center"/>
          </w:tcPr>
          <w:p>
            <w:pPr>
              <w:spacing w:line="240" w:lineRule="exact"/>
              <w:ind w:firstLine="0" w:firstLineChars="0"/>
              <w:jc w:val="center"/>
              <w:rPr>
                <w:b/>
                <w:bCs/>
                <w:sz w:val="21"/>
                <w:szCs w:val="21"/>
              </w:rPr>
            </w:pPr>
            <w:r>
              <w:rPr>
                <w:b/>
                <w:bCs/>
                <w:sz w:val="21"/>
                <w:szCs w:val="21"/>
              </w:rPr>
              <w:t>扰动后</w:t>
            </w:r>
          </w:p>
          <w:p>
            <w:pPr>
              <w:spacing w:line="240" w:lineRule="exact"/>
              <w:ind w:firstLine="0" w:firstLineChars="0"/>
              <w:jc w:val="center"/>
              <w:rPr>
                <w:b/>
                <w:bCs/>
                <w:sz w:val="21"/>
                <w:szCs w:val="21"/>
              </w:rPr>
            </w:pPr>
            <w:r>
              <w:rPr>
                <w:b/>
                <w:bCs/>
                <w:sz w:val="21"/>
                <w:szCs w:val="21"/>
              </w:rPr>
              <w:t>侵蚀模数（t/km</w:t>
            </w:r>
            <w:r>
              <w:rPr>
                <w:b/>
                <w:bCs/>
                <w:sz w:val="21"/>
                <w:szCs w:val="21"/>
                <w:vertAlign w:val="superscript"/>
              </w:rPr>
              <w:t>2</w:t>
            </w:r>
            <w:r>
              <w:rPr>
                <w:b/>
                <w:bCs/>
                <w:sz w:val="21"/>
                <w:szCs w:val="21"/>
              </w:rPr>
              <w:t>·a）</w:t>
            </w:r>
          </w:p>
        </w:tc>
        <w:tc>
          <w:tcPr>
            <w:tcW w:w="1050" w:type="dxa"/>
            <w:vAlign w:val="center"/>
          </w:tcPr>
          <w:p>
            <w:pPr>
              <w:spacing w:line="240" w:lineRule="exact"/>
              <w:ind w:firstLine="0" w:firstLineChars="0"/>
              <w:jc w:val="center"/>
              <w:rPr>
                <w:b/>
                <w:bCs/>
                <w:sz w:val="21"/>
                <w:szCs w:val="21"/>
              </w:rPr>
            </w:pPr>
            <w:r>
              <w:rPr>
                <w:b/>
                <w:bCs/>
                <w:sz w:val="21"/>
                <w:szCs w:val="21"/>
              </w:rPr>
              <w:t>侵蚀</w:t>
            </w:r>
          </w:p>
          <w:p>
            <w:pPr>
              <w:spacing w:line="240" w:lineRule="exact"/>
              <w:ind w:firstLine="0" w:firstLineChars="0"/>
              <w:jc w:val="center"/>
              <w:rPr>
                <w:b/>
                <w:bCs/>
                <w:sz w:val="21"/>
                <w:szCs w:val="21"/>
              </w:rPr>
            </w:pPr>
            <w:r>
              <w:rPr>
                <w:b/>
                <w:bCs/>
                <w:sz w:val="21"/>
                <w:szCs w:val="21"/>
              </w:rPr>
              <w:t>面积（hm</w:t>
            </w:r>
            <w:r>
              <w:rPr>
                <w:b/>
                <w:bCs/>
                <w:sz w:val="21"/>
                <w:szCs w:val="21"/>
                <w:vertAlign w:val="superscript"/>
              </w:rPr>
              <w:t>2</w:t>
            </w:r>
            <w:r>
              <w:rPr>
                <w:b/>
                <w:bCs/>
                <w:sz w:val="21"/>
                <w:szCs w:val="21"/>
              </w:rPr>
              <w:t>）</w:t>
            </w:r>
          </w:p>
        </w:tc>
        <w:tc>
          <w:tcPr>
            <w:tcW w:w="818" w:type="dxa"/>
            <w:vAlign w:val="center"/>
          </w:tcPr>
          <w:p>
            <w:pPr>
              <w:spacing w:line="240" w:lineRule="exact"/>
              <w:ind w:firstLine="0" w:firstLineChars="0"/>
              <w:jc w:val="center"/>
              <w:rPr>
                <w:b/>
                <w:bCs/>
                <w:sz w:val="21"/>
                <w:szCs w:val="21"/>
              </w:rPr>
            </w:pPr>
            <w:r>
              <w:rPr>
                <w:b/>
                <w:bCs/>
                <w:sz w:val="21"/>
                <w:szCs w:val="21"/>
              </w:rPr>
              <w:t>侵蚀</w:t>
            </w:r>
          </w:p>
          <w:p>
            <w:pPr>
              <w:spacing w:line="240" w:lineRule="exact"/>
              <w:ind w:firstLine="0" w:firstLineChars="0"/>
              <w:jc w:val="center"/>
              <w:rPr>
                <w:b/>
                <w:bCs/>
                <w:sz w:val="21"/>
                <w:szCs w:val="21"/>
              </w:rPr>
            </w:pPr>
            <w:r>
              <w:rPr>
                <w:b/>
                <w:bCs/>
                <w:sz w:val="21"/>
                <w:szCs w:val="21"/>
              </w:rPr>
              <w:t>时段（a）</w:t>
            </w:r>
          </w:p>
        </w:tc>
        <w:tc>
          <w:tcPr>
            <w:tcW w:w="1183" w:type="dxa"/>
            <w:vAlign w:val="center"/>
          </w:tcPr>
          <w:p>
            <w:pPr>
              <w:spacing w:line="240" w:lineRule="exact"/>
              <w:ind w:firstLine="0" w:firstLineChars="0"/>
              <w:jc w:val="center"/>
              <w:rPr>
                <w:b/>
                <w:bCs/>
                <w:sz w:val="21"/>
                <w:szCs w:val="21"/>
              </w:rPr>
            </w:pPr>
            <w:r>
              <w:rPr>
                <w:b/>
                <w:bCs/>
                <w:sz w:val="21"/>
                <w:szCs w:val="21"/>
              </w:rPr>
              <w:t>背景</w:t>
            </w:r>
          </w:p>
          <w:p>
            <w:pPr>
              <w:spacing w:line="240" w:lineRule="exact"/>
              <w:ind w:firstLine="0" w:firstLineChars="0"/>
              <w:jc w:val="center"/>
              <w:rPr>
                <w:b/>
                <w:bCs/>
                <w:sz w:val="21"/>
                <w:szCs w:val="21"/>
              </w:rPr>
            </w:pPr>
            <w:r>
              <w:rPr>
                <w:b/>
                <w:bCs/>
                <w:sz w:val="21"/>
                <w:szCs w:val="21"/>
              </w:rPr>
              <w:t>流失量（t）</w:t>
            </w:r>
          </w:p>
        </w:tc>
        <w:tc>
          <w:tcPr>
            <w:tcW w:w="1175" w:type="dxa"/>
            <w:vAlign w:val="center"/>
          </w:tcPr>
          <w:p>
            <w:pPr>
              <w:spacing w:line="240" w:lineRule="exact"/>
              <w:ind w:firstLine="0" w:firstLineChars="0"/>
              <w:jc w:val="center"/>
              <w:rPr>
                <w:b/>
                <w:bCs/>
                <w:sz w:val="21"/>
                <w:szCs w:val="21"/>
              </w:rPr>
            </w:pPr>
            <w:r>
              <w:rPr>
                <w:b/>
                <w:bCs/>
                <w:sz w:val="21"/>
                <w:szCs w:val="21"/>
              </w:rPr>
              <w:t>预测</w:t>
            </w:r>
          </w:p>
          <w:p>
            <w:pPr>
              <w:spacing w:line="240" w:lineRule="exact"/>
              <w:ind w:firstLine="0" w:firstLineChars="0"/>
              <w:jc w:val="center"/>
              <w:rPr>
                <w:b/>
                <w:bCs/>
                <w:sz w:val="21"/>
                <w:szCs w:val="21"/>
              </w:rPr>
            </w:pPr>
            <w:r>
              <w:rPr>
                <w:b/>
                <w:bCs/>
                <w:sz w:val="21"/>
                <w:szCs w:val="21"/>
              </w:rPr>
              <w:t>流失量（t）</w:t>
            </w:r>
          </w:p>
        </w:tc>
        <w:tc>
          <w:tcPr>
            <w:tcW w:w="1187" w:type="dxa"/>
            <w:vAlign w:val="center"/>
          </w:tcPr>
          <w:p>
            <w:pPr>
              <w:spacing w:line="240" w:lineRule="exact"/>
              <w:ind w:firstLine="0" w:firstLineChars="0"/>
              <w:jc w:val="center"/>
              <w:rPr>
                <w:b/>
                <w:bCs/>
                <w:sz w:val="21"/>
                <w:szCs w:val="21"/>
              </w:rPr>
            </w:pPr>
            <w:r>
              <w:rPr>
                <w:b/>
                <w:bCs/>
                <w:sz w:val="21"/>
                <w:szCs w:val="21"/>
              </w:rPr>
              <w:t>新增</w:t>
            </w:r>
          </w:p>
          <w:p>
            <w:pPr>
              <w:spacing w:line="240" w:lineRule="exact"/>
              <w:ind w:firstLine="0" w:firstLineChars="0"/>
              <w:jc w:val="center"/>
              <w:rPr>
                <w:b/>
                <w:bCs/>
                <w:sz w:val="21"/>
                <w:szCs w:val="21"/>
              </w:rPr>
            </w:pPr>
            <w:r>
              <w:rPr>
                <w:b/>
                <w:bCs/>
                <w:sz w:val="21"/>
                <w:szCs w:val="21"/>
              </w:rPr>
              <w:t>流失量（t）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9" w:hRule="atLeast"/>
        </w:trPr>
        <w:tc>
          <w:tcPr>
            <w:tcW w:w="316" w:type="dxa"/>
            <w:vMerge w:val="restart"/>
            <w:vAlign w:val="center"/>
          </w:tcPr>
          <w:p>
            <w:pPr>
              <w:spacing w:line="240" w:lineRule="auto"/>
              <w:ind w:firstLine="0" w:firstLineChars="0"/>
              <w:jc w:val="center"/>
              <w:rPr>
                <w:sz w:val="21"/>
                <w:szCs w:val="21"/>
              </w:rPr>
            </w:pPr>
            <w:r>
              <w:rPr>
                <w:sz w:val="21"/>
                <w:szCs w:val="21"/>
              </w:rPr>
              <w:t>近期建设区</w:t>
            </w:r>
          </w:p>
        </w:tc>
        <w:tc>
          <w:tcPr>
            <w:tcW w:w="886" w:type="dxa"/>
            <w:vAlign w:val="center"/>
          </w:tcPr>
          <w:p>
            <w:pPr>
              <w:tabs>
                <w:tab w:val="left" w:pos="1050"/>
              </w:tabs>
              <w:spacing w:line="240" w:lineRule="auto"/>
              <w:ind w:firstLine="0" w:firstLineChars="0"/>
              <w:jc w:val="center"/>
              <w:rPr>
                <w:sz w:val="21"/>
                <w:szCs w:val="21"/>
              </w:rPr>
            </w:pPr>
            <w:r>
              <w:rPr>
                <w:sz w:val="21"/>
                <w:szCs w:val="21"/>
              </w:rPr>
              <w:t>工业用地</w:t>
            </w:r>
          </w:p>
        </w:tc>
        <w:tc>
          <w:tcPr>
            <w:tcW w:w="1391" w:type="dxa"/>
            <w:vAlign w:val="center"/>
          </w:tcPr>
          <w:p>
            <w:pPr>
              <w:spacing w:line="240" w:lineRule="auto"/>
              <w:ind w:firstLine="0" w:firstLineChars="0"/>
              <w:jc w:val="center"/>
              <w:rPr>
                <w:sz w:val="21"/>
                <w:szCs w:val="21"/>
              </w:rPr>
            </w:pPr>
            <w:r>
              <w:rPr>
                <w:sz w:val="21"/>
                <w:szCs w:val="21"/>
              </w:rPr>
              <w:t>1252.35</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38.71</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970</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1047</w:t>
            </w:r>
          </w:p>
        </w:tc>
        <w:tc>
          <w:tcPr>
            <w:tcW w:w="1192" w:type="dxa"/>
            <w:vAlign w:val="center"/>
          </w:tcPr>
          <w:p>
            <w:pPr>
              <w:adjustRightInd w:val="0"/>
              <w:snapToGrid w:val="0"/>
              <w:spacing w:line="240" w:lineRule="auto"/>
              <w:ind w:firstLine="0" w:firstLineChars="0"/>
              <w:jc w:val="center"/>
              <w:rPr>
                <w:sz w:val="21"/>
                <w:szCs w:val="21"/>
              </w:rPr>
            </w:pPr>
            <w:r>
              <w:rPr>
                <w:rFonts w:hint="eastAsia"/>
                <w:sz w:val="21"/>
                <w:szCs w:val="21"/>
              </w:rPr>
              <w:t>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3" w:hRule="atLeast"/>
        </w:trPr>
        <w:tc>
          <w:tcPr>
            <w:tcW w:w="316" w:type="dxa"/>
            <w:vMerge w:val="continue"/>
            <w:vAlign w:val="center"/>
          </w:tcPr>
          <w:p>
            <w:pPr>
              <w:spacing w:line="240" w:lineRule="auto"/>
              <w:ind w:firstLine="0" w:firstLineChars="0"/>
              <w:jc w:val="center"/>
              <w:rPr>
                <w:sz w:val="21"/>
                <w:szCs w:val="21"/>
              </w:rPr>
            </w:pPr>
          </w:p>
        </w:tc>
        <w:tc>
          <w:tcPr>
            <w:tcW w:w="886" w:type="dxa"/>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1391" w:type="dxa"/>
            <w:vAlign w:val="center"/>
          </w:tcPr>
          <w:p>
            <w:pPr>
              <w:spacing w:line="240" w:lineRule="auto"/>
              <w:ind w:firstLine="0" w:firstLineChars="0"/>
              <w:jc w:val="center"/>
              <w:rPr>
                <w:sz w:val="21"/>
                <w:szCs w:val="21"/>
              </w:rPr>
            </w:pPr>
            <w:r>
              <w:rPr>
                <w:sz w:val="21"/>
                <w:szCs w:val="21"/>
              </w:rPr>
              <w:t>895.94</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4.74</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85</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128</w:t>
            </w:r>
          </w:p>
        </w:tc>
        <w:tc>
          <w:tcPr>
            <w:tcW w:w="1192" w:type="dxa"/>
            <w:vAlign w:val="center"/>
          </w:tcPr>
          <w:p>
            <w:pPr>
              <w:adjustRightInd w:val="0"/>
              <w:snapToGrid w:val="0"/>
              <w:spacing w:line="240" w:lineRule="auto"/>
              <w:ind w:firstLine="0" w:firstLineChars="0"/>
              <w:jc w:val="center"/>
              <w:rPr>
                <w:sz w:val="21"/>
                <w:szCs w:val="21"/>
              </w:rPr>
            </w:pPr>
            <w:r>
              <w:rPr>
                <w:rFonts w:hint="eastAsia"/>
                <w:sz w:val="21"/>
                <w:szCs w:val="21"/>
              </w:rPr>
              <w:t>43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1" w:hRule="atLeast"/>
        </w:trPr>
        <w:tc>
          <w:tcPr>
            <w:tcW w:w="316" w:type="dxa"/>
            <w:vMerge w:val="continue"/>
            <w:vAlign w:val="center"/>
          </w:tcPr>
          <w:p>
            <w:pPr>
              <w:spacing w:line="240" w:lineRule="auto"/>
              <w:ind w:firstLine="0" w:firstLineChars="0"/>
              <w:jc w:val="center"/>
              <w:rPr>
                <w:sz w:val="21"/>
                <w:szCs w:val="21"/>
              </w:rPr>
            </w:pPr>
          </w:p>
        </w:tc>
        <w:tc>
          <w:tcPr>
            <w:tcW w:w="886" w:type="dxa"/>
            <w:vAlign w:val="center"/>
          </w:tcPr>
          <w:p>
            <w:pPr>
              <w:tabs>
                <w:tab w:val="left" w:pos="1050"/>
              </w:tabs>
              <w:spacing w:line="240" w:lineRule="auto"/>
              <w:ind w:firstLine="0" w:firstLineChars="0"/>
              <w:jc w:val="center"/>
              <w:rPr>
                <w:sz w:val="21"/>
                <w:szCs w:val="21"/>
              </w:rPr>
            </w:pPr>
            <w:r>
              <w:rPr>
                <w:sz w:val="21"/>
                <w:szCs w:val="21"/>
              </w:rPr>
              <w:t>公用设施用地</w:t>
            </w:r>
          </w:p>
        </w:tc>
        <w:tc>
          <w:tcPr>
            <w:tcW w:w="1391" w:type="dxa"/>
            <w:vAlign w:val="center"/>
          </w:tcPr>
          <w:p>
            <w:pPr>
              <w:spacing w:line="240" w:lineRule="auto"/>
              <w:ind w:firstLine="0" w:firstLineChars="0"/>
              <w:jc w:val="center"/>
              <w:rPr>
                <w:sz w:val="21"/>
                <w:szCs w:val="21"/>
              </w:rPr>
            </w:pPr>
            <w:r>
              <w:rPr>
                <w:sz w:val="21"/>
                <w:szCs w:val="21"/>
              </w:rPr>
              <w:t>920.21</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4.89</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90</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132</w:t>
            </w:r>
          </w:p>
        </w:tc>
        <w:tc>
          <w:tcPr>
            <w:tcW w:w="1192" w:type="dxa"/>
            <w:vAlign w:val="center"/>
          </w:tcPr>
          <w:p>
            <w:pPr>
              <w:adjustRightInd w:val="0"/>
              <w:snapToGrid w:val="0"/>
              <w:spacing w:line="240" w:lineRule="auto"/>
              <w:ind w:firstLine="0" w:firstLineChars="0"/>
              <w:jc w:val="center"/>
              <w:rPr>
                <w:sz w:val="21"/>
                <w:szCs w:val="21"/>
              </w:rPr>
            </w:pPr>
            <w:r>
              <w:rPr>
                <w:rFonts w:hint="eastAsia"/>
                <w:sz w:val="21"/>
                <w:szCs w:val="21"/>
              </w:rPr>
              <w:t>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12" w:hRule="atLeast"/>
        </w:trPr>
        <w:tc>
          <w:tcPr>
            <w:tcW w:w="316" w:type="dxa"/>
            <w:vMerge w:val="continue"/>
            <w:vAlign w:val="center"/>
          </w:tcPr>
          <w:p>
            <w:pPr>
              <w:spacing w:line="240" w:lineRule="auto"/>
              <w:ind w:firstLine="0" w:firstLineChars="0"/>
              <w:jc w:val="center"/>
              <w:rPr>
                <w:sz w:val="21"/>
                <w:szCs w:val="21"/>
              </w:rPr>
            </w:pPr>
          </w:p>
        </w:tc>
        <w:tc>
          <w:tcPr>
            <w:tcW w:w="886" w:type="dxa"/>
            <w:vAlign w:val="center"/>
          </w:tcPr>
          <w:p>
            <w:pPr>
              <w:tabs>
                <w:tab w:val="left" w:pos="1050"/>
              </w:tabs>
              <w:spacing w:line="240" w:lineRule="auto"/>
              <w:ind w:firstLine="0" w:firstLineChars="0"/>
              <w:jc w:val="center"/>
              <w:rPr>
                <w:sz w:val="21"/>
                <w:szCs w:val="21"/>
              </w:rPr>
            </w:pPr>
            <w:r>
              <w:rPr>
                <w:sz w:val="21"/>
                <w:szCs w:val="21"/>
              </w:rPr>
              <w:t>绿地与广场用地</w:t>
            </w:r>
          </w:p>
        </w:tc>
        <w:tc>
          <w:tcPr>
            <w:tcW w:w="1391" w:type="dxa"/>
            <w:vAlign w:val="center"/>
          </w:tcPr>
          <w:p>
            <w:pPr>
              <w:spacing w:line="240" w:lineRule="auto"/>
              <w:ind w:firstLine="0" w:firstLineChars="0"/>
              <w:jc w:val="center"/>
              <w:rPr>
                <w:sz w:val="21"/>
                <w:szCs w:val="21"/>
              </w:rPr>
            </w:pPr>
            <w:r>
              <w:rPr>
                <w:sz w:val="21"/>
                <w:szCs w:val="21"/>
              </w:rPr>
              <w:t>1044.18</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22.77</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476</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616</w:t>
            </w:r>
          </w:p>
        </w:tc>
        <w:tc>
          <w:tcPr>
            <w:tcW w:w="1192" w:type="dxa"/>
            <w:vAlign w:val="center"/>
          </w:tcPr>
          <w:p>
            <w:pPr>
              <w:adjustRightInd w:val="0"/>
              <w:snapToGrid w:val="0"/>
              <w:spacing w:line="240" w:lineRule="auto"/>
              <w:ind w:firstLine="0" w:firstLineChars="0"/>
              <w:jc w:val="center"/>
              <w:rPr>
                <w:sz w:val="21"/>
                <w:szCs w:val="21"/>
              </w:rPr>
            </w:pPr>
            <w:r>
              <w:rPr>
                <w:rFonts w:hint="eastAsia"/>
                <w:sz w:val="21"/>
                <w:szCs w:val="21"/>
              </w:rPr>
              <w:t>140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16" w:type="dxa"/>
            <w:vMerge w:val="continue"/>
            <w:vAlign w:val="center"/>
          </w:tcPr>
          <w:p>
            <w:pPr>
              <w:spacing w:line="240" w:lineRule="auto"/>
              <w:ind w:firstLine="0" w:firstLineChars="0"/>
              <w:jc w:val="center"/>
              <w:rPr>
                <w:sz w:val="21"/>
                <w:szCs w:val="21"/>
              </w:rPr>
            </w:pPr>
          </w:p>
        </w:tc>
        <w:tc>
          <w:tcPr>
            <w:tcW w:w="3586" w:type="dxa"/>
            <w:gridSpan w:val="3"/>
            <w:vAlign w:val="center"/>
          </w:tcPr>
          <w:p>
            <w:pPr>
              <w:spacing w:line="240" w:lineRule="auto"/>
              <w:ind w:firstLine="0" w:firstLineChars="0"/>
              <w:jc w:val="center"/>
              <w:rPr>
                <w:sz w:val="21"/>
                <w:szCs w:val="21"/>
              </w:rPr>
            </w:pPr>
            <w:r>
              <w:rPr>
                <w:b/>
                <w:bCs/>
                <w:sz w:val="21"/>
                <w:szCs w:val="21"/>
              </w:rPr>
              <w:t>小计</w:t>
            </w:r>
          </w:p>
        </w:tc>
        <w:tc>
          <w:tcPr>
            <w:tcW w:w="1050" w:type="dxa"/>
            <w:vAlign w:val="center"/>
          </w:tcPr>
          <w:p>
            <w:pPr>
              <w:adjustRightInd w:val="0"/>
              <w:snapToGrid w:val="0"/>
              <w:spacing w:line="240" w:lineRule="auto"/>
              <w:ind w:firstLine="0" w:firstLineChars="0"/>
              <w:jc w:val="center"/>
              <w:rPr>
                <w:sz w:val="21"/>
                <w:szCs w:val="21"/>
              </w:rPr>
            </w:pPr>
            <w:r>
              <w:rPr>
                <w:b/>
                <w:bCs/>
                <w:sz w:val="21"/>
                <w:szCs w:val="21"/>
              </w:rPr>
              <w:t>71.11</w:t>
            </w:r>
          </w:p>
        </w:tc>
        <w:tc>
          <w:tcPr>
            <w:tcW w:w="818" w:type="dxa"/>
            <w:vAlign w:val="center"/>
          </w:tcPr>
          <w:p>
            <w:pPr>
              <w:adjustRightInd w:val="0"/>
              <w:snapToGrid w:val="0"/>
              <w:spacing w:line="240" w:lineRule="auto"/>
              <w:ind w:firstLine="0" w:firstLineChars="0"/>
              <w:jc w:val="center"/>
              <w:rPr>
                <w:sz w:val="21"/>
                <w:szCs w:val="21"/>
              </w:rPr>
            </w:pPr>
          </w:p>
        </w:tc>
        <w:tc>
          <w:tcPr>
            <w:tcW w:w="1183"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1621</w:t>
            </w:r>
          </w:p>
        </w:tc>
        <w:tc>
          <w:tcPr>
            <w:tcW w:w="1175"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1923</w:t>
            </w:r>
          </w:p>
        </w:tc>
        <w:tc>
          <w:tcPr>
            <w:tcW w:w="1192"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302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7" w:hRule="atLeast"/>
        </w:trPr>
        <w:tc>
          <w:tcPr>
            <w:tcW w:w="316" w:type="dxa"/>
            <w:vMerge w:val="restart"/>
            <w:vAlign w:val="center"/>
          </w:tcPr>
          <w:p>
            <w:pPr>
              <w:pStyle w:val="53"/>
              <w:jc w:val="center"/>
              <w:rPr>
                <w:rFonts w:eastAsia="仿宋_GB2312"/>
              </w:rPr>
            </w:pPr>
            <w:r>
              <w:rPr>
                <w:rFonts w:eastAsia="仿宋_GB2312"/>
              </w:rPr>
              <w:t>远期建设区</w:t>
            </w:r>
          </w:p>
        </w:tc>
        <w:tc>
          <w:tcPr>
            <w:tcW w:w="886" w:type="dxa"/>
            <w:vAlign w:val="center"/>
          </w:tcPr>
          <w:p>
            <w:pPr>
              <w:tabs>
                <w:tab w:val="left" w:pos="1050"/>
              </w:tabs>
              <w:spacing w:line="240" w:lineRule="auto"/>
              <w:ind w:firstLine="0" w:firstLineChars="0"/>
              <w:jc w:val="center"/>
              <w:rPr>
                <w:sz w:val="21"/>
                <w:szCs w:val="21"/>
              </w:rPr>
            </w:pPr>
            <w:r>
              <w:rPr>
                <w:sz w:val="21"/>
                <w:szCs w:val="21"/>
              </w:rPr>
              <w:t>工业用地</w:t>
            </w:r>
          </w:p>
        </w:tc>
        <w:tc>
          <w:tcPr>
            <w:tcW w:w="1391" w:type="dxa"/>
            <w:vAlign w:val="center"/>
          </w:tcPr>
          <w:p>
            <w:pPr>
              <w:spacing w:line="240" w:lineRule="auto"/>
              <w:ind w:firstLine="0" w:firstLineChars="0"/>
              <w:jc w:val="center"/>
              <w:rPr>
                <w:sz w:val="21"/>
                <w:szCs w:val="21"/>
              </w:rPr>
            </w:pPr>
            <w:r>
              <w:rPr>
                <w:sz w:val="21"/>
                <w:szCs w:val="21"/>
              </w:rPr>
              <w:t>1252.35</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57.47</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1439</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1555</w:t>
            </w:r>
          </w:p>
        </w:tc>
        <w:tc>
          <w:tcPr>
            <w:tcW w:w="1187" w:type="dxa"/>
            <w:vAlign w:val="center"/>
          </w:tcPr>
          <w:p>
            <w:pPr>
              <w:adjustRightInd w:val="0"/>
              <w:snapToGrid w:val="0"/>
              <w:spacing w:line="240" w:lineRule="auto"/>
              <w:ind w:firstLine="0" w:firstLineChars="0"/>
              <w:jc w:val="center"/>
              <w:rPr>
                <w:sz w:val="21"/>
                <w:szCs w:val="21"/>
              </w:rPr>
            </w:pPr>
            <w:r>
              <w:rPr>
                <w:rFonts w:hint="eastAsia"/>
                <w:sz w:val="21"/>
                <w:szCs w:val="21"/>
              </w:rPr>
              <w:t>116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5" w:hRule="atLeast"/>
        </w:trPr>
        <w:tc>
          <w:tcPr>
            <w:tcW w:w="316" w:type="dxa"/>
            <w:vMerge w:val="continue"/>
            <w:vAlign w:val="center"/>
          </w:tcPr>
          <w:p>
            <w:pPr>
              <w:spacing w:line="240" w:lineRule="auto"/>
              <w:ind w:firstLine="0" w:firstLineChars="0"/>
              <w:jc w:val="center"/>
              <w:rPr>
                <w:sz w:val="21"/>
                <w:szCs w:val="21"/>
              </w:rPr>
            </w:pPr>
          </w:p>
        </w:tc>
        <w:tc>
          <w:tcPr>
            <w:tcW w:w="886" w:type="dxa"/>
            <w:vAlign w:val="center"/>
          </w:tcPr>
          <w:p>
            <w:pPr>
              <w:tabs>
                <w:tab w:val="left" w:pos="1050"/>
              </w:tabs>
              <w:spacing w:line="240" w:lineRule="auto"/>
              <w:ind w:firstLine="0" w:firstLineChars="0"/>
              <w:jc w:val="center"/>
              <w:rPr>
                <w:sz w:val="21"/>
                <w:szCs w:val="21"/>
              </w:rPr>
            </w:pPr>
            <w:r>
              <w:rPr>
                <w:sz w:val="21"/>
                <w:szCs w:val="21"/>
              </w:rPr>
              <w:t>道路与交通设施用地</w:t>
            </w:r>
          </w:p>
        </w:tc>
        <w:tc>
          <w:tcPr>
            <w:tcW w:w="1391" w:type="dxa"/>
            <w:vAlign w:val="center"/>
          </w:tcPr>
          <w:p>
            <w:pPr>
              <w:spacing w:line="240" w:lineRule="auto"/>
              <w:ind w:firstLine="0" w:firstLineChars="0"/>
              <w:jc w:val="center"/>
              <w:rPr>
                <w:sz w:val="21"/>
                <w:szCs w:val="21"/>
              </w:rPr>
            </w:pPr>
            <w:r>
              <w:rPr>
                <w:sz w:val="21"/>
                <w:szCs w:val="21"/>
              </w:rPr>
              <w:t>895.94</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0.14</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3</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4</w:t>
            </w:r>
          </w:p>
        </w:tc>
        <w:tc>
          <w:tcPr>
            <w:tcW w:w="1187" w:type="dxa"/>
            <w:vAlign w:val="center"/>
          </w:tcPr>
          <w:p>
            <w:pPr>
              <w:adjustRightInd w:val="0"/>
              <w:snapToGrid w:val="0"/>
              <w:spacing w:line="240" w:lineRule="auto"/>
              <w:ind w:firstLine="0" w:firstLineChars="0"/>
              <w:jc w:val="center"/>
              <w:rPr>
                <w:sz w:val="21"/>
                <w:szCs w:val="21"/>
              </w:rPr>
            </w:pPr>
            <w:r>
              <w:rPr>
                <w:rFonts w:hint="eastAsia"/>
                <w:sz w:val="21"/>
                <w:szCs w:val="21"/>
              </w:rPr>
              <w:t>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9" w:hRule="atLeast"/>
        </w:trPr>
        <w:tc>
          <w:tcPr>
            <w:tcW w:w="316" w:type="dxa"/>
            <w:vMerge w:val="continue"/>
            <w:vAlign w:val="center"/>
          </w:tcPr>
          <w:p>
            <w:pPr>
              <w:spacing w:line="240" w:lineRule="auto"/>
              <w:ind w:firstLine="0" w:firstLineChars="0"/>
              <w:jc w:val="center"/>
              <w:rPr>
                <w:sz w:val="21"/>
                <w:szCs w:val="21"/>
              </w:rPr>
            </w:pPr>
          </w:p>
        </w:tc>
        <w:tc>
          <w:tcPr>
            <w:tcW w:w="886" w:type="dxa"/>
            <w:vAlign w:val="center"/>
          </w:tcPr>
          <w:p>
            <w:pPr>
              <w:spacing w:line="240" w:lineRule="auto"/>
              <w:ind w:firstLine="0" w:firstLineChars="0"/>
              <w:jc w:val="center"/>
              <w:rPr>
                <w:sz w:val="21"/>
                <w:szCs w:val="21"/>
              </w:rPr>
            </w:pPr>
            <w:r>
              <w:rPr>
                <w:sz w:val="21"/>
                <w:szCs w:val="21"/>
              </w:rPr>
              <w:t>绿地与广场用地</w:t>
            </w:r>
          </w:p>
        </w:tc>
        <w:tc>
          <w:tcPr>
            <w:tcW w:w="1391" w:type="dxa"/>
            <w:vAlign w:val="center"/>
          </w:tcPr>
          <w:p>
            <w:pPr>
              <w:spacing w:line="240" w:lineRule="auto"/>
              <w:ind w:firstLine="0" w:firstLineChars="0"/>
              <w:jc w:val="center"/>
              <w:rPr>
                <w:sz w:val="21"/>
                <w:szCs w:val="21"/>
              </w:rPr>
            </w:pPr>
            <w:r>
              <w:rPr>
                <w:sz w:val="21"/>
                <w:szCs w:val="21"/>
              </w:rPr>
              <w:t>1044.18</w:t>
            </w:r>
          </w:p>
        </w:tc>
        <w:tc>
          <w:tcPr>
            <w:tcW w:w="1309" w:type="dxa"/>
            <w:vAlign w:val="center"/>
          </w:tcPr>
          <w:p>
            <w:pPr>
              <w:spacing w:line="240" w:lineRule="auto"/>
              <w:ind w:firstLine="0" w:firstLineChars="0"/>
              <w:jc w:val="center"/>
              <w:rPr>
                <w:sz w:val="21"/>
                <w:szCs w:val="21"/>
              </w:rPr>
            </w:pPr>
            <w:r>
              <w:rPr>
                <w:sz w:val="21"/>
                <w:szCs w:val="21"/>
              </w:rPr>
              <w:t>1353</w:t>
            </w:r>
          </w:p>
        </w:tc>
        <w:tc>
          <w:tcPr>
            <w:tcW w:w="1050" w:type="dxa"/>
            <w:vAlign w:val="center"/>
          </w:tcPr>
          <w:p>
            <w:pPr>
              <w:adjustRightInd w:val="0"/>
              <w:snapToGrid w:val="0"/>
              <w:spacing w:line="240" w:lineRule="auto"/>
              <w:ind w:firstLine="0" w:firstLineChars="0"/>
              <w:jc w:val="center"/>
              <w:rPr>
                <w:sz w:val="21"/>
                <w:szCs w:val="21"/>
              </w:rPr>
            </w:pPr>
            <w:r>
              <w:rPr>
                <w:sz w:val="21"/>
                <w:szCs w:val="21"/>
              </w:rPr>
              <w:t>13.88</w:t>
            </w:r>
          </w:p>
        </w:tc>
        <w:tc>
          <w:tcPr>
            <w:tcW w:w="818" w:type="dxa"/>
            <w:vAlign w:val="center"/>
          </w:tcPr>
          <w:p>
            <w:pPr>
              <w:adjustRightInd w:val="0"/>
              <w:snapToGrid w:val="0"/>
              <w:spacing w:line="240" w:lineRule="auto"/>
              <w:ind w:firstLine="0" w:firstLineChars="0"/>
              <w:jc w:val="center"/>
              <w:rPr>
                <w:sz w:val="21"/>
                <w:szCs w:val="21"/>
              </w:rPr>
            </w:pPr>
            <w:r>
              <w:rPr>
                <w:sz w:val="21"/>
                <w:szCs w:val="21"/>
              </w:rPr>
              <w:t>2.0</w:t>
            </w:r>
          </w:p>
        </w:tc>
        <w:tc>
          <w:tcPr>
            <w:tcW w:w="1183" w:type="dxa"/>
            <w:vAlign w:val="center"/>
          </w:tcPr>
          <w:p>
            <w:pPr>
              <w:adjustRightInd w:val="0"/>
              <w:snapToGrid w:val="0"/>
              <w:spacing w:line="240" w:lineRule="auto"/>
              <w:ind w:firstLine="0" w:firstLineChars="0"/>
              <w:jc w:val="center"/>
              <w:rPr>
                <w:sz w:val="21"/>
                <w:szCs w:val="21"/>
              </w:rPr>
            </w:pPr>
            <w:r>
              <w:rPr>
                <w:rFonts w:hint="eastAsia"/>
                <w:sz w:val="21"/>
                <w:szCs w:val="21"/>
              </w:rPr>
              <w:t>290</w:t>
            </w:r>
          </w:p>
        </w:tc>
        <w:tc>
          <w:tcPr>
            <w:tcW w:w="1175" w:type="dxa"/>
            <w:vAlign w:val="center"/>
          </w:tcPr>
          <w:p>
            <w:pPr>
              <w:adjustRightInd w:val="0"/>
              <w:snapToGrid w:val="0"/>
              <w:spacing w:line="240" w:lineRule="auto"/>
              <w:ind w:firstLine="0" w:firstLineChars="0"/>
              <w:jc w:val="center"/>
              <w:rPr>
                <w:sz w:val="21"/>
                <w:szCs w:val="21"/>
              </w:rPr>
            </w:pPr>
            <w:r>
              <w:rPr>
                <w:rFonts w:hint="eastAsia"/>
                <w:sz w:val="21"/>
                <w:szCs w:val="21"/>
              </w:rPr>
              <w:t>376</w:t>
            </w:r>
          </w:p>
        </w:tc>
        <w:tc>
          <w:tcPr>
            <w:tcW w:w="1187" w:type="dxa"/>
            <w:vAlign w:val="center"/>
          </w:tcPr>
          <w:p>
            <w:pPr>
              <w:adjustRightInd w:val="0"/>
              <w:snapToGrid w:val="0"/>
              <w:spacing w:line="240" w:lineRule="auto"/>
              <w:ind w:firstLine="0" w:firstLineChars="0"/>
              <w:jc w:val="center"/>
              <w:rPr>
                <w:sz w:val="21"/>
                <w:szCs w:val="21"/>
              </w:rPr>
            </w:pPr>
            <w:r>
              <w:rPr>
                <w:rFonts w:hint="eastAsia"/>
                <w:sz w:val="21"/>
                <w:szCs w:val="21"/>
              </w:rPr>
              <w:t>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2" w:hRule="atLeast"/>
        </w:trPr>
        <w:tc>
          <w:tcPr>
            <w:tcW w:w="316" w:type="dxa"/>
            <w:vMerge w:val="continue"/>
            <w:vAlign w:val="center"/>
          </w:tcPr>
          <w:p>
            <w:pPr>
              <w:spacing w:line="240" w:lineRule="auto"/>
              <w:ind w:firstLine="0" w:firstLineChars="0"/>
              <w:jc w:val="center"/>
              <w:rPr>
                <w:sz w:val="21"/>
                <w:szCs w:val="21"/>
              </w:rPr>
            </w:pPr>
          </w:p>
        </w:tc>
        <w:tc>
          <w:tcPr>
            <w:tcW w:w="3586" w:type="dxa"/>
            <w:gridSpan w:val="3"/>
            <w:vAlign w:val="center"/>
          </w:tcPr>
          <w:p>
            <w:pPr>
              <w:spacing w:line="240" w:lineRule="auto"/>
              <w:ind w:firstLine="0" w:firstLineChars="0"/>
              <w:jc w:val="center"/>
              <w:rPr>
                <w:b/>
                <w:bCs/>
                <w:sz w:val="21"/>
                <w:szCs w:val="21"/>
              </w:rPr>
            </w:pPr>
            <w:r>
              <w:rPr>
                <w:b/>
                <w:bCs/>
                <w:sz w:val="21"/>
                <w:szCs w:val="21"/>
              </w:rPr>
              <w:t>小计</w:t>
            </w:r>
          </w:p>
        </w:tc>
        <w:tc>
          <w:tcPr>
            <w:tcW w:w="1050" w:type="dxa"/>
            <w:vAlign w:val="center"/>
          </w:tcPr>
          <w:p>
            <w:pPr>
              <w:spacing w:line="240" w:lineRule="auto"/>
              <w:ind w:firstLine="0" w:firstLineChars="0"/>
              <w:jc w:val="center"/>
              <w:rPr>
                <w:b/>
                <w:bCs/>
                <w:sz w:val="21"/>
                <w:szCs w:val="21"/>
              </w:rPr>
            </w:pPr>
            <w:r>
              <w:rPr>
                <w:b/>
                <w:bCs/>
                <w:sz w:val="21"/>
                <w:szCs w:val="21"/>
              </w:rPr>
              <w:t>71.49</w:t>
            </w:r>
          </w:p>
        </w:tc>
        <w:tc>
          <w:tcPr>
            <w:tcW w:w="818" w:type="dxa"/>
            <w:vAlign w:val="center"/>
          </w:tcPr>
          <w:p>
            <w:pPr>
              <w:spacing w:line="240" w:lineRule="auto"/>
              <w:ind w:firstLine="0" w:firstLineChars="0"/>
              <w:jc w:val="center"/>
              <w:rPr>
                <w:b/>
                <w:bCs/>
                <w:sz w:val="21"/>
                <w:szCs w:val="21"/>
              </w:rPr>
            </w:pPr>
          </w:p>
        </w:tc>
        <w:tc>
          <w:tcPr>
            <w:tcW w:w="1183"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1732</w:t>
            </w:r>
          </w:p>
        </w:tc>
        <w:tc>
          <w:tcPr>
            <w:tcW w:w="1175"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1935</w:t>
            </w:r>
          </w:p>
        </w:tc>
        <w:tc>
          <w:tcPr>
            <w:tcW w:w="1187"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203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1" w:hRule="atLeast"/>
        </w:trPr>
        <w:tc>
          <w:tcPr>
            <w:tcW w:w="3902" w:type="dxa"/>
            <w:gridSpan w:val="4"/>
            <w:vAlign w:val="center"/>
          </w:tcPr>
          <w:p>
            <w:pPr>
              <w:spacing w:line="240" w:lineRule="exact"/>
              <w:ind w:firstLine="0" w:firstLineChars="0"/>
              <w:jc w:val="center"/>
              <w:rPr>
                <w:b/>
                <w:bCs/>
                <w:sz w:val="21"/>
                <w:szCs w:val="21"/>
              </w:rPr>
            </w:pPr>
            <w:r>
              <w:rPr>
                <w:b/>
                <w:bCs/>
                <w:sz w:val="21"/>
                <w:szCs w:val="21"/>
              </w:rPr>
              <w:t>合计</w:t>
            </w:r>
          </w:p>
        </w:tc>
        <w:tc>
          <w:tcPr>
            <w:tcW w:w="1050" w:type="dxa"/>
            <w:vAlign w:val="center"/>
          </w:tcPr>
          <w:p>
            <w:pPr>
              <w:pStyle w:val="53"/>
              <w:spacing w:line="240" w:lineRule="exact"/>
              <w:jc w:val="center"/>
              <w:rPr>
                <w:rFonts w:eastAsia="仿宋_GB2312"/>
                <w:b/>
                <w:bCs/>
              </w:rPr>
            </w:pPr>
            <w:r>
              <w:rPr>
                <w:rFonts w:eastAsia="仿宋_GB2312"/>
                <w:b/>
                <w:bCs/>
              </w:rPr>
              <w:t>142.60</w:t>
            </w:r>
          </w:p>
        </w:tc>
        <w:tc>
          <w:tcPr>
            <w:tcW w:w="818" w:type="dxa"/>
            <w:vAlign w:val="center"/>
          </w:tcPr>
          <w:p>
            <w:pPr>
              <w:spacing w:line="240" w:lineRule="exact"/>
              <w:ind w:firstLine="0" w:firstLineChars="0"/>
              <w:jc w:val="center"/>
              <w:rPr>
                <w:b/>
                <w:bCs/>
                <w:sz w:val="21"/>
                <w:szCs w:val="21"/>
              </w:rPr>
            </w:pPr>
          </w:p>
        </w:tc>
        <w:tc>
          <w:tcPr>
            <w:tcW w:w="1183"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3353</w:t>
            </w:r>
          </w:p>
        </w:tc>
        <w:tc>
          <w:tcPr>
            <w:tcW w:w="1175"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3858</w:t>
            </w:r>
          </w:p>
        </w:tc>
        <w:tc>
          <w:tcPr>
            <w:tcW w:w="1187" w:type="dxa"/>
            <w:vAlign w:val="center"/>
          </w:tcPr>
          <w:p>
            <w:pPr>
              <w:adjustRightInd w:val="0"/>
              <w:snapToGrid w:val="0"/>
              <w:spacing w:line="240" w:lineRule="auto"/>
              <w:ind w:firstLine="0" w:firstLineChars="0"/>
              <w:jc w:val="center"/>
              <w:rPr>
                <w:b/>
                <w:bCs/>
                <w:sz w:val="21"/>
                <w:szCs w:val="21"/>
              </w:rPr>
            </w:pPr>
            <w:r>
              <w:rPr>
                <w:rFonts w:hint="eastAsia"/>
                <w:b/>
                <w:bCs/>
                <w:sz w:val="21"/>
                <w:szCs w:val="21"/>
              </w:rPr>
              <w:t>505</w:t>
            </w:r>
          </w:p>
        </w:tc>
      </w:tr>
    </w:tbl>
    <w:p>
      <w:pPr>
        <w:spacing w:beforeLines="50"/>
        <w:ind w:firstLine="0" w:firstLineChars="0"/>
        <w:jc w:val="center"/>
      </w:pPr>
      <w:r>
        <w:rPr>
          <w:b/>
          <w:bCs/>
        </w:rPr>
        <w:t>表4-12水土流失预测结果汇总表</w:t>
      </w:r>
    </w:p>
    <w:tbl>
      <w:tblPr>
        <w:tblStyle w:val="36"/>
        <w:tblW w:w="5000"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2378"/>
        <w:gridCol w:w="1724"/>
        <w:gridCol w:w="1726"/>
        <w:gridCol w:w="1726"/>
        <w:gridCol w:w="1733"/>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280" w:type="pct"/>
            <w:tcBorders>
              <w:tl2br w:val="nil"/>
              <w:tr2bl w:val="nil"/>
            </w:tcBorders>
            <w:vAlign w:val="center"/>
          </w:tcPr>
          <w:p>
            <w:pPr>
              <w:spacing w:line="240" w:lineRule="auto"/>
              <w:ind w:firstLine="0" w:firstLineChars="0"/>
              <w:jc w:val="center"/>
              <w:rPr>
                <w:b/>
                <w:bCs/>
                <w:sz w:val="21"/>
                <w:szCs w:val="21"/>
              </w:rPr>
            </w:pPr>
            <w:r>
              <w:rPr>
                <w:b/>
                <w:bCs/>
                <w:sz w:val="21"/>
                <w:szCs w:val="21"/>
              </w:rPr>
              <w:t>时段</w:t>
            </w:r>
          </w:p>
        </w:tc>
        <w:tc>
          <w:tcPr>
            <w:tcW w:w="928" w:type="pct"/>
            <w:tcBorders>
              <w:tl2br w:val="nil"/>
              <w:tr2bl w:val="nil"/>
            </w:tcBorders>
            <w:vAlign w:val="center"/>
          </w:tcPr>
          <w:p>
            <w:pPr>
              <w:spacing w:line="240" w:lineRule="auto"/>
              <w:ind w:firstLine="0" w:firstLineChars="0"/>
              <w:jc w:val="center"/>
              <w:rPr>
                <w:b/>
                <w:bCs/>
                <w:sz w:val="21"/>
                <w:szCs w:val="21"/>
              </w:rPr>
            </w:pPr>
            <w:r>
              <w:rPr>
                <w:b/>
                <w:bCs/>
                <w:sz w:val="21"/>
                <w:szCs w:val="21"/>
              </w:rPr>
              <w:t>侵蚀面积（hm</w:t>
            </w:r>
            <w:r>
              <w:rPr>
                <w:b/>
                <w:bCs/>
                <w:sz w:val="21"/>
                <w:szCs w:val="21"/>
                <w:vertAlign w:val="superscript"/>
              </w:rPr>
              <w:t>2</w:t>
            </w:r>
            <w:r>
              <w:rPr>
                <w:b/>
                <w:bCs/>
                <w:sz w:val="21"/>
                <w:szCs w:val="21"/>
              </w:rPr>
              <w:t>）</w:t>
            </w:r>
          </w:p>
        </w:tc>
        <w:tc>
          <w:tcPr>
            <w:tcW w:w="929" w:type="pct"/>
            <w:tcBorders>
              <w:tl2br w:val="nil"/>
              <w:tr2bl w:val="nil"/>
            </w:tcBorders>
            <w:vAlign w:val="center"/>
          </w:tcPr>
          <w:p>
            <w:pPr>
              <w:spacing w:line="240" w:lineRule="auto"/>
              <w:ind w:firstLine="0" w:firstLineChars="0"/>
              <w:jc w:val="center"/>
              <w:rPr>
                <w:b/>
                <w:bCs/>
                <w:sz w:val="21"/>
                <w:szCs w:val="21"/>
              </w:rPr>
            </w:pPr>
            <w:r>
              <w:rPr>
                <w:b/>
                <w:bCs/>
                <w:sz w:val="21"/>
                <w:szCs w:val="21"/>
              </w:rPr>
              <w:t>背景流失量（t）</w:t>
            </w:r>
          </w:p>
        </w:tc>
        <w:tc>
          <w:tcPr>
            <w:tcW w:w="929" w:type="pct"/>
            <w:tcBorders>
              <w:tl2br w:val="nil"/>
              <w:tr2bl w:val="nil"/>
            </w:tcBorders>
            <w:vAlign w:val="center"/>
          </w:tcPr>
          <w:p>
            <w:pPr>
              <w:spacing w:line="240" w:lineRule="auto"/>
              <w:ind w:firstLine="0" w:firstLineChars="0"/>
              <w:jc w:val="center"/>
              <w:rPr>
                <w:b/>
                <w:bCs/>
                <w:sz w:val="21"/>
                <w:szCs w:val="21"/>
              </w:rPr>
            </w:pPr>
            <w:r>
              <w:rPr>
                <w:b/>
                <w:bCs/>
                <w:sz w:val="21"/>
                <w:szCs w:val="21"/>
              </w:rPr>
              <w:t>预测流失量（t）</w:t>
            </w:r>
          </w:p>
        </w:tc>
        <w:tc>
          <w:tcPr>
            <w:tcW w:w="933" w:type="pct"/>
            <w:tcBorders>
              <w:tl2br w:val="nil"/>
              <w:tr2bl w:val="nil"/>
            </w:tcBorders>
            <w:vAlign w:val="center"/>
          </w:tcPr>
          <w:p>
            <w:pPr>
              <w:spacing w:line="240" w:lineRule="auto"/>
              <w:ind w:firstLine="0" w:firstLineChars="0"/>
              <w:jc w:val="center"/>
              <w:rPr>
                <w:b/>
                <w:bCs/>
                <w:sz w:val="21"/>
                <w:szCs w:val="21"/>
              </w:rPr>
            </w:pPr>
            <w:r>
              <w:rPr>
                <w:b/>
                <w:bCs/>
                <w:sz w:val="21"/>
                <w:szCs w:val="21"/>
              </w:rPr>
              <w:t>新增流失量（t）</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280" w:type="pct"/>
            <w:tcBorders>
              <w:tl2br w:val="nil"/>
              <w:tr2bl w:val="nil"/>
            </w:tcBorders>
            <w:vAlign w:val="center"/>
          </w:tcPr>
          <w:p>
            <w:pPr>
              <w:spacing w:line="240" w:lineRule="auto"/>
              <w:ind w:firstLine="0" w:firstLineChars="0"/>
              <w:jc w:val="center"/>
              <w:rPr>
                <w:sz w:val="21"/>
                <w:szCs w:val="21"/>
              </w:rPr>
            </w:pPr>
            <w:r>
              <w:rPr>
                <w:sz w:val="21"/>
                <w:szCs w:val="21"/>
              </w:rPr>
              <w:t>施工期</w:t>
            </w:r>
          </w:p>
        </w:tc>
        <w:tc>
          <w:tcPr>
            <w:tcW w:w="928" w:type="pct"/>
            <w:tcBorders>
              <w:tl2br w:val="nil"/>
              <w:tr2bl w:val="nil"/>
            </w:tcBorders>
            <w:vAlign w:val="center"/>
          </w:tcPr>
          <w:p>
            <w:pPr>
              <w:spacing w:line="240" w:lineRule="auto"/>
              <w:ind w:firstLine="0" w:firstLineChars="0"/>
              <w:jc w:val="center"/>
              <w:rPr>
                <w:sz w:val="21"/>
                <w:szCs w:val="21"/>
              </w:rPr>
            </w:pPr>
            <w:r>
              <w:rPr>
                <w:sz w:val="21"/>
                <w:szCs w:val="21"/>
              </w:rPr>
              <w:t>753.18</w:t>
            </w:r>
          </w:p>
        </w:tc>
        <w:tc>
          <w:tcPr>
            <w:tcW w:w="1726" w:type="dxa"/>
            <w:tcBorders>
              <w:tl2br w:val="nil"/>
              <w:tr2bl w:val="nil"/>
            </w:tcBorders>
            <w:vAlign w:val="center"/>
          </w:tcPr>
          <w:p>
            <w:pPr>
              <w:adjustRightInd w:val="0"/>
              <w:snapToGrid w:val="0"/>
              <w:spacing w:line="240" w:lineRule="auto"/>
              <w:ind w:firstLine="0" w:firstLineChars="0"/>
              <w:jc w:val="center"/>
              <w:rPr>
                <w:sz w:val="21"/>
                <w:szCs w:val="21"/>
              </w:rPr>
            </w:pPr>
            <w:r>
              <w:rPr>
                <w:rFonts w:hint="eastAsia"/>
                <w:sz w:val="21"/>
                <w:szCs w:val="21"/>
              </w:rPr>
              <w:t>22485</w:t>
            </w:r>
          </w:p>
        </w:tc>
        <w:tc>
          <w:tcPr>
            <w:tcW w:w="1726" w:type="dxa"/>
            <w:tcBorders>
              <w:tl2br w:val="nil"/>
              <w:tr2bl w:val="nil"/>
            </w:tcBorders>
            <w:vAlign w:val="center"/>
          </w:tcPr>
          <w:p>
            <w:pPr>
              <w:adjustRightInd w:val="0"/>
              <w:snapToGrid w:val="0"/>
              <w:spacing w:line="240" w:lineRule="auto"/>
              <w:ind w:firstLine="0" w:firstLineChars="0"/>
              <w:jc w:val="center"/>
              <w:rPr>
                <w:sz w:val="21"/>
                <w:szCs w:val="21"/>
              </w:rPr>
            </w:pPr>
            <w:r>
              <w:rPr>
                <w:rFonts w:hint="eastAsia"/>
                <w:sz w:val="21"/>
                <w:szCs w:val="21"/>
              </w:rPr>
              <w:t>72836</w:t>
            </w:r>
          </w:p>
        </w:tc>
        <w:tc>
          <w:tcPr>
            <w:tcW w:w="1733" w:type="dxa"/>
            <w:tcBorders>
              <w:tl2br w:val="nil"/>
              <w:tr2bl w:val="nil"/>
            </w:tcBorders>
            <w:vAlign w:val="center"/>
          </w:tcPr>
          <w:p>
            <w:pPr>
              <w:adjustRightInd w:val="0"/>
              <w:snapToGrid w:val="0"/>
              <w:spacing w:line="240" w:lineRule="auto"/>
              <w:ind w:firstLine="0" w:firstLineChars="0"/>
              <w:jc w:val="center"/>
              <w:rPr>
                <w:sz w:val="21"/>
                <w:szCs w:val="21"/>
              </w:rPr>
            </w:pPr>
            <w:r>
              <w:rPr>
                <w:rFonts w:hint="eastAsia"/>
                <w:sz w:val="21"/>
                <w:szCs w:val="21"/>
              </w:rPr>
              <w:t>50351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280" w:type="pct"/>
            <w:tcBorders>
              <w:tl2br w:val="nil"/>
              <w:tr2bl w:val="nil"/>
            </w:tcBorders>
            <w:vAlign w:val="center"/>
          </w:tcPr>
          <w:p>
            <w:pPr>
              <w:spacing w:line="240" w:lineRule="auto"/>
              <w:ind w:firstLine="0" w:firstLineChars="0"/>
              <w:jc w:val="center"/>
              <w:rPr>
                <w:sz w:val="21"/>
                <w:szCs w:val="21"/>
              </w:rPr>
            </w:pPr>
            <w:r>
              <w:rPr>
                <w:sz w:val="21"/>
                <w:szCs w:val="21"/>
              </w:rPr>
              <w:t>自然恢复期</w:t>
            </w:r>
          </w:p>
        </w:tc>
        <w:tc>
          <w:tcPr>
            <w:tcW w:w="928" w:type="pct"/>
            <w:tcBorders>
              <w:tl2br w:val="nil"/>
              <w:tr2bl w:val="nil"/>
            </w:tcBorders>
            <w:vAlign w:val="center"/>
          </w:tcPr>
          <w:p>
            <w:pPr>
              <w:spacing w:line="240" w:lineRule="auto"/>
              <w:ind w:firstLine="0" w:firstLineChars="0"/>
              <w:jc w:val="center"/>
              <w:rPr>
                <w:sz w:val="21"/>
                <w:szCs w:val="21"/>
              </w:rPr>
            </w:pPr>
            <w:r>
              <w:rPr>
                <w:sz w:val="21"/>
                <w:szCs w:val="21"/>
              </w:rPr>
              <w:t>142.60</w:t>
            </w:r>
          </w:p>
        </w:tc>
        <w:tc>
          <w:tcPr>
            <w:tcW w:w="1726" w:type="dxa"/>
            <w:tcBorders>
              <w:tl2br w:val="nil"/>
              <w:tr2bl w:val="nil"/>
            </w:tcBorders>
            <w:vAlign w:val="center"/>
          </w:tcPr>
          <w:p>
            <w:pPr>
              <w:adjustRightInd w:val="0"/>
              <w:snapToGrid w:val="0"/>
              <w:spacing w:line="240" w:lineRule="auto"/>
              <w:ind w:firstLine="0" w:firstLineChars="0"/>
              <w:jc w:val="center"/>
            </w:pPr>
            <w:r>
              <w:rPr>
                <w:rFonts w:hint="eastAsia"/>
                <w:sz w:val="21"/>
                <w:szCs w:val="21"/>
              </w:rPr>
              <w:t>3353</w:t>
            </w:r>
          </w:p>
        </w:tc>
        <w:tc>
          <w:tcPr>
            <w:tcW w:w="1726" w:type="dxa"/>
            <w:tcBorders>
              <w:tl2br w:val="nil"/>
              <w:tr2bl w:val="nil"/>
            </w:tcBorders>
            <w:vAlign w:val="center"/>
          </w:tcPr>
          <w:p>
            <w:pPr>
              <w:adjustRightInd w:val="0"/>
              <w:snapToGrid w:val="0"/>
              <w:spacing w:line="240" w:lineRule="auto"/>
              <w:ind w:firstLine="0" w:firstLineChars="0"/>
              <w:jc w:val="center"/>
            </w:pPr>
            <w:r>
              <w:rPr>
                <w:rFonts w:hint="eastAsia"/>
                <w:sz w:val="21"/>
                <w:szCs w:val="21"/>
              </w:rPr>
              <w:t>3858</w:t>
            </w:r>
          </w:p>
        </w:tc>
        <w:tc>
          <w:tcPr>
            <w:tcW w:w="1733" w:type="dxa"/>
            <w:tcBorders>
              <w:tl2br w:val="nil"/>
              <w:tr2bl w:val="nil"/>
            </w:tcBorders>
            <w:vAlign w:val="center"/>
          </w:tcPr>
          <w:p>
            <w:pPr>
              <w:adjustRightInd w:val="0"/>
              <w:snapToGrid w:val="0"/>
              <w:spacing w:line="240" w:lineRule="auto"/>
              <w:ind w:firstLine="0" w:firstLineChars="0"/>
              <w:jc w:val="center"/>
            </w:pPr>
            <w:r>
              <w:rPr>
                <w:rFonts w:hint="eastAsia"/>
                <w:sz w:val="21"/>
                <w:szCs w:val="21"/>
              </w:rPr>
              <w:t>505</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280" w:type="pct"/>
            <w:tcBorders>
              <w:tl2br w:val="nil"/>
              <w:tr2bl w:val="nil"/>
            </w:tcBorders>
            <w:vAlign w:val="center"/>
          </w:tcPr>
          <w:p>
            <w:pPr>
              <w:spacing w:line="240" w:lineRule="auto"/>
              <w:ind w:firstLine="0" w:firstLineChars="0"/>
              <w:jc w:val="center"/>
              <w:rPr>
                <w:b/>
                <w:bCs/>
                <w:sz w:val="21"/>
                <w:szCs w:val="21"/>
              </w:rPr>
            </w:pPr>
            <w:r>
              <w:rPr>
                <w:b/>
                <w:bCs/>
                <w:sz w:val="21"/>
                <w:szCs w:val="21"/>
              </w:rPr>
              <w:t>合计</w:t>
            </w:r>
          </w:p>
        </w:tc>
        <w:tc>
          <w:tcPr>
            <w:tcW w:w="1724" w:type="dxa"/>
            <w:tcBorders>
              <w:tl2br w:val="nil"/>
              <w:tr2bl w:val="nil"/>
            </w:tcBorders>
            <w:vAlign w:val="center"/>
          </w:tcPr>
          <w:p>
            <w:pPr>
              <w:spacing w:line="240" w:lineRule="auto"/>
              <w:ind w:firstLine="0" w:firstLineChars="0"/>
              <w:jc w:val="center"/>
              <w:rPr>
                <w:b/>
                <w:bCs/>
                <w:sz w:val="21"/>
                <w:szCs w:val="21"/>
              </w:rPr>
            </w:pPr>
            <w:r>
              <w:rPr>
                <w:b/>
                <w:bCs/>
                <w:sz w:val="21"/>
                <w:szCs w:val="21"/>
              </w:rPr>
              <w:t>895.78</w:t>
            </w:r>
          </w:p>
        </w:tc>
        <w:tc>
          <w:tcPr>
            <w:tcW w:w="1726" w:type="dxa"/>
            <w:tcBorders>
              <w:tl2br w:val="nil"/>
              <w:tr2bl w:val="nil"/>
            </w:tcBorders>
            <w:vAlign w:val="center"/>
          </w:tcPr>
          <w:p>
            <w:pPr>
              <w:spacing w:line="240" w:lineRule="auto"/>
              <w:ind w:firstLine="0" w:firstLineChars="0"/>
              <w:jc w:val="center"/>
              <w:rPr>
                <w:b/>
                <w:bCs/>
                <w:sz w:val="21"/>
                <w:szCs w:val="21"/>
              </w:rPr>
            </w:pPr>
            <w:r>
              <w:rPr>
                <w:rFonts w:hint="eastAsia"/>
                <w:b/>
                <w:bCs/>
                <w:sz w:val="21"/>
                <w:szCs w:val="21"/>
              </w:rPr>
              <w:t>25838</w:t>
            </w:r>
          </w:p>
        </w:tc>
        <w:tc>
          <w:tcPr>
            <w:tcW w:w="1726" w:type="dxa"/>
            <w:tcBorders>
              <w:tl2br w:val="nil"/>
              <w:tr2bl w:val="nil"/>
            </w:tcBorders>
            <w:vAlign w:val="center"/>
          </w:tcPr>
          <w:p>
            <w:pPr>
              <w:spacing w:line="240" w:lineRule="auto"/>
              <w:ind w:firstLine="0" w:firstLineChars="0"/>
              <w:jc w:val="center"/>
              <w:rPr>
                <w:b/>
                <w:bCs/>
                <w:sz w:val="21"/>
                <w:szCs w:val="21"/>
              </w:rPr>
            </w:pPr>
            <w:r>
              <w:rPr>
                <w:rFonts w:hint="eastAsia"/>
                <w:b/>
                <w:bCs/>
                <w:sz w:val="21"/>
                <w:szCs w:val="21"/>
              </w:rPr>
              <w:t>76694</w:t>
            </w:r>
          </w:p>
        </w:tc>
        <w:tc>
          <w:tcPr>
            <w:tcW w:w="1733" w:type="dxa"/>
            <w:tcBorders>
              <w:tl2br w:val="nil"/>
              <w:tr2bl w:val="nil"/>
            </w:tcBorders>
            <w:vAlign w:val="center"/>
          </w:tcPr>
          <w:p>
            <w:pPr>
              <w:spacing w:line="240" w:lineRule="auto"/>
              <w:ind w:firstLine="0" w:firstLineChars="0"/>
              <w:jc w:val="center"/>
              <w:rPr>
                <w:b/>
                <w:bCs/>
                <w:sz w:val="21"/>
                <w:szCs w:val="21"/>
              </w:rPr>
            </w:pPr>
            <w:r>
              <w:rPr>
                <w:rFonts w:hint="eastAsia"/>
                <w:b/>
                <w:bCs/>
                <w:sz w:val="21"/>
                <w:szCs w:val="21"/>
              </w:rPr>
              <w:t>50856</w:t>
            </w:r>
          </w:p>
        </w:tc>
      </w:tr>
    </w:tbl>
    <w:p>
      <w:pPr>
        <w:pStyle w:val="7"/>
        <w:spacing w:beforeLines="50"/>
      </w:pPr>
      <w:r>
        <w:t>4.3.4.3调查、预测结果汇总</w:t>
      </w:r>
    </w:p>
    <w:p>
      <w:pPr>
        <w:ind w:firstLine="480"/>
      </w:pPr>
      <w:r>
        <w:t>综上所述，本报告针对项目土壤流失量情况的调查及预测结果汇总详见下表。</w:t>
      </w:r>
    </w:p>
    <w:p>
      <w:pPr>
        <w:ind w:firstLine="0" w:firstLineChars="0"/>
        <w:jc w:val="center"/>
      </w:pPr>
      <w:r>
        <w:rPr>
          <w:b/>
          <w:bCs/>
        </w:rPr>
        <w:t>表4.3-10水土流失调查及预测结果汇总表</w:t>
      </w:r>
    </w:p>
    <w:tbl>
      <w:tblPr>
        <w:tblStyle w:val="36"/>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75"/>
        <w:gridCol w:w="1400"/>
        <w:gridCol w:w="1800"/>
        <w:gridCol w:w="1635"/>
        <w:gridCol w:w="1635"/>
        <w:gridCol w:w="163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gridSpan w:val="2"/>
            <w:vAlign w:val="center"/>
          </w:tcPr>
          <w:p>
            <w:pPr>
              <w:spacing w:line="240" w:lineRule="auto"/>
              <w:ind w:firstLine="0" w:firstLineChars="0"/>
              <w:jc w:val="center"/>
              <w:rPr>
                <w:b/>
                <w:bCs/>
                <w:sz w:val="21"/>
                <w:szCs w:val="21"/>
              </w:rPr>
            </w:pPr>
            <w:r>
              <w:rPr>
                <w:b/>
                <w:bCs/>
                <w:sz w:val="21"/>
                <w:szCs w:val="21"/>
              </w:rPr>
              <w:t>时段</w:t>
            </w:r>
          </w:p>
        </w:tc>
        <w:tc>
          <w:tcPr>
            <w:tcW w:w="969" w:type="pct"/>
            <w:vAlign w:val="center"/>
          </w:tcPr>
          <w:p>
            <w:pPr>
              <w:spacing w:line="240" w:lineRule="auto"/>
              <w:ind w:firstLine="0" w:firstLineChars="0"/>
              <w:jc w:val="center"/>
              <w:rPr>
                <w:b/>
                <w:bCs/>
                <w:sz w:val="21"/>
                <w:szCs w:val="21"/>
              </w:rPr>
            </w:pPr>
            <w:r>
              <w:rPr>
                <w:b/>
                <w:bCs/>
                <w:sz w:val="21"/>
                <w:szCs w:val="21"/>
              </w:rPr>
              <w:t>侵蚀面积（hm</w:t>
            </w:r>
            <w:r>
              <w:rPr>
                <w:b/>
                <w:bCs/>
                <w:sz w:val="21"/>
                <w:szCs w:val="21"/>
                <w:vertAlign w:val="superscript"/>
              </w:rPr>
              <w:t>2</w:t>
            </w:r>
            <w:r>
              <w:rPr>
                <w:b/>
                <w:bCs/>
                <w:sz w:val="21"/>
                <w:szCs w:val="21"/>
              </w:rPr>
              <w:t>）</w:t>
            </w:r>
          </w:p>
        </w:tc>
        <w:tc>
          <w:tcPr>
            <w:tcW w:w="880" w:type="pct"/>
            <w:vAlign w:val="center"/>
          </w:tcPr>
          <w:p>
            <w:pPr>
              <w:spacing w:line="240" w:lineRule="auto"/>
              <w:ind w:firstLine="0" w:firstLineChars="0"/>
              <w:jc w:val="center"/>
              <w:rPr>
                <w:b/>
                <w:bCs/>
                <w:sz w:val="21"/>
                <w:szCs w:val="21"/>
              </w:rPr>
            </w:pPr>
            <w:r>
              <w:rPr>
                <w:b/>
                <w:bCs/>
                <w:sz w:val="21"/>
                <w:szCs w:val="21"/>
              </w:rPr>
              <w:t>背景流失量（t）</w:t>
            </w:r>
          </w:p>
        </w:tc>
        <w:tc>
          <w:tcPr>
            <w:tcW w:w="880" w:type="pct"/>
            <w:vAlign w:val="center"/>
          </w:tcPr>
          <w:p>
            <w:pPr>
              <w:spacing w:line="240" w:lineRule="auto"/>
              <w:ind w:firstLine="0" w:firstLineChars="0"/>
              <w:jc w:val="center"/>
              <w:rPr>
                <w:b/>
                <w:bCs/>
                <w:sz w:val="21"/>
                <w:szCs w:val="21"/>
              </w:rPr>
            </w:pPr>
            <w:r>
              <w:rPr>
                <w:b/>
                <w:bCs/>
                <w:sz w:val="21"/>
                <w:szCs w:val="21"/>
              </w:rPr>
              <w:t>调查、预测流失量（t）</w:t>
            </w:r>
          </w:p>
        </w:tc>
        <w:tc>
          <w:tcPr>
            <w:tcW w:w="880" w:type="pct"/>
            <w:vAlign w:val="center"/>
          </w:tcPr>
          <w:p>
            <w:pPr>
              <w:spacing w:line="240" w:lineRule="auto"/>
              <w:ind w:firstLine="0" w:firstLineChars="0"/>
              <w:jc w:val="center"/>
              <w:rPr>
                <w:b/>
                <w:bCs/>
                <w:sz w:val="21"/>
                <w:szCs w:val="21"/>
              </w:rPr>
            </w:pPr>
            <w:r>
              <w:rPr>
                <w:b/>
                <w:bCs/>
                <w:sz w:val="21"/>
                <w:szCs w:val="21"/>
              </w:rPr>
              <w:t>新增流失量（t）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4" w:hRule="atLeast"/>
          <w:jc w:val="center"/>
        </w:trPr>
        <w:tc>
          <w:tcPr>
            <w:tcW w:w="633" w:type="pct"/>
            <w:vMerge w:val="restart"/>
            <w:vAlign w:val="center"/>
          </w:tcPr>
          <w:p>
            <w:pPr>
              <w:spacing w:line="240" w:lineRule="auto"/>
              <w:ind w:firstLine="0" w:firstLineChars="0"/>
              <w:jc w:val="center"/>
              <w:rPr>
                <w:sz w:val="21"/>
                <w:szCs w:val="21"/>
              </w:rPr>
            </w:pPr>
            <w:r>
              <w:rPr>
                <w:sz w:val="21"/>
                <w:szCs w:val="21"/>
              </w:rPr>
              <w:t>调查结果</w:t>
            </w:r>
          </w:p>
        </w:tc>
        <w:tc>
          <w:tcPr>
            <w:tcW w:w="754" w:type="pct"/>
            <w:tcBorders>
              <w:bottom w:val="single" w:color="000000" w:sz="4" w:space="0"/>
            </w:tcBorders>
            <w:vAlign w:val="center"/>
          </w:tcPr>
          <w:p>
            <w:pPr>
              <w:spacing w:line="240" w:lineRule="auto"/>
              <w:ind w:firstLine="0" w:firstLineChars="0"/>
              <w:jc w:val="center"/>
              <w:rPr>
                <w:sz w:val="21"/>
                <w:szCs w:val="21"/>
              </w:rPr>
            </w:pPr>
            <w:r>
              <w:rPr>
                <w:sz w:val="21"/>
                <w:szCs w:val="21"/>
              </w:rPr>
              <w:t>施工期</w:t>
            </w:r>
          </w:p>
        </w:tc>
        <w:tc>
          <w:tcPr>
            <w:tcW w:w="1800" w:type="dxa"/>
            <w:tcBorders>
              <w:bottom w:val="single" w:color="000000" w:sz="4" w:space="0"/>
            </w:tcBorders>
            <w:vAlign w:val="center"/>
          </w:tcPr>
          <w:p>
            <w:pPr>
              <w:spacing w:line="240" w:lineRule="auto"/>
              <w:ind w:firstLine="0" w:firstLineChars="0"/>
              <w:jc w:val="center"/>
              <w:rPr>
                <w:sz w:val="21"/>
                <w:szCs w:val="21"/>
              </w:rPr>
            </w:pPr>
            <w:r>
              <w:rPr>
                <w:sz w:val="21"/>
                <w:szCs w:val="21"/>
              </w:rPr>
              <w:t>427.72</w:t>
            </w:r>
          </w:p>
        </w:tc>
        <w:tc>
          <w:tcPr>
            <w:tcW w:w="1635" w:type="dxa"/>
            <w:tcBorders>
              <w:bottom w:val="single" w:color="000000" w:sz="4" w:space="0"/>
            </w:tcBorders>
            <w:vAlign w:val="center"/>
          </w:tcPr>
          <w:p>
            <w:pPr>
              <w:adjustRightInd w:val="0"/>
              <w:snapToGrid w:val="0"/>
              <w:spacing w:line="240" w:lineRule="auto"/>
              <w:ind w:firstLine="0" w:firstLineChars="0"/>
              <w:jc w:val="center"/>
              <w:rPr>
                <w:sz w:val="21"/>
                <w:szCs w:val="21"/>
              </w:rPr>
            </w:pPr>
            <w:r>
              <w:rPr>
                <w:rFonts w:hint="eastAsia"/>
                <w:sz w:val="21"/>
                <w:szCs w:val="21"/>
              </w:rPr>
              <w:t>12452</w:t>
            </w:r>
          </w:p>
        </w:tc>
        <w:tc>
          <w:tcPr>
            <w:tcW w:w="1635" w:type="dxa"/>
            <w:tcBorders>
              <w:bottom w:val="single" w:color="000000" w:sz="4" w:space="0"/>
            </w:tcBorders>
            <w:vAlign w:val="center"/>
          </w:tcPr>
          <w:p>
            <w:pPr>
              <w:adjustRightInd w:val="0"/>
              <w:snapToGrid w:val="0"/>
              <w:spacing w:line="240" w:lineRule="auto"/>
              <w:ind w:firstLine="0" w:firstLineChars="0"/>
              <w:jc w:val="center"/>
              <w:rPr>
                <w:sz w:val="21"/>
                <w:szCs w:val="21"/>
              </w:rPr>
            </w:pPr>
            <w:r>
              <w:rPr>
                <w:rFonts w:hint="eastAsia"/>
                <w:sz w:val="21"/>
                <w:szCs w:val="21"/>
              </w:rPr>
              <w:t>39765</w:t>
            </w:r>
          </w:p>
        </w:tc>
        <w:tc>
          <w:tcPr>
            <w:tcW w:w="1635" w:type="dxa"/>
            <w:tcBorders>
              <w:bottom w:val="single" w:color="000000" w:sz="4" w:space="0"/>
            </w:tcBorders>
            <w:vAlign w:val="center"/>
          </w:tcPr>
          <w:p>
            <w:pPr>
              <w:adjustRightInd w:val="0"/>
              <w:snapToGrid w:val="0"/>
              <w:spacing w:line="240" w:lineRule="auto"/>
              <w:ind w:firstLine="0" w:firstLineChars="0"/>
              <w:jc w:val="center"/>
              <w:rPr>
                <w:sz w:val="21"/>
                <w:szCs w:val="21"/>
              </w:rPr>
            </w:pPr>
            <w:r>
              <w:rPr>
                <w:rFonts w:hint="eastAsia"/>
                <w:sz w:val="21"/>
                <w:szCs w:val="21"/>
              </w:rPr>
              <w:t>27313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7" w:hRule="atLeast"/>
          <w:jc w:val="center"/>
        </w:trPr>
        <w:tc>
          <w:tcPr>
            <w:tcW w:w="633" w:type="pct"/>
            <w:vMerge w:val="continue"/>
            <w:vAlign w:val="center"/>
          </w:tcPr>
          <w:p>
            <w:pPr>
              <w:spacing w:line="240" w:lineRule="auto"/>
              <w:ind w:firstLine="0" w:firstLineChars="0"/>
              <w:jc w:val="center"/>
              <w:rPr>
                <w:sz w:val="21"/>
                <w:szCs w:val="21"/>
              </w:rPr>
            </w:pPr>
          </w:p>
        </w:tc>
        <w:tc>
          <w:tcPr>
            <w:tcW w:w="754" w:type="pct"/>
            <w:tcBorders>
              <w:top w:val="single" w:color="000000" w:sz="4" w:space="0"/>
              <w:bottom w:val="single" w:color="000000" w:sz="4" w:space="0"/>
            </w:tcBorders>
            <w:vAlign w:val="center"/>
          </w:tcPr>
          <w:p>
            <w:pPr>
              <w:spacing w:line="240" w:lineRule="auto"/>
              <w:ind w:firstLine="0" w:firstLineChars="0"/>
              <w:jc w:val="center"/>
              <w:rPr>
                <w:sz w:val="21"/>
                <w:szCs w:val="21"/>
              </w:rPr>
            </w:pPr>
            <w:r>
              <w:rPr>
                <w:sz w:val="21"/>
                <w:szCs w:val="21"/>
              </w:rPr>
              <w:t>自然恢复期</w:t>
            </w:r>
          </w:p>
        </w:tc>
        <w:tc>
          <w:tcPr>
            <w:tcW w:w="1800" w:type="dxa"/>
            <w:tcBorders>
              <w:top w:val="single" w:color="000000" w:sz="4" w:space="0"/>
              <w:bottom w:val="single" w:color="000000" w:sz="4" w:space="0"/>
            </w:tcBorders>
            <w:vAlign w:val="center"/>
          </w:tcPr>
          <w:p>
            <w:pPr>
              <w:spacing w:line="240" w:lineRule="auto"/>
              <w:ind w:firstLine="0" w:firstLineChars="0"/>
              <w:jc w:val="center"/>
              <w:rPr>
                <w:sz w:val="21"/>
                <w:szCs w:val="21"/>
              </w:rPr>
            </w:pPr>
            <w:r>
              <w:rPr>
                <w:sz w:val="21"/>
                <w:szCs w:val="21"/>
              </w:rPr>
              <w:t>49.75</w:t>
            </w:r>
          </w:p>
        </w:tc>
        <w:tc>
          <w:tcPr>
            <w:tcW w:w="1635" w:type="dxa"/>
            <w:tcBorders>
              <w:top w:val="single" w:color="000000" w:sz="4" w:space="0"/>
              <w:bottom w:val="single" w:color="000000" w:sz="4" w:space="0"/>
            </w:tcBorders>
            <w:vAlign w:val="center"/>
          </w:tcPr>
          <w:p>
            <w:pPr>
              <w:adjustRightInd w:val="0"/>
              <w:snapToGrid w:val="0"/>
              <w:spacing w:line="240" w:lineRule="auto"/>
              <w:ind w:firstLine="0" w:firstLineChars="0"/>
              <w:jc w:val="center"/>
              <w:rPr>
                <w:sz w:val="21"/>
                <w:szCs w:val="21"/>
              </w:rPr>
            </w:pPr>
            <w:r>
              <w:rPr>
                <w:rFonts w:hint="eastAsia"/>
                <w:sz w:val="21"/>
                <w:szCs w:val="21"/>
              </w:rPr>
              <w:t>1120</w:t>
            </w:r>
          </w:p>
        </w:tc>
        <w:tc>
          <w:tcPr>
            <w:tcW w:w="1635" w:type="dxa"/>
            <w:tcBorders>
              <w:top w:val="single" w:color="000000" w:sz="4" w:space="0"/>
              <w:bottom w:val="single" w:color="000000" w:sz="4" w:space="0"/>
            </w:tcBorders>
            <w:vAlign w:val="center"/>
          </w:tcPr>
          <w:p>
            <w:pPr>
              <w:adjustRightInd w:val="0"/>
              <w:snapToGrid w:val="0"/>
              <w:spacing w:line="240" w:lineRule="auto"/>
              <w:ind w:firstLine="0" w:firstLineChars="0"/>
              <w:jc w:val="center"/>
              <w:rPr>
                <w:sz w:val="21"/>
                <w:szCs w:val="21"/>
              </w:rPr>
            </w:pPr>
            <w:r>
              <w:rPr>
                <w:rFonts w:hint="eastAsia"/>
                <w:sz w:val="21"/>
                <w:szCs w:val="21"/>
              </w:rPr>
              <w:t>1347</w:t>
            </w:r>
          </w:p>
        </w:tc>
        <w:tc>
          <w:tcPr>
            <w:tcW w:w="1635" w:type="dxa"/>
            <w:tcBorders>
              <w:top w:val="single" w:color="000000" w:sz="4" w:space="0"/>
              <w:bottom w:val="single" w:color="000000" w:sz="4" w:space="0"/>
            </w:tcBorders>
            <w:vAlign w:val="center"/>
          </w:tcPr>
          <w:p>
            <w:pPr>
              <w:adjustRightInd w:val="0"/>
              <w:snapToGrid w:val="0"/>
              <w:spacing w:line="240" w:lineRule="auto"/>
              <w:ind w:firstLine="0" w:firstLineChars="0"/>
              <w:jc w:val="center"/>
              <w:rPr>
                <w:sz w:val="21"/>
                <w:szCs w:val="21"/>
              </w:rPr>
            </w:pPr>
            <w:r>
              <w:rPr>
                <w:rFonts w:hint="eastAsia"/>
                <w:sz w:val="21"/>
                <w:szCs w:val="21"/>
              </w:rPr>
              <w:t>227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 w:hRule="atLeast"/>
          <w:jc w:val="center"/>
        </w:trPr>
        <w:tc>
          <w:tcPr>
            <w:tcW w:w="633" w:type="pct"/>
            <w:vMerge w:val="continue"/>
            <w:vAlign w:val="center"/>
          </w:tcPr>
          <w:p>
            <w:pPr>
              <w:spacing w:line="240" w:lineRule="auto"/>
              <w:ind w:firstLine="0" w:firstLineChars="0"/>
              <w:jc w:val="center"/>
              <w:rPr>
                <w:sz w:val="21"/>
                <w:szCs w:val="21"/>
              </w:rPr>
            </w:pPr>
          </w:p>
        </w:tc>
        <w:tc>
          <w:tcPr>
            <w:tcW w:w="754" w:type="pct"/>
            <w:tcBorders>
              <w:top w:val="single" w:color="000000" w:sz="4" w:space="0"/>
            </w:tcBorders>
            <w:vAlign w:val="center"/>
          </w:tcPr>
          <w:p>
            <w:pPr>
              <w:spacing w:line="240" w:lineRule="auto"/>
              <w:ind w:firstLine="0" w:firstLineChars="0"/>
              <w:jc w:val="center"/>
              <w:rPr>
                <w:b/>
                <w:bCs/>
                <w:sz w:val="21"/>
                <w:szCs w:val="21"/>
              </w:rPr>
            </w:pPr>
            <w:r>
              <w:rPr>
                <w:b/>
                <w:bCs/>
                <w:sz w:val="21"/>
                <w:szCs w:val="21"/>
              </w:rPr>
              <w:t>小计</w:t>
            </w:r>
          </w:p>
        </w:tc>
        <w:tc>
          <w:tcPr>
            <w:tcW w:w="1800" w:type="dxa"/>
            <w:tcBorders>
              <w:top w:val="single" w:color="000000" w:sz="4" w:space="0"/>
            </w:tcBorders>
            <w:vAlign w:val="center"/>
          </w:tcPr>
          <w:p>
            <w:pPr>
              <w:spacing w:line="240" w:lineRule="auto"/>
              <w:ind w:firstLine="0" w:firstLineChars="0"/>
              <w:jc w:val="center"/>
              <w:rPr>
                <w:b/>
                <w:bCs/>
                <w:sz w:val="21"/>
                <w:szCs w:val="21"/>
              </w:rPr>
            </w:pPr>
            <w:r>
              <w:rPr>
                <w:b/>
                <w:bCs/>
                <w:sz w:val="21"/>
                <w:szCs w:val="21"/>
              </w:rPr>
              <w:t>477.47</w:t>
            </w:r>
          </w:p>
        </w:tc>
        <w:tc>
          <w:tcPr>
            <w:tcW w:w="1635" w:type="dxa"/>
            <w:tcBorders>
              <w:top w:val="single" w:color="000000" w:sz="4" w:space="0"/>
            </w:tcBorders>
            <w:vAlign w:val="center"/>
          </w:tcPr>
          <w:p>
            <w:pPr>
              <w:spacing w:line="240" w:lineRule="auto"/>
              <w:ind w:firstLine="0" w:firstLineChars="0"/>
              <w:jc w:val="center"/>
              <w:rPr>
                <w:b/>
                <w:bCs/>
                <w:sz w:val="21"/>
                <w:szCs w:val="21"/>
              </w:rPr>
            </w:pPr>
            <w:r>
              <w:rPr>
                <w:rFonts w:hint="eastAsia"/>
                <w:b/>
                <w:bCs/>
                <w:sz w:val="21"/>
                <w:szCs w:val="21"/>
              </w:rPr>
              <w:t>13572</w:t>
            </w:r>
          </w:p>
        </w:tc>
        <w:tc>
          <w:tcPr>
            <w:tcW w:w="1635" w:type="dxa"/>
            <w:tcBorders>
              <w:top w:val="single" w:color="000000" w:sz="4" w:space="0"/>
            </w:tcBorders>
            <w:vAlign w:val="center"/>
          </w:tcPr>
          <w:p>
            <w:pPr>
              <w:spacing w:line="240" w:lineRule="auto"/>
              <w:ind w:firstLine="0" w:firstLineChars="0"/>
              <w:jc w:val="center"/>
              <w:rPr>
                <w:b/>
                <w:bCs/>
                <w:sz w:val="21"/>
                <w:szCs w:val="21"/>
              </w:rPr>
            </w:pPr>
            <w:r>
              <w:rPr>
                <w:rFonts w:hint="eastAsia"/>
                <w:b/>
                <w:bCs/>
                <w:sz w:val="21"/>
                <w:szCs w:val="21"/>
              </w:rPr>
              <w:t>41112</w:t>
            </w:r>
          </w:p>
        </w:tc>
        <w:tc>
          <w:tcPr>
            <w:tcW w:w="1635" w:type="dxa"/>
            <w:tcBorders>
              <w:top w:val="single" w:color="000000" w:sz="4" w:space="0"/>
            </w:tcBorders>
            <w:vAlign w:val="center"/>
          </w:tcPr>
          <w:p>
            <w:pPr>
              <w:spacing w:line="240" w:lineRule="auto"/>
              <w:ind w:firstLine="0" w:firstLineChars="0"/>
              <w:jc w:val="center"/>
              <w:rPr>
                <w:b/>
                <w:bCs/>
                <w:sz w:val="21"/>
                <w:szCs w:val="21"/>
              </w:rPr>
            </w:pPr>
            <w:r>
              <w:rPr>
                <w:rFonts w:hint="eastAsia"/>
                <w:b/>
                <w:bCs/>
                <w:sz w:val="21"/>
                <w:szCs w:val="21"/>
              </w:rPr>
              <w:t>27540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633" w:type="pct"/>
            <w:vMerge w:val="restart"/>
            <w:vAlign w:val="center"/>
          </w:tcPr>
          <w:p>
            <w:pPr>
              <w:spacing w:line="240" w:lineRule="auto"/>
              <w:ind w:firstLine="0" w:firstLineChars="0"/>
              <w:jc w:val="center"/>
              <w:rPr>
                <w:sz w:val="21"/>
                <w:szCs w:val="21"/>
              </w:rPr>
            </w:pPr>
            <w:r>
              <w:rPr>
                <w:sz w:val="21"/>
                <w:szCs w:val="21"/>
              </w:rPr>
              <w:t>预测结果</w:t>
            </w:r>
          </w:p>
        </w:tc>
        <w:tc>
          <w:tcPr>
            <w:tcW w:w="754" w:type="pct"/>
            <w:vAlign w:val="center"/>
          </w:tcPr>
          <w:p>
            <w:pPr>
              <w:spacing w:line="240" w:lineRule="auto"/>
              <w:ind w:firstLine="0" w:firstLineChars="0"/>
              <w:jc w:val="center"/>
              <w:rPr>
                <w:sz w:val="21"/>
                <w:szCs w:val="21"/>
              </w:rPr>
            </w:pPr>
            <w:r>
              <w:rPr>
                <w:sz w:val="21"/>
                <w:szCs w:val="21"/>
              </w:rPr>
              <w:t>施工期</w:t>
            </w:r>
          </w:p>
        </w:tc>
        <w:tc>
          <w:tcPr>
            <w:tcW w:w="1800" w:type="dxa"/>
            <w:vAlign w:val="center"/>
          </w:tcPr>
          <w:p>
            <w:pPr>
              <w:spacing w:line="240" w:lineRule="auto"/>
              <w:ind w:firstLine="0" w:firstLineChars="0"/>
              <w:jc w:val="center"/>
              <w:rPr>
                <w:sz w:val="21"/>
                <w:szCs w:val="21"/>
              </w:rPr>
            </w:pPr>
            <w:r>
              <w:rPr>
                <w:sz w:val="21"/>
                <w:szCs w:val="21"/>
              </w:rPr>
              <w:t>753.18</w:t>
            </w:r>
          </w:p>
        </w:tc>
        <w:tc>
          <w:tcPr>
            <w:tcW w:w="1635" w:type="dxa"/>
            <w:vAlign w:val="center"/>
          </w:tcPr>
          <w:p>
            <w:pPr>
              <w:adjustRightInd w:val="0"/>
              <w:snapToGrid w:val="0"/>
              <w:spacing w:line="240" w:lineRule="auto"/>
              <w:ind w:firstLine="0" w:firstLineChars="0"/>
              <w:jc w:val="center"/>
              <w:rPr>
                <w:sz w:val="21"/>
                <w:szCs w:val="21"/>
              </w:rPr>
            </w:pPr>
            <w:r>
              <w:rPr>
                <w:rFonts w:hint="eastAsia"/>
                <w:sz w:val="21"/>
                <w:szCs w:val="21"/>
              </w:rPr>
              <w:t>22485</w:t>
            </w:r>
          </w:p>
        </w:tc>
        <w:tc>
          <w:tcPr>
            <w:tcW w:w="1635" w:type="dxa"/>
            <w:vAlign w:val="center"/>
          </w:tcPr>
          <w:p>
            <w:pPr>
              <w:adjustRightInd w:val="0"/>
              <w:snapToGrid w:val="0"/>
              <w:spacing w:line="240" w:lineRule="auto"/>
              <w:ind w:firstLine="0" w:firstLineChars="0"/>
              <w:jc w:val="center"/>
              <w:rPr>
                <w:sz w:val="21"/>
                <w:szCs w:val="21"/>
              </w:rPr>
            </w:pPr>
            <w:r>
              <w:rPr>
                <w:rFonts w:hint="eastAsia"/>
                <w:sz w:val="21"/>
                <w:szCs w:val="21"/>
              </w:rPr>
              <w:t>72836</w:t>
            </w:r>
          </w:p>
        </w:tc>
        <w:tc>
          <w:tcPr>
            <w:tcW w:w="1635" w:type="dxa"/>
            <w:vAlign w:val="center"/>
          </w:tcPr>
          <w:p>
            <w:pPr>
              <w:adjustRightInd w:val="0"/>
              <w:snapToGrid w:val="0"/>
              <w:spacing w:line="240" w:lineRule="auto"/>
              <w:ind w:firstLine="0" w:firstLineChars="0"/>
              <w:jc w:val="center"/>
              <w:rPr>
                <w:sz w:val="21"/>
                <w:szCs w:val="21"/>
              </w:rPr>
            </w:pPr>
            <w:r>
              <w:rPr>
                <w:rFonts w:hint="eastAsia"/>
                <w:sz w:val="21"/>
                <w:szCs w:val="21"/>
              </w:rPr>
              <w:t>50351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jc w:val="center"/>
        </w:trPr>
        <w:tc>
          <w:tcPr>
            <w:tcW w:w="633" w:type="pct"/>
            <w:vMerge w:val="continue"/>
            <w:vAlign w:val="center"/>
          </w:tcPr>
          <w:p>
            <w:pPr>
              <w:spacing w:line="240" w:lineRule="auto"/>
              <w:ind w:firstLine="0" w:firstLineChars="0"/>
              <w:jc w:val="center"/>
              <w:rPr>
                <w:sz w:val="21"/>
                <w:szCs w:val="21"/>
              </w:rPr>
            </w:pPr>
          </w:p>
        </w:tc>
        <w:tc>
          <w:tcPr>
            <w:tcW w:w="754" w:type="pct"/>
            <w:tcBorders>
              <w:bottom w:val="single" w:color="000000" w:sz="4" w:space="0"/>
            </w:tcBorders>
            <w:vAlign w:val="center"/>
          </w:tcPr>
          <w:p>
            <w:pPr>
              <w:spacing w:line="240" w:lineRule="auto"/>
              <w:ind w:firstLine="0" w:firstLineChars="0"/>
              <w:jc w:val="center"/>
              <w:rPr>
                <w:sz w:val="21"/>
                <w:szCs w:val="21"/>
              </w:rPr>
            </w:pPr>
            <w:r>
              <w:rPr>
                <w:sz w:val="21"/>
                <w:szCs w:val="21"/>
              </w:rPr>
              <w:t>自然恢复期</w:t>
            </w:r>
          </w:p>
        </w:tc>
        <w:tc>
          <w:tcPr>
            <w:tcW w:w="1800" w:type="dxa"/>
            <w:tcBorders>
              <w:bottom w:val="single" w:color="000000" w:sz="4" w:space="0"/>
            </w:tcBorders>
            <w:vAlign w:val="center"/>
          </w:tcPr>
          <w:p>
            <w:pPr>
              <w:spacing w:line="240" w:lineRule="auto"/>
              <w:ind w:firstLine="0" w:firstLineChars="0"/>
              <w:jc w:val="center"/>
              <w:rPr>
                <w:sz w:val="21"/>
                <w:szCs w:val="21"/>
              </w:rPr>
            </w:pPr>
            <w:r>
              <w:rPr>
                <w:sz w:val="21"/>
                <w:szCs w:val="21"/>
              </w:rPr>
              <w:t>142.60</w:t>
            </w:r>
          </w:p>
        </w:tc>
        <w:tc>
          <w:tcPr>
            <w:tcW w:w="1635" w:type="dxa"/>
            <w:tcBorders>
              <w:bottom w:val="single" w:color="000000" w:sz="4" w:space="0"/>
            </w:tcBorders>
            <w:vAlign w:val="center"/>
          </w:tcPr>
          <w:p>
            <w:pPr>
              <w:adjustRightInd w:val="0"/>
              <w:snapToGrid w:val="0"/>
              <w:spacing w:line="240" w:lineRule="auto"/>
              <w:ind w:firstLine="0" w:firstLineChars="0"/>
              <w:jc w:val="center"/>
            </w:pPr>
            <w:r>
              <w:rPr>
                <w:rFonts w:hint="eastAsia"/>
                <w:sz w:val="21"/>
                <w:szCs w:val="21"/>
              </w:rPr>
              <w:t>3353</w:t>
            </w:r>
          </w:p>
        </w:tc>
        <w:tc>
          <w:tcPr>
            <w:tcW w:w="1635" w:type="dxa"/>
            <w:tcBorders>
              <w:bottom w:val="single" w:color="000000" w:sz="4" w:space="0"/>
            </w:tcBorders>
            <w:vAlign w:val="center"/>
          </w:tcPr>
          <w:p>
            <w:pPr>
              <w:adjustRightInd w:val="0"/>
              <w:snapToGrid w:val="0"/>
              <w:spacing w:line="240" w:lineRule="auto"/>
              <w:ind w:firstLine="0" w:firstLineChars="0"/>
              <w:jc w:val="center"/>
            </w:pPr>
            <w:r>
              <w:rPr>
                <w:rFonts w:hint="eastAsia"/>
                <w:sz w:val="21"/>
                <w:szCs w:val="21"/>
              </w:rPr>
              <w:t>3858</w:t>
            </w:r>
          </w:p>
        </w:tc>
        <w:tc>
          <w:tcPr>
            <w:tcW w:w="1635" w:type="dxa"/>
            <w:tcBorders>
              <w:bottom w:val="single" w:color="000000" w:sz="4" w:space="0"/>
            </w:tcBorders>
            <w:vAlign w:val="center"/>
          </w:tcPr>
          <w:p>
            <w:pPr>
              <w:adjustRightInd w:val="0"/>
              <w:snapToGrid w:val="0"/>
              <w:spacing w:line="240" w:lineRule="auto"/>
              <w:ind w:firstLine="0" w:firstLineChars="0"/>
              <w:jc w:val="center"/>
            </w:pPr>
            <w:r>
              <w:rPr>
                <w:rFonts w:hint="eastAsia"/>
                <w:sz w:val="21"/>
                <w:szCs w:val="21"/>
              </w:rPr>
              <w:t>505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 w:hRule="atLeast"/>
          <w:jc w:val="center"/>
        </w:trPr>
        <w:tc>
          <w:tcPr>
            <w:tcW w:w="633" w:type="pct"/>
            <w:vMerge w:val="continue"/>
            <w:vAlign w:val="center"/>
          </w:tcPr>
          <w:p>
            <w:pPr>
              <w:spacing w:line="240" w:lineRule="auto"/>
              <w:ind w:firstLine="0" w:firstLineChars="0"/>
              <w:jc w:val="center"/>
              <w:rPr>
                <w:sz w:val="21"/>
                <w:szCs w:val="21"/>
              </w:rPr>
            </w:pPr>
          </w:p>
        </w:tc>
        <w:tc>
          <w:tcPr>
            <w:tcW w:w="754" w:type="pct"/>
            <w:tcBorders>
              <w:top w:val="single" w:color="000000" w:sz="4" w:space="0"/>
            </w:tcBorders>
            <w:vAlign w:val="center"/>
          </w:tcPr>
          <w:p>
            <w:pPr>
              <w:spacing w:line="240" w:lineRule="auto"/>
              <w:ind w:firstLine="0" w:firstLineChars="0"/>
              <w:jc w:val="center"/>
              <w:rPr>
                <w:b/>
                <w:bCs/>
                <w:sz w:val="21"/>
                <w:szCs w:val="21"/>
              </w:rPr>
            </w:pPr>
            <w:r>
              <w:rPr>
                <w:b/>
                <w:bCs/>
                <w:sz w:val="21"/>
                <w:szCs w:val="21"/>
              </w:rPr>
              <w:t>小计</w:t>
            </w:r>
          </w:p>
        </w:tc>
        <w:tc>
          <w:tcPr>
            <w:tcW w:w="1800" w:type="dxa"/>
            <w:tcBorders>
              <w:top w:val="single" w:color="000000" w:sz="4" w:space="0"/>
            </w:tcBorders>
            <w:vAlign w:val="center"/>
          </w:tcPr>
          <w:p>
            <w:pPr>
              <w:spacing w:line="240" w:lineRule="auto"/>
              <w:ind w:firstLine="0" w:firstLineChars="0"/>
              <w:jc w:val="center"/>
              <w:rPr>
                <w:b/>
                <w:bCs/>
                <w:sz w:val="21"/>
                <w:szCs w:val="21"/>
              </w:rPr>
            </w:pPr>
            <w:r>
              <w:rPr>
                <w:b/>
                <w:bCs/>
                <w:sz w:val="21"/>
                <w:szCs w:val="21"/>
              </w:rPr>
              <w:t>895.78</w:t>
            </w:r>
          </w:p>
        </w:tc>
        <w:tc>
          <w:tcPr>
            <w:tcW w:w="1635" w:type="dxa"/>
            <w:tcBorders>
              <w:top w:val="single" w:color="000000" w:sz="4" w:space="0"/>
            </w:tcBorders>
            <w:vAlign w:val="center"/>
          </w:tcPr>
          <w:p>
            <w:pPr>
              <w:spacing w:line="240" w:lineRule="auto"/>
              <w:ind w:firstLine="0" w:firstLineChars="0"/>
              <w:jc w:val="center"/>
              <w:rPr>
                <w:b/>
                <w:bCs/>
                <w:sz w:val="21"/>
                <w:szCs w:val="21"/>
              </w:rPr>
            </w:pPr>
            <w:r>
              <w:rPr>
                <w:rFonts w:hint="eastAsia"/>
                <w:b/>
                <w:bCs/>
                <w:sz w:val="21"/>
                <w:szCs w:val="21"/>
              </w:rPr>
              <w:t>25838</w:t>
            </w:r>
          </w:p>
        </w:tc>
        <w:tc>
          <w:tcPr>
            <w:tcW w:w="1635" w:type="dxa"/>
            <w:tcBorders>
              <w:top w:val="single" w:color="000000" w:sz="4" w:space="0"/>
            </w:tcBorders>
            <w:vAlign w:val="center"/>
          </w:tcPr>
          <w:p>
            <w:pPr>
              <w:spacing w:line="240" w:lineRule="auto"/>
              <w:ind w:firstLine="0" w:firstLineChars="0"/>
              <w:jc w:val="center"/>
              <w:rPr>
                <w:b/>
                <w:bCs/>
                <w:sz w:val="21"/>
                <w:szCs w:val="21"/>
              </w:rPr>
            </w:pPr>
            <w:r>
              <w:rPr>
                <w:rFonts w:hint="eastAsia"/>
                <w:b/>
                <w:bCs/>
                <w:sz w:val="21"/>
                <w:szCs w:val="21"/>
              </w:rPr>
              <w:t>76694</w:t>
            </w:r>
          </w:p>
        </w:tc>
        <w:tc>
          <w:tcPr>
            <w:tcW w:w="1635" w:type="dxa"/>
            <w:tcBorders>
              <w:top w:val="single" w:color="000000" w:sz="4" w:space="0"/>
            </w:tcBorders>
            <w:vAlign w:val="center"/>
          </w:tcPr>
          <w:p>
            <w:pPr>
              <w:spacing w:line="240" w:lineRule="auto"/>
              <w:ind w:firstLine="0" w:firstLineChars="0"/>
              <w:jc w:val="center"/>
              <w:rPr>
                <w:b/>
                <w:bCs/>
                <w:sz w:val="21"/>
                <w:szCs w:val="21"/>
              </w:rPr>
            </w:pPr>
            <w:r>
              <w:rPr>
                <w:rFonts w:hint="eastAsia"/>
                <w:b/>
                <w:bCs/>
                <w:sz w:val="21"/>
                <w:szCs w:val="21"/>
              </w:rPr>
              <w:t>50856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gridSpan w:val="2"/>
            <w:vAlign w:val="center"/>
          </w:tcPr>
          <w:p>
            <w:pPr>
              <w:spacing w:line="240" w:lineRule="auto"/>
              <w:ind w:firstLine="0" w:firstLineChars="0"/>
              <w:jc w:val="center"/>
              <w:rPr>
                <w:sz w:val="21"/>
                <w:szCs w:val="21"/>
              </w:rPr>
            </w:pPr>
            <w:r>
              <w:rPr>
                <w:sz w:val="21"/>
                <w:szCs w:val="21"/>
              </w:rPr>
              <w:t>施工期</w:t>
            </w:r>
          </w:p>
        </w:tc>
        <w:tc>
          <w:tcPr>
            <w:tcW w:w="1800" w:type="dxa"/>
            <w:vAlign w:val="center"/>
          </w:tcPr>
          <w:p>
            <w:pPr>
              <w:spacing w:line="240" w:lineRule="auto"/>
              <w:ind w:firstLine="0" w:firstLineChars="0"/>
              <w:jc w:val="center"/>
              <w:rPr>
                <w:sz w:val="21"/>
                <w:szCs w:val="21"/>
              </w:rPr>
            </w:pPr>
            <w:r>
              <w:rPr>
                <w:sz w:val="21"/>
                <w:szCs w:val="21"/>
              </w:rPr>
              <w:t>1180.90</w:t>
            </w:r>
          </w:p>
        </w:tc>
        <w:tc>
          <w:tcPr>
            <w:tcW w:w="1635" w:type="dxa"/>
            <w:vAlign w:val="center"/>
          </w:tcPr>
          <w:p>
            <w:pPr>
              <w:spacing w:line="240" w:lineRule="auto"/>
              <w:ind w:firstLine="0" w:firstLineChars="0"/>
              <w:jc w:val="center"/>
              <w:rPr>
                <w:sz w:val="21"/>
                <w:szCs w:val="21"/>
              </w:rPr>
            </w:pPr>
            <w:r>
              <w:rPr>
                <w:rFonts w:hint="eastAsia"/>
                <w:sz w:val="21"/>
                <w:szCs w:val="21"/>
              </w:rPr>
              <w:t>34937</w:t>
            </w:r>
          </w:p>
        </w:tc>
        <w:tc>
          <w:tcPr>
            <w:tcW w:w="1635" w:type="dxa"/>
            <w:vAlign w:val="center"/>
          </w:tcPr>
          <w:p>
            <w:pPr>
              <w:spacing w:line="240" w:lineRule="auto"/>
              <w:ind w:firstLine="0" w:firstLineChars="0"/>
              <w:jc w:val="center"/>
              <w:rPr>
                <w:sz w:val="21"/>
                <w:szCs w:val="21"/>
              </w:rPr>
            </w:pPr>
            <w:r>
              <w:rPr>
                <w:rFonts w:hint="eastAsia"/>
                <w:sz w:val="21"/>
                <w:szCs w:val="21"/>
              </w:rPr>
              <w:t>112601</w:t>
            </w:r>
          </w:p>
        </w:tc>
        <w:tc>
          <w:tcPr>
            <w:tcW w:w="1635" w:type="dxa"/>
            <w:vAlign w:val="center"/>
          </w:tcPr>
          <w:p>
            <w:pPr>
              <w:spacing w:line="240" w:lineRule="auto"/>
              <w:ind w:firstLine="0" w:firstLineChars="0"/>
              <w:jc w:val="center"/>
              <w:rPr>
                <w:sz w:val="21"/>
                <w:szCs w:val="21"/>
              </w:rPr>
            </w:pPr>
            <w:r>
              <w:rPr>
                <w:rFonts w:hint="eastAsia"/>
                <w:sz w:val="21"/>
                <w:szCs w:val="21"/>
              </w:rPr>
              <w:t>77664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87" w:type="pct"/>
            <w:gridSpan w:val="2"/>
            <w:vAlign w:val="center"/>
          </w:tcPr>
          <w:p>
            <w:pPr>
              <w:spacing w:line="240" w:lineRule="auto"/>
              <w:ind w:firstLine="0" w:firstLineChars="0"/>
              <w:jc w:val="center"/>
              <w:rPr>
                <w:sz w:val="21"/>
                <w:szCs w:val="21"/>
              </w:rPr>
            </w:pPr>
            <w:r>
              <w:rPr>
                <w:sz w:val="21"/>
                <w:szCs w:val="21"/>
              </w:rPr>
              <w:t>自然恢复期</w:t>
            </w:r>
          </w:p>
        </w:tc>
        <w:tc>
          <w:tcPr>
            <w:tcW w:w="1800" w:type="dxa"/>
            <w:vAlign w:val="center"/>
          </w:tcPr>
          <w:p>
            <w:pPr>
              <w:spacing w:line="240" w:lineRule="auto"/>
              <w:ind w:firstLine="0" w:firstLineChars="0"/>
              <w:jc w:val="center"/>
              <w:rPr>
                <w:sz w:val="21"/>
                <w:szCs w:val="21"/>
              </w:rPr>
            </w:pPr>
            <w:r>
              <w:rPr>
                <w:sz w:val="21"/>
                <w:szCs w:val="21"/>
              </w:rPr>
              <w:t>192.35</w:t>
            </w:r>
          </w:p>
        </w:tc>
        <w:tc>
          <w:tcPr>
            <w:tcW w:w="1635" w:type="dxa"/>
            <w:vAlign w:val="center"/>
          </w:tcPr>
          <w:p>
            <w:pPr>
              <w:spacing w:line="240" w:lineRule="auto"/>
              <w:ind w:firstLine="0" w:firstLineChars="0"/>
              <w:jc w:val="center"/>
              <w:rPr>
                <w:sz w:val="21"/>
                <w:szCs w:val="21"/>
              </w:rPr>
            </w:pPr>
            <w:r>
              <w:rPr>
                <w:rFonts w:hint="eastAsia"/>
                <w:sz w:val="21"/>
                <w:szCs w:val="21"/>
              </w:rPr>
              <w:t>4473</w:t>
            </w:r>
          </w:p>
        </w:tc>
        <w:tc>
          <w:tcPr>
            <w:tcW w:w="1635" w:type="dxa"/>
            <w:vAlign w:val="center"/>
          </w:tcPr>
          <w:p>
            <w:pPr>
              <w:spacing w:line="240" w:lineRule="auto"/>
              <w:ind w:firstLine="0" w:firstLineChars="0"/>
              <w:jc w:val="center"/>
              <w:rPr>
                <w:sz w:val="21"/>
                <w:szCs w:val="21"/>
              </w:rPr>
            </w:pPr>
            <w:r>
              <w:rPr>
                <w:rFonts w:hint="eastAsia"/>
                <w:sz w:val="21"/>
                <w:szCs w:val="21"/>
              </w:rPr>
              <w:t>5205</w:t>
            </w:r>
          </w:p>
        </w:tc>
        <w:tc>
          <w:tcPr>
            <w:tcW w:w="1635" w:type="dxa"/>
            <w:vAlign w:val="center"/>
          </w:tcPr>
          <w:p>
            <w:pPr>
              <w:spacing w:line="240" w:lineRule="auto"/>
              <w:ind w:firstLine="0" w:firstLineChars="0"/>
              <w:jc w:val="center"/>
              <w:rPr>
                <w:sz w:val="21"/>
                <w:szCs w:val="21"/>
              </w:rPr>
            </w:pPr>
            <w:r>
              <w:rPr>
                <w:rFonts w:hint="eastAsia"/>
                <w:sz w:val="21"/>
                <w:szCs w:val="21"/>
              </w:rPr>
              <w:t>732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576" w:type="dxa"/>
            <w:gridSpan w:val="2"/>
            <w:vAlign w:val="center"/>
          </w:tcPr>
          <w:p>
            <w:pPr>
              <w:spacing w:line="240" w:lineRule="auto"/>
              <w:ind w:firstLine="0" w:firstLineChars="0"/>
              <w:jc w:val="center"/>
              <w:rPr>
                <w:sz w:val="21"/>
                <w:szCs w:val="21"/>
              </w:rPr>
            </w:pPr>
            <w:r>
              <w:rPr>
                <w:b/>
                <w:bCs/>
                <w:sz w:val="21"/>
                <w:szCs w:val="21"/>
              </w:rPr>
              <w:t>合计</w:t>
            </w:r>
          </w:p>
        </w:tc>
        <w:tc>
          <w:tcPr>
            <w:tcW w:w="1800" w:type="dxa"/>
            <w:vAlign w:val="center"/>
          </w:tcPr>
          <w:p>
            <w:pPr>
              <w:spacing w:line="240" w:lineRule="auto"/>
              <w:ind w:firstLine="0" w:firstLineChars="0"/>
              <w:jc w:val="center"/>
              <w:rPr>
                <w:b/>
                <w:bCs/>
                <w:sz w:val="21"/>
                <w:szCs w:val="21"/>
              </w:rPr>
            </w:pPr>
            <w:r>
              <w:rPr>
                <w:b/>
                <w:bCs/>
                <w:sz w:val="21"/>
                <w:szCs w:val="21"/>
              </w:rPr>
              <w:t>1373.25</w:t>
            </w:r>
          </w:p>
        </w:tc>
        <w:tc>
          <w:tcPr>
            <w:tcW w:w="1635" w:type="dxa"/>
            <w:vAlign w:val="center"/>
          </w:tcPr>
          <w:p>
            <w:pPr>
              <w:spacing w:line="240" w:lineRule="auto"/>
              <w:ind w:firstLine="0" w:firstLineChars="0"/>
              <w:jc w:val="center"/>
              <w:rPr>
                <w:b/>
                <w:bCs/>
                <w:sz w:val="21"/>
                <w:szCs w:val="21"/>
              </w:rPr>
            </w:pPr>
            <w:r>
              <w:rPr>
                <w:rFonts w:hint="eastAsia"/>
                <w:b/>
                <w:bCs/>
                <w:sz w:val="21"/>
                <w:szCs w:val="21"/>
              </w:rPr>
              <w:t>39410</w:t>
            </w:r>
          </w:p>
        </w:tc>
        <w:tc>
          <w:tcPr>
            <w:tcW w:w="1635" w:type="dxa"/>
            <w:vAlign w:val="center"/>
          </w:tcPr>
          <w:p>
            <w:pPr>
              <w:spacing w:line="240" w:lineRule="auto"/>
              <w:ind w:firstLine="0" w:firstLineChars="0"/>
              <w:jc w:val="center"/>
              <w:rPr>
                <w:b/>
                <w:bCs/>
                <w:sz w:val="21"/>
                <w:szCs w:val="21"/>
              </w:rPr>
            </w:pPr>
            <w:r>
              <w:rPr>
                <w:rFonts w:hint="eastAsia"/>
                <w:b/>
                <w:bCs/>
                <w:sz w:val="21"/>
                <w:szCs w:val="21"/>
              </w:rPr>
              <w:t>117806</w:t>
            </w:r>
          </w:p>
        </w:tc>
        <w:tc>
          <w:tcPr>
            <w:tcW w:w="1635" w:type="dxa"/>
            <w:vAlign w:val="center"/>
          </w:tcPr>
          <w:p>
            <w:pPr>
              <w:spacing w:line="240" w:lineRule="auto"/>
              <w:ind w:firstLine="0" w:firstLineChars="0"/>
              <w:jc w:val="center"/>
              <w:rPr>
                <w:b/>
                <w:bCs/>
                <w:sz w:val="21"/>
                <w:szCs w:val="21"/>
              </w:rPr>
            </w:pPr>
            <w:r>
              <w:rPr>
                <w:rFonts w:hint="eastAsia"/>
                <w:b/>
                <w:bCs/>
                <w:sz w:val="21"/>
                <w:szCs w:val="21"/>
              </w:rPr>
              <w:t>78396</w:t>
            </w:r>
          </w:p>
        </w:tc>
      </w:tr>
    </w:tbl>
    <w:p>
      <w:pPr>
        <w:pStyle w:val="5"/>
        <w:spacing w:beforeLines="50"/>
      </w:pPr>
      <w:bookmarkStart w:id="84" w:name="_Toc6453"/>
      <w:r>
        <w:t>4.4水土流失危害分析</w:t>
      </w:r>
      <w:bookmarkEnd w:id="84"/>
    </w:p>
    <w:p>
      <w:pPr>
        <w:pStyle w:val="6"/>
      </w:pPr>
      <w:r>
        <w:t>4.4.1已建工程存在的水土流失危害及分析</w:t>
      </w:r>
    </w:p>
    <w:p>
      <w:pPr>
        <w:ind w:firstLine="480"/>
      </w:pPr>
      <w:r>
        <w:t>通过现场调查，入驻企业的建构筑物、硬化设施均已形成，同时已建项目施工中主要依据已编报水土保持方案的要求，实施了雨水管网、内部截排水沟等工程措施，园林式绿化、植草绿化等植物措施，以及施工期间的密目网苫盖、临时排水沟等水土保持措施，截止2022年11月，园区内已建项目各项水土保持措施基本落实且运行良好，已建项目区内无明显水土流失现象，未造成场外环境的影响以及已有道路排水设施的拥堵的问题，周边人民群众也无反馈。入驻企业应继续加强对场内排水、绿化等措施的维护，保障水土保持措施能持续发挥水土流失防治效益。</w:t>
      </w:r>
    </w:p>
    <w:p>
      <w:pPr>
        <w:pStyle w:val="6"/>
      </w:pPr>
      <w:r>
        <w:t>4.4.2待建工程存在的水土流失危害及分析</w:t>
      </w:r>
    </w:p>
    <w:p>
      <w:pPr>
        <w:ind w:firstLine="480"/>
      </w:pPr>
      <w:r>
        <w:t>根据园区项目建设的总体平面布局、项目区地形地貌、河流水系和周边生态环境等情况，通过现场调查，结合水土流失调查、预测结果，对园区项目施工可能造成的水土流失危害形式、程度和可能产生的后果进行分析评价如下。如果不采取有效水土保持措施，将对园区本身以及周边的水土资源及生态环境带来不利影响，其可能的危害主要有：</w:t>
      </w:r>
    </w:p>
    <w:p>
      <w:pPr>
        <w:ind w:firstLine="480"/>
      </w:pPr>
      <w:r>
        <w:t>（1）对园区土地资源的破坏</w:t>
      </w:r>
    </w:p>
    <w:p>
      <w:pPr>
        <w:ind w:firstLine="480"/>
      </w:pPr>
      <w:r>
        <w:t>园区建设将扰动、破坏地表植被等，使原表层土剥离形成裸露地表，失去原有植被的防冲、固土能力，若不采取水土保持措施对其加以防护，表层耕植土或腐殖土将被剥离、冲刷殆尽；若对临时堆土不加防护，在降雨等自然条件下，极易产生水土流失，致使其周围的地表可能被流失的土石渣淤埋覆盖，使土壤中的养分大大降低，造成区域植被生长立地条件变差，对植被生长不利。</w:t>
      </w:r>
    </w:p>
    <w:p>
      <w:pPr>
        <w:ind w:firstLine="480"/>
      </w:pPr>
      <w:r>
        <w:t>（2）破坏植被，对局部生态环境的影响</w:t>
      </w:r>
    </w:p>
    <w:p>
      <w:pPr>
        <w:ind w:firstLine="480"/>
      </w:pPr>
      <w:r>
        <w:t>园区占地面积较大，不同建设区域的建设难免要破坏现有稳定的植被群。植被防止土壤侵蚀的作用主要表现在覆盖地表、截持降雨、减小流速、分散流量以及固定土壤和改良土壤等方面。据现场调查，本园区水土流失较严重区域几乎都发生在地表原生植被遭到破坏的地方。植被的好与坏，直接影响土壤侵蚀的形成和侵蚀量的大小，加剧了水土流失，对当地环境将造成影响。</w:t>
      </w:r>
    </w:p>
    <w:p>
      <w:pPr>
        <w:ind w:firstLine="480"/>
      </w:pPr>
      <w:r>
        <w:t>（3）影响园区及周边生产生活环境</w:t>
      </w:r>
    </w:p>
    <w:p>
      <w:pPr>
        <w:ind w:firstLine="480"/>
      </w:pPr>
      <w:r>
        <w:t>园区的建设使土地格局发生了变化， 较大面积的耕地、园地等转变成了道面、厂房及建筑物等硬化地，植被遭到破坏，使自然体系生产能力受到一定程度的影响，自然体系的生产能力降低，地表的破坏及产生的水土流失将影响周边的生态环境，加大周边土地的沙化和周边的扬尘。</w:t>
      </w:r>
    </w:p>
    <w:p>
      <w:pPr>
        <w:ind w:firstLine="480"/>
      </w:pPr>
      <w:r>
        <w:t>（4）对排水系统及河流水质的影响</w:t>
      </w:r>
    </w:p>
    <w:p>
      <w:pPr>
        <w:ind w:firstLine="480"/>
      </w:pPr>
      <w:r>
        <w:t>由于园区建设过程中对土石的开挖、搬运、回填，改变了原地貌形态，使这一部分地区的土壤侵蚀程度加剧，从而增加了土壤的流失量，如不采取必要的措施必然使土壤流失对周边水系造成一定的淤积，增加雨季水体的含沙量。这些流失的土壤进入雨水管网，会造成堵塞，对附近等河流水质造成一定的影响。</w:t>
      </w:r>
    </w:p>
    <w:p>
      <w:pPr>
        <w:ind w:firstLine="480"/>
      </w:pPr>
      <w:r>
        <w:t>（5）对园区建设自身的影响</w:t>
      </w:r>
    </w:p>
    <w:p>
      <w:pPr>
        <w:ind w:firstLine="480"/>
      </w:pPr>
      <w:r>
        <w:t>在园区建设过程中，将产生大面积的开挖面和散落土石，地表裸露，在降雨等条件下会产生大量的水土流失，原有的地形、地貌、植被均遭到破坏，蓄水保土功能受到影响，功能降低。挖填边坡易产生滑坡等，在降雨径流作用下，松散的土层被侵蚀、切割，发育成浅沟、冲沟等，径流易携带泥沙蔓延冲积到道路，影响交通；可能淤塞园区排水设施，影响园区排水设施的排水能力。</w:t>
      </w:r>
    </w:p>
    <w:p>
      <w:pPr>
        <w:ind w:firstLine="480"/>
      </w:pPr>
      <w:r>
        <w:t>（6）对当地经济发展的影响</w:t>
      </w:r>
    </w:p>
    <w:p>
      <w:pPr>
        <w:ind w:firstLine="480"/>
      </w:pPr>
      <w:r>
        <w:t>园区的建设对地区经济发展具有重要的促进作用。建设中如不采取水土保持措施，可能造成大面积损坏原生地貌植被，使大片土地裸露，地表疏松，若园区建设可能产生的新增水土流失得不到有效防治，必将使建设区现有水土流失加剧，一定程度上危及周边农田、道路等，给建设区周边居民生产生活带来不利影响，甚至会产生园区建设企业与当地群众的矛盾，影响当地经济发展。</w:t>
      </w:r>
    </w:p>
    <w:p>
      <w:pPr>
        <w:pStyle w:val="5"/>
      </w:pPr>
      <w:bookmarkStart w:id="85" w:name="_Toc24576"/>
      <w:r>
        <w:t>4.5指导性意见</w:t>
      </w:r>
      <w:bookmarkEnd w:id="85"/>
    </w:p>
    <w:p>
      <w:pPr>
        <w:ind w:firstLine="480"/>
      </w:pPr>
      <w:r>
        <w:t>1、防治重点时段与部位</w:t>
      </w:r>
    </w:p>
    <w:p>
      <w:pPr>
        <w:widowControl/>
        <w:ind w:firstLine="480"/>
      </w:pPr>
      <w:r>
        <w:rPr>
          <w:kern w:val="0"/>
          <w:szCs w:val="24"/>
        </w:rPr>
        <w:t>根据土壤流失量调查及预测结果表明，园区在施工期及自然恢复期期间可能造成的土壤流失总量为</w:t>
      </w:r>
      <w:r>
        <w:rPr>
          <w:rFonts w:hint="eastAsia"/>
          <w:kern w:val="0"/>
          <w:szCs w:val="24"/>
        </w:rPr>
        <w:t>117806</w:t>
      </w:r>
      <w:r>
        <w:rPr>
          <w:kern w:val="0"/>
          <w:szCs w:val="24"/>
        </w:rPr>
        <w:t>t（土壤流失调查量4111</w:t>
      </w:r>
      <w:r>
        <w:rPr>
          <w:rFonts w:hint="eastAsia"/>
          <w:kern w:val="0"/>
          <w:szCs w:val="24"/>
        </w:rPr>
        <w:t>2</w:t>
      </w:r>
      <w:r>
        <w:rPr>
          <w:kern w:val="0"/>
          <w:szCs w:val="24"/>
        </w:rPr>
        <w:t>t，土壤流失预测量为76694t），新增土壤流失总量为7839</w:t>
      </w:r>
      <w:r>
        <w:rPr>
          <w:rFonts w:hint="eastAsia"/>
          <w:kern w:val="0"/>
          <w:szCs w:val="24"/>
        </w:rPr>
        <w:t>6</w:t>
      </w:r>
      <w:r>
        <w:rPr>
          <w:kern w:val="0"/>
          <w:szCs w:val="24"/>
        </w:rPr>
        <w:t>t。在新增土壤流失总量中，施工期造成的土壤流失量为77664t，占新增土壤流失总量的99.07%；自然恢复期造成的土壤流失量为732t，占新增土壤流失总量的0.93%。由此，</w:t>
      </w:r>
      <w:r>
        <w:t>施工期为重点监测时段。</w:t>
      </w:r>
    </w:p>
    <w:p>
      <w:pPr>
        <w:ind w:firstLine="480"/>
      </w:pPr>
      <w:r>
        <w:rPr>
          <w:kern w:val="0"/>
          <w:szCs w:val="24"/>
        </w:rPr>
        <w:t>施工期新增土壤流失总量为77664t，其中工业用地新增土壤流失量为6488</w:t>
      </w:r>
      <w:r>
        <w:rPr>
          <w:rFonts w:hint="eastAsia"/>
          <w:kern w:val="0"/>
          <w:szCs w:val="24"/>
        </w:rPr>
        <w:t>3</w:t>
      </w:r>
      <w:r>
        <w:rPr>
          <w:kern w:val="0"/>
          <w:szCs w:val="24"/>
        </w:rPr>
        <w:t>t，占新增土壤流失总量的83.54%；道路与交通设施用地新增土壤流失量为3795t，占新增土壤流失总量的4.89%；公用设施用地新增土壤流失量为158</w:t>
      </w:r>
      <w:r>
        <w:rPr>
          <w:rFonts w:hint="eastAsia"/>
          <w:kern w:val="0"/>
          <w:szCs w:val="24"/>
        </w:rPr>
        <w:t>1</w:t>
      </w:r>
      <w:r>
        <w:rPr>
          <w:kern w:val="0"/>
          <w:szCs w:val="24"/>
        </w:rPr>
        <w:t>t，占新增土壤流失总量的2.0</w:t>
      </w:r>
      <w:r>
        <w:rPr>
          <w:rFonts w:hint="eastAsia"/>
          <w:kern w:val="0"/>
          <w:szCs w:val="24"/>
        </w:rPr>
        <w:t>4</w:t>
      </w:r>
      <w:r>
        <w:rPr>
          <w:kern w:val="0"/>
          <w:szCs w:val="24"/>
        </w:rPr>
        <w:t>%；绿地与广场用地新增土壤流失量为236</w:t>
      </w:r>
      <w:r>
        <w:rPr>
          <w:rFonts w:hint="eastAsia"/>
          <w:kern w:val="0"/>
          <w:szCs w:val="24"/>
        </w:rPr>
        <w:t>5</w:t>
      </w:r>
      <w:r>
        <w:rPr>
          <w:kern w:val="0"/>
          <w:szCs w:val="24"/>
        </w:rPr>
        <w:t>t，占新增土壤流失总量的3.0</w:t>
      </w:r>
      <w:r>
        <w:rPr>
          <w:rFonts w:hint="eastAsia"/>
          <w:kern w:val="0"/>
          <w:szCs w:val="24"/>
        </w:rPr>
        <w:t>4</w:t>
      </w:r>
      <w:r>
        <w:rPr>
          <w:kern w:val="0"/>
          <w:szCs w:val="24"/>
        </w:rPr>
        <w:t>%；土石方中转场新增土壤流失量为112</w:t>
      </w:r>
      <w:r>
        <w:rPr>
          <w:rFonts w:hint="eastAsia"/>
          <w:kern w:val="0"/>
          <w:szCs w:val="24"/>
        </w:rPr>
        <w:t>8</w:t>
      </w:r>
      <w:r>
        <w:rPr>
          <w:kern w:val="0"/>
          <w:szCs w:val="24"/>
        </w:rPr>
        <w:t>t，占新增土壤流失总量的1.45%；表土中转场新增土壤流失量为391</w:t>
      </w:r>
      <w:r>
        <w:rPr>
          <w:rFonts w:hint="eastAsia"/>
          <w:kern w:val="0"/>
          <w:szCs w:val="24"/>
        </w:rPr>
        <w:t>2</w:t>
      </w:r>
      <w:r>
        <w:rPr>
          <w:kern w:val="0"/>
          <w:szCs w:val="24"/>
        </w:rPr>
        <w:t>t，占新增土壤流失总量的5.04%。由此，工业用地是水土流失的重点部位。</w:t>
      </w:r>
    </w:p>
    <w:p>
      <w:pPr>
        <w:ind w:firstLine="480"/>
      </w:pPr>
      <w:r>
        <w:t>2、对施工时序、进度安排的指导意见</w:t>
      </w:r>
    </w:p>
    <w:p>
      <w:pPr>
        <w:ind w:firstLine="480"/>
      </w:pPr>
      <w:r>
        <w:t>根据调查及预测结果，场平施工期是新增水土流失最严重的时期，在施工中应进一步优化园区规划施工进度安排，有效缩短产生水土流失时段，同时严格按照“先挡后弃”原则落实表土临时堆放的防护措施。尽量不要安排在雨天施工，难以避开的，应加强水土流失的防护。</w:t>
      </w:r>
    </w:p>
    <w:p>
      <w:pPr>
        <w:ind w:firstLine="480"/>
      </w:pPr>
      <w:r>
        <w:t>3、防治措施的指导意见</w:t>
      </w:r>
    </w:p>
    <w:p>
      <w:pPr>
        <w:ind w:firstLine="480"/>
      </w:pPr>
      <w:r>
        <w:t>根据调查及预测结果，本园区范围内的区域均为水土流失的重点防治区域，结合园区的实际情况，应采取切实有效措施防治产生的水土流失。</w:t>
      </w:r>
    </w:p>
    <w:p>
      <w:pPr>
        <w:ind w:firstLine="480"/>
      </w:pPr>
      <w:r>
        <w:fldChar w:fldCharType="begin"/>
      </w:r>
      <w:r>
        <w:instrText xml:space="preserve">= 1 \* GB3</w:instrText>
      </w:r>
      <w:r>
        <w:fldChar w:fldCharType="separate"/>
      </w:r>
      <w:r>
        <w:t>①</w:t>
      </w:r>
      <w:r>
        <w:fldChar w:fldCharType="end"/>
      </w:r>
      <w:r>
        <w:t>在施工临时场地建临时排水沟防止雨水、施工用水、生活用水等冲刷地表，并在排水沟上及出口设置临时沉沙池，使雨水、污水经沉沙池沉淀后再排入调蓄湖等措施；</w:t>
      </w:r>
    </w:p>
    <w:p>
      <w:pPr>
        <w:ind w:firstLine="480"/>
      </w:pPr>
      <w:r>
        <w:fldChar w:fldCharType="begin"/>
      </w:r>
      <w:r>
        <w:instrText xml:space="preserve">= 2 \* GB3</w:instrText>
      </w:r>
      <w:r>
        <w:fldChar w:fldCharType="separate"/>
      </w:r>
      <w:r>
        <w:t>②</w:t>
      </w:r>
      <w:r>
        <w:fldChar w:fldCharType="end"/>
      </w:r>
      <w:r>
        <w:t>对临时堆土（含表土和回填土）采取临时覆盖措施，并设置相应的排水沟、沉沙池等，同时园区规划中具有水土保持功能的措施应该同步进行或提前施工，最大程度防止水土流失；</w:t>
      </w:r>
    </w:p>
    <w:p>
      <w:pPr>
        <w:ind w:firstLine="480"/>
      </w:pPr>
      <w:r>
        <w:fldChar w:fldCharType="begin"/>
      </w:r>
      <w:r>
        <w:instrText xml:space="preserve">= 3 \* GB3</w:instrText>
      </w:r>
      <w:r>
        <w:fldChar w:fldCharType="separate"/>
      </w:r>
      <w:r>
        <w:t>③</w:t>
      </w:r>
      <w:r>
        <w:fldChar w:fldCharType="end"/>
      </w:r>
      <w:r>
        <w:t>根据工程进度及季节，园区要尽早按照园区规划设计的绿化方案进行实施绿化，尽量减少工程建设期间的水土流失，尽早发挥植物措施的功能，将对生态环境的影响降至最低，并改善周围的生态环境。</w:t>
      </w:r>
    </w:p>
    <w:p>
      <w:pPr>
        <w:ind w:firstLine="480"/>
      </w:pPr>
      <w:r>
        <w:t>4、水土保持监测的指导意见</w:t>
      </w:r>
    </w:p>
    <w:p>
      <w:pPr>
        <w:ind w:firstLine="480"/>
      </w:pPr>
      <w:r>
        <w:t>根据调查及预测结果，新增水土流失主要产生在园区施工期，应作为监测重点时段，同时对土石方开挖较大的区域也许进行重点监测。</w:t>
      </w:r>
    </w:p>
    <w:p>
      <w:pPr>
        <w:ind w:firstLine="480"/>
      </w:pPr>
      <w:r>
        <w:t>综上所述，在工程建设及生产运行过程中，都应加强水土流失的防治，以便有效控制因园区建设而引起的水土流失，将园区建设对区域产生的负面影响降低到最低程度，以实现区域生态系统的良性循环，促进当地经济和环境的和谐发展。</w:t>
      </w:r>
    </w:p>
    <w:p>
      <w:pPr>
        <w:ind w:firstLine="480"/>
      </w:pPr>
    </w:p>
    <w:p>
      <w:pPr>
        <w:ind w:firstLine="480"/>
      </w:pPr>
    </w:p>
    <w:p>
      <w:pPr>
        <w:ind w:firstLine="480"/>
        <w:sectPr>
          <w:headerReference r:id="rId27" w:type="default"/>
          <w:headerReference r:id="rId28" w:type="even"/>
          <w:pgSz w:w="11905" w:h="16838"/>
          <w:pgMar w:top="1417" w:right="1417" w:bottom="1417" w:left="1417" w:header="850" w:footer="992" w:gutter="0"/>
          <w:cols w:space="720" w:num="1"/>
          <w:docGrid w:linePitch="330" w:charSpace="0"/>
        </w:sectPr>
      </w:pPr>
    </w:p>
    <w:p>
      <w:pPr>
        <w:pStyle w:val="4"/>
      </w:pPr>
      <w:bookmarkStart w:id="86" w:name="_Toc20272"/>
      <w:r>
        <w:t>5水土保持措施</w:t>
      </w:r>
      <w:bookmarkEnd w:id="86"/>
    </w:p>
    <w:p>
      <w:pPr>
        <w:pStyle w:val="5"/>
      </w:pPr>
      <w:bookmarkStart w:id="87" w:name="_Toc21786"/>
      <w:r>
        <w:t>5.1防治分区划分</w:t>
      </w:r>
      <w:bookmarkEnd w:id="87"/>
    </w:p>
    <w:p>
      <w:pPr>
        <w:pStyle w:val="6"/>
      </w:pPr>
      <w:r>
        <w:t>5.1.1分区目的</w:t>
      </w:r>
    </w:p>
    <w:p>
      <w:pPr>
        <w:ind w:firstLine="480"/>
      </w:pPr>
      <w:r>
        <w:t>依据主体工程布局、施工扰动特点、建设时序、水土流失影响等进行分区，通过水土流失防治分区的划分，将地形、占地类型、占用方式、水土流失特点等具有相同或相似的区域划入同一分区，便于水土流失的综合防治及水土保持措施的综合布置。</w:t>
      </w:r>
    </w:p>
    <w:p>
      <w:pPr>
        <w:pStyle w:val="6"/>
      </w:pPr>
      <w:r>
        <w:t>5.1.2分区原则</w:t>
      </w:r>
    </w:p>
    <w:p>
      <w:pPr>
        <w:ind w:firstLine="480"/>
      </w:pPr>
      <w:r>
        <w:t>依据主体工程布局范围的地貌特征、施工扰动特点、建设时序、水土流失影响进行水土流失防治分区。</w:t>
      </w:r>
    </w:p>
    <w:p>
      <w:pPr>
        <w:ind w:firstLine="480"/>
      </w:pPr>
      <w:r>
        <w:t>1、相似性原则。区内有明显相似性，区间具有显著差异性原则。在地形地貌、施工布局，扰动地表时段、可能造成水土流失强度及防治措施等方面。同一分区内应具有明显的相似性，不同分区之间有明显的差异性。</w:t>
      </w:r>
    </w:p>
    <w:p>
      <w:pPr>
        <w:ind w:firstLine="480"/>
      </w:pPr>
      <w:r>
        <w:t>2、主导因素原则。本园区主要考虑施工布局、水土流失类型、强度及原因作为主导因素。</w:t>
      </w:r>
    </w:p>
    <w:p>
      <w:pPr>
        <w:ind w:firstLine="480"/>
      </w:pPr>
      <w:r>
        <w:t>3、综合性与层次性原则。水土流失防治分区不可能过细，需要集中各种影响因素和防治要求的组合，应注意分区的综合性，各级分区应层次分明，具有关联性和系统性。</w:t>
      </w:r>
    </w:p>
    <w:p>
      <w:pPr>
        <w:ind w:firstLine="480"/>
      </w:pPr>
      <w:r>
        <w:t>4、用途取向性原则。各分区内的防治措施体系应基本相同，具有较为一致的改造利用途径和措施。</w:t>
      </w:r>
    </w:p>
    <w:p>
      <w:pPr>
        <w:ind w:firstLine="480"/>
      </w:pPr>
      <w:r>
        <w:t>5、地域完整性原则。遵循集中连片，便于水土保持措施体系布置和施工的原则。</w:t>
      </w:r>
    </w:p>
    <w:p>
      <w:pPr>
        <w:pStyle w:val="6"/>
      </w:pPr>
      <w:r>
        <w:t>5.1.3分区结果</w:t>
      </w:r>
    </w:p>
    <w:p>
      <w:pPr>
        <w:ind w:firstLine="480"/>
      </w:pPr>
      <w:r>
        <w:rPr>
          <w:lang w:val="zh-CN"/>
        </w:rPr>
        <w:t>根据以上原则，本项目水土保持</w:t>
      </w:r>
      <w:r>
        <w:t>防治责任主体单位为</w:t>
      </w:r>
      <w:r>
        <w:rPr>
          <w:rFonts w:hint="eastAsia"/>
          <w:bCs/>
          <w:lang w:eastAsia="zh-CN"/>
        </w:rPr>
        <w:t>四川五通桥经济开发区管理委员会（原乐山高新区五通桥基地管理委员会）</w:t>
      </w:r>
      <w:r>
        <w:t>。在实地调查勘测、有关资料收集和数据分析基础上，进行了园区水土流失防治分区，本报告将水土流失防治区划分为近期建设区、远期建设区、临时堆场区、施工生产生活区等4个一级分区，近期建设区、远期建设区再根据建设状态划分为在建区、已建区、未建区等3个二级分区，临时堆场区再划分为表土中转场区及土石方中转场区等2个二级分区，在建区、已建区、未建区再细分为工业用地区、道路与交通设施用地区、公用设施用地区、绿地与广场用地区等4个三级分区。水土流失防治分区划分成果详见下表。</w:t>
      </w:r>
    </w:p>
    <w:p>
      <w:pPr>
        <w:pStyle w:val="68"/>
        <w:spacing w:after="120"/>
      </w:pPr>
      <w:r>
        <w:t>表5.1-1水土流失防治分区划分成果表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684"/>
        <w:gridCol w:w="1467"/>
        <w:gridCol w:w="2533"/>
        <w:gridCol w:w="3417"/>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684" w:type="dxa"/>
            <w:gridSpan w:val="3"/>
            <w:vAlign w:val="center"/>
          </w:tcPr>
          <w:p>
            <w:pPr>
              <w:pStyle w:val="53"/>
              <w:jc w:val="center"/>
              <w:rPr>
                <w:rFonts w:eastAsia="仿宋_GB2312"/>
                <w:b/>
                <w:bCs/>
              </w:rPr>
            </w:pPr>
            <w:r>
              <w:rPr>
                <w:rFonts w:eastAsia="仿宋_GB2312"/>
                <w:b/>
                <w:bCs/>
              </w:rPr>
              <w:t>防治分区</w:t>
            </w:r>
          </w:p>
        </w:tc>
        <w:tc>
          <w:tcPr>
            <w:tcW w:w="3417" w:type="dxa"/>
            <w:vMerge w:val="restart"/>
            <w:vAlign w:val="center"/>
          </w:tcPr>
          <w:p>
            <w:pPr>
              <w:pStyle w:val="53"/>
              <w:jc w:val="center"/>
              <w:rPr>
                <w:rFonts w:eastAsia="仿宋_GB2312"/>
                <w:b/>
                <w:bCs/>
              </w:rPr>
            </w:pPr>
            <w:r>
              <w:rPr>
                <w:rFonts w:eastAsia="仿宋_GB2312"/>
                <w:b/>
                <w:bCs/>
              </w:rPr>
              <w:t>防治责任范围（hm</w:t>
            </w:r>
            <w:r>
              <w:rPr>
                <w:rFonts w:eastAsia="仿宋_GB2312"/>
                <w:b/>
                <w:bCs/>
                <w:vertAlign w:val="superscript"/>
              </w:rPr>
              <w:t>2</w:t>
            </w:r>
            <w:r>
              <w:rPr>
                <w:rFonts w:eastAsia="仿宋_GB2312"/>
                <w:b/>
                <w:bCs/>
              </w:rPr>
              <w:t>）</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684" w:type="dxa"/>
            <w:vAlign w:val="center"/>
          </w:tcPr>
          <w:p>
            <w:pPr>
              <w:pStyle w:val="53"/>
              <w:jc w:val="center"/>
              <w:rPr>
                <w:rFonts w:eastAsia="仿宋_GB2312"/>
                <w:b/>
                <w:bCs/>
              </w:rPr>
            </w:pPr>
            <w:r>
              <w:rPr>
                <w:rFonts w:eastAsia="仿宋_GB2312"/>
                <w:b/>
                <w:bCs/>
              </w:rPr>
              <w:t>一级分区</w:t>
            </w:r>
          </w:p>
        </w:tc>
        <w:tc>
          <w:tcPr>
            <w:tcW w:w="1467" w:type="dxa"/>
            <w:vAlign w:val="center"/>
          </w:tcPr>
          <w:p>
            <w:pPr>
              <w:pStyle w:val="53"/>
              <w:jc w:val="center"/>
              <w:rPr>
                <w:rFonts w:eastAsia="仿宋_GB2312"/>
                <w:b/>
                <w:bCs/>
              </w:rPr>
            </w:pPr>
            <w:r>
              <w:rPr>
                <w:rFonts w:eastAsia="仿宋_GB2312"/>
                <w:b/>
                <w:bCs/>
              </w:rPr>
              <w:t>二级分区</w:t>
            </w:r>
          </w:p>
        </w:tc>
        <w:tc>
          <w:tcPr>
            <w:tcW w:w="2533" w:type="dxa"/>
            <w:vAlign w:val="center"/>
          </w:tcPr>
          <w:p>
            <w:pPr>
              <w:pStyle w:val="53"/>
              <w:jc w:val="center"/>
              <w:rPr>
                <w:rFonts w:eastAsia="仿宋_GB2312"/>
                <w:b/>
                <w:bCs/>
              </w:rPr>
            </w:pPr>
            <w:r>
              <w:rPr>
                <w:rFonts w:eastAsia="仿宋_GB2312"/>
                <w:b/>
                <w:bCs/>
              </w:rPr>
              <w:t>三级分区</w:t>
            </w:r>
          </w:p>
        </w:tc>
        <w:tc>
          <w:tcPr>
            <w:tcW w:w="3417" w:type="dxa"/>
            <w:vMerge w:val="continue"/>
            <w:vAlign w:val="center"/>
          </w:tcPr>
          <w:p>
            <w:pPr>
              <w:pStyle w:val="53"/>
              <w:jc w:val="center"/>
              <w:rPr>
                <w:rFonts w:eastAsia="仿宋_GB2312"/>
                <w:b/>
                <w:bCs/>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6" w:hRule="atLeast"/>
        </w:trPr>
        <w:tc>
          <w:tcPr>
            <w:tcW w:w="1684" w:type="dxa"/>
            <w:vMerge w:val="restart"/>
            <w:vAlign w:val="center"/>
          </w:tcPr>
          <w:p>
            <w:pPr>
              <w:pStyle w:val="53"/>
              <w:jc w:val="center"/>
              <w:rPr>
                <w:rFonts w:eastAsia="仿宋_GB2312"/>
              </w:rPr>
            </w:pPr>
            <w:r>
              <w:rPr>
                <w:rFonts w:eastAsia="仿宋_GB2312"/>
              </w:rPr>
              <w:t>近期建设区</w:t>
            </w:r>
          </w:p>
        </w:tc>
        <w:tc>
          <w:tcPr>
            <w:tcW w:w="1467" w:type="dxa"/>
            <w:vMerge w:val="restart"/>
            <w:vAlign w:val="center"/>
          </w:tcPr>
          <w:p>
            <w:pPr>
              <w:pStyle w:val="53"/>
              <w:jc w:val="center"/>
              <w:rPr>
                <w:rFonts w:eastAsia="仿宋_GB2312"/>
              </w:rPr>
            </w:pPr>
            <w:r>
              <w:rPr>
                <w:rFonts w:eastAsia="仿宋_GB2312"/>
              </w:rPr>
              <w:t>已建区</w:t>
            </w:r>
          </w:p>
        </w:tc>
        <w:tc>
          <w:tcPr>
            <w:tcW w:w="2533" w:type="dxa"/>
            <w:vAlign w:val="center"/>
          </w:tcPr>
          <w:p>
            <w:pPr>
              <w:pStyle w:val="53"/>
              <w:jc w:val="center"/>
              <w:rPr>
                <w:rFonts w:eastAsia="仿宋_GB2312"/>
              </w:rPr>
            </w:pPr>
            <w:r>
              <w:rPr>
                <w:rFonts w:eastAsia="仿宋_GB2312"/>
              </w:rPr>
              <w:t>工业用地区</w:t>
            </w:r>
          </w:p>
        </w:tc>
        <w:tc>
          <w:tcPr>
            <w:tcW w:w="3417" w:type="dxa"/>
            <w:vAlign w:val="center"/>
          </w:tcPr>
          <w:p>
            <w:pPr>
              <w:pStyle w:val="53"/>
              <w:jc w:val="center"/>
              <w:rPr>
                <w:rFonts w:eastAsia="仿宋_GB2312"/>
              </w:rPr>
            </w:pPr>
            <w:r>
              <w:rPr>
                <w:rFonts w:eastAsia="仿宋_GB2312"/>
              </w:rPr>
              <w:t>52.71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1"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pStyle w:val="53"/>
              <w:jc w:val="center"/>
              <w:rPr>
                <w:rFonts w:eastAsia="仿宋_GB2312"/>
              </w:rPr>
            </w:pPr>
            <w:r>
              <w:rPr>
                <w:rFonts w:eastAsia="仿宋_GB2312"/>
              </w:rPr>
              <w:t>道路与交通设施用地区</w:t>
            </w:r>
          </w:p>
        </w:tc>
        <w:tc>
          <w:tcPr>
            <w:tcW w:w="3417" w:type="dxa"/>
            <w:vAlign w:val="center"/>
          </w:tcPr>
          <w:p>
            <w:pPr>
              <w:pStyle w:val="53"/>
              <w:jc w:val="center"/>
              <w:rPr>
                <w:rFonts w:eastAsia="仿宋_GB2312"/>
              </w:rPr>
            </w:pPr>
            <w:r>
              <w:rPr>
                <w:rFonts w:eastAsia="仿宋_GB2312"/>
              </w:rPr>
              <w:t>6.29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1684" w:type="dxa"/>
            <w:vMerge w:val="continue"/>
            <w:vAlign w:val="center"/>
          </w:tcPr>
          <w:p>
            <w:pPr>
              <w:pStyle w:val="53"/>
              <w:jc w:val="center"/>
              <w:rPr>
                <w:rFonts w:eastAsia="仿宋_GB2312"/>
              </w:rPr>
            </w:pPr>
          </w:p>
        </w:tc>
        <w:tc>
          <w:tcPr>
            <w:tcW w:w="1467" w:type="dxa"/>
            <w:vMerge w:val="restart"/>
            <w:vAlign w:val="center"/>
          </w:tcPr>
          <w:p>
            <w:pPr>
              <w:pStyle w:val="53"/>
              <w:jc w:val="center"/>
              <w:rPr>
                <w:rFonts w:eastAsia="仿宋_GB2312"/>
              </w:rPr>
            </w:pPr>
            <w:r>
              <w:rPr>
                <w:rFonts w:eastAsia="仿宋_GB2312"/>
              </w:rPr>
              <w:t>在建区</w:t>
            </w:r>
          </w:p>
        </w:tc>
        <w:tc>
          <w:tcPr>
            <w:tcW w:w="2533" w:type="dxa"/>
            <w:vAlign w:val="center"/>
          </w:tcPr>
          <w:p>
            <w:pPr>
              <w:pStyle w:val="53"/>
              <w:jc w:val="center"/>
              <w:rPr>
                <w:rFonts w:eastAsia="仿宋_GB2312"/>
              </w:rPr>
            </w:pPr>
            <w:r>
              <w:rPr>
                <w:rFonts w:eastAsia="仿宋_GB2312"/>
              </w:rPr>
              <w:t>工业用地区</w:t>
            </w:r>
          </w:p>
        </w:tc>
        <w:tc>
          <w:tcPr>
            <w:tcW w:w="3417" w:type="dxa"/>
            <w:vAlign w:val="center"/>
          </w:tcPr>
          <w:p>
            <w:pPr>
              <w:pStyle w:val="53"/>
              <w:jc w:val="center"/>
              <w:rPr>
                <w:rFonts w:eastAsia="仿宋_GB2312"/>
              </w:rPr>
            </w:pPr>
            <w:r>
              <w:rPr>
                <w:rFonts w:eastAsia="仿宋_GB2312"/>
              </w:rPr>
              <w:t>300.34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1"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pStyle w:val="53"/>
              <w:jc w:val="center"/>
              <w:rPr>
                <w:rFonts w:eastAsia="仿宋_GB2312"/>
              </w:rPr>
            </w:pPr>
            <w:r>
              <w:rPr>
                <w:rFonts w:eastAsia="仿宋_GB2312"/>
              </w:rPr>
              <w:t>道路与交通设施用地区</w:t>
            </w:r>
          </w:p>
        </w:tc>
        <w:tc>
          <w:tcPr>
            <w:tcW w:w="3417" w:type="dxa"/>
            <w:vAlign w:val="center"/>
          </w:tcPr>
          <w:p>
            <w:pPr>
              <w:pStyle w:val="53"/>
              <w:jc w:val="center"/>
              <w:rPr>
                <w:rFonts w:eastAsia="仿宋_GB2312"/>
              </w:rPr>
            </w:pPr>
            <w:r>
              <w:rPr>
                <w:rFonts w:eastAsia="仿宋_GB2312"/>
              </w:rPr>
              <w:t>41.43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1"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公用设施用地区</w:t>
            </w:r>
          </w:p>
        </w:tc>
        <w:tc>
          <w:tcPr>
            <w:tcW w:w="3417" w:type="dxa"/>
            <w:vAlign w:val="center"/>
          </w:tcPr>
          <w:p>
            <w:pPr>
              <w:pStyle w:val="53"/>
              <w:jc w:val="center"/>
              <w:rPr>
                <w:rFonts w:eastAsia="仿宋_GB2312"/>
              </w:rPr>
            </w:pPr>
            <w:r>
              <w:rPr>
                <w:rFonts w:eastAsia="仿宋_GB2312"/>
              </w:rPr>
              <w:t>8.15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6"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3417" w:type="dxa"/>
            <w:vAlign w:val="center"/>
          </w:tcPr>
          <w:p>
            <w:pPr>
              <w:pStyle w:val="53"/>
              <w:jc w:val="center"/>
              <w:rPr>
                <w:rFonts w:eastAsia="仿宋_GB2312"/>
              </w:rPr>
            </w:pPr>
            <w:r>
              <w:rPr>
                <w:rFonts w:eastAsia="仿宋_GB2312"/>
              </w:rPr>
              <w:t>18.80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9" w:hRule="atLeast"/>
        </w:trPr>
        <w:tc>
          <w:tcPr>
            <w:tcW w:w="1684" w:type="dxa"/>
            <w:vMerge w:val="continue"/>
            <w:vAlign w:val="center"/>
          </w:tcPr>
          <w:p>
            <w:pPr>
              <w:pStyle w:val="53"/>
              <w:jc w:val="center"/>
              <w:rPr>
                <w:rFonts w:eastAsia="仿宋_GB2312"/>
              </w:rPr>
            </w:pPr>
          </w:p>
        </w:tc>
        <w:tc>
          <w:tcPr>
            <w:tcW w:w="1467" w:type="dxa"/>
            <w:vMerge w:val="restart"/>
            <w:vAlign w:val="center"/>
          </w:tcPr>
          <w:p>
            <w:pPr>
              <w:pStyle w:val="53"/>
              <w:jc w:val="center"/>
              <w:rPr>
                <w:rFonts w:eastAsia="仿宋_GB2312"/>
              </w:rPr>
            </w:pPr>
            <w:r>
              <w:rPr>
                <w:rFonts w:eastAsia="仿宋_GB2312"/>
              </w:rPr>
              <w:t>未建区</w:t>
            </w:r>
          </w:p>
        </w:tc>
        <w:tc>
          <w:tcPr>
            <w:tcW w:w="2533" w:type="dxa"/>
            <w:vAlign w:val="center"/>
          </w:tcPr>
          <w:p>
            <w:pPr>
              <w:pStyle w:val="53"/>
              <w:jc w:val="center"/>
              <w:rPr>
                <w:rFonts w:eastAsia="仿宋_GB2312"/>
              </w:rPr>
            </w:pPr>
            <w:r>
              <w:rPr>
                <w:rFonts w:eastAsia="仿宋_GB2312"/>
              </w:rPr>
              <w:t>工业用地区</w:t>
            </w:r>
          </w:p>
        </w:tc>
        <w:tc>
          <w:tcPr>
            <w:tcW w:w="3417" w:type="dxa"/>
            <w:vAlign w:val="center"/>
          </w:tcPr>
          <w:p>
            <w:pPr>
              <w:pStyle w:val="53"/>
              <w:jc w:val="center"/>
              <w:rPr>
                <w:rFonts w:eastAsia="仿宋_GB2312"/>
              </w:rPr>
            </w:pPr>
            <w:r>
              <w:rPr>
                <w:rFonts w:eastAsia="仿宋_GB2312"/>
              </w:rPr>
              <w:t>245.59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0"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pStyle w:val="53"/>
              <w:jc w:val="center"/>
              <w:rPr>
                <w:rFonts w:eastAsia="仿宋_GB2312"/>
              </w:rPr>
            </w:pPr>
            <w:r>
              <w:rPr>
                <w:rFonts w:eastAsia="仿宋_GB2312"/>
              </w:rPr>
              <w:t>道路与交通设施用地区</w:t>
            </w:r>
          </w:p>
        </w:tc>
        <w:tc>
          <w:tcPr>
            <w:tcW w:w="3417" w:type="dxa"/>
            <w:vAlign w:val="center"/>
          </w:tcPr>
          <w:p>
            <w:pPr>
              <w:pStyle w:val="53"/>
              <w:jc w:val="center"/>
              <w:rPr>
                <w:rFonts w:eastAsia="仿宋_GB2312"/>
              </w:rPr>
            </w:pPr>
            <w:r>
              <w:rPr>
                <w:rFonts w:eastAsia="仿宋_GB2312"/>
              </w:rPr>
              <w:t>26.17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6"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公用设施用地区</w:t>
            </w:r>
          </w:p>
        </w:tc>
        <w:tc>
          <w:tcPr>
            <w:tcW w:w="3417" w:type="dxa"/>
            <w:vAlign w:val="center"/>
          </w:tcPr>
          <w:p>
            <w:pPr>
              <w:pStyle w:val="53"/>
              <w:jc w:val="center"/>
              <w:rPr>
                <w:rFonts w:eastAsia="仿宋_GB2312"/>
              </w:rPr>
            </w:pPr>
            <w:r>
              <w:rPr>
                <w:rFonts w:eastAsia="仿宋_GB2312"/>
              </w:rPr>
              <w:t>23.31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9"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3417" w:type="dxa"/>
            <w:vAlign w:val="center"/>
          </w:tcPr>
          <w:p>
            <w:pPr>
              <w:pStyle w:val="53"/>
              <w:jc w:val="center"/>
              <w:rPr>
                <w:rFonts w:eastAsia="仿宋_GB2312"/>
              </w:rPr>
            </w:pPr>
            <w:r>
              <w:rPr>
                <w:rFonts w:eastAsia="仿宋_GB2312"/>
              </w:rPr>
              <w:t>22.77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7" w:hRule="atLeast"/>
        </w:trPr>
        <w:tc>
          <w:tcPr>
            <w:tcW w:w="1684" w:type="dxa"/>
            <w:vMerge w:val="continue"/>
            <w:vAlign w:val="center"/>
          </w:tcPr>
          <w:p>
            <w:pPr>
              <w:pStyle w:val="53"/>
              <w:jc w:val="center"/>
              <w:rPr>
                <w:rFonts w:eastAsia="仿宋_GB2312"/>
              </w:rPr>
            </w:pPr>
          </w:p>
        </w:tc>
        <w:tc>
          <w:tcPr>
            <w:tcW w:w="4000" w:type="dxa"/>
            <w:gridSpan w:val="2"/>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3417" w:type="dxa"/>
            <w:vAlign w:val="center"/>
          </w:tcPr>
          <w:p>
            <w:pPr>
              <w:pStyle w:val="53"/>
              <w:jc w:val="center"/>
              <w:rPr>
                <w:rFonts w:eastAsia="仿宋_GB2312"/>
                <w:b/>
                <w:bCs/>
              </w:rPr>
            </w:pPr>
            <w:r>
              <w:rPr>
                <w:rFonts w:eastAsia="仿宋_GB2312"/>
                <w:b/>
                <w:bCs/>
              </w:rPr>
              <w:t>745.56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1" w:hRule="atLeast"/>
        </w:trPr>
        <w:tc>
          <w:tcPr>
            <w:tcW w:w="1684" w:type="dxa"/>
            <w:vMerge w:val="restart"/>
            <w:vAlign w:val="center"/>
          </w:tcPr>
          <w:p>
            <w:pPr>
              <w:pStyle w:val="53"/>
              <w:jc w:val="center"/>
              <w:rPr>
                <w:rFonts w:eastAsia="仿宋_GB2312"/>
              </w:rPr>
            </w:pPr>
            <w:r>
              <w:rPr>
                <w:rFonts w:eastAsia="仿宋_GB2312"/>
              </w:rPr>
              <w:t>远期建设区</w:t>
            </w:r>
          </w:p>
        </w:tc>
        <w:tc>
          <w:tcPr>
            <w:tcW w:w="1467" w:type="dxa"/>
            <w:vMerge w:val="restart"/>
            <w:vAlign w:val="center"/>
          </w:tcPr>
          <w:p>
            <w:pPr>
              <w:pStyle w:val="53"/>
              <w:jc w:val="center"/>
              <w:rPr>
                <w:rFonts w:eastAsia="仿宋_GB2312"/>
              </w:rPr>
            </w:pPr>
            <w:r>
              <w:rPr>
                <w:rFonts w:eastAsia="仿宋_GB2312"/>
              </w:rPr>
              <w:t>未建区</w:t>
            </w:r>
          </w:p>
        </w:tc>
        <w:tc>
          <w:tcPr>
            <w:tcW w:w="2533" w:type="dxa"/>
            <w:vAlign w:val="center"/>
          </w:tcPr>
          <w:p>
            <w:pPr>
              <w:tabs>
                <w:tab w:val="left" w:pos="1050"/>
              </w:tabs>
              <w:spacing w:line="240" w:lineRule="auto"/>
              <w:ind w:firstLine="0" w:firstLineChars="0"/>
              <w:jc w:val="center"/>
              <w:rPr>
                <w:sz w:val="21"/>
                <w:szCs w:val="21"/>
              </w:rPr>
            </w:pPr>
            <w:r>
              <w:rPr>
                <w:sz w:val="21"/>
                <w:szCs w:val="21"/>
              </w:rPr>
              <w:t>工业用地区</w:t>
            </w:r>
          </w:p>
        </w:tc>
        <w:tc>
          <w:tcPr>
            <w:tcW w:w="3417" w:type="dxa"/>
            <w:vAlign w:val="center"/>
          </w:tcPr>
          <w:p>
            <w:pPr>
              <w:tabs>
                <w:tab w:val="left" w:pos="1050"/>
              </w:tabs>
              <w:spacing w:line="240" w:lineRule="auto"/>
              <w:ind w:firstLine="0" w:firstLineChars="0"/>
              <w:jc w:val="center"/>
              <w:rPr>
                <w:sz w:val="21"/>
                <w:szCs w:val="21"/>
              </w:rPr>
            </w:pPr>
            <w:r>
              <w:rPr>
                <w:sz w:val="21"/>
                <w:szCs w:val="21"/>
              </w:rPr>
              <w:t>359.16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1"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道路与交通设施用地区</w:t>
            </w:r>
          </w:p>
        </w:tc>
        <w:tc>
          <w:tcPr>
            <w:tcW w:w="3417" w:type="dxa"/>
            <w:vAlign w:val="center"/>
          </w:tcPr>
          <w:p>
            <w:pPr>
              <w:tabs>
                <w:tab w:val="left" w:pos="1050"/>
              </w:tabs>
              <w:spacing w:line="240" w:lineRule="auto"/>
              <w:ind w:firstLine="0" w:firstLineChars="0"/>
              <w:jc w:val="center"/>
              <w:rPr>
                <w:sz w:val="21"/>
                <w:szCs w:val="21"/>
              </w:rPr>
            </w:pPr>
            <w:r>
              <w:rPr>
                <w:sz w:val="21"/>
                <w:szCs w:val="21"/>
              </w:rPr>
              <w:t>7.70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2"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公用设施用地区</w:t>
            </w:r>
          </w:p>
        </w:tc>
        <w:tc>
          <w:tcPr>
            <w:tcW w:w="3417" w:type="dxa"/>
            <w:vAlign w:val="center"/>
          </w:tcPr>
          <w:p>
            <w:pPr>
              <w:tabs>
                <w:tab w:val="left" w:pos="1050"/>
              </w:tabs>
              <w:spacing w:line="240" w:lineRule="auto"/>
              <w:ind w:firstLine="0" w:firstLineChars="0"/>
              <w:jc w:val="center"/>
              <w:rPr>
                <w:sz w:val="21"/>
                <w:szCs w:val="21"/>
              </w:rPr>
            </w:pPr>
            <w:r>
              <w:rPr>
                <w:sz w:val="21"/>
                <w:szCs w:val="21"/>
              </w:rPr>
              <w:t>2.88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6" w:hRule="atLeast"/>
        </w:trPr>
        <w:tc>
          <w:tcPr>
            <w:tcW w:w="1684" w:type="dxa"/>
            <w:vMerge w:val="continue"/>
            <w:vAlign w:val="center"/>
          </w:tcPr>
          <w:p>
            <w:pPr>
              <w:pStyle w:val="53"/>
              <w:jc w:val="center"/>
              <w:rPr>
                <w:rFonts w:eastAsia="仿宋_GB2312"/>
              </w:rPr>
            </w:pPr>
          </w:p>
        </w:tc>
        <w:tc>
          <w:tcPr>
            <w:tcW w:w="1467" w:type="dxa"/>
            <w:vMerge w:val="continue"/>
            <w:vAlign w:val="center"/>
          </w:tcPr>
          <w:p>
            <w:pPr>
              <w:pStyle w:val="53"/>
              <w:jc w:val="center"/>
              <w:rPr>
                <w:rFonts w:eastAsia="仿宋_GB2312"/>
              </w:rPr>
            </w:pPr>
          </w:p>
        </w:tc>
        <w:tc>
          <w:tcPr>
            <w:tcW w:w="2533" w:type="dxa"/>
            <w:vAlign w:val="center"/>
          </w:tcPr>
          <w:p>
            <w:pPr>
              <w:tabs>
                <w:tab w:val="left" w:pos="1050"/>
              </w:tabs>
              <w:spacing w:line="240" w:lineRule="auto"/>
              <w:ind w:firstLine="0" w:firstLineChars="0"/>
              <w:jc w:val="center"/>
              <w:rPr>
                <w:sz w:val="21"/>
                <w:szCs w:val="21"/>
              </w:rPr>
            </w:pPr>
            <w:r>
              <w:rPr>
                <w:sz w:val="21"/>
                <w:szCs w:val="21"/>
              </w:rPr>
              <w:t>绿地与广场用地</w:t>
            </w:r>
          </w:p>
        </w:tc>
        <w:tc>
          <w:tcPr>
            <w:tcW w:w="3417" w:type="dxa"/>
            <w:vAlign w:val="center"/>
          </w:tcPr>
          <w:p>
            <w:pPr>
              <w:tabs>
                <w:tab w:val="left" w:pos="1050"/>
              </w:tabs>
              <w:spacing w:line="240" w:lineRule="auto"/>
              <w:ind w:firstLine="0" w:firstLineChars="0"/>
              <w:jc w:val="center"/>
              <w:rPr>
                <w:sz w:val="21"/>
                <w:szCs w:val="21"/>
              </w:rPr>
            </w:pPr>
            <w:r>
              <w:rPr>
                <w:sz w:val="21"/>
                <w:szCs w:val="21"/>
              </w:rPr>
              <w:t>13.88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0" w:hRule="atLeast"/>
        </w:trPr>
        <w:tc>
          <w:tcPr>
            <w:tcW w:w="1684" w:type="dxa"/>
            <w:vMerge w:val="continue"/>
            <w:vAlign w:val="center"/>
          </w:tcPr>
          <w:p>
            <w:pPr>
              <w:pStyle w:val="53"/>
              <w:jc w:val="center"/>
              <w:rPr>
                <w:rFonts w:eastAsia="仿宋_GB2312"/>
              </w:rPr>
            </w:pPr>
          </w:p>
        </w:tc>
        <w:tc>
          <w:tcPr>
            <w:tcW w:w="4000" w:type="dxa"/>
            <w:gridSpan w:val="2"/>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3417" w:type="dxa"/>
            <w:vAlign w:val="center"/>
          </w:tcPr>
          <w:p>
            <w:pPr>
              <w:tabs>
                <w:tab w:val="left" w:pos="1050"/>
              </w:tabs>
              <w:spacing w:line="240" w:lineRule="auto"/>
              <w:ind w:firstLine="0" w:firstLineChars="0"/>
              <w:jc w:val="center"/>
              <w:rPr>
                <w:b/>
                <w:bCs/>
                <w:sz w:val="21"/>
                <w:szCs w:val="21"/>
              </w:rPr>
            </w:pPr>
            <w:r>
              <w:rPr>
                <w:b/>
                <w:bCs/>
                <w:sz w:val="21"/>
                <w:szCs w:val="21"/>
              </w:rPr>
              <w:t>383.62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5" w:hRule="atLeast"/>
        </w:trPr>
        <w:tc>
          <w:tcPr>
            <w:tcW w:w="1684" w:type="dxa"/>
            <w:vMerge w:val="restart"/>
            <w:vAlign w:val="center"/>
          </w:tcPr>
          <w:p>
            <w:pPr>
              <w:pStyle w:val="53"/>
              <w:jc w:val="center"/>
              <w:rPr>
                <w:rFonts w:eastAsia="仿宋_GB2312"/>
              </w:rPr>
            </w:pPr>
            <w:r>
              <w:rPr>
                <w:rFonts w:eastAsia="仿宋_GB2312"/>
              </w:rPr>
              <w:t>临时堆场区*</w:t>
            </w:r>
          </w:p>
        </w:tc>
        <w:tc>
          <w:tcPr>
            <w:tcW w:w="1467" w:type="dxa"/>
            <w:vAlign w:val="center"/>
          </w:tcPr>
          <w:p>
            <w:pPr>
              <w:pStyle w:val="53"/>
              <w:jc w:val="center"/>
              <w:rPr>
                <w:rFonts w:eastAsia="仿宋_GB2312"/>
              </w:rPr>
            </w:pPr>
            <w:r>
              <w:rPr>
                <w:rFonts w:eastAsia="仿宋_GB2312"/>
              </w:rPr>
              <w:t>表土中转场*</w:t>
            </w:r>
          </w:p>
        </w:tc>
        <w:tc>
          <w:tcPr>
            <w:tcW w:w="2533" w:type="dxa"/>
            <w:vAlign w:val="center"/>
          </w:tcPr>
          <w:p>
            <w:pPr>
              <w:tabs>
                <w:tab w:val="left" w:pos="1050"/>
              </w:tabs>
              <w:spacing w:line="240" w:lineRule="auto"/>
              <w:ind w:firstLine="0" w:firstLineChars="0"/>
              <w:jc w:val="center"/>
              <w:rPr>
                <w:sz w:val="21"/>
                <w:szCs w:val="21"/>
              </w:rPr>
            </w:pPr>
            <w:r>
              <w:rPr>
                <w:sz w:val="21"/>
                <w:szCs w:val="21"/>
              </w:rPr>
              <w:t>/</w:t>
            </w:r>
          </w:p>
        </w:tc>
        <w:tc>
          <w:tcPr>
            <w:tcW w:w="3417" w:type="dxa"/>
            <w:vAlign w:val="center"/>
          </w:tcPr>
          <w:p>
            <w:pPr>
              <w:pStyle w:val="53"/>
              <w:jc w:val="center"/>
              <w:rPr>
                <w:rFonts w:eastAsia="仿宋_GB2312"/>
              </w:rPr>
            </w:pPr>
            <w:r>
              <w:rPr>
                <w:rFonts w:eastAsia="仿宋_GB2312"/>
              </w:rPr>
              <w:t>63.48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5" w:hRule="atLeast"/>
        </w:trPr>
        <w:tc>
          <w:tcPr>
            <w:tcW w:w="1684" w:type="dxa"/>
            <w:vMerge w:val="continue"/>
            <w:vAlign w:val="center"/>
          </w:tcPr>
          <w:p>
            <w:pPr>
              <w:pStyle w:val="53"/>
              <w:jc w:val="center"/>
              <w:rPr>
                <w:rFonts w:eastAsia="仿宋_GB2312"/>
              </w:rPr>
            </w:pPr>
          </w:p>
        </w:tc>
        <w:tc>
          <w:tcPr>
            <w:tcW w:w="1467" w:type="dxa"/>
            <w:vAlign w:val="center"/>
          </w:tcPr>
          <w:p>
            <w:pPr>
              <w:pStyle w:val="53"/>
              <w:jc w:val="center"/>
              <w:rPr>
                <w:rFonts w:eastAsia="仿宋_GB2312"/>
              </w:rPr>
            </w:pPr>
            <w:r>
              <w:rPr>
                <w:rFonts w:eastAsia="仿宋_GB2312"/>
              </w:rPr>
              <w:t>土石方中转场*</w:t>
            </w:r>
          </w:p>
        </w:tc>
        <w:tc>
          <w:tcPr>
            <w:tcW w:w="2533" w:type="dxa"/>
            <w:vAlign w:val="center"/>
          </w:tcPr>
          <w:p>
            <w:pPr>
              <w:tabs>
                <w:tab w:val="left" w:pos="1050"/>
              </w:tabs>
              <w:spacing w:line="240" w:lineRule="auto"/>
              <w:ind w:firstLine="0" w:firstLineChars="0"/>
              <w:jc w:val="center"/>
              <w:rPr>
                <w:sz w:val="21"/>
                <w:szCs w:val="21"/>
              </w:rPr>
            </w:pPr>
            <w:r>
              <w:rPr>
                <w:sz w:val="21"/>
                <w:szCs w:val="21"/>
              </w:rPr>
              <w:t>/</w:t>
            </w:r>
          </w:p>
        </w:tc>
        <w:tc>
          <w:tcPr>
            <w:tcW w:w="3417" w:type="dxa"/>
            <w:vAlign w:val="center"/>
          </w:tcPr>
          <w:p>
            <w:pPr>
              <w:pStyle w:val="53"/>
              <w:jc w:val="center"/>
              <w:rPr>
                <w:rFonts w:eastAsia="仿宋_GB2312"/>
              </w:rPr>
            </w:pPr>
            <w:r>
              <w:rPr>
                <w:rFonts w:eastAsia="仿宋_GB2312"/>
              </w:rPr>
              <w:t>12.17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5" w:hRule="atLeast"/>
        </w:trPr>
        <w:tc>
          <w:tcPr>
            <w:tcW w:w="1684" w:type="dxa"/>
            <w:vAlign w:val="center"/>
          </w:tcPr>
          <w:p>
            <w:pPr>
              <w:pStyle w:val="53"/>
              <w:jc w:val="center"/>
              <w:rPr>
                <w:rFonts w:eastAsia="仿宋_GB2312"/>
              </w:rPr>
            </w:pPr>
            <w:r>
              <w:rPr>
                <w:rFonts w:eastAsia="仿宋_GB2312"/>
              </w:rPr>
              <w:t>施工生产生活区*</w:t>
            </w:r>
          </w:p>
        </w:tc>
        <w:tc>
          <w:tcPr>
            <w:tcW w:w="1467" w:type="dxa"/>
            <w:vAlign w:val="center"/>
          </w:tcPr>
          <w:p>
            <w:pPr>
              <w:pStyle w:val="53"/>
              <w:jc w:val="center"/>
              <w:rPr>
                <w:rFonts w:eastAsia="仿宋_GB2312"/>
              </w:rPr>
            </w:pPr>
            <w:r>
              <w:rPr>
                <w:rFonts w:eastAsia="仿宋_GB2312"/>
              </w:rPr>
              <w:t>/</w:t>
            </w:r>
          </w:p>
        </w:tc>
        <w:tc>
          <w:tcPr>
            <w:tcW w:w="2533" w:type="dxa"/>
            <w:vAlign w:val="center"/>
          </w:tcPr>
          <w:p>
            <w:pPr>
              <w:tabs>
                <w:tab w:val="left" w:pos="1050"/>
              </w:tabs>
              <w:spacing w:line="240" w:lineRule="auto"/>
              <w:ind w:firstLine="0" w:firstLineChars="0"/>
              <w:jc w:val="center"/>
              <w:rPr>
                <w:sz w:val="21"/>
                <w:szCs w:val="21"/>
              </w:rPr>
            </w:pPr>
            <w:r>
              <w:rPr>
                <w:sz w:val="21"/>
                <w:szCs w:val="21"/>
              </w:rPr>
              <w:t>/</w:t>
            </w:r>
          </w:p>
        </w:tc>
        <w:tc>
          <w:tcPr>
            <w:tcW w:w="3417" w:type="dxa"/>
            <w:vAlign w:val="center"/>
          </w:tcPr>
          <w:p>
            <w:pPr>
              <w:pStyle w:val="53"/>
              <w:jc w:val="center"/>
              <w:rPr>
                <w:rFonts w:eastAsia="仿宋_GB2312"/>
              </w:rPr>
            </w:pPr>
            <w:r>
              <w:rPr>
                <w:rFonts w:eastAsia="仿宋_GB2312"/>
              </w:rPr>
              <w:t>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5" w:hRule="atLeast"/>
        </w:trPr>
        <w:tc>
          <w:tcPr>
            <w:tcW w:w="5684" w:type="dxa"/>
            <w:gridSpan w:val="3"/>
            <w:vAlign w:val="center"/>
          </w:tcPr>
          <w:p>
            <w:pPr>
              <w:tabs>
                <w:tab w:val="left" w:pos="1050"/>
              </w:tabs>
              <w:spacing w:line="240" w:lineRule="auto"/>
              <w:ind w:firstLine="0" w:firstLineChars="0"/>
              <w:jc w:val="center"/>
              <w:rPr>
                <w:b/>
                <w:bCs/>
                <w:sz w:val="21"/>
                <w:szCs w:val="21"/>
              </w:rPr>
            </w:pPr>
            <w:r>
              <w:rPr>
                <w:b/>
                <w:bCs/>
                <w:sz w:val="21"/>
                <w:szCs w:val="21"/>
              </w:rPr>
              <w:t>总计</w:t>
            </w:r>
          </w:p>
        </w:tc>
        <w:tc>
          <w:tcPr>
            <w:tcW w:w="3417" w:type="dxa"/>
            <w:vAlign w:val="center"/>
          </w:tcPr>
          <w:p>
            <w:pPr>
              <w:pStyle w:val="53"/>
              <w:jc w:val="center"/>
              <w:rPr>
                <w:rFonts w:eastAsia="仿宋_GB2312"/>
                <w:b/>
                <w:bCs/>
              </w:rPr>
            </w:pPr>
            <w:r>
              <w:rPr>
                <w:rFonts w:eastAsia="仿宋_GB2312"/>
                <w:b/>
                <w:bCs/>
              </w:rPr>
              <w:t>1129.18</w:t>
            </w:r>
          </w:p>
        </w:tc>
      </w:tr>
    </w:tbl>
    <w:p>
      <w:pPr>
        <w:pStyle w:val="5"/>
        <w:spacing w:beforeLines="50"/>
      </w:pPr>
      <w:bookmarkStart w:id="88" w:name="_Toc11867"/>
      <w:r>
        <w:t>5.2措施总体布局</w:t>
      </w:r>
      <w:bookmarkEnd w:id="88"/>
    </w:p>
    <w:p>
      <w:pPr>
        <w:ind w:firstLine="480"/>
      </w:pPr>
      <w:r>
        <w:t>本评估报告计列的水土保持措施包括“主体已有”和“报告新增”两大部分。“主体已有”是指相关控制性详细规划中以水土保持功能为主的工程，园区管委会作为水土流失防治责任主体，在园区内实施的道路及公共基础设施项目时采取的市政雨水管网、排洪沟、园区绿化、防雨布苫盖等措施。“报告新增”是指本评估报告在分析上述水土保持措施防治效果的基础上，针对性进行补充完善的水土保持措施，重点设计范围包括在建区、未建区及临时堆场区。</w:t>
      </w:r>
    </w:p>
    <w:p>
      <w:pPr>
        <w:ind w:firstLine="480"/>
      </w:pPr>
      <w:r>
        <w:t>园区管委会提供净地后，入驻项目在建设、生产过程中采取的各类水土保持措施，由入驻项目对应的水土保持方案体现，不计入本评估报告。同时，化工园区应严格控制扰动范围在永久征占地范围内；遵循水土流失防治总体部署，全面管控原则；遵循雨洪资源“渗、滞、蓄、用”措施体系原则；遵循预防为主、“先拦挡后堆放”原则等。</w:t>
      </w:r>
    </w:p>
    <w:p>
      <w:pPr>
        <w:pStyle w:val="6"/>
      </w:pPr>
      <w:r>
        <w:t>5.2.1指导思想</w:t>
      </w:r>
    </w:p>
    <w:p>
      <w:pPr>
        <w:ind w:firstLine="480"/>
      </w:pPr>
      <w:r>
        <w:t>根据《中华人民共和国水土保持法》及相关法律法规要求，结合本园区的特点以及工程所在区域的自然条件，提出本水土保持方案的指导思想为：水土保持工程与主体同步进行；以预防和保护为主，开发建设与防治并重，边建设边防治，以防治保障开发建设；采取必要的工程措施、植物措施以及临时防护措施；因地制宜，因害设防，合理布局，以防止新增人为水土流失，保障安全施工，恢复和改善区域生态环境为目标。</w:t>
      </w:r>
    </w:p>
    <w:p>
      <w:pPr>
        <w:ind w:firstLine="480"/>
      </w:pPr>
      <w:r>
        <w:t>结合本园区建设特点及园区所在区域的自然环境状况，提出本园区水土保持方案的指导思想如下：</w:t>
      </w:r>
    </w:p>
    <w:p>
      <w:pPr>
        <w:ind w:firstLine="480"/>
      </w:pPr>
      <w:r>
        <w:t>1、从水土保持、生态环境保护角度出发，在对主体工程已完工的水土保持措施分析评价的基础上，补充完善水土保持措施布局体系。</w:t>
      </w:r>
    </w:p>
    <w:p>
      <w:pPr>
        <w:ind w:firstLine="480"/>
      </w:pPr>
      <w:r>
        <w:t>2、全面贯彻国家和地方有关法律、法规，以及服务于园区建设为基本出发点，解决好工程建设与环境保护之间的关系，防止园区建设新增水土流失并保障主体工程安全运行，促进园区建设与自然环境的和谐发展。</w:t>
      </w:r>
    </w:p>
    <w:p>
      <w:pPr>
        <w:ind w:firstLine="480"/>
      </w:pPr>
      <w:r>
        <w:t>3、针对该工程建设造成的土壤流失量和重点流失区域，结合工程区水土流失现状，遵循防治结合、因害设防、因地制宜的原则和坚持全局观点，采用水土保持措施与主体工程建设及其它环保措施相结合的方法，使水土保持措施与工程安全及环境保护紧密协调、互为稗益。</w:t>
      </w:r>
    </w:p>
    <w:p>
      <w:pPr>
        <w:pStyle w:val="6"/>
      </w:pPr>
      <w:r>
        <w:t>5.2.2布设原则</w:t>
      </w:r>
    </w:p>
    <w:p>
      <w:pPr>
        <w:ind w:firstLine="480"/>
      </w:pPr>
      <w:r>
        <w:t>园区水土保持建设以防治新增水土流失为目标，保护生产、生态用地为出发点，促进经济与环境的协调发展。在遵守水土保持法律法规、水土保持技术标准以及环境保护总体要求原则的同时，针对园区特点确定措施的布设原则如下：</w:t>
      </w:r>
    </w:p>
    <w:p>
      <w:pPr>
        <w:ind w:firstLine="480"/>
      </w:pPr>
      <w:r>
        <w:t>1、根据工程所处土壤侵蚀类型区，结合工程实际和园区水土流失现状，因地制宜，因害设防，科学配置，优化布局；</w:t>
      </w:r>
    </w:p>
    <w:p>
      <w:pPr>
        <w:ind w:firstLine="480"/>
      </w:pPr>
      <w:r>
        <w:t>2、防治措施布设要与主体工程密切结合，相互协调，形成整体；注重园区施工过程中造成人为扰动区及产生的废弃物，尽量减少新增水土流失；</w:t>
      </w:r>
    </w:p>
    <w:p>
      <w:pPr>
        <w:ind w:firstLine="480"/>
      </w:pPr>
      <w:r>
        <w:t>3、吸收当地和同类园区水土保持防治经验，尽量做到低投入、高效益，有效地防治园区建设过程中新增和原有的水土流失；工程措施要尽量选用当地材料，做到技术上可行，经济上合理；植物措施要尽量选用适合当地的品种，并考虑绿化、美化效果。</w:t>
      </w:r>
    </w:p>
    <w:p>
      <w:pPr>
        <w:pStyle w:val="6"/>
      </w:pPr>
      <w:r>
        <w:t>5.2.3布局要求</w:t>
      </w:r>
    </w:p>
    <w:p>
      <w:pPr>
        <w:pStyle w:val="7"/>
      </w:pPr>
      <w:r>
        <w:t>5.2.3.1水土保持措施总体布局要求</w:t>
      </w:r>
    </w:p>
    <w:p>
      <w:pPr>
        <w:ind w:firstLine="480"/>
      </w:pPr>
      <w:r>
        <w:t>园区各生产建设项目应注重表土资源保护，表土资源应全部得到保护利用，施工前对表土应做到“应剥尽剥”并及时进行防护，对于剥离表土数量较多无法在园区内临时堆放的，统一运至本报告规划的表土中转场临时堆放；土石方平衡应按最优化原则尽量移挖作填，实现开挖土石方的综合利用，尽量减少余方，确有余方的应优先用于园区及周边同期建设项目回填利用，实现余方综合利用，确实无法综合利用的应运至本报告规划的土石方中转场堆放，严禁乱弃乱堆，严禁弃渣出园区；截排水工程、拦挡工程的工程等级和防洪标准应提高一级；优先布设雨洪集蓄、沉沙设施、下凹式绿地和透水材料铺装地面等措施，增加降水入渗；提高植物措施标准，临时堆土（料）应采取拦挡、苫盖、排水、沉沙等措施；运输土石方的车辆车厢应遮盖，车轮应冲洗，防止产生扬尘和泥沙进入市政管网；严格按照项目批复（备案）的水土保持区域评估、主体工程设计及水土保持相关规定要求，及时落实各项水土保持措施，施工过程中切实采取水土保持临时排水、沉沙、拦挡、苫盖措施。</w:t>
      </w:r>
    </w:p>
    <w:p>
      <w:pPr>
        <w:ind w:firstLine="480"/>
      </w:pPr>
      <w:r>
        <w:t>本评估报告的水土保持措施总体布局，主要是在园区规划中已有的水土保持措施及园区内已建、在建项目已实施的水土保持措施基础上，对园区内各防治分区（重点是五通一平及公共设施工程）生产建设项目提出防治措施布设、标准的原则性要求、指导性建议及工程量匡算，园区内各生产建设项目水土保持措施布设具体以其批复（备案）的水土保持方案为准。</w:t>
      </w:r>
    </w:p>
    <w:p>
      <w:pPr>
        <w:pStyle w:val="7"/>
      </w:pPr>
      <w:r>
        <w:t>5.2.3.2不同类型项目水土保持要求</w:t>
      </w:r>
    </w:p>
    <w:p>
      <w:pPr>
        <w:ind w:firstLine="480"/>
      </w:pPr>
      <w:r>
        <w:t>已建项目：已建项目如未编报水保方案，应及时补报；对于已建的水土保持设施，继续做好已建水保设施的管理维护，防止新增水土流失。</w:t>
      </w:r>
    </w:p>
    <w:p>
      <w:pPr>
        <w:ind w:firstLine="480"/>
      </w:pPr>
      <w:r>
        <w:t>在建项目：在建项目如未编报水保方案，应及时补报，并按照批复方案落实各项水土保持措施。各在建项目应严格按照项目主体工程设计、批复（备案）的水土保持方案及相关规定要求，及时落实水土保持工程措施、植物措施外，还应强化、完善施工期间园区的临时排水、沉沙、拦挡、苫盖措施。</w:t>
      </w:r>
    </w:p>
    <w:p>
      <w:pPr>
        <w:ind w:firstLine="480"/>
      </w:pPr>
      <w:r>
        <w:t>待建项目：待建项目应在开工前完成水土保持方案审批，并及时根据批复（备案）的水土保持方案、主体设计等相关要求实施各项水土保持措施，重点是施工前的表土剥离与保护及施工期间的临时排水、沉沙、拦挡、苫盖等临时措施，确保项目施工过程中的水土流失及时得到防治。</w:t>
      </w:r>
    </w:p>
    <w:p>
      <w:pPr>
        <w:pStyle w:val="6"/>
      </w:pPr>
      <w:r>
        <w:t>5.2.4</w:t>
      </w:r>
      <w:r>
        <w:rPr>
          <w:sz w:val="30"/>
        </w:rPr>
        <w:t>防治措施体系</w:t>
      </w:r>
    </w:p>
    <w:p>
      <w:pPr>
        <w:ind w:firstLine="480"/>
      </w:pPr>
      <w:r>
        <w:t>遵循前述一系列水土保持原则，以防治工程建设中水土流失为目标，在水土流失情况预测结果及主体工程设计具有水土保持功能的措施分析评价的基础上，针对工程后续建设过程中可能引发水土流失的特点和造成的危害程度，采取有效的水土流失防治措施。本项目水土流失防治将以植物措施与工程措施相结合、永久措施与临时防护措施相结合，并把主体工程中具有水土保持功能的措施纳入水土流失防治体系中，建立完整有效的水土保持防护体系，既能有效地控制项目建设期的水土流失，保护项目区生态环境，又能保证项目建设和运行安全。</w:t>
      </w:r>
    </w:p>
    <w:p>
      <w:pPr>
        <w:ind w:firstLine="480"/>
      </w:pPr>
      <w:r>
        <w:t>园区水土流失防治措施体系及总体布局详见表5.2-1。</w:t>
      </w:r>
    </w:p>
    <w:p>
      <w:pPr>
        <w:pStyle w:val="46"/>
        <w:ind w:firstLine="480"/>
      </w:pPr>
    </w:p>
    <w:p>
      <w:pPr>
        <w:ind w:firstLine="480"/>
      </w:pPr>
    </w:p>
    <w:p>
      <w:pPr>
        <w:pStyle w:val="46"/>
        <w:ind w:firstLine="480"/>
      </w:pPr>
    </w:p>
    <w:p>
      <w:pPr>
        <w:ind w:firstLine="480"/>
        <w:sectPr>
          <w:headerReference r:id="rId29" w:type="default"/>
          <w:footerReference r:id="rId31" w:type="default"/>
          <w:headerReference r:id="rId30" w:type="even"/>
          <w:pgSz w:w="11905" w:h="16838"/>
          <w:pgMar w:top="1417" w:right="1417" w:bottom="1417" w:left="1417" w:header="850" w:footer="992" w:gutter="0"/>
          <w:cols w:space="720" w:num="1"/>
          <w:docGrid w:linePitch="312" w:charSpace="0"/>
        </w:sectPr>
      </w:pPr>
    </w:p>
    <w:p>
      <w:pPr>
        <w:ind w:firstLine="480"/>
      </w:pPr>
    </w:p>
    <w:p>
      <w:pPr>
        <w:pStyle w:val="46"/>
        <w:ind w:firstLine="480"/>
      </w:pPr>
    </w:p>
    <w:p>
      <w:pPr>
        <w:pStyle w:val="68"/>
        <w:spacing w:after="120"/>
        <w:rPr>
          <w:rStyle w:val="67"/>
          <w:b/>
        </w:rPr>
      </w:pPr>
    </w:p>
    <w:p>
      <w:pPr>
        <w:pStyle w:val="68"/>
        <w:spacing w:after="120"/>
        <w:rPr>
          <w:rStyle w:val="67"/>
          <w:b/>
        </w:rPr>
      </w:pPr>
      <w:r>
        <w:rPr>
          <w:rStyle w:val="67"/>
          <w:b/>
        </w:rPr>
        <w:t>表5.2-1水土流失防治措施体系及总体布局表</w:t>
      </w:r>
    </w:p>
    <w:tbl>
      <w:tblPr>
        <w:tblStyle w:val="110"/>
        <w:tblW w:w="5000"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249"/>
        <w:gridCol w:w="2415"/>
        <w:gridCol w:w="1374"/>
        <w:gridCol w:w="1641"/>
        <w:gridCol w:w="5163"/>
        <w:gridCol w:w="237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288" w:type="pct"/>
            <w:gridSpan w:val="2"/>
            <w:vAlign w:val="center"/>
          </w:tcPr>
          <w:p>
            <w:pPr>
              <w:pStyle w:val="53"/>
              <w:jc w:val="center"/>
              <w:rPr>
                <w:rFonts w:eastAsia="仿宋_GB2312"/>
                <w:b/>
                <w:bCs/>
              </w:rPr>
            </w:pPr>
            <w:r>
              <w:rPr>
                <w:rFonts w:eastAsia="仿宋_GB2312"/>
                <w:b/>
                <w:bCs/>
              </w:rPr>
              <w:t>防治分区</w:t>
            </w:r>
          </w:p>
        </w:tc>
        <w:tc>
          <w:tcPr>
            <w:tcW w:w="483" w:type="pct"/>
            <w:vMerge w:val="restart"/>
            <w:vAlign w:val="center"/>
          </w:tcPr>
          <w:p>
            <w:pPr>
              <w:pStyle w:val="53"/>
              <w:jc w:val="center"/>
              <w:rPr>
                <w:rFonts w:eastAsia="仿宋_GB2312"/>
                <w:b/>
                <w:bCs/>
              </w:rPr>
            </w:pPr>
            <w:r>
              <w:rPr>
                <w:rFonts w:eastAsia="仿宋_GB2312"/>
                <w:b/>
                <w:bCs/>
              </w:rPr>
              <w:t>措施类型</w:t>
            </w:r>
          </w:p>
        </w:tc>
        <w:tc>
          <w:tcPr>
            <w:tcW w:w="577" w:type="pct"/>
            <w:vAlign w:val="center"/>
          </w:tcPr>
          <w:p>
            <w:pPr>
              <w:pStyle w:val="53"/>
              <w:jc w:val="center"/>
              <w:rPr>
                <w:rFonts w:eastAsia="仿宋_GB2312"/>
                <w:b/>
                <w:bCs/>
              </w:rPr>
            </w:pPr>
            <w:r>
              <w:rPr>
                <w:rFonts w:eastAsia="仿宋_GB2312"/>
                <w:b/>
                <w:bCs/>
              </w:rPr>
              <w:t>措施名称</w:t>
            </w:r>
          </w:p>
        </w:tc>
        <w:tc>
          <w:tcPr>
            <w:tcW w:w="1815" w:type="pct"/>
            <w:vAlign w:val="center"/>
          </w:tcPr>
          <w:p>
            <w:pPr>
              <w:pStyle w:val="53"/>
              <w:jc w:val="center"/>
              <w:rPr>
                <w:rFonts w:eastAsia="仿宋_GB2312"/>
                <w:b/>
                <w:bCs/>
              </w:rPr>
            </w:pPr>
            <w:r>
              <w:rPr>
                <w:rFonts w:eastAsia="仿宋_GB2312"/>
                <w:b/>
                <w:bCs/>
              </w:rPr>
              <w:t>布置位置</w:t>
            </w:r>
          </w:p>
        </w:tc>
        <w:tc>
          <w:tcPr>
            <w:tcW w:w="836" w:type="pct"/>
            <w:vAlign w:val="center"/>
          </w:tcPr>
          <w:p>
            <w:pPr>
              <w:pStyle w:val="53"/>
              <w:jc w:val="center"/>
              <w:rPr>
                <w:rFonts w:eastAsia="仿宋_GB2312"/>
                <w:b/>
                <w:bCs/>
              </w:rPr>
            </w:pPr>
            <w:r>
              <w:rPr>
                <w:rFonts w:eastAsia="仿宋_GB2312"/>
                <w:b/>
                <w:bCs/>
              </w:rPr>
              <w:t>投资属性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restart"/>
            <w:vAlign w:val="center"/>
          </w:tcPr>
          <w:p>
            <w:pPr>
              <w:pStyle w:val="53"/>
              <w:jc w:val="center"/>
              <w:rPr>
                <w:rFonts w:eastAsia="仿宋_GB2312"/>
                <w:b/>
                <w:bCs/>
              </w:rPr>
            </w:pPr>
            <w:r>
              <w:rPr>
                <w:rFonts w:eastAsia="仿宋_GB2312"/>
              </w:rPr>
              <w:t>近期建设区</w:t>
            </w:r>
          </w:p>
        </w:tc>
        <w:tc>
          <w:tcPr>
            <w:tcW w:w="849" w:type="pct"/>
            <w:vMerge w:val="restart"/>
            <w:vAlign w:val="center"/>
          </w:tcPr>
          <w:p>
            <w:pPr>
              <w:tabs>
                <w:tab w:val="left" w:pos="1050"/>
              </w:tabs>
              <w:spacing w:line="240" w:lineRule="auto"/>
              <w:ind w:firstLine="0" w:firstLineChars="0"/>
              <w:jc w:val="center"/>
              <w:rPr>
                <w:sz w:val="21"/>
                <w:szCs w:val="21"/>
              </w:rPr>
            </w:pPr>
            <w:r>
              <w:rPr>
                <w:sz w:val="21"/>
                <w:szCs w:val="21"/>
              </w:rPr>
              <w:t>工业用地区</w:t>
            </w: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577" w:type="pct"/>
            <w:vAlign w:val="center"/>
          </w:tcPr>
          <w:p>
            <w:pPr>
              <w:pStyle w:val="68"/>
              <w:adjustRightInd/>
              <w:snapToGrid/>
              <w:spacing w:afterLines="0"/>
              <w:jc w:val="center"/>
              <w:rPr>
                <w:b w:val="0"/>
                <w:sz w:val="21"/>
                <w:szCs w:val="21"/>
              </w:rPr>
            </w:pPr>
            <w:r>
              <w:rPr>
                <w:b w:val="0"/>
                <w:bCs/>
                <w:sz w:val="21"/>
                <w:szCs w:val="21"/>
              </w:rPr>
              <w:t>表土剥离</w:t>
            </w:r>
          </w:p>
        </w:tc>
        <w:tc>
          <w:tcPr>
            <w:tcW w:w="1815" w:type="pct"/>
            <w:vAlign w:val="center"/>
          </w:tcPr>
          <w:p>
            <w:pPr>
              <w:tabs>
                <w:tab w:val="left" w:pos="1050"/>
              </w:tabs>
              <w:spacing w:line="240" w:lineRule="auto"/>
              <w:ind w:firstLine="0" w:firstLineChars="0"/>
              <w:jc w:val="center"/>
              <w:rPr>
                <w:sz w:val="21"/>
                <w:szCs w:val="21"/>
              </w:rPr>
            </w:pPr>
            <w:r>
              <w:rPr>
                <w:sz w:val="21"/>
                <w:szCs w:val="21"/>
              </w:rPr>
              <w:t>耕地、林地、园地、草地等可剥离表土区域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表土回覆</w:t>
            </w:r>
          </w:p>
        </w:tc>
        <w:tc>
          <w:tcPr>
            <w:tcW w:w="1815" w:type="pct"/>
            <w:vAlign w:val="center"/>
          </w:tcPr>
          <w:p>
            <w:pPr>
              <w:tabs>
                <w:tab w:val="left" w:pos="1050"/>
              </w:tabs>
              <w:spacing w:line="240" w:lineRule="auto"/>
              <w:ind w:firstLine="0" w:firstLineChars="0"/>
              <w:jc w:val="center"/>
              <w:rPr>
                <w:sz w:val="21"/>
                <w:szCs w:val="21"/>
              </w:rPr>
            </w:pPr>
            <w:r>
              <w:rPr>
                <w:sz w:val="21"/>
                <w:szCs w:val="21"/>
              </w:rPr>
              <w:t>绿化区域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tabs>
                <w:tab w:val="left" w:pos="1050"/>
              </w:tabs>
              <w:spacing w:line="240" w:lineRule="auto"/>
              <w:ind w:firstLine="0" w:firstLineChars="0"/>
              <w:jc w:val="center"/>
              <w:rPr>
                <w:sz w:val="21"/>
                <w:szCs w:val="21"/>
              </w:rPr>
            </w:pPr>
            <w:r>
              <w:rPr>
                <w:bCs/>
                <w:sz w:val="21"/>
                <w:szCs w:val="21"/>
              </w:rPr>
              <w:t>防洪沟</w:t>
            </w:r>
          </w:p>
        </w:tc>
        <w:tc>
          <w:tcPr>
            <w:tcW w:w="1815" w:type="pct"/>
            <w:vAlign w:val="center"/>
          </w:tcPr>
          <w:p>
            <w:pPr>
              <w:tabs>
                <w:tab w:val="left" w:pos="1050"/>
              </w:tabs>
              <w:spacing w:line="240" w:lineRule="auto"/>
              <w:ind w:firstLine="0" w:firstLineChars="0"/>
              <w:jc w:val="center"/>
              <w:rPr>
                <w:sz w:val="21"/>
                <w:szCs w:val="21"/>
              </w:rPr>
            </w:pPr>
            <w:r>
              <w:rPr>
                <w:sz w:val="21"/>
                <w:szCs w:val="21"/>
              </w:rPr>
              <w:t>部分地块中部、周边</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3" w:hRule="atLeast"/>
        </w:trPr>
        <w:tc>
          <w:tcPr>
            <w:tcW w:w="439" w:type="pct"/>
            <w:vMerge w:val="continue"/>
            <w:vAlign w:val="center"/>
          </w:tcPr>
          <w:p>
            <w:pPr>
              <w:pStyle w:val="53"/>
              <w:jc w:val="center"/>
              <w:rPr>
                <w:rFonts w:eastAsia="仿宋_GB2312"/>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临时措施</w:t>
            </w:r>
          </w:p>
        </w:tc>
        <w:tc>
          <w:tcPr>
            <w:tcW w:w="577" w:type="pct"/>
            <w:vAlign w:val="center"/>
          </w:tcPr>
          <w:p>
            <w:pPr>
              <w:pStyle w:val="68"/>
              <w:adjustRightInd/>
              <w:snapToGrid/>
              <w:spacing w:afterLines="0"/>
              <w:jc w:val="center"/>
              <w:rPr>
                <w:b w:val="0"/>
                <w:sz w:val="21"/>
                <w:szCs w:val="21"/>
              </w:rPr>
            </w:pPr>
            <w:r>
              <w:rPr>
                <w:b w:val="0"/>
                <w:bCs/>
                <w:sz w:val="21"/>
                <w:szCs w:val="21"/>
              </w:rPr>
              <w:t>截排水沟</w:t>
            </w:r>
          </w:p>
        </w:tc>
        <w:tc>
          <w:tcPr>
            <w:tcW w:w="1815" w:type="pct"/>
            <w:vAlign w:val="center"/>
          </w:tcPr>
          <w:p>
            <w:pPr>
              <w:tabs>
                <w:tab w:val="left" w:pos="1050"/>
              </w:tabs>
              <w:spacing w:line="240" w:lineRule="auto"/>
              <w:ind w:firstLine="0" w:firstLineChars="0"/>
              <w:jc w:val="center"/>
              <w:rPr>
                <w:sz w:val="21"/>
                <w:szCs w:val="21"/>
              </w:rPr>
            </w:pPr>
            <w:r>
              <w:rPr>
                <w:sz w:val="21"/>
                <w:szCs w:val="21"/>
              </w:rPr>
              <w:t>地块周边</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3" w:hRule="atLeast"/>
        </w:trPr>
        <w:tc>
          <w:tcPr>
            <w:tcW w:w="439" w:type="pct"/>
            <w:vMerge w:val="continue"/>
            <w:vAlign w:val="center"/>
          </w:tcPr>
          <w:p>
            <w:pPr>
              <w:pStyle w:val="53"/>
              <w:jc w:val="center"/>
              <w:rPr>
                <w:rFonts w:eastAsia="仿宋_GB2312"/>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sz w:val="21"/>
                <w:szCs w:val="21"/>
              </w:rPr>
            </w:pPr>
            <w:r>
              <w:rPr>
                <w:b w:val="0"/>
                <w:bCs/>
                <w:sz w:val="21"/>
                <w:szCs w:val="21"/>
              </w:rPr>
              <w:t>沉沙池</w:t>
            </w:r>
          </w:p>
        </w:tc>
        <w:tc>
          <w:tcPr>
            <w:tcW w:w="1815" w:type="pct"/>
            <w:vAlign w:val="center"/>
          </w:tcPr>
          <w:p>
            <w:pPr>
              <w:tabs>
                <w:tab w:val="left" w:pos="1050"/>
              </w:tabs>
              <w:spacing w:line="240" w:lineRule="auto"/>
              <w:ind w:firstLine="0" w:firstLineChars="0"/>
              <w:jc w:val="center"/>
              <w:rPr>
                <w:sz w:val="21"/>
                <w:szCs w:val="21"/>
              </w:rPr>
            </w:pPr>
            <w:r>
              <w:rPr>
                <w:sz w:val="21"/>
                <w:szCs w:val="21"/>
              </w:rPr>
              <w:t>洗车池旁、排水沟末端及间隔300m设置</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8"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防雨布苫盖</w:t>
            </w:r>
          </w:p>
        </w:tc>
        <w:tc>
          <w:tcPr>
            <w:tcW w:w="1815" w:type="pct"/>
            <w:vAlign w:val="center"/>
          </w:tcPr>
          <w:p>
            <w:pPr>
              <w:tabs>
                <w:tab w:val="left" w:pos="1050"/>
              </w:tabs>
              <w:spacing w:line="240" w:lineRule="auto"/>
              <w:ind w:firstLine="0" w:firstLineChars="0"/>
              <w:jc w:val="center"/>
              <w:rPr>
                <w:sz w:val="21"/>
                <w:szCs w:val="21"/>
              </w:rPr>
            </w:pPr>
            <w:r>
              <w:rPr>
                <w:sz w:val="21"/>
                <w:szCs w:val="21"/>
              </w:rPr>
              <w:t>开挖回填边坡、未进行施工的裸露地表</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8"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tabs>
                <w:tab w:val="left" w:pos="1050"/>
              </w:tabs>
              <w:spacing w:line="240" w:lineRule="auto"/>
              <w:ind w:firstLine="0" w:firstLineChars="0"/>
              <w:jc w:val="center"/>
              <w:rPr>
                <w:bCs/>
                <w:sz w:val="21"/>
                <w:szCs w:val="21"/>
              </w:rPr>
            </w:pPr>
            <w:r>
              <w:rPr>
                <w:bCs/>
                <w:sz w:val="21"/>
                <w:szCs w:val="21"/>
              </w:rPr>
              <w:t>洗车池</w:t>
            </w:r>
          </w:p>
        </w:tc>
        <w:tc>
          <w:tcPr>
            <w:tcW w:w="1815" w:type="pct"/>
            <w:vAlign w:val="center"/>
          </w:tcPr>
          <w:p>
            <w:pPr>
              <w:tabs>
                <w:tab w:val="left" w:pos="1050"/>
              </w:tabs>
              <w:spacing w:line="240" w:lineRule="auto"/>
              <w:ind w:firstLine="0" w:firstLineChars="0"/>
              <w:jc w:val="center"/>
              <w:rPr>
                <w:bCs/>
                <w:sz w:val="21"/>
                <w:szCs w:val="21"/>
              </w:rPr>
            </w:pPr>
            <w:r>
              <w:rPr>
                <w:bCs/>
                <w:sz w:val="21"/>
                <w:szCs w:val="21"/>
              </w:rPr>
              <w:t>各地块的主要出入口</w:t>
            </w:r>
          </w:p>
        </w:tc>
        <w:tc>
          <w:tcPr>
            <w:tcW w:w="836" w:type="pct"/>
            <w:vAlign w:val="center"/>
          </w:tcPr>
          <w:p>
            <w:pPr>
              <w:tabs>
                <w:tab w:val="left" w:pos="1050"/>
              </w:tabs>
              <w:spacing w:line="240" w:lineRule="auto"/>
              <w:ind w:firstLine="0" w:firstLineChars="0"/>
              <w:jc w:val="center"/>
              <w:rPr>
                <w:bCs/>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pStyle w:val="53"/>
              <w:jc w:val="center"/>
              <w:rPr>
                <w:rFonts w:eastAsia="仿宋_GB2312"/>
                <w:b/>
                <w:bCs/>
              </w:rPr>
            </w:pPr>
          </w:p>
        </w:tc>
        <w:tc>
          <w:tcPr>
            <w:tcW w:w="849" w:type="pct"/>
            <w:vMerge w:val="restart"/>
            <w:vAlign w:val="center"/>
          </w:tcPr>
          <w:p>
            <w:pPr>
              <w:tabs>
                <w:tab w:val="left" w:pos="1050"/>
              </w:tabs>
              <w:spacing w:line="240" w:lineRule="auto"/>
              <w:ind w:firstLine="0" w:firstLineChars="0"/>
              <w:jc w:val="center"/>
              <w:rPr>
                <w:sz w:val="21"/>
                <w:szCs w:val="21"/>
              </w:rPr>
            </w:pPr>
            <w:r>
              <w:rPr>
                <w:sz w:val="21"/>
                <w:szCs w:val="21"/>
              </w:rPr>
              <w:t>道路与交通设施用地区</w:t>
            </w: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577" w:type="pct"/>
            <w:vAlign w:val="center"/>
          </w:tcPr>
          <w:p>
            <w:pPr>
              <w:pStyle w:val="68"/>
              <w:adjustRightInd/>
              <w:snapToGrid/>
              <w:spacing w:afterLines="0"/>
              <w:jc w:val="center"/>
              <w:rPr>
                <w:b w:val="0"/>
                <w:sz w:val="21"/>
                <w:szCs w:val="21"/>
              </w:rPr>
            </w:pPr>
            <w:r>
              <w:rPr>
                <w:b w:val="0"/>
                <w:bCs/>
                <w:sz w:val="21"/>
                <w:szCs w:val="21"/>
              </w:rPr>
              <w:t>表土剥离</w:t>
            </w:r>
          </w:p>
        </w:tc>
        <w:tc>
          <w:tcPr>
            <w:tcW w:w="1815" w:type="pct"/>
            <w:vAlign w:val="center"/>
          </w:tcPr>
          <w:p>
            <w:pPr>
              <w:tabs>
                <w:tab w:val="left" w:pos="1050"/>
              </w:tabs>
              <w:spacing w:line="240" w:lineRule="auto"/>
              <w:ind w:firstLine="0" w:firstLineChars="0"/>
              <w:jc w:val="center"/>
              <w:rPr>
                <w:sz w:val="21"/>
                <w:szCs w:val="21"/>
              </w:rPr>
            </w:pPr>
            <w:r>
              <w:rPr>
                <w:sz w:val="21"/>
                <w:szCs w:val="21"/>
              </w:rPr>
              <w:t>耕地、林地、园地、草地等可剥离表土区域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表土回覆</w:t>
            </w:r>
          </w:p>
        </w:tc>
        <w:tc>
          <w:tcPr>
            <w:tcW w:w="1815" w:type="pct"/>
            <w:vAlign w:val="center"/>
          </w:tcPr>
          <w:p>
            <w:pPr>
              <w:tabs>
                <w:tab w:val="left" w:pos="1050"/>
              </w:tabs>
              <w:spacing w:line="240" w:lineRule="auto"/>
              <w:ind w:firstLine="0" w:firstLineChars="0"/>
              <w:jc w:val="center"/>
              <w:rPr>
                <w:sz w:val="21"/>
                <w:szCs w:val="21"/>
              </w:rPr>
            </w:pPr>
            <w:r>
              <w:rPr>
                <w:sz w:val="21"/>
                <w:szCs w:val="21"/>
              </w:rPr>
              <w:t>绿化区域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sz w:val="21"/>
                <w:szCs w:val="21"/>
              </w:rPr>
            </w:pPr>
            <w:r>
              <w:rPr>
                <w:b w:val="0"/>
                <w:bCs/>
                <w:sz w:val="21"/>
                <w:szCs w:val="21"/>
              </w:rPr>
              <w:t>雨水管网</w:t>
            </w:r>
          </w:p>
        </w:tc>
        <w:tc>
          <w:tcPr>
            <w:tcW w:w="1815" w:type="pct"/>
            <w:vAlign w:val="center"/>
          </w:tcPr>
          <w:p>
            <w:pPr>
              <w:tabs>
                <w:tab w:val="left" w:pos="1050"/>
              </w:tabs>
              <w:spacing w:line="240" w:lineRule="auto"/>
              <w:ind w:firstLine="0" w:firstLineChars="0"/>
              <w:jc w:val="center"/>
              <w:rPr>
                <w:sz w:val="21"/>
                <w:szCs w:val="21"/>
              </w:rPr>
            </w:pPr>
            <w:r>
              <w:rPr>
                <w:sz w:val="21"/>
                <w:szCs w:val="21"/>
              </w:rPr>
              <w:t>地埋在道路下方</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Align w:val="center"/>
          </w:tcPr>
          <w:p>
            <w:pPr>
              <w:tabs>
                <w:tab w:val="left" w:pos="1050"/>
              </w:tabs>
              <w:spacing w:line="240" w:lineRule="auto"/>
              <w:ind w:firstLine="0" w:firstLineChars="0"/>
              <w:jc w:val="center"/>
              <w:rPr>
                <w:sz w:val="21"/>
                <w:szCs w:val="21"/>
              </w:rPr>
            </w:pPr>
            <w:r>
              <w:rPr>
                <w:sz w:val="21"/>
                <w:szCs w:val="21"/>
              </w:rPr>
              <w:t>植物措施</w:t>
            </w:r>
          </w:p>
        </w:tc>
        <w:tc>
          <w:tcPr>
            <w:tcW w:w="577" w:type="pct"/>
            <w:vAlign w:val="center"/>
          </w:tcPr>
          <w:p>
            <w:pPr>
              <w:tabs>
                <w:tab w:val="left" w:pos="1050"/>
              </w:tabs>
              <w:spacing w:line="240" w:lineRule="auto"/>
              <w:ind w:firstLine="0" w:firstLineChars="0"/>
              <w:jc w:val="center"/>
              <w:rPr>
                <w:sz w:val="21"/>
                <w:szCs w:val="21"/>
              </w:rPr>
            </w:pPr>
            <w:r>
              <w:rPr>
                <w:sz w:val="21"/>
                <w:szCs w:val="21"/>
              </w:rPr>
              <w:t>综合绿化</w:t>
            </w:r>
          </w:p>
        </w:tc>
        <w:tc>
          <w:tcPr>
            <w:tcW w:w="1815" w:type="pct"/>
            <w:vAlign w:val="center"/>
          </w:tcPr>
          <w:p>
            <w:pPr>
              <w:tabs>
                <w:tab w:val="left" w:pos="1050"/>
              </w:tabs>
              <w:spacing w:line="240" w:lineRule="auto"/>
              <w:ind w:firstLine="0" w:firstLineChars="0"/>
              <w:jc w:val="center"/>
              <w:rPr>
                <w:sz w:val="21"/>
                <w:szCs w:val="21"/>
              </w:rPr>
            </w:pPr>
            <w:r>
              <w:rPr>
                <w:sz w:val="21"/>
                <w:szCs w:val="21"/>
              </w:rPr>
              <w:t>道路两侧行道树绿化、边坡绿化</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临时措施</w:t>
            </w:r>
          </w:p>
        </w:tc>
        <w:tc>
          <w:tcPr>
            <w:tcW w:w="577" w:type="pct"/>
            <w:vAlign w:val="center"/>
          </w:tcPr>
          <w:p>
            <w:pPr>
              <w:pStyle w:val="68"/>
              <w:adjustRightInd/>
              <w:snapToGrid/>
              <w:spacing w:afterLines="0"/>
              <w:jc w:val="center"/>
              <w:rPr>
                <w:b w:val="0"/>
                <w:sz w:val="21"/>
                <w:szCs w:val="21"/>
              </w:rPr>
            </w:pPr>
            <w:r>
              <w:rPr>
                <w:b w:val="0"/>
                <w:bCs/>
                <w:sz w:val="21"/>
                <w:szCs w:val="21"/>
              </w:rPr>
              <w:t>截排水沟</w:t>
            </w:r>
          </w:p>
        </w:tc>
        <w:tc>
          <w:tcPr>
            <w:tcW w:w="1815" w:type="pct"/>
            <w:vAlign w:val="center"/>
          </w:tcPr>
          <w:p>
            <w:pPr>
              <w:tabs>
                <w:tab w:val="left" w:pos="1050"/>
              </w:tabs>
              <w:spacing w:line="240" w:lineRule="auto"/>
              <w:ind w:firstLine="0" w:firstLineChars="0"/>
              <w:jc w:val="center"/>
              <w:rPr>
                <w:sz w:val="21"/>
                <w:szCs w:val="21"/>
              </w:rPr>
            </w:pPr>
            <w:r>
              <w:rPr>
                <w:sz w:val="21"/>
                <w:szCs w:val="21"/>
              </w:rPr>
              <w:t>道路两侧</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沉沙池</w:t>
            </w:r>
          </w:p>
        </w:tc>
        <w:tc>
          <w:tcPr>
            <w:tcW w:w="1815" w:type="pct"/>
            <w:vAlign w:val="center"/>
          </w:tcPr>
          <w:p>
            <w:pPr>
              <w:tabs>
                <w:tab w:val="left" w:pos="1050"/>
              </w:tabs>
              <w:spacing w:line="240" w:lineRule="auto"/>
              <w:ind w:firstLine="0" w:firstLineChars="0"/>
              <w:jc w:val="center"/>
              <w:rPr>
                <w:sz w:val="21"/>
                <w:szCs w:val="21"/>
              </w:rPr>
            </w:pPr>
            <w:r>
              <w:rPr>
                <w:sz w:val="21"/>
                <w:szCs w:val="21"/>
              </w:rPr>
              <w:t>排水沟末端及间隔300m设置</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sz w:val="21"/>
                <w:szCs w:val="21"/>
              </w:rPr>
            </w:pPr>
            <w:r>
              <w:rPr>
                <w:b w:val="0"/>
                <w:bCs/>
                <w:sz w:val="21"/>
                <w:szCs w:val="21"/>
              </w:rPr>
              <w:t>防雨布苫盖</w:t>
            </w:r>
          </w:p>
        </w:tc>
        <w:tc>
          <w:tcPr>
            <w:tcW w:w="1815" w:type="pct"/>
            <w:vAlign w:val="center"/>
          </w:tcPr>
          <w:p>
            <w:pPr>
              <w:tabs>
                <w:tab w:val="left" w:pos="1050"/>
              </w:tabs>
              <w:spacing w:line="240" w:lineRule="auto"/>
              <w:ind w:firstLine="0" w:firstLineChars="0"/>
              <w:jc w:val="center"/>
              <w:rPr>
                <w:sz w:val="21"/>
                <w:szCs w:val="21"/>
              </w:rPr>
            </w:pPr>
            <w:r>
              <w:rPr>
                <w:sz w:val="21"/>
                <w:szCs w:val="21"/>
              </w:rPr>
              <w:t>开挖回填边坡、未进行施工的裸露地表</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sz w:val="21"/>
                <w:szCs w:val="21"/>
              </w:rPr>
            </w:pPr>
            <w:r>
              <w:rPr>
                <w:b w:val="0"/>
                <w:bCs/>
                <w:sz w:val="21"/>
                <w:szCs w:val="21"/>
              </w:rPr>
              <w:t>编织袋装土拦挡</w:t>
            </w:r>
          </w:p>
        </w:tc>
        <w:tc>
          <w:tcPr>
            <w:tcW w:w="1815" w:type="pct"/>
            <w:vAlign w:val="center"/>
          </w:tcPr>
          <w:p>
            <w:pPr>
              <w:tabs>
                <w:tab w:val="left" w:pos="1050"/>
              </w:tabs>
              <w:spacing w:line="240" w:lineRule="auto"/>
              <w:ind w:firstLine="0" w:firstLineChars="0"/>
              <w:jc w:val="center"/>
              <w:rPr>
                <w:sz w:val="21"/>
                <w:szCs w:val="21"/>
              </w:rPr>
            </w:pPr>
            <w:r>
              <w:rPr>
                <w:sz w:val="21"/>
                <w:szCs w:val="21"/>
              </w:rPr>
              <w:t>施工期间建筑材料堆放场地坡脚四周</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pStyle w:val="53"/>
              <w:jc w:val="center"/>
              <w:rPr>
                <w:rFonts w:eastAsia="仿宋_GB2312"/>
                <w:b/>
                <w:bCs/>
              </w:rPr>
            </w:pPr>
          </w:p>
        </w:tc>
        <w:tc>
          <w:tcPr>
            <w:tcW w:w="849" w:type="pct"/>
            <w:vMerge w:val="restart"/>
            <w:vAlign w:val="center"/>
          </w:tcPr>
          <w:p>
            <w:pPr>
              <w:tabs>
                <w:tab w:val="left" w:pos="1050"/>
              </w:tabs>
              <w:spacing w:line="240" w:lineRule="auto"/>
              <w:ind w:firstLine="0" w:firstLineChars="0"/>
              <w:jc w:val="center"/>
              <w:rPr>
                <w:sz w:val="21"/>
                <w:szCs w:val="21"/>
              </w:rPr>
            </w:pPr>
            <w:r>
              <w:rPr>
                <w:sz w:val="21"/>
                <w:szCs w:val="21"/>
              </w:rPr>
              <w:t>公用设施用地区</w:t>
            </w: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577" w:type="pct"/>
            <w:vAlign w:val="center"/>
          </w:tcPr>
          <w:p>
            <w:pPr>
              <w:pStyle w:val="68"/>
              <w:adjustRightInd/>
              <w:snapToGrid/>
              <w:spacing w:afterLines="0"/>
              <w:jc w:val="center"/>
              <w:rPr>
                <w:b w:val="0"/>
                <w:sz w:val="21"/>
                <w:szCs w:val="21"/>
              </w:rPr>
            </w:pPr>
            <w:r>
              <w:rPr>
                <w:b w:val="0"/>
                <w:bCs/>
                <w:sz w:val="21"/>
                <w:szCs w:val="21"/>
              </w:rPr>
              <w:t>表土剥离</w:t>
            </w:r>
          </w:p>
        </w:tc>
        <w:tc>
          <w:tcPr>
            <w:tcW w:w="1815" w:type="pct"/>
            <w:vAlign w:val="center"/>
          </w:tcPr>
          <w:p>
            <w:pPr>
              <w:tabs>
                <w:tab w:val="left" w:pos="1050"/>
              </w:tabs>
              <w:spacing w:line="240" w:lineRule="auto"/>
              <w:ind w:firstLine="0" w:firstLineChars="0"/>
              <w:jc w:val="center"/>
              <w:rPr>
                <w:sz w:val="21"/>
                <w:szCs w:val="21"/>
              </w:rPr>
            </w:pPr>
            <w:r>
              <w:rPr>
                <w:sz w:val="21"/>
                <w:szCs w:val="21"/>
              </w:rPr>
              <w:t>耕地、林地、园地、草地等可剥离表土区域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表土回覆</w:t>
            </w:r>
          </w:p>
        </w:tc>
        <w:tc>
          <w:tcPr>
            <w:tcW w:w="1815" w:type="pct"/>
            <w:vAlign w:val="center"/>
          </w:tcPr>
          <w:p>
            <w:pPr>
              <w:tabs>
                <w:tab w:val="left" w:pos="1050"/>
              </w:tabs>
              <w:spacing w:line="240" w:lineRule="auto"/>
              <w:ind w:firstLine="0" w:firstLineChars="0"/>
              <w:jc w:val="center"/>
              <w:rPr>
                <w:sz w:val="21"/>
                <w:szCs w:val="21"/>
              </w:rPr>
            </w:pPr>
            <w:r>
              <w:rPr>
                <w:sz w:val="21"/>
                <w:szCs w:val="21"/>
              </w:rPr>
              <w:t>绿化区域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tabs>
                <w:tab w:val="left" w:pos="1050"/>
              </w:tabs>
              <w:spacing w:line="240" w:lineRule="auto"/>
              <w:ind w:firstLine="0" w:firstLineChars="0"/>
              <w:jc w:val="center"/>
              <w:rPr>
                <w:sz w:val="21"/>
                <w:szCs w:val="21"/>
              </w:rPr>
            </w:pPr>
            <w:r>
              <w:rPr>
                <w:sz w:val="21"/>
                <w:szCs w:val="21"/>
              </w:rPr>
              <w:t>雨水管网</w:t>
            </w:r>
          </w:p>
        </w:tc>
        <w:tc>
          <w:tcPr>
            <w:tcW w:w="1815" w:type="pct"/>
            <w:vAlign w:val="center"/>
          </w:tcPr>
          <w:p>
            <w:pPr>
              <w:tabs>
                <w:tab w:val="left" w:pos="1050"/>
              </w:tabs>
              <w:spacing w:line="240" w:lineRule="auto"/>
              <w:ind w:firstLine="0" w:firstLineChars="0"/>
              <w:jc w:val="center"/>
              <w:rPr>
                <w:sz w:val="21"/>
                <w:szCs w:val="21"/>
              </w:rPr>
            </w:pPr>
            <w:r>
              <w:rPr>
                <w:sz w:val="21"/>
                <w:szCs w:val="21"/>
              </w:rPr>
              <w:t>地埋在道路及硬化地面下方</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tabs>
                <w:tab w:val="left" w:pos="1050"/>
              </w:tabs>
              <w:spacing w:line="240" w:lineRule="auto"/>
              <w:ind w:firstLine="0" w:firstLineChars="0"/>
              <w:jc w:val="center"/>
              <w:rPr>
                <w:sz w:val="21"/>
                <w:szCs w:val="21"/>
              </w:rPr>
            </w:pPr>
            <w:r>
              <w:rPr>
                <w:sz w:val="21"/>
                <w:szCs w:val="21"/>
              </w:rPr>
              <w:t>排水沟</w:t>
            </w:r>
          </w:p>
        </w:tc>
        <w:tc>
          <w:tcPr>
            <w:tcW w:w="1815" w:type="pct"/>
            <w:vAlign w:val="center"/>
          </w:tcPr>
          <w:p>
            <w:pPr>
              <w:tabs>
                <w:tab w:val="left" w:pos="1050"/>
              </w:tabs>
              <w:spacing w:line="240" w:lineRule="auto"/>
              <w:ind w:firstLine="0" w:firstLineChars="0"/>
              <w:jc w:val="center"/>
              <w:rPr>
                <w:sz w:val="21"/>
                <w:szCs w:val="21"/>
              </w:rPr>
            </w:pPr>
            <w:r>
              <w:rPr>
                <w:sz w:val="21"/>
                <w:szCs w:val="21"/>
              </w:rPr>
              <w:t>场地内部排水暗沟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Align w:val="center"/>
          </w:tcPr>
          <w:p>
            <w:pPr>
              <w:tabs>
                <w:tab w:val="left" w:pos="1050"/>
              </w:tabs>
              <w:spacing w:line="240" w:lineRule="auto"/>
              <w:ind w:firstLine="0" w:firstLineChars="0"/>
              <w:jc w:val="center"/>
              <w:rPr>
                <w:sz w:val="21"/>
                <w:szCs w:val="21"/>
              </w:rPr>
            </w:pPr>
            <w:r>
              <w:rPr>
                <w:sz w:val="21"/>
                <w:szCs w:val="21"/>
              </w:rPr>
              <w:t>植物措施</w:t>
            </w:r>
          </w:p>
        </w:tc>
        <w:tc>
          <w:tcPr>
            <w:tcW w:w="577" w:type="pct"/>
            <w:vAlign w:val="center"/>
          </w:tcPr>
          <w:p>
            <w:pPr>
              <w:tabs>
                <w:tab w:val="left" w:pos="1050"/>
              </w:tabs>
              <w:spacing w:line="240" w:lineRule="auto"/>
              <w:ind w:firstLine="0" w:firstLineChars="0"/>
              <w:jc w:val="center"/>
              <w:rPr>
                <w:sz w:val="21"/>
                <w:szCs w:val="21"/>
              </w:rPr>
            </w:pPr>
            <w:r>
              <w:rPr>
                <w:bCs/>
                <w:sz w:val="21"/>
                <w:szCs w:val="21"/>
              </w:rPr>
              <w:t>综合绿化</w:t>
            </w:r>
          </w:p>
        </w:tc>
        <w:tc>
          <w:tcPr>
            <w:tcW w:w="1815" w:type="pct"/>
            <w:vAlign w:val="center"/>
          </w:tcPr>
          <w:p>
            <w:pPr>
              <w:tabs>
                <w:tab w:val="left" w:pos="1050"/>
              </w:tabs>
              <w:spacing w:line="240" w:lineRule="auto"/>
              <w:ind w:firstLine="0" w:firstLineChars="0"/>
              <w:jc w:val="center"/>
              <w:rPr>
                <w:sz w:val="21"/>
                <w:szCs w:val="21"/>
              </w:rPr>
            </w:pPr>
            <w:r>
              <w:rPr>
                <w:sz w:val="21"/>
                <w:szCs w:val="21"/>
              </w:rPr>
              <w:t>场地内部乔灌草综合绿化</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临时措施</w:t>
            </w:r>
          </w:p>
        </w:tc>
        <w:tc>
          <w:tcPr>
            <w:tcW w:w="577" w:type="pct"/>
            <w:vAlign w:val="center"/>
          </w:tcPr>
          <w:p>
            <w:pPr>
              <w:pStyle w:val="68"/>
              <w:adjustRightInd/>
              <w:snapToGrid/>
              <w:spacing w:afterLines="0"/>
              <w:jc w:val="center"/>
              <w:rPr>
                <w:b w:val="0"/>
                <w:sz w:val="21"/>
                <w:szCs w:val="21"/>
              </w:rPr>
            </w:pPr>
            <w:r>
              <w:rPr>
                <w:b w:val="0"/>
                <w:bCs/>
                <w:sz w:val="21"/>
                <w:szCs w:val="21"/>
              </w:rPr>
              <w:t>截排水沟</w:t>
            </w:r>
          </w:p>
        </w:tc>
        <w:tc>
          <w:tcPr>
            <w:tcW w:w="1815" w:type="pct"/>
            <w:vAlign w:val="center"/>
          </w:tcPr>
          <w:p>
            <w:pPr>
              <w:tabs>
                <w:tab w:val="left" w:pos="1050"/>
              </w:tabs>
              <w:spacing w:line="240" w:lineRule="auto"/>
              <w:ind w:firstLine="0" w:firstLineChars="0"/>
              <w:jc w:val="center"/>
              <w:rPr>
                <w:sz w:val="21"/>
                <w:szCs w:val="21"/>
              </w:rPr>
            </w:pPr>
            <w:r>
              <w:rPr>
                <w:sz w:val="21"/>
                <w:szCs w:val="21"/>
              </w:rPr>
              <w:t>地块周边</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沉沙池</w:t>
            </w:r>
          </w:p>
        </w:tc>
        <w:tc>
          <w:tcPr>
            <w:tcW w:w="1815" w:type="pct"/>
            <w:vAlign w:val="center"/>
          </w:tcPr>
          <w:p>
            <w:pPr>
              <w:tabs>
                <w:tab w:val="left" w:pos="1050"/>
              </w:tabs>
              <w:spacing w:line="240" w:lineRule="auto"/>
              <w:ind w:firstLine="0" w:firstLineChars="0"/>
              <w:jc w:val="center"/>
              <w:rPr>
                <w:sz w:val="21"/>
                <w:szCs w:val="21"/>
              </w:rPr>
            </w:pPr>
            <w:r>
              <w:rPr>
                <w:sz w:val="21"/>
                <w:szCs w:val="21"/>
              </w:rPr>
              <w:t>洗车池旁、排水沟末端及间隔300m设置</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sz w:val="21"/>
                <w:szCs w:val="21"/>
              </w:rPr>
            </w:pPr>
            <w:r>
              <w:rPr>
                <w:b w:val="0"/>
                <w:bCs/>
                <w:sz w:val="21"/>
                <w:szCs w:val="21"/>
              </w:rPr>
              <w:t>防雨布苫盖</w:t>
            </w:r>
          </w:p>
        </w:tc>
        <w:tc>
          <w:tcPr>
            <w:tcW w:w="1815" w:type="pct"/>
            <w:vAlign w:val="center"/>
          </w:tcPr>
          <w:p>
            <w:pPr>
              <w:tabs>
                <w:tab w:val="left" w:pos="1050"/>
              </w:tabs>
              <w:spacing w:line="240" w:lineRule="auto"/>
              <w:ind w:firstLine="0" w:firstLineChars="0"/>
              <w:jc w:val="center"/>
              <w:rPr>
                <w:sz w:val="21"/>
                <w:szCs w:val="21"/>
              </w:rPr>
            </w:pPr>
            <w:r>
              <w:rPr>
                <w:sz w:val="21"/>
                <w:szCs w:val="21"/>
              </w:rPr>
              <w:t>开挖回填边坡、未进行施工的裸露地表</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9"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tabs>
                <w:tab w:val="left" w:pos="1050"/>
              </w:tabs>
              <w:spacing w:line="240" w:lineRule="auto"/>
              <w:ind w:firstLine="0" w:firstLineChars="0"/>
              <w:jc w:val="center"/>
              <w:rPr>
                <w:sz w:val="21"/>
                <w:szCs w:val="21"/>
              </w:rPr>
            </w:pPr>
            <w:r>
              <w:rPr>
                <w:sz w:val="21"/>
                <w:szCs w:val="21"/>
              </w:rPr>
              <w:t>洗车池</w:t>
            </w:r>
          </w:p>
        </w:tc>
        <w:tc>
          <w:tcPr>
            <w:tcW w:w="1815" w:type="pct"/>
            <w:vAlign w:val="center"/>
          </w:tcPr>
          <w:p>
            <w:pPr>
              <w:tabs>
                <w:tab w:val="left" w:pos="1050"/>
              </w:tabs>
              <w:spacing w:line="240" w:lineRule="auto"/>
              <w:ind w:firstLine="0" w:firstLineChars="0"/>
              <w:jc w:val="center"/>
              <w:rPr>
                <w:sz w:val="21"/>
                <w:szCs w:val="21"/>
              </w:rPr>
            </w:pPr>
            <w:r>
              <w:rPr>
                <w:bCs/>
                <w:sz w:val="21"/>
                <w:szCs w:val="21"/>
              </w:rPr>
              <w:t>各地块的主要出入口</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39" w:type="pct"/>
            <w:vMerge w:val="continue"/>
            <w:vAlign w:val="center"/>
          </w:tcPr>
          <w:p>
            <w:pPr>
              <w:pStyle w:val="53"/>
              <w:jc w:val="center"/>
              <w:rPr>
                <w:rFonts w:eastAsia="仿宋_GB2312"/>
                <w:b/>
                <w:bCs/>
              </w:rPr>
            </w:pPr>
          </w:p>
        </w:tc>
        <w:tc>
          <w:tcPr>
            <w:tcW w:w="849" w:type="pct"/>
            <w:vMerge w:val="restart"/>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577" w:type="pct"/>
            <w:vAlign w:val="center"/>
          </w:tcPr>
          <w:p>
            <w:pPr>
              <w:pStyle w:val="68"/>
              <w:adjustRightInd/>
              <w:snapToGrid/>
              <w:spacing w:afterLines="0"/>
              <w:jc w:val="center"/>
              <w:rPr>
                <w:b w:val="0"/>
                <w:sz w:val="21"/>
                <w:szCs w:val="21"/>
              </w:rPr>
            </w:pPr>
            <w:r>
              <w:rPr>
                <w:b w:val="0"/>
                <w:bCs/>
                <w:sz w:val="21"/>
                <w:szCs w:val="21"/>
              </w:rPr>
              <w:t>表土剥离</w:t>
            </w:r>
          </w:p>
        </w:tc>
        <w:tc>
          <w:tcPr>
            <w:tcW w:w="1815" w:type="pct"/>
            <w:vAlign w:val="center"/>
          </w:tcPr>
          <w:p>
            <w:pPr>
              <w:tabs>
                <w:tab w:val="left" w:pos="1050"/>
              </w:tabs>
              <w:spacing w:line="240" w:lineRule="auto"/>
              <w:ind w:firstLine="0" w:firstLineChars="0"/>
              <w:jc w:val="center"/>
              <w:rPr>
                <w:sz w:val="21"/>
                <w:szCs w:val="21"/>
              </w:rPr>
            </w:pPr>
            <w:r>
              <w:rPr>
                <w:sz w:val="21"/>
                <w:szCs w:val="21"/>
              </w:rPr>
              <w:t>耕地、林地、园地、草地等可剥离表土区域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sz w:val="21"/>
                <w:szCs w:val="21"/>
              </w:rPr>
            </w:pPr>
            <w:r>
              <w:rPr>
                <w:b w:val="0"/>
                <w:bCs/>
                <w:sz w:val="21"/>
                <w:szCs w:val="21"/>
              </w:rPr>
              <w:t>表土回覆</w:t>
            </w:r>
          </w:p>
        </w:tc>
        <w:tc>
          <w:tcPr>
            <w:tcW w:w="1815" w:type="pct"/>
            <w:vAlign w:val="center"/>
          </w:tcPr>
          <w:p>
            <w:pPr>
              <w:tabs>
                <w:tab w:val="left" w:pos="1050"/>
              </w:tabs>
              <w:spacing w:line="240" w:lineRule="auto"/>
              <w:ind w:firstLine="0" w:firstLineChars="0"/>
              <w:jc w:val="center"/>
              <w:rPr>
                <w:sz w:val="21"/>
                <w:szCs w:val="21"/>
              </w:rPr>
            </w:pPr>
            <w:r>
              <w:rPr>
                <w:sz w:val="21"/>
                <w:szCs w:val="21"/>
              </w:rPr>
              <w:t>绿化区域</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tabs>
                <w:tab w:val="left" w:pos="1050"/>
              </w:tabs>
              <w:spacing w:line="240" w:lineRule="auto"/>
              <w:ind w:firstLine="0" w:firstLineChars="0"/>
              <w:jc w:val="center"/>
              <w:rPr>
                <w:sz w:val="21"/>
                <w:szCs w:val="21"/>
              </w:rPr>
            </w:pPr>
            <w:r>
              <w:rPr>
                <w:bCs/>
                <w:sz w:val="21"/>
                <w:szCs w:val="21"/>
              </w:rPr>
              <w:t>防洪沟</w:t>
            </w:r>
          </w:p>
        </w:tc>
        <w:tc>
          <w:tcPr>
            <w:tcW w:w="1815" w:type="pct"/>
            <w:vAlign w:val="center"/>
          </w:tcPr>
          <w:p>
            <w:pPr>
              <w:tabs>
                <w:tab w:val="left" w:pos="1050"/>
              </w:tabs>
              <w:spacing w:line="240" w:lineRule="auto"/>
              <w:ind w:firstLine="0" w:firstLineChars="0"/>
              <w:jc w:val="center"/>
              <w:rPr>
                <w:sz w:val="21"/>
                <w:szCs w:val="21"/>
              </w:rPr>
            </w:pPr>
            <w:r>
              <w:rPr>
                <w:sz w:val="21"/>
                <w:szCs w:val="21"/>
              </w:rPr>
              <w:t>穿越部分绿化区域范围内</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Align w:val="center"/>
          </w:tcPr>
          <w:p>
            <w:pPr>
              <w:tabs>
                <w:tab w:val="left" w:pos="1050"/>
              </w:tabs>
              <w:spacing w:line="240" w:lineRule="auto"/>
              <w:ind w:firstLine="0" w:firstLineChars="0"/>
              <w:jc w:val="center"/>
              <w:rPr>
                <w:sz w:val="21"/>
                <w:szCs w:val="21"/>
              </w:rPr>
            </w:pPr>
            <w:r>
              <w:rPr>
                <w:sz w:val="21"/>
                <w:szCs w:val="21"/>
              </w:rPr>
              <w:t>植物措施</w:t>
            </w:r>
          </w:p>
        </w:tc>
        <w:tc>
          <w:tcPr>
            <w:tcW w:w="577" w:type="pct"/>
            <w:vAlign w:val="center"/>
          </w:tcPr>
          <w:p>
            <w:pPr>
              <w:tabs>
                <w:tab w:val="left" w:pos="1050"/>
              </w:tabs>
              <w:spacing w:line="240" w:lineRule="auto"/>
              <w:ind w:firstLine="0" w:firstLineChars="0"/>
              <w:jc w:val="center"/>
              <w:rPr>
                <w:sz w:val="21"/>
                <w:szCs w:val="21"/>
              </w:rPr>
            </w:pPr>
            <w:r>
              <w:rPr>
                <w:bCs/>
                <w:sz w:val="21"/>
                <w:szCs w:val="21"/>
              </w:rPr>
              <w:t>综合绿化</w:t>
            </w:r>
          </w:p>
        </w:tc>
        <w:tc>
          <w:tcPr>
            <w:tcW w:w="1815" w:type="pct"/>
            <w:vAlign w:val="center"/>
          </w:tcPr>
          <w:p>
            <w:pPr>
              <w:tabs>
                <w:tab w:val="left" w:pos="1050"/>
              </w:tabs>
              <w:spacing w:line="240" w:lineRule="auto"/>
              <w:ind w:firstLine="0" w:firstLineChars="0"/>
              <w:jc w:val="center"/>
              <w:rPr>
                <w:sz w:val="21"/>
                <w:szCs w:val="21"/>
              </w:rPr>
            </w:pPr>
            <w:r>
              <w:rPr>
                <w:sz w:val="21"/>
                <w:szCs w:val="21"/>
              </w:rPr>
              <w:t>场地内部乔灌草综合绿化</w:t>
            </w:r>
          </w:p>
        </w:tc>
        <w:tc>
          <w:tcPr>
            <w:tcW w:w="836" w:type="pct"/>
            <w:vAlign w:val="center"/>
          </w:tcPr>
          <w:p>
            <w:pPr>
              <w:tabs>
                <w:tab w:val="left" w:pos="1050"/>
              </w:tabs>
              <w:spacing w:line="240" w:lineRule="auto"/>
              <w:ind w:firstLine="0" w:firstLineChars="0"/>
              <w:jc w:val="center"/>
              <w:rPr>
                <w:sz w:val="21"/>
                <w:szCs w:val="21"/>
              </w:rPr>
            </w:pPr>
            <w:r>
              <w:rPr>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Align w:val="center"/>
          </w:tcPr>
          <w:p>
            <w:pPr>
              <w:tabs>
                <w:tab w:val="left" w:pos="1050"/>
              </w:tabs>
              <w:spacing w:line="240" w:lineRule="auto"/>
              <w:ind w:firstLine="0" w:firstLineChars="0"/>
              <w:jc w:val="center"/>
              <w:rPr>
                <w:sz w:val="21"/>
                <w:szCs w:val="21"/>
              </w:rPr>
            </w:pPr>
            <w:r>
              <w:rPr>
                <w:sz w:val="21"/>
                <w:szCs w:val="21"/>
              </w:rPr>
              <w:t>临时措施</w:t>
            </w:r>
          </w:p>
        </w:tc>
        <w:tc>
          <w:tcPr>
            <w:tcW w:w="577" w:type="pct"/>
            <w:vAlign w:val="center"/>
          </w:tcPr>
          <w:p>
            <w:pPr>
              <w:tabs>
                <w:tab w:val="left" w:pos="1050"/>
              </w:tabs>
              <w:spacing w:line="240" w:lineRule="auto"/>
              <w:ind w:firstLine="0" w:firstLineChars="0"/>
              <w:jc w:val="center"/>
              <w:rPr>
                <w:sz w:val="21"/>
                <w:szCs w:val="21"/>
              </w:rPr>
            </w:pPr>
            <w:r>
              <w:rPr>
                <w:bCs/>
                <w:sz w:val="21"/>
                <w:szCs w:val="21"/>
              </w:rPr>
              <w:t>防雨布苫盖</w:t>
            </w:r>
          </w:p>
        </w:tc>
        <w:tc>
          <w:tcPr>
            <w:tcW w:w="1815" w:type="pct"/>
            <w:vAlign w:val="center"/>
          </w:tcPr>
          <w:p>
            <w:pPr>
              <w:tabs>
                <w:tab w:val="left" w:pos="1050"/>
              </w:tabs>
              <w:spacing w:line="240" w:lineRule="auto"/>
              <w:ind w:firstLine="0" w:firstLineChars="0"/>
              <w:jc w:val="center"/>
              <w:rPr>
                <w:sz w:val="21"/>
                <w:szCs w:val="21"/>
              </w:rPr>
            </w:pPr>
            <w:r>
              <w:rPr>
                <w:sz w:val="21"/>
                <w:szCs w:val="21"/>
              </w:rPr>
              <w:t>开挖回填边坡、未进行施工的裸露地表</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44" w:hRule="atLeast"/>
        </w:trPr>
        <w:tc>
          <w:tcPr>
            <w:tcW w:w="439" w:type="pct"/>
            <w:vMerge w:val="restart"/>
            <w:vAlign w:val="center"/>
          </w:tcPr>
          <w:p>
            <w:pPr>
              <w:pStyle w:val="53"/>
              <w:jc w:val="center"/>
              <w:rPr>
                <w:rFonts w:eastAsia="仿宋_GB2312"/>
              </w:rPr>
            </w:pPr>
            <w:r>
              <w:rPr>
                <w:rFonts w:eastAsia="仿宋_GB2312"/>
              </w:rPr>
              <w:t>远期建设区</w:t>
            </w:r>
          </w:p>
        </w:tc>
        <w:tc>
          <w:tcPr>
            <w:tcW w:w="4560" w:type="pct"/>
            <w:gridSpan w:val="5"/>
            <w:vAlign w:val="center"/>
          </w:tcPr>
          <w:p>
            <w:pPr>
              <w:tabs>
                <w:tab w:val="left" w:pos="1050"/>
              </w:tabs>
              <w:spacing w:line="240" w:lineRule="auto"/>
              <w:ind w:firstLine="0" w:firstLineChars="0"/>
              <w:jc w:val="center"/>
              <w:rPr>
                <w:sz w:val="21"/>
                <w:szCs w:val="21"/>
              </w:rPr>
            </w:pPr>
            <w:r>
              <w:rPr>
                <w:sz w:val="21"/>
                <w:szCs w:val="21"/>
              </w:rPr>
              <w:t>（根据近期水土保持措施布设成果，对远期提水土保持要求；本方案服务期满后，另行对远期建设区编报水土保持区域评估报告）</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restart"/>
            <w:vAlign w:val="center"/>
          </w:tcPr>
          <w:p>
            <w:pPr>
              <w:pStyle w:val="53"/>
              <w:jc w:val="center"/>
              <w:rPr>
                <w:rFonts w:eastAsia="仿宋_GB2312"/>
              </w:rPr>
            </w:pPr>
            <w:r>
              <w:rPr>
                <w:rFonts w:eastAsia="仿宋_GB2312"/>
              </w:rPr>
              <w:t>临时堆场区</w:t>
            </w:r>
          </w:p>
        </w:tc>
        <w:tc>
          <w:tcPr>
            <w:tcW w:w="849" w:type="pct"/>
            <w:vMerge w:val="restart"/>
            <w:vAlign w:val="center"/>
          </w:tcPr>
          <w:p>
            <w:pPr>
              <w:tabs>
                <w:tab w:val="left" w:pos="1050"/>
              </w:tabs>
              <w:spacing w:line="240" w:lineRule="auto"/>
              <w:ind w:firstLine="0" w:firstLineChars="0"/>
              <w:jc w:val="center"/>
              <w:rPr>
                <w:sz w:val="21"/>
                <w:szCs w:val="21"/>
              </w:rPr>
            </w:pPr>
            <w:r>
              <w:rPr>
                <w:sz w:val="21"/>
                <w:szCs w:val="21"/>
              </w:rPr>
              <w:t>表土中转场*</w:t>
            </w:r>
          </w:p>
        </w:tc>
        <w:tc>
          <w:tcPr>
            <w:tcW w:w="483" w:type="pct"/>
            <w:vAlign w:val="center"/>
          </w:tcPr>
          <w:p>
            <w:pPr>
              <w:pStyle w:val="68"/>
              <w:adjustRightInd/>
              <w:snapToGrid/>
              <w:spacing w:afterLines="0"/>
              <w:jc w:val="center"/>
              <w:rPr>
                <w:b w:val="0"/>
                <w:sz w:val="21"/>
                <w:szCs w:val="21"/>
              </w:rPr>
            </w:pPr>
            <w:r>
              <w:rPr>
                <w:b w:val="0"/>
                <w:bCs/>
                <w:sz w:val="21"/>
                <w:szCs w:val="21"/>
              </w:rPr>
              <w:t>植物措施</w:t>
            </w:r>
          </w:p>
        </w:tc>
        <w:tc>
          <w:tcPr>
            <w:tcW w:w="577" w:type="pct"/>
            <w:vAlign w:val="center"/>
          </w:tcPr>
          <w:p>
            <w:pPr>
              <w:pStyle w:val="68"/>
              <w:adjustRightInd/>
              <w:snapToGrid/>
              <w:spacing w:afterLines="0"/>
              <w:jc w:val="center"/>
              <w:rPr>
                <w:b w:val="0"/>
                <w:sz w:val="21"/>
                <w:szCs w:val="21"/>
              </w:rPr>
            </w:pPr>
            <w:r>
              <w:rPr>
                <w:b w:val="0"/>
                <w:bCs/>
                <w:sz w:val="21"/>
                <w:szCs w:val="21"/>
              </w:rPr>
              <w:t>播撒草籽</w:t>
            </w:r>
          </w:p>
        </w:tc>
        <w:tc>
          <w:tcPr>
            <w:tcW w:w="1815" w:type="pct"/>
            <w:vAlign w:val="center"/>
          </w:tcPr>
          <w:p>
            <w:pPr>
              <w:tabs>
                <w:tab w:val="left" w:pos="1050"/>
              </w:tabs>
              <w:spacing w:line="240" w:lineRule="auto"/>
              <w:ind w:firstLine="0" w:firstLineChars="0"/>
              <w:jc w:val="center"/>
              <w:rPr>
                <w:sz w:val="21"/>
                <w:szCs w:val="21"/>
              </w:rPr>
            </w:pPr>
            <w:r>
              <w:rPr>
                <w:sz w:val="21"/>
                <w:szCs w:val="21"/>
              </w:rPr>
              <w:t>表土堆体顶部及坡面</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restart"/>
            <w:vAlign w:val="center"/>
          </w:tcPr>
          <w:p>
            <w:pPr>
              <w:pStyle w:val="68"/>
              <w:adjustRightInd/>
              <w:snapToGrid/>
              <w:spacing w:afterLines="0"/>
              <w:jc w:val="center"/>
              <w:rPr>
                <w:b w:val="0"/>
                <w:sz w:val="21"/>
                <w:szCs w:val="21"/>
              </w:rPr>
            </w:pPr>
            <w:r>
              <w:rPr>
                <w:b w:val="0"/>
                <w:bCs/>
                <w:sz w:val="21"/>
                <w:szCs w:val="21"/>
              </w:rPr>
              <w:t>临时措施</w:t>
            </w:r>
          </w:p>
        </w:tc>
        <w:tc>
          <w:tcPr>
            <w:tcW w:w="577" w:type="pct"/>
            <w:vAlign w:val="center"/>
          </w:tcPr>
          <w:p>
            <w:pPr>
              <w:pStyle w:val="68"/>
              <w:adjustRightInd/>
              <w:snapToGrid/>
              <w:spacing w:afterLines="0"/>
              <w:jc w:val="center"/>
              <w:rPr>
                <w:b w:val="0"/>
                <w:sz w:val="21"/>
                <w:szCs w:val="21"/>
              </w:rPr>
            </w:pPr>
            <w:r>
              <w:rPr>
                <w:b w:val="0"/>
                <w:bCs/>
                <w:sz w:val="21"/>
                <w:szCs w:val="21"/>
              </w:rPr>
              <w:t>密目网苫盖</w:t>
            </w:r>
          </w:p>
        </w:tc>
        <w:tc>
          <w:tcPr>
            <w:tcW w:w="1815" w:type="pct"/>
            <w:vAlign w:val="center"/>
          </w:tcPr>
          <w:p>
            <w:pPr>
              <w:tabs>
                <w:tab w:val="left" w:pos="1050"/>
              </w:tabs>
              <w:spacing w:line="240" w:lineRule="auto"/>
              <w:ind w:firstLine="0" w:firstLineChars="0"/>
              <w:jc w:val="center"/>
              <w:rPr>
                <w:sz w:val="21"/>
                <w:szCs w:val="21"/>
              </w:rPr>
            </w:pPr>
            <w:r>
              <w:rPr>
                <w:sz w:val="21"/>
                <w:szCs w:val="21"/>
              </w:rPr>
              <w:t>表土堆体顶部及坡面</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2"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pStyle w:val="68"/>
              <w:adjustRightInd/>
              <w:snapToGrid/>
              <w:spacing w:afterLines="0"/>
              <w:jc w:val="center"/>
              <w:rPr>
                <w:b w:val="0"/>
                <w:sz w:val="21"/>
                <w:szCs w:val="21"/>
              </w:rPr>
            </w:pPr>
          </w:p>
        </w:tc>
        <w:tc>
          <w:tcPr>
            <w:tcW w:w="577" w:type="pct"/>
            <w:vAlign w:val="center"/>
          </w:tcPr>
          <w:p>
            <w:pPr>
              <w:pStyle w:val="68"/>
              <w:adjustRightInd/>
              <w:snapToGrid/>
              <w:spacing w:afterLines="0"/>
              <w:jc w:val="center"/>
              <w:rPr>
                <w:b w:val="0"/>
                <w:sz w:val="21"/>
                <w:szCs w:val="21"/>
              </w:rPr>
            </w:pPr>
            <w:r>
              <w:rPr>
                <w:b w:val="0"/>
                <w:bCs/>
                <w:sz w:val="21"/>
                <w:szCs w:val="21"/>
              </w:rPr>
              <w:t>编织袋装土拦挡</w:t>
            </w:r>
          </w:p>
        </w:tc>
        <w:tc>
          <w:tcPr>
            <w:tcW w:w="1815" w:type="pct"/>
            <w:vAlign w:val="center"/>
          </w:tcPr>
          <w:p>
            <w:pPr>
              <w:tabs>
                <w:tab w:val="left" w:pos="1050"/>
              </w:tabs>
              <w:spacing w:line="240" w:lineRule="auto"/>
              <w:ind w:firstLine="0" w:firstLineChars="0"/>
              <w:jc w:val="center"/>
              <w:rPr>
                <w:sz w:val="21"/>
                <w:szCs w:val="21"/>
              </w:rPr>
            </w:pPr>
            <w:r>
              <w:rPr>
                <w:sz w:val="21"/>
                <w:szCs w:val="21"/>
              </w:rPr>
              <w:t>表土堆体坡脚四周</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7" w:hRule="atLeast"/>
        </w:trPr>
        <w:tc>
          <w:tcPr>
            <w:tcW w:w="439" w:type="pct"/>
            <w:vMerge w:val="continue"/>
            <w:vAlign w:val="center"/>
          </w:tcPr>
          <w:p>
            <w:pPr>
              <w:pStyle w:val="53"/>
              <w:jc w:val="center"/>
              <w:rPr>
                <w:rFonts w:eastAsia="仿宋_GB2312"/>
              </w:rPr>
            </w:pPr>
          </w:p>
        </w:tc>
        <w:tc>
          <w:tcPr>
            <w:tcW w:w="849" w:type="pct"/>
            <w:vMerge w:val="restart"/>
            <w:vAlign w:val="center"/>
          </w:tcPr>
          <w:p>
            <w:pPr>
              <w:tabs>
                <w:tab w:val="left" w:pos="1050"/>
              </w:tabs>
              <w:spacing w:line="240" w:lineRule="auto"/>
              <w:ind w:firstLine="0" w:firstLineChars="0"/>
              <w:jc w:val="center"/>
              <w:rPr>
                <w:sz w:val="21"/>
                <w:szCs w:val="21"/>
              </w:rPr>
            </w:pPr>
            <w:r>
              <w:rPr>
                <w:sz w:val="21"/>
                <w:szCs w:val="21"/>
              </w:rPr>
              <w:t>土石方中转场*</w:t>
            </w:r>
          </w:p>
        </w:tc>
        <w:tc>
          <w:tcPr>
            <w:tcW w:w="483" w:type="pct"/>
            <w:vMerge w:val="restart"/>
            <w:vAlign w:val="center"/>
          </w:tcPr>
          <w:p>
            <w:pPr>
              <w:tabs>
                <w:tab w:val="left" w:pos="1050"/>
              </w:tabs>
              <w:spacing w:line="240" w:lineRule="auto"/>
              <w:ind w:firstLine="0" w:firstLineChars="0"/>
              <w:jc w:val="center"/>
              <w:rPr>
                <w:sz w:val="21"/>
                <w:szCs w:val="21"/>
              </w:rPr>
            </w:pPr>
            <w:r>
              <w:rPr>
                <w:sz w:val="21"/>
                <w:szCs w:val="21"/>
              </w:rPr>
              <w:t>临时措施</w:t>
            </w:r>
          </w:p>
        </w:tc>
        <w:tc>
          <w:tcPr>
            <w:tcW w:w="577" w:type="pct"/>
            <w:vAlign w:val="center"/>
          </w:tcPr>
          <w:p>
            <w:pPr>
              <w:spacing w:line="240" w:lineRule="auto"/>
              <w:ind w:firstLine="0" w:firstLineChars="0"/>
              <w:jc w:val="center"/>
              <w:rPr>
                <w:bCs/>
                <w:sz w:val="21"/>
                <w:szCs w:val="21"/>
              </w:rPr>
            </w:pPr>
            <w:r>
              <w:rPr>
                <w:sz w:val="21"/>
                <w:szCs w:val="21"/>
              </w:rPr>
              <w:t>浆砌石重力式挡土墙</w:t>
            </w:r>
          </w:p>
        </w:tc>
        <w:tc>
          <w:tcPr>
            <w:tcW w:w="1815" w:type="pct"/>
            <w:vAlign w:val="center"/>
          </w:tcPr>
          <w:p>
            <w:pPr>
              <w:tabs>
                <w:tab w:val="left" w:pos="1050"/>
              </w:tabs>
              <w:spacing w:line="240" w:lineRule="auto"/>
              <w:ind w:firstLine="0" w:firstLineChars="0"/>
              <w:jc w:val="center"/>
              <w:rPr>
                <w:sz w:val="21"/>
                <w:szCs w:val="21"/>
              </w:rPr>
            </w:pPr>
            <w:r>
              <w:rPr>
                <w:sz w:val="21"/>
                <w:szCs w:val="21"/>
              </w:rPr>
              <w:t>土石方堆体坡脚</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7" w:hRule="atLeast"/>
        </w:trPr>
        <w:tc>
          <w:tcPr>
            <w:tcW w:w="439" w:type="pct"/>
            <w:vMerge w:val="continue"/>
            <w:vAlign w:val="center"/>
          </w:tcPr>
          <w:p>
            <w:pPr>
              <w:tabs>
                <w:tab w:val="left" w:pos="1050"/>
              </w:tabs>
              <w:spacing w:line="240" w:lineRule="auto"/>
              <w:ind w:firstLine="0" w:firstLineChars="0"/>
              <w:jc w:val="center"/>
            </w:pPr>
          </w:p>
        </w:tc>
        <w:tc>
          <w:tcPr>
            <w:tcW w:w="849" w:type="pct"/>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spacing w:line="240" w:lineRule="auto"/>
              <w:ind w:firstLine="0" w:firstLineChars="0"/>
              <w:jc w:val="center"/>
              <w:rPr>
                <w:bCs/>
                <w:sz w:val="21"/>
                <w:szCs w:val="21"/>
              </w:rPr>
            </w:pPr>
            <w:r>
              <w:rPr>
                <w:sz w:val="21"/>
                <w:szCs w:val="21"/>
              </w:rPr>
              <w:t>截排水沟</w:t>
            </w:r>
          </w:p>
        </w:tc>
        <w:tc>
          <w:tcPr>
            <w:tcW w:w="1815" w:type="pct"/>
            <w:vAlign w:val="center"/>
          </w:tcPr>
          <w:p>
            <w:pPr>
              <w:tabs>
                <w:tab w:val="left" w:pos="1050"/>
              </w:tabs>
              <w:spacing w:line="240" w:lineRule="auto"/>
              <w:ind w:firstLine="0" w:firstLineChars="0"/>
              <w:jc w:val="center"/>
              <w:rPr>
                <w:sz w:val="21"/>
                <w:szCs w:val="21"/>
              </w:rPr>
            </w:pPr>
            <w:r>
              <w:rPr>
                <w:sz w:val="21"/>
                <w:szCs w:val="21"/>
              </w:rPr>
              <w:t>沿土石方堆体四周布置并就近接入周边自然沟道</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7"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spacing w:line="240" w:lineRule="auto"/>
              <w:ind w:firstLine="0" w:firstLineChars="0"/>
              <w:jc w:val="center"/>
              <w:rPr>
                <w:bCs/>
                <w:sz w:val="21"/>
                <w:szCs w:val="21"/>
              </w:rPr>
            </w:pPr>
            <w:r>
              <w:rPr>
                <w:kern w:val="24"/>
                <w:sz w:val="21"/>
                <w:szCs w:val="21"/>
              </w:rPr>
              <w:t>排水盲沟</w:t>
            </w:r>
          </w:p>
        </w:tc>
        <w:tc>
          <w:tcPr>
            <w:tcW w:w="1815" w:type="pct"/>
            <w:vAlign w:val="center"/>
          </w:tcPr>
          <w:p>
            <w:pPr>
              <w:tabs>
                <w:tab w:val="left" w:pos="1050"/>
              </w:tabs>
              <w:spacing w:line="240" w:lineRule="auto"/>
              <w:ind w:firstLine="0" w:firstLineChars="0"/>
              <w:jc w:val="center"/>
              <w:rPr>
                <w:sz w:val="21"/>
                <w:szCs w:val="21"/>
              </w:rPr>
            </w:pPr>
            <w:r>
              <w:rPr>
                <w:sz w:val="21"/>
                <w:szCs w:val="21"/>
              </w:rPr>
              <w:t>土石方堆体底部</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7"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spacing w:line="240" w:lineRule="auto"/>
              <w:ind w:firstLine="0" w:firstLineChars="0"/>
              <w:jc w:val="center"/>
              <w:rPr>
                <w:bCs/>
                <w:sz w:val="21"/>
                <w:szCs w:val="21"/>
              </w:rPr>
            </w:pPr>
            <w:r>
              <w:rPr>
                <w:sz w:val="21"/>
                <w:szCs w:val="21"/>
              </w:rPr>
              <w:t>消力池</w:t>
            </w:r>
          </w:p>
        </w:tc>
        <w:tc>
          <w:tcPr>
            <w:tcW w:w="1815" w:type="pct"/>
            <w:vAlign w:val="center"/>
          </w:tcPr>
          <w:p>
            <w:pPr>
              <w:tabs>
                <w:tab w:val="left" w:pos="1050"/>
              </w:tabs>
              <w:spacing w:line="240" w:lineRule="auto"/>
              <w:ind w:firstLine="0" w:firstLineChars="0"/>
              <w:jc w:val="center"/>
              <w:rPr>
                <w:sz w:val="21"/>
                <w:szCs w:val="21"/>
              </w:rPr>
            </w:pPr>
            <w:r>
              <w:rPr>
                <w:sz w:val="21"/>
                <w:szCs w:val="21"/>
              </w:rPr>
              <w:t>在截排水沟高差大的位置布置</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7"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spacing w:line="240" w:lineRule="auto"/>
              <w:ind w:firstLine="0" w:firstLineChars="0"/>
              <w:jc w:val="center"/>
              <w:rPr>
                <w:bCs/>
                <w:sz w:val="21"/>
                <w:szCs w:val="21"/>
              </w:rPr>
            </w:pPr>
            <w:r>
              <w:rPr>
                <w:sz w:val="21"/>
                <w:szCs w:val="21"/>
              </w:rPr>
              <w:t>沉沙池</w:t>
            </w:r>
          </w:p>
        </w:tc>
        <w:tc>
          <w:tcPr>
            <w:tcW w:w="1815" w:type="pct"/>
            <w:vAlign w:val="center"/>
          </w:tcPr>
          <w:p>
            <w:pPr>
              <w:tabs>
                <w:tab w:val="left" w:pos="1050"/>
              </w:tabs>
              <w:spacing w:line="240" w:lineRule="auto"/>
              <w:ind w:firstLine="0" w:firstLineChars="0"/>
              <w:jc w:val="center"/>
              <w:rPr>
                <w:sz w:val="21"/>
                <w:szCs w:val="21"/>
              </w:rPr>
            </w:pPr>
            <w:r>
              <w:rPr>
                <w:sz w:val="21"/>
                <w:szCs w:val="21"/>
              </w:rPr>
              <w:t>截排水沟末端及汇入自然沟道前布置</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1" w:hRule="atLeast"/>
        </w:trPr>
        <w:tc>
          <w:tcPr>
            <w:tcW w:w="439" w:type="pct"/>
            <w:vMerge w:val="continue"/>
            <w:vAlign w:val="center"/>
          </w:tcPr>
          <w:p>
            <w:pPr>
              <w:tabs>
                <w:tab w:val="left" w:pos="1050"/>
              </w:tabs>
              <w:spacing w:line="240" w:lineRule="auto"/>
              <w:ind w:firstLine="0" w:firstLineChars="0"/>
              <w:jc w:val="center"/>
              <w:rPr>
                <w:sz w:val="21"/>
                <w:szCs w:val="21"/>
              </w:rPr>
            </w:pPr>
          </w:p>
        </w:tc>
        <w:tc>
          <w:tcPr>
            <w:tcW w:w="849" w:type="pct"/>
            <w:vMerge w:val="continue"/>
            <w:vAlign w:val="center"/>
          </w:tcPr>
          <w:p>
            <w:pPr>
              <w:tabs>
                <w:tab w:val="left" w:pos="1050"/>
              </w:tabs>
              <w:spacing w:line="240" w:lineRule="auto"/>
              <w:ind w:firstLine="0" w:firstLineChars="0"/>
              <w:jc w:val="center"/>
              <w:rPr>
                <w:sz w:val="21"/>
                <w:szCs w:val="21"/>
              </w:rPr>
            </w:pPr>
          </w:p>
        </w:tc>
        <w:tc>
          <w:tcPr>
            <w:tcW w:w="483" w:type="pct"/>
            <w:vMerge w:val="continue"/>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bCs/>
                <w:sz w:val="21"/>
                <w:szCs w:val="21"/>
              </w:rPr>
            </w:pPr>
            <w:r>
              <w:rPr>
                <w:b w:val="0"/>
                <w:bCs/>
                <w:sz w:val="21"/>
                <w:szCs w:val="21"/>
              </w:rPr>
              <w:t>防雨布苫盖</w:t>
            </w:r>
          </w:p>
        </w:tc>
        <w:tc>
          <w:tcPr>
            <w:tcW w:w="1815" w:type="pct"/>
            <w:vAlign w:val="center"/>
          </w:tcPr>
          <w:p>
            <w:pPr>
              <w:tabs>
                <w:tab w:val="left" w:pos="1050"/>
              </w:tabs>
              <w:spacing w:line="240" w:lineRule="auto"/>
              <w:ind w:firstLine="0" w:firstLineChars="0"/>
              <w:jc w:val="center"/>
              <w:rPr>
                <w:sz w:val="21"/>
                <w:szCs w:val="21"/>
              </w:rPr>
            </w:pPr>
            <w:r>
              <w:rPr>
                <w:sz w:val="21"/>
                <w:szCs w:val="21"/>
              </w:rPr>
              <w:t>土石方堆体顶部及坡面</w:t>
            </w:r>
          </w:p>
        </w:tc>
        <w:tc>
          <w:tcPr>
            <w:tcW w:w="836" w:type="pct"/>
            <w:vAlign w:val="center"/>
          </w:tcPr>
          <w:p>
            <w:pPr>
              <w:tabs>
                <w:tab w:val="left" w:pos="1050"/>
              </w:tabs>
              <w:spacing w:line="240" w:lineRule="auto"/>
              <w:ind w:firstLine="0" w:firstLineChars="0"/>
              <w:jc w:val="center"/>
              <w:rPr>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4" w:hRule="atLeast"/>
        </w:trPr>
        <w:tc>
          <w:tcPr>
            <w:tcW w:w="1288" w:type="pct"/>
            <w:gridSpan w:val="2"/>
            <w:vMerge w:val="restart"/>
            <w:vAlign w:val="center"/>
          </w:tcPr>
          <w:p>
            <w:pPr>
              <w:tabs>
                <w:tab w:val="left" w:pos="1050"/>
              </w:tabs>
              <w:spacing w:line="240" w:lineRule="auto"/>
              <w:ind w:firstLine="0" w:firstLineChars="0"/>
              <w:jc w:val="center"/>
              <w:rPr>
                <w:sz w:val="21"/>
                <w:szCs w:val="21"/>
              </w:rPr>
            </w:pPr>
            <w:r>
              <w:rPr>
                <w:sz w:val="21"/>
                <w:szCs w:val="21"/>
              </w:rPr>
              <w:t>施工生产生活区</w:t>
            </w:r>
          </w:p>
        </w:tc>
        <w:tc>
          <w:tcPr>
            <w:tcW w:w="483" w:type="pct"/>
            <w:vMerge w:val="restart"/>
            <w:vAlign w:val="center"/>
          </w:tcPr>
          <w:p>
            <w:pPr>
              <w:tabs>
                <w:tab w:val="left" w:pos="1050"/>
              </w:tabs>
              <w:spacing w:line="240" w:lineRule="auto"/>
              <w:ind w:firstLine="0" w:firstLineChars="0"/>
              <w:jc w:val="center"/>
              <w:rPr>
                <w:sz w:val="21"/>
                <w:szCs w:val="21"/>
              </w:rPr>
            </w:pPr>
          </w:p>
        </w:tc>
        <w:tc>
          <w:tcPr>
            <w:tcW w:w="577" w:type="pct"/>
            <w:vAlign w:val="center"/>
          </w:tcPr>
          <w:p>
            <w:pPr>
              <w:pStyle w:val="68"/>
              <w:adjustRightInd/>
              <w:snapToGrid/>
              <w:spacing w:afterLines="0"/>
              <w:jc w:val="center"/>
              <w:rPr>
                <w:b w:val="0"/>
                <w:bCs/>
                <w:sz w:val="21"/>
                <w:szCs w:val="21"/>
              </w:rPr>
            </w:pPr>
            <w:r>
              <w:rPr>
                <w:b w:val="0"/>
                <w:bCs/>
                <w:sz w:val="21"/>
                <w:szCs w:val="21"/>
              </w:rPr>
              <w:t>截排水沟</w:t>
            </w:r>
          </w:p>
        </w:tc>
        <w:tc>
          <w:tcPr>
            <w:tcW w:w="1815" w:type="pct"/>
            <w:vAlign w:val="center"/>
          </w:tcPr>
          <w:p>
            <w:pPr>
              <w:tabs>
                <w:tab w:val="left" w:pos="1050"/>
              </w:tabs>
              <w:spacing w:line="240" w:lineRule="auto"/>
              <w:ind w:firstLine="0" w:firstLineChars="0"/>
              <w:jc w:val="center"/>
              <w:rPr>
                <w:sz w:val="21"/>
                <w:szCs w:val="21"/>
              </w:rPr>
            </w:pPr>
            <w:r>
              <w:rPr>
                <w:sz w:val="21"/>
                <w:szCs w:val="21"/>
              </w:rPr>
              <w:t>施工生产生活区周边</w:t>
            </w:r>
          </w:p>
        </w:tc>
        <w:tc>
          <w:tcPr>
            <w:tcW w:w="836" w:type="pct"/>
            <w:vAlign w:val="center"/>
          </w:tcPr>
          <w:p>
            <w:pPr>
              <w:tabs>
                <w:tab w:val="left" w:pos="1050"/>
              </w:tabs>
              <w:spacing w:line="240" w:lineRule="auto"/>
              <w:ind w:firstLine="0" w:firstLineChars="0"/>
              <w:jc w:val="center"/>
              <w:rPr>
                <w:bCs/>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4" w:hRule="atLeast"/>
        </w:trPr>
        <w:tc>
          <w:tcPr>
            <w:tcW w:w="1288" w:type="pct"/>
            <w:gridSpan w:val="2"/>
            <w:vMerge w:val="continue"/>
            <w:vAlign w:val="center"/>
          </w:tcPr>
          <w:p>
            <w:pPr>
              <w:tabs>
                <w:tab w:val="left" w:pos="1050"/>
              </w:tabs>
              <w:spacing w:line="240" w:lineRule="auto"/>
              <w:ind w:firstLine="0" w:firstLineChars="0"/>
              <w:jc w:val="center"/>
            </w:pPr>
          </w:p>
        </w:tc>
        <w:tc>
          <w:tcPr>
            <w:tcW w:w="483" w:type="pct"/>
            <w:vMerge w:val="continue"/>
            <w:vAlign w:val="center"/>
          </w:tcPr>
          <w:p>
            <w:pPr>
              <w:tabs>
                <w:tab w:val="left" w:pos="1050"/>
              </w:tabs>
              <w:spacing w:line="240" w:lineRule="auto"/>
              <w:ind w:firstLine="0" w:firstLineChars="0"/>
              <w:jc w:val="center"/>
            </w:pPr>
          </w:p>
        </w:tc>
        <w:tc>
          <w:tcPr>
            <w:tcW w:w="577" w:type="pct"/>
            <w:vAlign w:val="center"/>
          </w:tcPr>
          <w:p>
            <w:pPr>
              <w:pStyle w:val="68"/>
              <w:adjustRightInd/>
              <w:snapToGrid/>
              <w:spacing w:afterLines="0"/>
              <w:jc w:val="center"/>
              <w:rPr>
                <w:b w:val="0"/>
                <w:bCs/>
                <w:sz w:val="21"/>
                <w:szCs w:val="21"/>
              </w:rPr>
            </w:pPr>
            <w:r>
              <w:rPr>
                <w:b w:val="0"/>
                <w:bCs/>
                <w:sz w:val="21"/>
                <w:szCs w:val="21"/>
              </w:rPr>
              <w:t>沉沙池</w:t>
            </w:r>
          </w:p>
        </w:tc>
        <w:tc>
          <w:tcPr>
            <w:tcW w:w="1815" w:type="pct"/>
            <w:vAlign w:val="center"/>
          </w:tcPr>
          <w:p>
            <w:pPr>
              <w:tabs>
                <w:tab w:val="left" w:pos="1050"/>
              </w:tabs>
              <w:spacing w:line="240" w:lineRule="auto"/>
              <w:ind w:firstLine="0" w:firstLineChars="0"/>
              <w:jc w:val="center"/>
              <w:rPr>
                <w:bCs/>
                <w:sz w:val="21"/>
                <w:szCs w:val="21"/>
              </w:rPr>
            </w:pPr>
            <w:r>
              <w:rPr>
                <w:sz w:val="21"/>
                <w:szCs w:val="21"/>
              </w:rPr>
              <w:t>排水沟末端及间隔300m设置</w:t>
            </w:r>
          </w:p>
        </w:tc>
        <w:tc>
          <w:tcPr>
            <w:tcW w:w="836" w:type="pct"/>
            <w:vAlign w:val="center"/>
          </w:tcPr>
          <w:p>
            <w:pPr>
              <w:tabs>
                <w:tab w:val="left" w:pos="1050"/>
              </w:tabs>
              <w:spacing w:line="240" w:lineRule="auto"/>
              <w:ind w:firstLine="0" w:firstLineChars="0"/>
              <w:jc w:val="center"/>
              <w:rPr>
                <w:bCs/>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4" w:hRule="atLeast"/>
        </w:trPr>
        <w:tc>
          <w:tcPr>
            <w:tcW w:w="1288" w:type="pct"/>
            <w:gridSpan w:val="2"/>
            <w:vMerge w:val="continue"/>
            <w:vAlign w:val="center"/>
          </w:tcPr>
          <w:p>
            <w:pPr>
              <w:tabs>
                <w:tab w:val="left" w:pos="1050"/>
              </w:tabs>
              <w:spacing w:line="240" w:lineRule="auto"/>
              <w:ind w:firstLine="0" w:firstLineChars="0"/>
              <w:jc w:val="center"/>
              <w:rPr>
                <w:bCs/>
                <w:sz w:val="21"/>
                <w:szCs w:val="21"/>
              </w:rPr>
            </w:pPr>
          </w:p>
        </w:tc>
        <w:tc>
          <w:tcPr>
            <w:tcW w:w="483" w:type="pct"/>
            <w:vMerge w:val="continue"/>
            <w:vAlign w:val="center"/>
          </w:tcPr>
          <w:p>
            <w:pPr>
              <w:tabs>
                <w:tab w:val="left" w:pos="1050"/>
              </w:tabs>
              <w:spacing w:line="240" w:lineRule="auto"/>
              <w:ind w:firstLine="0" w:firstLineChars="0"/>
              <w:jc w:val="center"/>
              <w:rPr>
                <w:bCs/>
                <w:sz w:val="21"/>
                <w:szCs w:val="21"/>
              </w:rPr>
            </w:pPr>
          </w:p>
        </w:tc>
        <w:tc>
          <w:tcPr>
            <w:tcW w:w="577" w:type="pct"/>
            <w:vAlign w:val="center"/>
          </w:tcPr>
          <w:p>
            <w:pPr>
              <w:pStyle w:val="68"/>
              <w:adjustRightInd/>
              <w:snapToGrid/>
              <w:spacing w:afterLines="0"/>
              <w:jc w:val="center"/>
              <w:rPr>
                <w:b w:val="0"/>
                <w:bCs/>
                <w:sz w:val="21"/>
                <w:szCs w:val="21"/>
              </w:rPr>
            </w:pPr>
            <w:r>
              <w:rPr>
                <w:b w:val="0"/>
                <w:bCs/>
                <w:sz w:val="21"/>
                <w:szCs w:val="21"/>
              </w:rPr>
              <w:t>防雨布苫盖</w:t>
            </w:r>
          </w:p>
        </w:tc>
        <w:tc>
          <w:tcPr>
            <w:tcW w:w="1815" w:type="pct"/>
            <w:vAlign w:val="center"/>
          </w:tcPr>
          <w:p>
            <w:pPr>
              <w:tabs>
                <w:tab w:val="left" w:pos="1050"/>
              </w:tabs>
              <w:spacing w:line="240" w:lineRule="auto"/>
              <w:ind w:firstLine="0" w:firstLineChars="0"/>
              <w:jc w:val="center"/>
              <w:rPr>
                <w:bCs/>
                <w:sz w:val="21"/>
                <w:szCs w:val="21"/>
              </w:rPr>
            </w:pPr>
            <w:r>
              <w:rPr>
                <w:bCs/>
                <w:sz w:val="21"/>
                <w:szCs w:val="21"/>
              </w:rPr>
              <w:t>施工场地内堆放有砂砾石骨料</w:t>
            </w:r>
          </w:p>
        </w:tc>
        <w:tc>
          <w:tcPr>
            <w:tcW w:w="836" w:type="pct"/>
            <w:vAlign w:val="center"/>
          </w:tcPr>
          <w:p>
            <w:pPr>
              <w:tabs>
                <w:tab w:val="left" w:pos="1050"/>
              </w:tabs>
              <w:spacing w:line="240" w:lineRule="auto"/>
              <w:ind w:firstLine="0" w:firstLineChars="0"/>
              <w:jc w:val="center"/>
              <w:rPr>
                <w:bCs/>
                <w:sz w:val="21"/>
                <w:szCs w:val="21"/>
              </w:rPr>
            </w:pPr>
            <w:r>
              <w:rPr>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4" w:hRule="atLeast"/>
        </w:trPr>
        <w:tc>
          <w:tcPr>
            <w:tcW w:w="1288" w:type="pct"/>
            <w:gridSpan w:val="2"/>
            <w:vMerge w:val="continue"/>
            <w:vAlign w:val="center"/>
          </w:tcPr>
          <w:p>
            <w:pPr>
              <w:tabs>
                <w:tab w:val="left" w:pos="1050"/>
              </w:tabs>
              <w:spacing w:line="240" w:lineRule="auto"/>
              <w:ind w:firstLine="0" w:firstLineChars="0"/>
              <w:jc w:val="center"/>
              <w:rPr>
                <w:bCs/>
                <w:sz w:val="21"/>
                <w:szCs w:val="21"/>
              </w:rPr>
            </w:pPr>
          </w:p>
        </w:tc>
        <w:tc>
          <w:tcPr>
            <w:tcW w:w="483" w:type="pct"/>
            <w:vMerge w:val="continue"/>
            <w:vAlign w:val="center"/>
          </w:tcPr>
          <w:p>
            <w:pPr>
              <w:tabs>
                <w:tab w:val="left" w:pos="1050"/>
              </w:tabs>
              <w:spacing w:line="240" w:lineRule="auto"/>
              <w:ind w:firstLine="0" w:firstLineChars="0"/>
              <w:jc w:val="center"/>
              <w:rPr>
                <w:bCs/>
                <w:sz w:val="21"/>
                <w:szCs w:val="21"/>
              </w:rPr>
            </w:pPr>
          </w:p>
        </w:tc>
        <w:tc>
          <w:tcPr>
            <w:tcW w:w="577" w:type="pct"/>
            <w:vAlign w:val="center"/>
          </w:tcPr>
          <w:p>
            <w:pPr>
              <w:pStyle w:val="68"/>
              <w:adjustRightInd/>
              <w:snapToGrid/>
              <w:spacing w:afterLines="0"/>
              <w:jc w:val="center"/>
              <w:rPr>
                <w:b w:val="0"/>
                <w:bCs/>
                <w:sz w:val="21"/>
                <w:szCs w:val="21"/>
              </w:rPr>
            </w:pPr>
            <w:r>
              <w:rPr>
                <w:b w:val="0"/>
                <w:bCs/>
                <w:sz w:val="21"/>
                <w:szCs w:val="21"/>
              </w:rPr>
              <w:t>编织袋装土拦挡</w:t>
            </w:r>
          </w:p>
        </w:tc>
        <w:tc>
          <w:tcPr>
            <w:tcW w:w="1815" w:type="pct"/>
            <w:vAlign w:val="center"/>
          </w:tcPr>
          <w:p>
            <w:pPr>
              <w:tabs>
                <w:tab w:val="left" w:pos="1050"/>
              </w:tabs>
              <w:spacing w:line="240" w:lineRule="auto"/>
              <w:ind w:firstLine="0" w:firstLineChars="0"/>
              <w:jc w:val="center"/>
              <w:rPr>
                <w:bCs/>
                <w:sz w:val="21"/>
                <w:szCs w:val="21"/>
              </w:rPr>
            </w:pPr>
            <w:r>
              <w:rPr>
                <w:bCs/>
                <w:sz w:val="21"/>
                <w:szCs w:val="21"/>
              </w:rPr>
              <w:t>施工场地内堆放有砂砾石骨料坡脚</w:t>
            </w:r>
          </w:p>
        </w:tc>
        <w:tc>
          <w:tcPr>
            <w:tcW w:w="836" w:type="pct"/>
            <w:vAlign w:val="center"/>
          </w:tcPr>
          <w:p>
            <w:pPr>
              <w:tabs>
                <w:tab w:val="left" w:pos="1050"/>
              </w:tabs>
              <w:spacing w:line="240" w:lineRule="auto"/>
              <w:ind w:firstLine="0" w:firstLineChars="0"/>
              <w:jc w:val="center"/>
              <w:rPr>
                <w:bCs/>
                <w:sz w:val="21"/>
                <w:szCs w:val="21"/>
              </w:rPr>
            </w:pPr>
            <w:r>
              <w:rPr>
                <w:bCs/>
                <w:sz w:val="21"/>
                <w:szCs w:val="21"/>
              </w:rPr>
              <w:t>报告新增</w:t>
            </w:r>
          </w:p>
        </w:tc>
      </w:tr>
    </w:tbl>
    <w:p>
      <w:pPr>
        <w:pStyle w:val="68"/>
        <w:spacing w:beforeLines="50" w:after="120"/>
        <w:rPr>
          <w:bCs/>
        </w:rPr>
      </w:pPr>
    </w:p>
    <w:p>
      <w:pPr>
        <w:pStyle w:val="68"/>
        <w:spacing w:beforeLines="50" w:after="120"/>
      </w:pPr>
    </w:p>
    <w:p>
      <w:pPr>
        <w:pStyle w:val="5"/>
        <w:sectPr>
          <w:pgSz w:w="16838" w:h="11905" w:orient="landscape"/>
          <w:pgMar w:top="1417" w:right="1417" w:bottom="1417" w:left="1417" w:header="850" w:footer="992" w:gutter="0"/>
          <w:cols w:space="720" w:num="1"/>
          <w:docGrid w:linePitch="312" w:charSpace="0"/>
        </w:sectPr>
      </w:pPr>
    </w:p>
    <w:p>
      <w:pPr>
        <w:pStyle w:val="68"/>
        <w:spacing w:after="120"/>
        <w:rPr>
          <w:rStyle w:val="67"/>
          <w:b/>
        </w:rPr>
      </w:pPr>
    </w:p>
    <w:p>
      <w:pPr>
        <w:pStyle w:val="5"/>
      </w:pPr>
      <w:bookmarkStart w:id="89" w:name="_Toc29001"/>
      <w:r>
        <w:t>5.3分区措施布设</w:t>
      </w:r>
      <w:bookmarkEnd w:id="89"/>
    </w:p>
    <w:p>
      <w:pPr>
        <w:pStyle w:val="6"/>
      </w:pPr>
      <w:r>
        <w:t>5.3.1水土保持措施设计标准</w:t>
      </w:r>
    </w:p>
    <w:p>
      <w:pPr>
        <w:pStyle w:val="7"/>
      </w:pPr>
      <w:r>
        <w:t>5.3.1.1工程措施设计标准及原则</w:t>
      </w:r>
    </w:p>
    <w:p>
      <w:pPr>
        <w:ind w:firstLine="480"/>
      </w:pPr>
      <w:r>
        <w:t>根据《水土保持工程设计规范》（GB51018-2014）及《生产建设项目水土保持技术标准》（GB50433-2018），园区涉及的金粟镇、金山镇属于五通桥区水土流失重点治理区，因此园区内截排水工程、拦挡工程的工程等级和防洪标准均提高一级，表土中转场及土石方中转场的等级均为5级，按水土保持要求</w:t>
      </w:r>
      <w:r>
        <w:rPr>
          <w:rFonts w:hint="eastAsia"/>
        </w:rPr>
        <w:t>工程措施等级提高一级后，</w:t>
      </w:r>
      <w:r>
        <w:t>其挡渣墙建筑物级别均为4级、截排水工程设计标准均为2级（排水标准为5年一遇10min短历时暴雨、安全超高取0.2m）</w:t>
      </w:r>
      <w:r>
        <w:rPr>
          <w:rFonts w:hint="eastAsia"/>
        </w:rPr>
        <w:t>；</w:t>
      </w:r>
      <w:r>
        <w:t>其他截排水工程按5年一遇10min短历时暴雨标准设计</w:t>
      </w:r>
      <w:r>
        <w:rPr>
          <w:rFonts w:hint="eastAsia"/>
        </w:rPr>
        <w:t>；覆土平均厚度大于0.30米；工业用地区、道路与交通设施用地区、公用设施用地区、绿地与广场用地等主体工程区的植被恢复与建设工程设计标准执行1级，施工场地区、土石方中转场、表土临时堆放场植被恢复与建设工程设计标准执行3级。</w:t>
      </w:r>
    </w:p>
    <w:p>
      <w:pPr>
        <w:pStyle w:val="7"/>
      </w:pPr>
      <w:r>
        <w:t>5.3.1.2植物措施设计标准</w:t>
      </w:r>
    </w:p>
    <w:p>
      <w:pPr>
        <w:ind w:firstLine="480"/>
      </w:pPr>
      <w:r>
        <w:t>1、植被恢复级别</w:t>
      </w:r>
    </w:p>
    <w:p>
      <w:pPr>
        <w:ind w:firstLine="480"/>
      </w:pPr>
      <w:r>
        <w:t>根据《水土保持工程设计规范》（GB51018-2014）的规定，生产建设项目的植被恢复与建设工程级别，应根据其所处的自然及人文环境、气候条件、立地条件、征地范围、绿化要求综合确定，结合园区实际，临时植被恢复级别采用3级，其他生产建设项目植被恢复级别采用1级。植物措施具体树草种选择、种植密度应在园区内项目各自的水保方案中予以确定。</w:t>
      </w:r>
    </w:p>
    <w:p>
      <w:pPr>
        <w:ind w:firstLine="480"/>
      </w:pPr>
      <w:r>
        <w:t>2、种苗质量要求和种植技术指标</w:t>
      </w:r>
    </w:p>
    <w:p>
      <w:pPr>
        <w:ind w:firstLine="480"/>
      </w:pPr>
      <w:r>
        <w:t>用于水土保持植物措施的苗木及草种必须是一级苗或一级种，并且要具有“一签三证”，即要有标签、生产经营许可证、质量合格证和植物检疫证。</w:t>
      </w:r>
    </w:p>
    <w:p>
      <w:pPr>
        <w:pStyle w:val="7"/>
      </w:pPr>
      <w:r>
        <w:t>5.3.1.3临时措施设计标准</w:t>
      </w:r>
    </w:p>
    <w:p>
      <w:pPr>
        <w:ind w:firstLine="480"/>
      </w:pPr>
      <w:r>
        <w:t>根据《水土保持工程设计规范》（GB51018-2014）及《生产建设项目水土保持技术标准》（GB50433-2018），园区涉及的金粟镇、金山镇属于五通桥区水土流失重点治理区，临时排水沟排水设计标准提高一级，采用5年一遇10min短历时设计暴雨。计算公式采用《水土保持工程设计规范》（GB51018-2014）中A.4.1-1式计算。</w:t>
      </w:r>
    </w:p>
    <w:p>
      <w:pPr>
        <w:ind w:firstLine="480"/>
      </w:pPr>
      <w:r>
        <w:br w:type="page"/>
      </w:r>
    </w:p>
    <w:p>
      <w:pPr>
        <w:pStyle w:val="6"/>
      </w:pPr>
      <w:r>
        <w:t>5.3.2近期建设区</w:t>
      </w:r>
    </w:p>
    <w:p>
      <w:pPr>
        <w:pStyle w:val="7"/>
      </w:pPr>
      <w:r>
        <w:t>5.3.2.1已建区</w:t>
      </w:r>
    </w:p>
    <w:p>
      <w:pPr>
        <w:pStyle w:val="8"/>
        <w:rPr>
          <w:rFonts w:eastAsia="仿宋_GB2312"/>
        </w:rPr>
      </w:pPr>
      <w:r>
        <w:rPr>
          <w:rFonts w:eastAsia="仿宋_GB2312"/>
        </w:rPr>
        <w:t>5.3.2.1.1工业用地区</w:t>
      </w:r>
    </w:p>
    <w:p>
      <w:pPr>
        <w:ind w:firstLine="480"/>
        <w:rPr>
          <w:kern w:val="0"/>
          <w:szCs w:val="24"/>
        </w:rPr>
      </w:pPr>
      <w:r>
        <w:rPr>
          <w:kern w:val="0"/>
          <w:szCs w:val="24"/>
        </w:rPr>
        <w:t>根据园区内批复的水土保持方案及现场调查，园区部分企业剥离了表土用于后期绿化使用，经统计，表土剥离面积为15.76hm</w:t>
      </w:r>
      <w:r>
        <w:rPr>
          <w:kern w:val="0"/>
          <w:szCs w:val="24"/>
          <w:vertAlign w:val="superscript"/>
        </w:rPr>
        <w:t>2</w:t>
      </w:r>
      <w:r>
        <w:rPr>
          <w:kern w:val="0"/>
          <w:szCs w:val="24"/>
        </w:rPr>
        <w:t>，剥离厚度为0.2~0.4m，共计剥离表土量3.94万m</w:t>
      </w:r>
      <w:r>
        <w:rPr>
          <w:kern w:val="0"/>
          <w:szCs w:val="24"/>
          <w:vertAlign w:val="superscript"/>
        </w:rPr>
        <w:t>3</w:t>
      </w:r>
      <w:r>
        <w:rPr>
          <w:kern w:val="0"/>
          <w:szCs w:val="24"/>
        </w:rPr>
        <w:t>。绿化覆土面积为10.67hm</w:t>
      </w:r>
      <w:r>
        <w:rPr>
          <w:kern w:val="0"/>
          <w:szCs w:val="24"/>
          <w:vertAlign w:val="superscript"/>
        </w:rPr>
        <w:t>2</w:t>
      </w:r>
      <w:r>
        <w:rPr>
          <w:kern w:val="0"/>
          <w:szCs w:val="24"/>
        </w:rPr>
        <w:t>，回覆厚度为0.2~0.4m，回填覆土量3.94万m</w:t>
      </w:r>
      <w:r>
        <w:rPr>
          <w:kern w:val="0"/>
          <w:szCs w:val="24"/>
          <w:vertAlign w:val="superscript"/>
        </w:rPr>
        <w:t>3</w:t>
      </w:r>
      <w:r>
        <w:t>。</w:t>
      </w:r>
      <w:r>
        <w:rPr>
          <w:kern w:val="0"/>
          <w:szCs w:val="24"/>
        </w:rPr>
        <w:t>园区企业内部实施有雨水管网、排水沟、绿化等水土保持措施。入驻项目在建设过程中落实了较完善的措施体系，水土保持效果良好，区内无明显水土流失。本评估报告不再补充水土保持措施，仅要求责任单位加强管护，保证已有措施安全有效运行。上述入驻企业实施的水土保持措施在其对应项目的水土保持方案中体现，其措施</w:t>
      </w:r>
      <w:r>
        <w:t>不计入本评估报告。</w:t>
      </w:r>
    </w:p>
    <w:p>
      <w:pPr>
        <w:pStyle w:val="8"/>
        <w:rPr>
          <w:rFonts w:eastAsia="仿宋_GB2312"/>
        </w:rPr>
      </w:pPr>
      <w:r>
        <w:rPr>
          <w:rFonts w:eastAsia="仿宋_GB2312"/>
        </w:rPr>
        <w:t>5.3.2.1.2道路与交通设施用地区</w:t>
      </w:r>
    </w:p>
    <w:p>
      <w:pPr>
        <w:ind w:firstLine="482"/>
        <w:rPr>
          <w:b/>
        </w:rPr>
      </w:pPr>
      <w:r>
        <w:rPr>
          <w:b/>
        </w:rPr>
        <w:t>1、工程措施</w:t>
      </w:r>
    </w:p>
    <w:p>
      <w:pPr>
        <w:ind w:firstLine="480"/>
        <w:rPr>
          <w:kern w:val="0"/>
          <w:szCs w:val="24"/>
        </w:rPr>
      </w:pPr>
      <w:r>
        <w:rPr>
          <w:kern w:val="0"/>
          <w:szCs w:val="24"/>
        </w:rPr>
        <w:t>（1）表土回覆（主体已有）</w:t>
      </w:r>
    </w:p>
    <w:p>
      <w:pPr>
        <w:ind w:firstLine="480"/>
      </w:pPr>
      <w:r>
        <w:t>根据调查，主体已对北二路（永祥段）、西二路、北永路、永祥物流通道等道路实施了栽植行道树绿化。绿化所需表土从</w:t>
      </w:r>
      <w:r>
        <w:rPr>
          <w:rFonts w:hint="eastAsia"/>
        </w:rPr>
        <w:t>表土临时堆存点</w:t>
      </w:r>
      <w:r>
        <w:t>调运，本区绿化面积为2.11hm</w:t>
      </w:r>
      <w:r>
        <w:rPr>
          <w:vertAlign w:val="superscript"/>
        </w:rPr>
        <w:t>2</w:t>
      </w:r>
      <w:r>
        <w:t>，覆土厚度为0.3~1.20m，绿化覆土量为2.41万m</w:t>
      </w:r>
      <w:r>
        <w:rPr>
          <w:vertAlign w:val="superscript"/>
        </w:rPr>
        <w:t>3</w:t>
      </w:r>
      <w:r>
        <w:t>。</w:t>
      </w:r>
    </w:p>
    <w:p>
      <w:pPr>
        <w:ind w:firstLine="480"/>
      </w:pPr>
      <w:r>
        <w:t>（2）雨水管及雨水口（主体已有）</w:t>
      </w:r>
    </w:p>
    <w:p>
      <w:pPr>
        <w:widowControl/>
        <w:ind w:firstLine="480"/>
      </w:pPr>
      <w:r>
        <w:t>根据调查，</w:t>
      </w:r>
      <w:r>
        <w:rPr>
          <w:kern w:val="0"/>
          <w:szCs w:val="24"/>
        </w:rPr>
        <w:t>主体工程沿园区内部道路路基两侧布置了雨水排水管及雨水口，并与其他区域的雨水管有效衔接，形成整个场区完备的雨水排放系统，以收集地面雨水，最终排入市政雨水管网。雨水管采用DN600~DN2000钢筋混凝土雨水管，雨水口采用预制混凝土装配式雨水口，雨水篦子采用C250球墨铸铁篦子。经统计，本区共设置雨水管2236m，雨水口45个。</w:t>
      </w:r>
    </w:p>
    <w:p>
      <w:pPr>
        <w:ind w:firstLine="482"/>
        <w:rPr>
          <w:b/>
          <w:bCs/>
        </w:rPr>
      </w:pPr>
      <w:r>
        <w:rPr>
          <w:b/>
          <w:bCs/>
        </w:rPr>
        <w:t>2、植物措施</w:t>
      </w:r>
    </w:p>
    <w:p>
      <w:pPr>
        <w:ind w:firstLine="480"/>
      </w:pPr>
      <w:r>
        <w:t>（1）道路综合绿化（主体已有）</w:t>
      </w:r>
    </w:p>
    <w:p>
      <w:pPr>
        <w:ind w:firstLine="480"/>
      </w:pPr>
      <w:r>
        <w:t>根据调查，主体已对北二路（永祥段）、西二路、北永路、永祥物流通道等道路实施了栽植行道树绿化。绿化以当地乡土物种为主，乔木主要为小叶榕、香樟、槐树等。经统计，道路绿化面积为2.11hm</w:t>
      </w:r>
      <w:r>
        <w:rPr>
          <w:vertAlign w:val="superscript"/>
        </w:rPr>
        <w:t>2</w:t>
      </w:r>
      <w:r>
        <w:t>（其中已栽植行道树0.07hm</w:t>
      </w:r>
      <w:r>
        <w:rPr>
          <w:vertAlign w:val="superscript"/>
        </w:rPr>
        <w:t>2</w:t>
      </w:r>
      <w:r>
        <w:t>/516株，道路绿化带2.04hm</w:t>
      </w:r>
      <w:r>
        <w:rPr>
          <w:vertAlign w:val="superscript"/>
        </w:rPr>
        <w:t>2</w:t>
      </w:r>
      <w:r>
        <w:t>）。</w:t>
      </w:r>
    </w:p>
    <w:p>
      <w:pPr>
        <w:pStyle w:val="7"/>
      </w:pPr>
      <w:r>
        <w:t>5.3.2.2在建区</w:t>
      </w:r>
    </w:p>
    <w:p>
      <w:pPr>
        <w:pStyle w:val="8"/>
        <w:rPr>
          <w:rFonts w:eastAsia="仿宋_GB2312"/>
        </w:rPr>
      </w:pPr>
      <w:r>
        <w:rPr>
          <w:rFonts w:eastAsia="仿宋_GB2312"/>
        </w:rPr>
        <w:t>5.3.2.2.1工业用地区</w:t>
      </w:r>
    </w:p>
    <w:p>
      <w:pPr>
        <w:ind w:firstLine="482"/>
        <w:rPr>
          <w:b/>
        </w:rPr>
      </w:pPr>
      <w:r>
        <w:rPr>
          <w:b/>
        </w:rPr>
        <w:t>1、工程措施</w:t>
      </w:r>
    </w:p>
    <w:p>
      <w:pPr>
        <w:ind w:firstLine="480"/>
        <w:rPr>
          <w:kern w:val="0"/>
          <w:szCs w:val="24"/>
        </w:rPr>
      </w:pPr>
      <w:r>
        <w:rPr>
          <w:kern w:val="0"/>
          <w:szCs w:val="24"/>
        </w:rPr>
        <w:t>（1）表土剥离及回覆（主体已有）</w:t>
      </w:r>
    </w:p>
    <w:p>
      <w:pPr>
        <w:ind w:firstLine="480"/>
        <w:rPr>
          <w:kern w:val="0"/>
          <w:szCs w:val="24"/>
        </w:rPr>
      </w:pPr>
      <w:r>
        <w:rPr>
          <w:kern w:val="0"/>
          <w:szCs w:val="24"/>
        </w:rPr>
        <w:t>根据园区内批复的水土保持方案及对园区已扰动区域进行表土保护工作的现场实地调查，园区内部分企业未进行表土剥离</w:t>
      </w:r>
      <w:r>
        <w:rPr>
          <w:rFonts w:hint="eastAsia"/>
          <w:kern w:val="0"/>
          <w:szCs w:val="24"/>
        </w:rPr>
        <w:t>或表土未进行集中堆放</w:t>
      </w:r>
      <w:r>
        <w:rPr>
          <w:kern w:val="0"/>
          <w:szCs w:val="24"/>
        </w:rPr>
        <w:t>。针对园区</w:t>
      </w:r>
      <w:r>
        <w:rPr>
          <w:rFonts w:hint="eastAsia"/>
          <w:kern w:val="0"/>
          <w:szCs w:val="24"/>
        </w:rPr>
        <w:t>在建区域</w:t>
      </w:r>
      <w:r>
        <w:rPr>
          <w:kern w:val="0"/>
          <w:szCs w:val="24"/>
        </w:rPr>
        <w:t>情况，本报告要求需根据现场实际情况把可剥离保护的表土收集集中起来用于园区绿化覆土使用，最大程度地保护表土资源。经</w:t>
      </w:r>
      <w:r>
        <w:rPr>
          <w:rFonts w:hint="eastAsia"/>
          <w:kern w:val="0"/>
          <w:szCs w:val="24"/>
        </w:rPr>
        <w:t>调查</w:t>
      </w:r>
      <w:r>
        <w:rPr>
          <w:kern w:val="0"/>
          <w:szCs w:val="24"/>
        </w:rPr>
        <w:t>，表土剥离面积为</w:t>
      </w:r>
      <w:r>
        <w:rPr>
          <w:rFonts w:hint="eastAsia"/>
          <w:kern w:val="0"/>
          <w:szCs w:val="24"/>
        </w:rPr>
        <w:t>251.60</w:t>
      </w:r>
      <w:r>
        <w:rPr>
          <w:kern w:val="0"/>
          <w:szCs w:val="24"/>
        </w:rPr>
        <w:t>hm</w:t>
      </w:r>
      <w:r>
        <w:rPr>
          <w:kern w:val="0"/>
          <w:szCs w:val="24"/>
          <w:vertAlign w:val="superscript"/>
        </w:rPr>
        <w:t>2</w:t>
      </w:r>
      <w:r>
        <w:rPr>
          <w:kern w:val="0"/>
          <w:szCs w:val="24"/>
        </w:rPr>
        <w:t>，剥离厚度为0.2~0.4m，共计剥离表土量</w:t>
      </w:r>
      <w:r>
        <w:rPr>
          <w:rFonts w:hint="eastAsia"/>
          <w:kern w:val="0"/>
          <w:szCs w:val="24"/>
        </w:rPr>
        <w:t>75.50</w:t>
      </w:r>
      <w:r>
        <w:rPr>
          <w:kern w:val="0"/>
          <w:szCs w:val="24"/>
        </w:rPr>
        <w:t>万m</w:t>
      </w:r>
      <w:r>
        <w:rPr>
          <w:kern w:val="0"/>
          <w:szCs w:val="24"/>
          <w:vertAlign w:val="superscript"/>
        </w:rPr>
        <w:t>3</w:t>
      </w:r>
      <w:r>
        <w:rPr>
          <w:kern w:val="0"/>
          <w:szCs w:val="24"/>
        </w:rPr>
        <w:t>。绿化覆土面积为14.87hm</w:t>
      </w:r>
      <w:r>
        <w:rPr>
          <w:kern w:val="0"/>
          <w:szCs w:val="24"/>
          <w:vertAlign w:val="superscript"/>
        </w:rPr>
        <w:t>2</w:t>
      </w:r>
      <w:r>
        <w:rPr>
          <w:kern w:val="0"/>
          <w:szCs w:val="24"/>
        </w:rPr>
        <w:t>，回覆厚度为0.2~0.4m，回填覆土量7.68万m</w:t>
      </w:r>
      <w:r>
        <w:rPr>
          <w:kern w:val="0"/>
          <w:szCs w:val="24"/>
          <w:vertAlign w:val="superscript"/>
        </w:rPr>
        <w:t>3</w:t>
      </w:r>
      <w:r>
        <w:t>。</w:t>
      </w:r>
    </w:p>
    <w:p>
      <w:pPr>
        <w:ind w:firstLine="480"/>
        <w:rPr>
          <w:kern w:val="0"/>
          <w:szCs w:val="24"/>
        </w:rPr>
      </w:pPr>
      <w:r>
        <w:rPr>
          <w:kern w:val="0"/>
          <w:szCs w:val="24"/>
        </w:rPr>
        <w:t>根据现场调查，园区在建区各地块已基本完成场地平整工作，针对在建区域，本报告不再新增水土保持措施，仅对已实施的水土保持措施提出管护要求，管护单位应加强已修建水土保持措施的管理维护，保证水土保持效益持续发挥；已编报水土保持方案的，按水土保持方案实施，未编报水土保持方案的，应尽快编报水土保持方案，落实水土流失防治责任。</w:t>
      </w:r>
    </w:p>
    <w:p>
      <w:pPr>
        <w:ind w:firstLine="480"/>
      </w:pPr>
      <w:r>
        <w:t>本报告对园区入驻企业的生产建设项目在其建设期间提出表土回覆、截排水沟、沉沙、透水砖、植草砖、雨水集蓄措施等水土保持工程措施的要求。</w:t>
      </w:r>
    </w:p>
    <w:p>
      <w:pPr>
        <w:ind w:firstLine="480"/>
      </w:pPr>
      <w:r>
        <w:t>1、入驻企业应根据项目实际情况及地块设计方案合理布设截排水措施，永久截排水措施排水设计标准采用5年一遇10min短历时暴雨标准设计；</w:t>
      </w:r>
    </w:p>
    <w:p>
      <w:pPr>
        <w:ind w:firstLine="480"/>
      </w:pPr>
      <w:r>
        <w:t>2、沉沙措施要求布设在截排水措施转弯或末端；截排水措施应接入地块内的雨水积蓄设施，并连接市政雨水管道；</w:t>
      </w:r>
    </w:p>
    <w:p>
      <w:pPr>
        <w:ind w:firstLine="480"/>
      </w:pPr>
      <w:r>
        <w:t>3、根据项目实际情况应在地块内的人行道、停车场、广场等区域采取透水形式的场地硬化、推荐采用透水砖、透水混凝土、植草砖等材质；</w:t>
      </w:r>
    </w:p>
    <w:p>
      <w:pPr>
        <w:ind w:firstLine="480"/>
      </w:pPr>
      <w:r>
        <w:t>4、应在地块内建设雨水积蓄设施，将项目区域雨水进行收集后可用作项目绿化用水、卫生清洁用水、消防用水、除尘用水等。雨水积蓄设施可采用地埋式雨水蓄水池、沉淀池、清洁池等。</w:t>
      </w:r>
    </w:p>
    <w:p>
      <w:pPr>
        <w:pStyle w:val="8"/>
        <w:rPr>
          <w:rFonts w:eastAsia="仿宋_GB2312"/>
          <w:kern w:val="0"/>
        </w:rPr>
      </w:pPr>
      <w:r>
        <w:rPr>
          <w:rFonts w:eastAsia="仿宋_GB2312"/>
          <w:kern w:val="0"/>
        </w:rPr>
        <w:t>5.3.2.2.2道路与交通设施用地区</w:t>
      </w:r>
    </w:p>
    <w:p>
      <w:pPr>
        <w:ind w:firstLine="482"/>
        <w:rPr>
          <w:b/>
          <w:bCs/>
        </w:rPr>
      </w:pPr>
      <w:r>
        <w:rPr>
          <w:b/>
          <w:bCs/>
        </w:rPr>
        <w:t>1、工程措施</w:t>
      </w:r>
    </w:p>
    <w:p>
      <w:pPr>
        <w:ind w:firstLine="480"/>
        <w:rPr>
          <w:kern w:val="0"/>
          <w:szCs w:val="24"/>
        </w:rPr>
      </w:pPr>
      <w:r>
        <w:rPr>
          <w:kern w:val="0"/>
          <w:szCs w:val="24"/>
        </w:rPr>
        <w:t>（1）表土剥离及回覆（主体已有）</w:t>
      </w:r>
    </w:p>
    <w:p>
      <w:pPr>
        <w:ind w:firstLine="480"/>
      </w:pPr>
      <w:r>
        <w:t>根据调查，主体已对龙翔路及园区危险化学品停车场等道路与交通设施用地区域实施了表土剥离措施，表土剥离面积为13.11hm</w:t>
      </w:r>
      <w:r>
        <w:rPr>
          <w:vertAlign w:val="superscript"/>
        </w:rPr>
        <w:t>2</w:t>
      </w:r>
      <w:r>
        <w:t>，剥离厚度0.20m~0.40m，剥离量为3.94万m</w:t>
      </w:r>
      <w:r>
        <w:rPr>
          <w:vertAlign w:val="superscript"/>
        </w:rPr>
        <w:t>3</w:t>
      </w:r>
      <w:r>
        <w:t>，绿化所需表土从</w:t>
      </w:r>
      <w:r>
        <w:rPr>
          <w:rFonts w:hint="eastAsia"/>
        </w:rPr>
        <w:t>表土临时堆存点</w:t>
      </w:r>
      <w:r>
        <w:t>调运，本区绿化面积为13.58hm</w:t>
      </w:r>
      <w:r>
        <w:rPr>
          <w:vertAlign w:val="superscript"/>
        </w:rPr>
        <w:t>2</w:t>
      </w:r>
      <w:r>
        <w:t>，覆土厚度为0.3~1.20m，绿化覆土量为3.94万m</w:t>
      </w:r>
      <w:r>
        <w:rPr>
          <w:vertAlign w:val="superscript"/>
        </w:rPr>
        <w:t>3</w:t>
      </w:r>
      <w:r>
        <w:t>。</w:t>
      </w:r>
    </w:p>
    <w:p>
      <w:pPr>
        <w:ind w:firstLine="480"/>
      </w:pPr>
      <w:r>
        <w:t>（2）雨水管及雨水口（主体已有）</w:t>
      </w:r>
    </w:p>
    <w:p>
      <w:pPr>
        <w:ind w:firstLine="480"/>
      </w:pPr>
      <w:r>
        <w:t>根据设计资料，</w:t>
      </w:r>
      <w:r>
        <w:rPr>
          <w:kern w:val="0"/>
          <w:szCs w:val="24"/>
        </w:rPr>
        <w:t>主体工程沿园区内部道路路基两侧布置了雨水排水管及雨水口，并与其他区域的雨水管有效衔接，形成整个场区完备的雨水排放系统，以收集地面雨水，最终排入市政雨水管网。雨水管采用DN600~DN2000钢筋混凝土雨水管，雨水口采用预制混凝土装配式雨水口，雨水篦子采用C250球墨铸铁篦子。经统计，本区共设置雨水管6480m，雨水口130个。</w:t>
      </w:r>
    </w:p>
    <w:p>
      <w:pPr>
        <w:ind w:firstLine="482"/>
        <w:rPr>
          <w:b/>
          <w:bCs/>
        </w:rPr>
      </w:pPr>
      <w:r>
        <w:rPr>
          <w:b/>
          <w:bCs/>
        </w:rPr>
        <w:t>2、植物措施</w:t>
      </w:r>
    </w:p>
    <w:p>
      <w:pPr>
        <w:ind w:firstLine="480"/>
      </w:pPr>
      <w:r>
        <w:t>（1）道路综合绿化（主体已有）</w:t>
      </w:r>
    </w:p>
    <w:p>
      <w:pPr>
        <w:ind w:firstLine="480"/>
      </w:pPr>
      <w:r>
        <w:t>根据园区道路横断面设计，主体将对本区道路实施了栽植行道树绿化。绿化以当地乡土物种为主，乔木主要为小叶榕、香樟、槐树等。本区行道树绿化道路长度为7814m，树池间间隔8m，树池规格1.2×1.2m。经统计，道路绿化面积为3.22hm</w:t>
      </w:r>
      <w:r>
        <w:rPr>
          <w:vertAlign w:val="superscript"/>
        </w:rPr>
        <w:t>2</w:t>
      </w:r>
      <w:r>
        <w:t>（其中已栽植行道树0.29hm</w:t>
      </w:r>
      <w:r>
        <w:rPr>
          <w:vertAlign w:val="superscript"/>
        </w:rPr>
        <w:t>2</w:t>
      </w:r>
      <w:r>
        <w:t>/1980株，道路绿化带2.93hm</w:t>
      </w:r>
      <w:r>
        <w:rPr>
          <w:vertAlign w:val="superscript"/>
        </w:rPr>
        <w:t>2</w:t>
      </w:r>
      <w:r>
        <w:t>）。</w:t>
      </w:r>
    </w:p>
    <w:p>
      <w:pPr>
        <w:ind w:firstLine="480"/>
      </w:pPr>
      <w:r>
        <w:t>（2）边坡绿化（主体已有）</w:t>
      </w:r>
    </w:p>
    <w:p>
      <w:pPr>
        <w:ind w:firstLine="480"/>
      </w:pPr>
      <w:r>
        <w:t>根据设计资料，园区道路填方区路堤及挖方段边坡高度≤4米时采用喷播植草进行防护，边坡高度＞4米时采用挂三维网植草进行防护，边坡分级高度为8m的无外倾结构面的岩质边坡采用锚杆框架梁进行防护。路基填方边坡统一采用分级放坡，按一级边坡1：1.5坡率、二级边坡1：1.75坡率、三级及三级以上边坡按1：2坡率进行放坡。每级边坡≤8m，分级平台宽度2m，为减少边坡防护工程量。路基挖方边坡统一采用分级放坡，边坡采用临时性防护，分级边坡坡率依次为1：1、1：1.25、1：1.5，边坡分级高度为8m，级间平台宽度2m。经统计，本区边坡绿化面积为10.36hm</w:t>
      </w:r>
      <w:r>
        <w:rPr>
          <w:vertAlign w:val="superscript"/>
        </w:rPr>
        <w:t>2</w:t>
      </w:r>
      <w:r>
        <w:t>，其中挂三维网植草面积为3.11hm</w:t>
      </w:r>
      <w:r>
        <w:rPr>
          <w:vertAlign w:val="superscript"/>
        </w:rPr>
        <w:t>2</w:t>
      </w:r>
      <w:r>
        <w:t>，喷播植草面积为7.25hm</w:t>
      </w:r>
      <w:r>
        <w:rPr>
          <w:vertAlign w:val="superscript"/>
        </w:rPr>
        <w:t>2</w:t>
      </w:r>
      <w:r>
        <w:t>。</w:t>
      </w:r>
    </w:p>
    <w:p>
      <w:pPr>
        <w:ind w:firstLine="482"/>
        <w:rPr>
          <w:b/>
          <w:bCs/>
        </w:rPr>
      </w:pPr>
      <w:r>
        <w:rPr>
          <w:b/>
          <w:bCs/>
        </w:rPr>
        <w:t>3、临时措施</w:t>
      </w:r>
    </w:p>
    <w:p>
      <w:pPr>
        <w:ind w:firstLine="480"/>
      </w:pPr>
      <w:r>
        <w:t>（1）截排水沟（报告新增）</w:t>
      </w:r>
    </w:p>
    <w:p>
      <w:pPr>
        <w:widowControl/>
        <w:ind w:firstLine="480"/>
        <w:jc w:val="left"/>
      </w:pPr>
      <w:r>
        <w:t>道路路基开挖与填筑将形成裸露面，为防止降雨及周边汇流对裸露面造成水土流失，本报告在路基两侧新增布设截排水沟用于</w:t>
      </w:r>
      <w:r>
        <w:rPr>
          <w:kern w:val="0"/>
          <w:szCs w:val="24"/>
        </w:rPr>
        <w:t>施工期排水。</w:t>
      </w:r>
      <w:r>
        <w:t>截排水沟采用矩形断面，断面尺寸采用净宽×净深=0.50×0.50m，</w:t>
      </w:r>
      <w:r>
        <w:rPr>
          <w:szCs w:val="24"/>
        </w:rPr>
        <w:t>四周为0.24m厚M7.5水泥砂浆砌砖，表面用M10水泥砂浆砌抹面</w:t>
      </w:r>
      <w:r>
        <w:t>。经统计，本区将设置截排水沟3244m。后期对其进行拆除。</w:t>
      </w:r>
    </w:p>
    <w:p>
      <w:pPr>
        <w:ind w:firstLine="480"/>
      </w:pPr>
      <w:r>
        <w:t>（2）沉沙池（报告新增）</w:t>
      </w:r>
    </w:p>
    <w:p>
      <w:pPr>
        <w:ind w:firstLine="480"/>
      </w:pPr>
      <w:r>
        <w:t>本报告在排水沟末端及每间隔300m设置沉沙池。沉沙池设计参照《水土保持工程设计规范》（GB51018-2014），设计采用准静止泥沙沉降法。砌砖抹面形式，净长×净宽×净深=2.0×1.5×1.5m，</w:t>
      </w:r>
      <w:r>
        <w:rPr>
          <w:szCs w:val="24"/>
        </w:rPr>
        <w:t>四周为0.24m厚M7.5水泥砂浆砌砖，C20砼底板厚0.20m，表面用M10水泥砂浆砌抹面，顶部铺设C20混凝土钢筋预制板盖板。</w:t>
      </w:r>
      <w:r>
        <w:t>经统计，本区将设置沉沙池13座。后期对其进行拆除。</w:t>
      </w:r>
    </w:p>
    <w:p>
      <w:pPr>
        <w:ind w:firstLine="480"/>
      </w:pPr>
      <w:r>
        <w:t>（3）防雨布苫盖（报告新增）</w:t>
      </w:r>
    </w:p>
    <w:p>
      <w:pPr>
        <w:ind w:firstLine="480"/>
      </w:pPr>
      <w:r>
        <w:t>道路路基开挖及回填形成的边坡，在降雨和大风时容易造成冲刷及扬尘，本报告新增防雨布苫盖、大块石压边的形式进行临时苫盖。防雨布可根据路基施工进度安排，重复使用。经统计，本区需防雨布苫盖约10.36hm</w:t>
      </w:r>
      <w:r>
        <w:rPr>
          <w:vertAlign w:val="superscript"/>
        </w:rPr>
        <w:t>2</w:t>
      </w:r>
      <w:r>
        <w:t>。后期，防雨布应进行拆除。</w:t>
      </w:r>
    </w:p>
    <w:p>
      <w:pPr>
        <w:ind w:firstLine="480"/>
      </w:pPr>
      <w:r>
        <w:t>（4）编织袋装土拦挡及拆除（报告新增）</w:t>
      </w:r>
    </w:p>
    <w:p>
      <w:pPr>
        <w:ind w:firstLine="480"/>
      </w:pPr>
      <w:r>
        <w:t>道路工程与交通工程施工时，一般将设置简易施工场地，其内堆放有砂砾石骨料，在堆放期间，材料堆场坡脚应采取土袋挡墙挡护。挡墙由土袋码砌形成，断面大致呈梯形，顶宽0.6m，底宽2.60m，高1.0m。施工临近结束时，应对土袋挡墙进行拆除。经统计，本区需布设土袋挡墙400m，后期拆除土袋挡墙400m。</w:t>
      </w:r>
    </w:p>
    <w:p>
      <w:pPr>
        <w:pStyle w:val="8"/>
        <w:rPr>
          <w:rFonts w:eastAsia="仿宋_GB2312"/>
        </w:rPr>
      </w:pPr>
      <w:r>
        <w:rPr>
          <w:rFonts w:eastAsia="仿宋_GB2312"/>
        </w:rPr>
        <w:t>5.3.2.2.3公用设施用地区</w:t>
      </w:r>
    </w:p>
    <w:p>
      <w:pPr>
        <w:ind w:firstLine="482"/>
        <w:rPr>
          <w:b/>
          <w:bCs/>
        </w:rPr>
      </w:pPr>
      <w:r>
        <w:rPr>
          <w:b/>
          <w:bCs/>
        </w:rPr>
        <w:t>1、工程措施</w:t>
      </w:r>
    </w:p>
    <w:p>
      <w:pPr>
        <w:ind w:firstLine="480"/>
        <w:rPr>
          <w:kern w:val="0"/>
          <w:szCs w:val="24"/>
        </w:rPr>
      </w:pPr>
      <w:r>
        <w:t>（1）</w:t>
      </w:r>
      <w:r>
        <w:rPr>
          <w:kern w:val="0"/>
          <w:szCs w:val="24"/>
        </w:rPr>
        <w:t>表土剥离及回覆（主体已有）</w:t>
      </w:r>
    </w:p>
    <w:p>
      <w:pPr>
        <w:ind w:firstLine="480"/>
      </w:pPr>
      <w:r>
        <w:t>根据调查，主体已对工业污水厂、变电站等公用设施实施了表土剥离措施，表土剥离面积为2.10hm</w:t>
      </w:r>
      <w:r>
        <w:rPr>
          <w:vertAlign w:val="superscript"/>
        </w:rPr>
        <w:t>2</w:t>
      </w:r>
      <w:r>
        <w:t>，剥离厚度0.20m~0.40m，剥离量为0.71万m</w:t>
      </w:r>
      <w:r>
        <w:rPr>
          <w:vertAlign w:val="superscript"/>
        </w:rPr>
        <w:t>3</w:t>
      </w:r>
      <w:r>
        <w:t>，本区绿化面积为2.36hm</w:t>
      </w:r>
      <w:r>
        <w:rPr>
          <w:vertAlign w:val="superscript"/>
        </w:rPr>
        <w:t>2</w:t>
      </w:r>
      <w:r>
        <w:t>，覆土厚度为0.2~0.4m，绿化覆土量为0.71万m</w:t>
      </w:r>
      <w:r>
        <w:rPr>
          <w:vertAlign w:val="superscript"/>
        </w:rPr>
        <w:t>3</w:t>
      </w:r>
      <w:r>
        <w:t>。</w:t>
      </w:r>
    </w:p>
    <w:p>
      <w:pPr>
        <w:ind w:firstLine="480"/>
      </w:pPr>
      <w:r>
        <w:t>（2）场内排水措施（主体已有）</w:t>
      </w:r>
    </w:p>
    <w:p>
      <w:pPr>
        <w:ind w:firstLine="480"/>
      </w:pPr>
      <w:r>
        <w:t>根据园区内已批复项目的水土保持方案报告，主体对本区公用设施内部设计有雨水管、雨水口及排水沟等措施。经统计，雨水管4546m，雨水口159个，浆砌石排水沟408m。</w:t>
      </w:r>
    </w:p>
    <w:p>
      <w:pPr>
        <w:ind w:firstLine="0" w:firstLineChars="0"/>
        <w:jc w:val="center"/>
        <w:rPr>
          <w:b/>
          <w:bCs/>
        </w:rPr>
      </w:pPr>
      <w:r>
        <w:rPr>
          <w:b/>
          <w:bCs/>
        </w:rPr>
        <w:t>表5.3-1已批复的公用设施项目水土保持工程措施统计表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501"/>
        <w:gridCol w:w="986"/>
        <w:gridCol w:w="1920"/>
        <w:gridCol w:w="1920"/>
        <w:gridCol w:w="1921"/>
        <w:gridCol w:w="103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8" w:hRule="atLeast"/>
        </w:trPr>
        <w:tc>
          <w:tcPr>
            <w:tcW w:w="809" w:type="pct"/>
            <w:vMerge w:val="restart"/>
            <w:vAlign w:val="center"/>
          </w:tcPr>
          <w:p>
            <w:pPr>
              <w:spacing w:line="240" w:lineRule="auto"/>
              <w:ind w:firstLine="0" w:firstLineChars="0"/>
              <w:jc w:val="center"/>
              <w:rPr>
                <w:b/>
                <w:bCs/>
                <w:sz w:val="21"/>
                <w:szCs w:val="21"/>
              </w:rPr>
            </w:pPr>
            <w:r>
              <w:rPr>
                <w:b/>
                <w:bCs/>
                <w:sz w:val="21"/>
                <w:szCs w:val="21"/>
              </w:rPr>
              <w:t>措施名称</w:t>
            </w:r>
          </w:p>
        </w:tc>
        <w:tc>
          <w:tcPr>
            <w:tcW w:w="531" w:type="pct"/>
            <w:vMerge w:val="restart"/>
            <w:vAlign w:val="center"/>
          </w:tcPr>
          <w:p>
            <w:pPr>
              <w:spacing w:line="240" w:lineRule="auto"/>
              <w:ind w:firstLine="0" w:firstLineChars="0"/>
              <w:jc w:val="center"/>
              <w:rPr>
                <w:b/>
                <w:bCs/>
                <w:sz w:val="21"/>
                <w:szCs w:val="21"/>
              </w:rPr>
            </w:pPr>
            <w:r>
              <w:rPr>
                <w:b/>
                <w:bCs/>
                <w:sz w:val="21"/>
                <w:szCs w:val="21"/>
              </w:rPr>
              <w:t>单位</w:t>
            </w:r>
          </w:p>
        </w:tc>
        <w:tc>
          <w:tcPr>
            <w:tcW w:w="3659" w:type="pct"/>
            <w:gridSpan w:val="4"/>
            <w:vAlign w:val="center"/>
          </w:tcPr>
          <w:p>
            <w:pPr>
              <w:spacing w:line="240" w:lineRule="auto"/>
              <w:ind w:firstLine="0" w:firstLineChars="0"/>
              <w:jc w:val="center"/>
              <w:rPr>
                <w:b/>
                <w:bCs/>
                <w:sz w:val="21"/>
                <w:szCs w:val="21"/>
              </w:rPr>
            </w:pPr>
            <w:r>
              <w:rPr>
                <w:b/>
                <w:bCs/>
                <w:sz w:val="21"/>
                <w:szCs w:val="21"/>
              </w:rPr>
              <w:t>工程量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4" w:hRule="atLeast"/>
        </w:trPr>
        <w:tc>
          <w:tcPr>
            <w:tcW w:w="809" w:type="pct"/>
            <w:vMerge w:val="continue"/>
            <w:vAlign w:val="center"/>
          </w:tcPr>
          <w:p>
            <w:pPr>
              <w:spacing w:line="240" w:lineRule="auto"/>
              <w:ind w:firstLine="0" w:firstLineChars="0"/>
              <w:jc w:val="center"/>
              <w:rPr>
                <w:b/>
                <w:bCs/>
                <w:sz w:val="21"/>
                <w:szCs w:val="21"/>
              </w:rPr>
            </w:pPr>
          </w:p>
        </w:tc>
        <w:tc>
          <w:tcPr>
            <w:tcW w:w="531" w:type="pct"/>
            <w:vMerge w:val="continue"/>
            <w:vAlign w:val="center"/>
          </w:tcPr>
          <w:p>
            <w:pPr>
              <w:spacing w:line="240" w:lineRule="auto"/>
              <w:ind w:firstLine="0" w:firstLineChars="0"/>
              <w:jc w:val="center"/>
              <w:rPr>
                <w:b/>
                <w:bCs/>
                <w:sz w:val="21"/>
                <w:szCs w:val="21"/>
              </w:rPr>
            </w:pPr>
          </w:p>
        </w:tc>
        <w:tc>
          <w:tcPr>
            <w:tcW w:w="1034" w:type="pct"/>
            <w:vAlign w:val="center"/>
          </w:tcPr>
          <w:p>
            <w:pPr>
              <w:spacing w:line="240" w:lineRule="auto"/>
              <w:ind w:firstLine="0" w:firstLineChars="0"/>
              <w:jc w:val="center"/>
              <w:rPr>
                <w:b/>
                <w:bCs/>
                <w:sz w:val="21"/>
                <w:szCs w:val="21"/>
              </w:rPr>
            </w:pPr>
            <w:r>
              <w:rPr>
                <w:b/>
                <w:bCs/>
                <w:sz w:val="21"/>
                <w:szCs w:val="21"/>
              </w:rPr>
              <w:t>工业污水处理厂</w:t>
            </w:r>
          </w:p>
        </w:tc>
        <w:tc>
          <w:tcPr>
            <w:tcW w:w="1034" w:type="pct"/>
            <w:vAlign w:val="center"/>
          </w:tcPr>
          <w:p>
            <w:pPr>
              <w:spacing w:line="240" w:lineRule="auto"/>
              <w:ind w:firstLine="0" w:firstLineChars="0"/>
              <w:jc w:val="center"/>
              <w:rPr>
                <w:b/>
                <w:bCs/>
                <w:sz w:val="21"/>
                <w:szCs w:val="21"/>
              </w:rPr>
            </w:pPr>
            <w:r>
              <w:rPr>
                <w:b/>
                <w:bCs/>
                <w:sz w:val="21"/>
                <w:szCs w:val="21"/>
              </w:rPr>
              <w:t>4#电站（会云220kV变电站）</w:t>
            </w:r>
          </w:p>
        </w:tc>
        <w:tc>
          <w:tcPr>
            <w:tcW w:w="1035" w:type="pct"/>
            <w:vAlign w:val="center"/>
          </w:tcPr>
          <w:p>
            <w:pPr>
              <w:spacing w:line="240" w:lineRule="auto"/>
              <w:ind w:firstLine="0" w:firstLineChars="0"/>
              <w:jc w:val="center"/>
              <w:rPr>
                <w:b/>
                <w:bCs/>
                <w:sz w:val="21"/>
                <w:szCs w:val="21"/>
              </w:rPr>
            </w:pPr>
            <w:r>
              <w:rPr>
                <w:b/>
                <w:bCs/>
                <w:sz w:val="21"/>
                <w:szCs w:val="21"/>
              </w:rPr>
              <w:t>服务中心和停车场配套工程</w:t>
            </w:r>
          </w:p>
        </w:tc>
        <w:tc>
          <w:tcPr>
            <w:tcW w:w="554" w:type="pct"/>
            <w:vAlign w:val="center"/>
          </w:tcPr>
          <w:p>
            <w:pPr>
              <w:spacing w:line="240" w:lineRule="auto"/>
              <w:ind w:firstLine="0" w:firstLineChars="0"/>
              <w:jc w:val="center"/>
              <w:rPr>
                <w:b/>
                <w:bCs/>
                <w:sz w:val="21"/>
                <w:szCs w:val="21"/>
              </w:rPr>
            </w:pPr>
            <w:r>
              <w:rPr>
                <w:b/>
                <w:bCs/>
                <w:sz w:val="21"/>
                <w:szCs w:val="21"/>
              </w:rPr>
              <w:t>合计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09" w:type="pct"/>
            <w:vAlign w:val="center"/>
          </w:tcPr>
          <w:p>
            <w:pPr>
              <w:spacing w:line="240" w:lineRule="auto"/>
              <w:ind w:firstLine="0" w:firstLineChars="0"/>
              <w:jc w:val="center"/>
              <w:rPr>
                <w:sz w:val="21"/>
                <w:szCs w:val="21"/>
              </w:rPr>
            </w:pPr>
            <w:r>
              <w:rPr>
                <w:sz w:val="21"/>
                <w:szCs w:val="21"/>
              </w:rPr>
              <w:t>雨水管</w:t>
            </w:r>
          </w:p>
        </w:tc>
        <w:tc>
          <w:tcPr>
            <w:tcW w:w="531" w:type="pct"/>
            <w:vAlign w:val="center"/>
          </w:tcPr>
          <w:p>
            <w:pPr>
              <w:spacing w:line="240" w:lineRule="auto"/>
              <w:ind w:firstLine="0" w:firstLineChars="0"/>
              <w:jc w:val="center"/>
              <w:rPr>
                <w:sz w:val="21"/>
                <w:szCs w:val="21"/>
              </w:rPr>
            </w:pPr>
            <w:r>
              <w:rPr>
                <w:sz w:val="21"/>
                <w:szCs w:val="21"/>
              </w:rPr>
              <w:t>m</w:t>
            </w:r>
          </w:p>
        </w:tc>
        <w:tc>
          <w:tcPr>
            <w:tcW w:w="1034" w:type="pct"/>
            <w:vAlign w:val="center"/>
          </w:tcPr>
          <w:p>
            <w:pPr>
              <w:spacing w:line="240" w:lineRule="auto"/>
              <w:ind w:firstLine="0" w:firstLineChars="0"/>
              <w:jc w:val="center"/>
              <w:rPr>
                <w:sz w:val="21"/>
                <w:szCs w:val="21"/>
              </w:rPr>
            </w:pPr>
            <w:r>
              <w:rPr>
                <w:sz w:val="21"/>
                <w:szCs w:val="21"/>
              </w:rPr>
              <w:t>451</w:t>
            </w:r>
          </w:p>
        </w:tc>
        <w:tc>
          <w:tcPr>
            <w:tcW w:w="1034" w:type="pct"/>
            <w:vAlign w:val="center"/>
          </w:tcPr>
          <w:p>
            <w:pPr>
              <w:spacing w:line="240" w:lineRule="auto"/>
              <w:ind w:firstLine="0" w:firstLineChars="0"/>
              <w:jc w:val="center"/>
              <w:rPr>
                <w:sz w:val="21"/>
                <w:szCs w:val="21"/>
              </w:rPr>
            </w:pPr>
            <w:r>
              <w:rPr>
                <w:sz w:val="21"/>
                <w:szCs w:val="21"/>
              </w:rPr>
              <w:t>365</w:t>
            </w:r>
          </w:p>
        </w:tc>
        <w:tc>
          <w:tcPr>
            <w:tcW w:w="1035" w:type="pct"/>
            <w:vAlign w:val="center"/>
          </w:tcPr>
          <w:p>
            <w:pPr>
              <w:spacing w:line="240" w:lineRule="auto"/>
              <w:ind w:firstLine="0" w:firstLineChars="0"/>
              <w:jc w:val="center"/>
              <w:rPr>
                <w:sz w:val="21"/>
                <w:szCs w:val="21"/>
              </w:rPr>
            </w:pPr>
            <w:r>
              <w:rPr>
                <w:sz w:val="21"/>
                <w:szCs w:val="21"/>
              </w:rPr>
              <w:t>3730</w:t>
            </w:r>
          </w:p>
        </w:tc>
        <w:tc>
          <w:tcPr>
            <w:tcW w:w="1032" w:type="dxa"/>
            <w:vAlign w:val="center"/>
          </w:tcPr>
          <w:p>
            <w:pPr>
              <w:spacing w:line="240" w:lineRule="auto"/>
              <w:ind w:firstLine="0" w:firstLineChars="0"/>
              <w:jc w:val="center"/>
              <w:rPr>
                <w:sz w:val="21"/>
                <w:szCs w:val="21"/>
              </w:rPr>
            </w:pPr>
            <w:r>
              <w:rPr>
                <w:sz w:val="21"/>
                <w:szCs w:val="21"/>
              </w:rPr>
              <w:t>4546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09" w:type="pct"/>
            <w:vAlign w:val="center"/>
          </w:tcPr>
          <w:p>
            <w:pPr>
              <w:spacing w:line="240" w:lineRule="auto"/>
              <w:ind w:firstLine="0" w:firstLineChars="0"/>
              <w:jc w:val="center"/>
              <w:rPr>
                <w:sz w:val="21"/>
                <w:szCs w:val="21"/>
              </w:rPr>
            </w:pPr>
            <w:r>
              <w:rPr>
                <w:sz w:val="21"/>
                <w:szCs w:val="21"/>
              </w:rPr>
              <w:t>雨水口</w:t>
            </w:r>
          </w:p>
        </w:tc>
        <w:tc>
          <w:tcPr>
            <w:tcW w:w="531" w:type="pct"/>
            <w:vAlign w:val="center"/>
          </w:tcPr>
          <w:p>
            <w:pPr>
              <w:spacing w:line="240" w:lineRule="auto"/>
              <w:ind w:firstLine="0" w:firstLineChars="0"/>
              <w:jc w:val="center"/>
              <w:rPr>
                <w:sz w:val="21"/>
                <w:szCs w:val="21"/>
              </w:rPr>
            </w:pPr>
            <w:r>
              <w:rPr>
                <w:sz w:val="21"/>
                <w:szCs w:val="21"/>
              </w:rPr>
              <w:t>个</w:t>
            </w:r>
          </w:p>
        </w:tc>
        <w:tc>
          <w:tcPr>
            <w:tcW w:w="1034" w:type="pct"/>
            <w:vAlign w:val="center"/>
          </w:tcPr>
          <w:p>
            <w:pPr>
              <w:spacing w:line="240" w:lineRule="auto"/>
              <w:ind w:firstLine="0" w:firstLineChars="0"/>
              <w:jc w:val="center"/>
              <w:rPr>
                <w:sz w:val="21"/>
                <w:szCs w:val="21"/>
              </w:rPr>
            </w:pPr>
            <w:r>
              <w:rPr>
                <w:sz w:val="21"/>
                <w:szCs w:val="21"/>
              </w:rPr>
              <w:t>11</w:t>
            </w:r>
          </w:p>
        </w:tc>
        <w:tc>
          <w:tcPr>
            <w:tcW w:w="1034" w:type="pct"/>
            <w:vAlign w:val="center"/>
          </w:tcPr>
          <w:p>
            <w:pPr>
              <w:spacing w:line="240" w:lineRule="auto"/>
              <w:ind w:firstLine="0" w:firstLineChars="0"/>
              <w:jc w:val="center"/>
              <w:rPr>
                <w:sz w:val="21"/>
                <w:szCs w:val="21"/>
              </w:rPr>
            </w:pPr>
          </w:p>
        </w:tc>
        <w:tc>
          <w:tcPr>
            <w:tcW w:w="1035" w:type="pct"/>
            <w:vAlign w:val="center"/>
          </w:tcPr>
          <w:p>
            <w:pPr>
              <w:spacing w:line="240" w:lineRule="auto"/>
              <w:ind w:firstLine="0" w:firstLineChars="0"/>
              <w:jc w:val="center"/>
              <w:rPr>
                <w:sz w:val="21"/>
                <w:szCs w:val="21"/>
              </w:rPr>
            </w:pPr>
            <w:r>
              <w:rPr>
                <w:sz w:val="21"/>
                <w:szCs w:val="21"/>
              </w:rPr>
              <w:t>148</w:t>
            </w:r>
          </w:p>
        </w:tc>
        <w:tc>
          <w:tcPr>
            <w:tcW w:w="1032" w:type="dxa"/>
            <w:vAlign w:val="center"/>
          </w:tcPr>
          <w:p>
            <w:pPr>
              <w:spacing w:line="240" w:lineRule="auto"/>
              <w:ind w:firstLine="0" w:firstLineChars="0"/>
              <w:jc w:val="center"/>
              <w:rPr>
                <w:sz w:val="21"/>
                <w:szCs w:val="21"/>
              </w:rPr>
            </w:pPr>
            <w:r>
              <w:rPr>
                <w:sz w:val="21"/>
                <w:szCs w:val="21"/>
              </w:rPr>
              <w:t>159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09" w:type="pct"/>
            <w:vAlign w:val="center"/>
          </w:tcPr>
          <w:p>
            <w:pPr>
              <w:spacing w:line="240" w:lineRule="auto"/>
              <w:ind w:firstLine="0" w:firstLineChars="0"/>
              <w:jc w:val="center"/>
              <w:rPr>
                <w:sz w:val="21"/>
                <w:szCs w:val="21"/>
              </w:rPr>
            </w:pPr>
            <w:r>
              <w:rPr>
                <w:sz w:val="21"/>
                <w:szCs w:val="21"/>
              </w:rPr>
              <w:t>浆砌石排水沟</w:t>
            </w:r>
          </w:p>
        </w:tc>
        <w:tc>
          <w:tcPr>
            <w:tcW w:w="531" w:type="pct"/>
            <w:vAlign w:val="center"/>
          </w:tcPr>
          <w:p>
            <w:pPr>
              <w:spacing w:line="240" w:lineRule="auto"/>
              <w:ind w:firstLine="0" w:firstLineChars="0"/>
              <w:jc w:val="center"/>
              <w:rPr>
                <w:sz w:val="21"/>
                <w:szCs w:val="21"/>
              </w:rPr>
            </w:pPr>
            <w:r>
              <w:rPr>
                <w:sz w:val="21"/>
                <w:szCs w:val="21"/>
              </w:rPr>
              <w:t>m</w:t>
            </w:r>
          </w:p>
        </w:tc>
        <w:tc>
          <w:tcPr>
            <w:tcW w:w="1034" w:type="pct"/>
            <w:vAlign w:val="center"/>
          </w:tcPr>
          <w:p>
            <w:pPr>
              <w:spacing w:line="240" w:lineRule="auto"/>
              <w:ind w:firstLine="0" w:firstLineChars="0"/>
              <w:jc w:val="center"/>
              <w:rPr>
                <w:sz w:val="21"/>
                <w:szCs w:val="21"/>
              </w:rPr>
            </w:pPr>
            <w:r>
              <w:rPr>
                <w:sz w:val="21"/>
                <w:szCs w:val="21"/>
              </w:rPr>
              <w:t>50</w:t>
            </w:r>
          </w:p>
        </w:tc>
        <w:tc>
          <w:tcPr>
            <w:tcW w:w="1034" w:type="pct"/>
            <w:vAlign w:val="center"/>
          </w:tcPr>
          <w:p>
            <w:pPr>
              <w:spacing w:line="240" w:lineRule="auto"/>
              <w:ind w:firstLine="0" w:firstLineChars="0"/>
              <w:jc w:val="center"/>
              <w:rPr>
                <w:sz w:val="21"/>
                <w:szCs w:val="21"/>
              </w:rPr>
            </w:pPr>
            <w:r>
              <w:rPr>
                <w:sz w:val="21"/>
                <w:szCs w:val="21"/>
              </w:rPr>
              <w:t>358</w:t>
            </w:r>
          </w:p>
        </w:tc>
        <w:tc>
          <w:tcPr>
            <w:tcW w:w="1035" w:type="pct"/>
            <w:vAlign w:val="center"/>
          </w:tcPr>
          <w:p>
            <w:pPr>
              <w:spacing w:line="240" w:lineRule="auto"/>
              <w:ind w:firstLine="0" w:firstLineChars="0"/>
              <w:jc w:val="center"/>
              <w:rPr>
                <w:sz w:val="21"/>
                <w:szCs w:val="21"/>
              </w:rPr>
            </w:pPr>
          </w:p>
        </w:tc>
        <w:tc>
          <w:tcPr>
            <w:tcW w:w="1032" w:type="dxa"/>
            <w:vAlign w:val="center"/>
          </w:tcPr>
          <w:p>
            <w:pPr>
              <w:spacing w:line="240" w:lineRule="auto"/>
              <w:ind w:firstLine="0" w:firstLineChars="0"/>
              <w:jc w:val="center"/>
              <w:rPr>
                <w:sz w:val="21"/>
                <w:szCs w:val="21"/>
              </w:rPr>
            </w:pPr>
            <w:r>
              <w:rPr>
                <w:sz w:val="21"/>
                <w:szCs w:val="21"/>
              </w:rPr>
              <w:t>408</w:t>
            </w:r>
          </w:p>
        </w:tc>
      </w:tr>
    </w:tbl>
    <w:p>
      <w:pPr>
        <w:spacing w:beforeLines="50"/>
        <w:ind w:firstLine="482"/>
        <w:rPr>
          <w:b/>
          <w:bCs/>
        </w:rPr>
      </w:pPr>
      <w:r>
        <w:rPr>
          <w:b/>
          <w:bCs/>
        </w:rPr>
        <w:t>2、植物措施</w:t>
      </w:r>
    </w:p>
    <w:p>
      <w:pPr>
        <w:ind w:firstLine="480"/>
      </w:pPr>
      <w:r>
        <w:t>（1）乔灌草综合绿化（主体已有）</w:t>
      </w:r>
    </w:p>
    <w:p>
      <w:pPr>
        <w:ind w:firstLine="480"/>
      </w:pPr>
      <w:r>
        <w:rPr>
          <w:kern w:val="0"/>
          <w:szCs w:val="24"/>
        </w:rPr>
        <w:t>根据收集的资料统计和推算，本区绿化面积共计2.36hm</w:t>
      </w:r>
      <w:r>
        <w:rPr>
          <w:kern w:val="0"/>
          <w:szCs w:val="24"/>
          <w:vertAlign w:val="superscript"/>
        </w:rPr>
        <w:t>2</w:t>
      </w:r>
      <w:r>
        <w:rPr>
          <w:kern w:val="0"/>
          <w:szCs w:val="24"/>
        </w:rPr>
        <w:t>，绿化以当地乡土物种为主，乔木主要为香樟、银杏等，灌木主要为海桐、红继木等，草本主要为麦冬、狗牙根等。</w:t>
      </w:r>
    </w:p>
    <w:p>
      <w:pPr>
        <w:pStyle w:val="8"/>
        <w:rPr>
          <w:rFonts w:eastAsia="仿宋_GB2312"/>
        </w:rPr>
      </w:pPr>
      <w:r>
        <w:rPr>
          <w:rFonts w:eastAsia="仿宋_GB2312"/>
        </w:rPr>
        <w:t>5.3.2.2.4绿地与广场用地区</w:t>
      </w:r>
    </w:p>
    <w:p>
      <w:pPr>
        <w:ind w:firstLine="482"/>
        <w:rPr>
          <w:b/>
          <w:bCs/>
        </w:rPr>
      </w:pPr>
      <w:r>
        <w:rPr>
          <w:b/>
          <w:bCs/>
        </w:rPr>
        <w:t>1、植物措施</w:t>
      </w:r>
    </w:p>
    <w:p>
      <w:pPr>
        <w:ind w:firstLine="480"/>
      </w:pPr>
      <w:r>
        <w:t>1、表土回覆（主体已有）</w:t>
      </w:r>
    </w:p>
    <w:p>
      <w:pPr>
        <w:ind w:firstLine="480"/>
      </w:pPr>
      <w:r>
        <w:t>根据现场调查，本区已绿化面积6.64hm</w:t>
      </w:r>
      <w:r>
        <w:rPr>
          <w:vertAlign w:val="superscript"/>
        </w:rPr>
        <w:t>2</w:t>
      </w:r>
      <w:r>
        <w:t>，表土回覆厚度为</w:t>
      </w:r>
      <w:r>
        <w:rPr>
          <w:rFonts w:hint="eastAsia"/>
        </w:rPr>
        <w:t>1.0~2.0</w:t>
      </w:r>
      <w:r>
        <w:t>m，表土回覆量为</w:t>
      </w:r>
      <w:r>
        <w:rPr>
          <w:rFonts w:hint="eastAsia"/>
        </w:rPr>
        <w:t>11.95</w:t>
      </w:r>
      <w:r>
        <w:t>万m</w:t>
      </w:r>
      <w:r>
        <w:rPr>
          <w:vertAlign w:val="superscript"/>
        </w:rPr>
        <w:t>3</w:t>
      </w:r>
      <w:r>
        <w:t>。表土来源于园区其他区域剥离的表土。</w:t>
      </w:r>
    </w:p>
    <w:p>
      <w:pPr>
        <w:ind w:firstLine="480"/>
      </w:pPr>
      <w:r>
        <w:t>2、乔灌草综合绿化（主体已有）</w:t>
      </w:r>
    </w:p>
    <w:p>
      <w:pPr>
        <w:ind w:firstLine="480"/>
      </w:pPr>
      <w:r>
        <w:t>根据收集的资料统计和推算，本区绿化面积共计18.80hm</w:t>
      </w:r>
      <w:r>
        <w:rPr>
          <w:vertAlign w:val="superscript"/>
        </w:rPr>
        <w:t>2</w:t>
      </w:r>
      <w:r>
        <w:t>，绿化以当地乡土物种为主，</w:t>
      </w:r>
      <w:r>
        <w:rPr>
          <w:kern w:val="0"/>
          <w:szCs w:val="24"/>
        </w:rPr>
        <w:t>乔木主要为香樟、银杏等，灌木主要为海桐、红继木等，草本主要为麦冬、狗牙根等。</w:t>
      </w:r>
    </w:p>
    <w:p>
      <w:pPr>
        <w:pStyle w:val="7"/>
      </w:pPr>
      <w:r>
        <w:t>5.3.2.3未建区</w:t>
      </w:r>
    </w:p>
    <w:p>
      <w:pPr>
        <w:pStyle w:val="8"/>
        <w:rPr>
          <w:rFonts w:eastAsia="仿宋_GB2312"/>
        </w:rPr>
      </w:pPr>
      <w:r>
        <w:rPr>
          <w:rFonts w:eastAsia="仿宋_GB2312"/>
        </w:rPr>
        <w:t>5.3.2.3.1工业用地区</w:t>
      </w:r>
    </w:p>
    <w:p>
      <w:pPr>
        <w:ind w:firstLine="480"/>
        <w:rPr>
          <w:b/>
          <w:bCs/>
          <w:kern w:val="0"/>
          <w:szCs w:val="24"/>
        </w:rPr>
      </w:pPr>
      <w:r>
        <w:t>本评估报告要求入驻项目在建设过程中落实完善的水土保持措施体系，并加强管护，保证水土保持措施安全有效运行。本报告补充对场平前具备表土剥离条件的区域的剥离措施，补充场平过程中开挖及回填边坡的防雨布临时苫盖措施，补充对裸露面周边的临时截排水沟及沉沙等措施。</w:t>
      </w:r>
    </w:p>
    <w:p>
      <w:pPr>
        <w:ind w:firstLine="482"/>
        <w:rPr>
          <w:b/>
          <w:bCs/>
          <w:kern w:val="0"/>
          <w:szCs w:val="24"/>
        </w:rPr>
      </w:pPr>
      <w:r>
        <w:rPr>
          <w:b/>
          <w:bCs/>
          <w:kern w:val="0"/>
          <w:szCs w:val="24"/>
        </w:rPr>
        <w:t>1、工程措施</w:t>
      </w:r>
    </w:p>
    <w:p>
      <w:pPr>
        <w:ind w:firstLine="480"/>
        <w:rPr>
          <w:kern w:val="0"/>
          <w:szCs w:val="24"/>
        </w:rPr>
      </w:pPr>
      <w:r>
        <w:rPr>
          <w:kern w:val="0"/>
          <w:szCs w:val="24"/>
        </w:rPr>
        <w:t>（1）表土剥离（报告新增）</w:t>
      </w:r>
    </w:p>
    <w:p>
      <w:pPr>
        <w:ind w:firstLine="480"/>
      </w:pPr>
      <w:r>
        <w:t>对于尚未进行场平工作，目前处于原始地貌状态，</w:t>
      </w:r>
      <w:r>
        <w:rPr>
          <w:kern w:val="0"/>
          <w:szCs w:val="24"/>
        </w:rPr>
        <w:t>为了有效保护表土资源和解决园区后期绿化用土问题，</w:t>
      </w:r>
      <w:r>
        <w:t>本报告将在施工前对其占地范围内可进行表土剥离的区域新增表土剥离措施，本区表土剥离面积为218.18hm</w:t>
      </w:r>
      <w:r>
        <w:rPr>
          <w:vertAlign w:val="superscript"/>
        </w:rPr>
        <w:t>2</w:t>
      </w:r>
      <w:r>
        <w:t>，剥离厚度0.20m~0.40m，剥离量为62.11万m</w:t>
      </w:r>
      <w:r>
        <w:rPr>
          <w:vertAlign w:val="superscript"/>
        </w:rPr>
        <w:t>3</w:t>
      </w:r>
      <w:r>
        <w:t>，剥离后的表土就近临时集中堆放于表土中转场内。本区后期绿化覆土面积为69.59hm</w:t>
      </w:r>
      <w:r>
        <w:rPr>
          <w:vertAlign w:val="superscript"/>
        </w:rPr>
        <w:t>2</w:t>
      </w:r>
      <w:r>
        <w:t>，覆土厚度为0.3~1.2m，覆土量为</w:t>
      </w:r>
      <w:r>
        <w:rPr>
          <w:rFonts w:hint="eastAsia"/>
        </w:rPr>
        <w:t>48.71</w:t>
      </w:r>
      <w:r>
        <w:t>万m</w:t>
      </w:r>
      <w:r>
        <w:rPr>
          <w:vertAlign w:val="superscript"/>
        </w:rPr>
        <w:t>3</w:t>
      </w:r>
      <w:r>
        <w:t>，余下表土待后期用于园区道路、公共基础设施区域的绿地回填使用。</w:t>
      </w:r>
    </w:p>
    <w:p>
      <w:pPr>
        <w:ind w:firstLine="482"/>
        <w:rPr>
          <w:b/>
          <w:bCs/>
        </w:rPr>
      </w:pPr>
      <w:r>
        <w:rPr>
          <w:b/>
          <w:bCs/>
        </w:rPr>
        <w:t>2、临时措施</w:t>
      </w:r>
    </w:p>
    <w:p>
      <w:pPr>
        <w:ind w:firstLine="480"/>
      </w:pPr>
      <w:r>
        <w:t>（1）截排水沟（报告新增）</w:t>
      </w:r>
    </w:p>
    <w:p>
      <w:pPr>
        <w:ind w:firstLine="480"/>
      </w:pPr>
      <w:r>
        <w:t>本区场地平整时将形成裸露面，为防止降雨、场内及周边汇流对裸露面冲刷造成水土流失。本报告根据开发进度安排，在各地块场平区域周边布设截排水沟。截排水沟采用矩形断面，断面尺寸采用净宽×净深=0.50×0.50m，</w:t>
      </w:r>
      <w:r>
        <w:rPr>
          <w:szCs w:val="24"/>
        </w:rPr>
        <w:t>四周为0.24m厚M7.5水泥砂浆砌砖，表面用M10水泥砂浆砌抹面</w:t>
      </w:r>
      <w:r>
        <w:t>。经统计，本区将设置截排水沟5017m。后期对其进行拆除。截排水沟过水能力校核计算详见章节5.3.5.1。</w:t>
      </w:r>
    </w:p>
    <w:p>
      <w:pPr>
        <w:ind w:firstLine="480"/>
      </w:pPr>
      <w:r>
        <w:t>（2）沉沙池（报告新增）</w:t>
      </w:r>
    </w:p>
    <w:p>
      <w:pPr>
        <w:ind w:firstLine="480"/>
      </w:pPr>
      <w:r>
        <w:t>本报告在排水沟末端及每间隔300m设置沉沙池。沉沙池设计参照《水土保持工程设计规范》（GB51018-2014），设计采用准静止泥沙沉降法。砌砖抹面形式，净长×净宽×净深=2.0×1.5×1.5m，</w:t>
      </w:r>
      <w:r>
        <w:rPr>
          <w:szCs w:val="24"/>
        </w:rPr>
        <w:t>四周为0.24m厚M7.5水泥砂浆砌砖，C20砼底板厚0.20m，表面用M10水泥砂浆砌抹面，顶部铺设C20混凝土钢筋预制板盖板。</w:t>
      </w:r>
      <w:r>
        <w:t>经统计，本区将设置沉沙池18座。后期对其进行拆除。</w:t>
      </w:r>
    </w:p>
    <w:p>
      <w:pPr>
        <w:ind w:firstLine="480"/>
      </w:pPr>
      <w:r>
        <w:t>（3）防雨布苫盖（报告新增）</w:t>
      </w:r>
    </w:p>
    <w:p>
      <w:pPr>
        <w:ind w:firstLine="480"/>
      </w:pPr>
      <w:r>
        <w:t>园区为浅丘地貌，场平施工形成一定的开挖回填边坡，在降雨和大风时容易造成冲刷及扬尘，本报告新增防雨布苫盖、大块石压边的形式进行临时苫盖。防雨布可根据场平工程施工进度安排，重复使用。经统计，本区需防雨布苫盖约29.93hm</w:t>
      </w:r>
      <w:r>
        <w:rPr>
          <w:vertAlign w:val="superscript"/>
        </w:rPr>
        <w:t>2</w:t>
      </w:r>
      <w:r>
        <w:t>。后期，防雨布应进行拆除。</w:t>
      </w:r>
    </w:p>
    <w:p>
      <w:pPr>
        <w:ind w:firstLine="480"/>
      </w:pPr>
      <w:r>
        <w:t>（4）临时洗车池（报告新增）</w:t>
      </w:r>
    </w:p>
    <w:p>
      <w:pPr>
        <w:widowControl/>
        <w:ind w:firstLine="480"/>
      </w:pPr>
      <w:r>
        <w:t>本报告</w:t>
      </w:r>
      <w:r>
        <w:rPr>
          <w:kern w:val="0"/>
          <w:szCs w:val="24"/>
        </w:rPr>
        <w:t>在场地平整前，补充各地块的主要出入口的</w:t>
      </w:r>
      <w:r>
        <w:t>临时洗车池及沉沙池</w:t>
      </w:r>
      <w:r>
        <w:rPr>
          <w:kern w:val="0"/>
          <w:szCs w:val="24"/>
        </w:rPr>
        <w:t>措施，车池溢水经沉</w:t>
      </w:r>
      <w:r>
        <w:t>沙</w:t>
      </w:r>
      <w:r>
        <w:rPr>
          <w:kern w:val="0"/>
          <w:szCs w:val="24"/>
        </w:rPr>
        <w:t>池缓流后循环利用，起到清洗进出施工车辆的作用。</w:t>
      </w:r>
      <w:r>
        <w:rPr>
          <w:bCs/>
          <w:szCs w:val="24"/>
        </w:rPr>
        <w:t>洗车池构造由下往上为：1）素土夯实，2）150mm厚级配石，3）200mm厚C25砼，配筋φ16@300双向。洗车池完成后最低处低于路面800mm，洗车池向沉</w:t>
      </w:r>
      <w:r>
        <w:t>沙</w:t>
      </w:r>
      <w:r>
        <w:rPr>
          <w:bCs/>
          <w:szCs w:val="24"/>
        </w:rPr>
        <w:t>池方向排水坡度为3%，洗车池尺寸为长15m，宽4m。</w:t>
      </w:r>
      <w:r>
        <w:t>经统计，需新增设置临时洗车池6座，沉沙池6座。后期对其进行拆除。</w:t>
      </w:r>
    </w:p>
    <w:p>
      <w:pPr>
        <w:pStyle w:val="8"/>
        <w:rPr>
          <w:rFonts w:eastAsia="仿宋_GB2312"/>
        </w:rPr>
      </w:pPr>
      <w:r>
        <w:rPr>
          <w:rFonts w:eastAsia="仿宋_GB2312"/>
        </w:rPr>
        <w:t>5.3.2.3.2道路与交通设施用地区</w:t>
      </w:r>
    </w:p>
    <w:p>
      <w:pPr>
        <w:ind w:firstLine="482"/>
        <w:rPr>
          <w:b/>
          <w:bCs/>
        </w:rPr>
      </w:pPr>
      <w:r>
        <w:rPr>
          <w:b/>
          <w:bCs/>
        </w:rPr>
        <w:t>1、工程措施</w:t>
      </w:r>
    </w:p>
    <w:p>
      <w:pPr>
        <w:ind w:firstLine="480"/>
      </w:pPr>
      <w:r>
        <w:t>（1）雨水管及雨水口（主体已有）</w:t>
      </w:r>
    </w:p>
    <w:p>
      <w:pPr>
        <w:ind w:firstLine="480"/>
      </w:pPr>
      <w:r>
        <w:t>根据设计资料，</w:t>
      </w:r>
      <w:r>
        <w:rPr>
          <w:kern w:val="0"/>
          <w:szCs w:val="24"/>
        </w:rPr>
        <w:t>主体工程沿园区内部道路路基两侧布置了雨水排水管及雨水口，并与其他区域的雨水管有效衔接，形成整个场区完备的雨水排放系统，以收集地面雨水，最终排入市政雨水管网。雨水管采用DN600~DN2000钢筋混凝土雨水管，雨水口采用预制混凝土装配式雨水口，雨水篦子采用C250球墨铸铁篦子。经统计，本区共设置雨水管8750m，雨水口175个。</w:t>
      </w:r>
    </w:p>
    <w:p>
      <w:pPr>
        <w:ind w:firstLine="480"/>
      </w:pPr>
      <w:r>
        <w:t>（2）表土剥离及回覆（报告新增）</w:t>
      </w:r>
    </w:p>
    <w:p>
      <w:pPr>
        <w:ind w:firstLine="480"/>
      </w:pPr>
      <w:r>
        <w:t>对于尚未进行场平工作，目前处于原始地貌状态，</w:t>
      </w:r>
      <w:r>
        <w:rPr>
          <w:kern w:val="0"/>
          <w:szCs w:val="24"/>
        </w:rPr>
        <w:t>为了有效保护表土资源和解决园区后期绿化用土问题，</w:t>
      </w:r>
      <w:r>
        <w:t>本报告将在施工前对其占地范围内可进行表土剥离的区域新增表土剥离措施，本区表土剥离面积为22.59hm</w:t>
      </w:r>
      <w:r>
        <w:rPr>
          <w:vertAlign w:val="superscript"/>
        </w:rPr>
        <w:t>2</w:t>
      </w:r>
      <w:r>
        <w:t>，剥离厚度0.20m~0.40m，剥离量为7.04万m</w:t>
      </w:r>
      <w:r>
        <w:rPr>
          <w:vertAlign w:val="superscript"/>
        </w:rPr>
        <w:t>3</w:t>
      </w:r>
      <w:r>
        <w:t>，剥离后的表土就近临时集中堆放于表土中转场内。待后期用于企业内部绿化回填或道路、公共基础设施区域的绿地回填使用。本区后期绿化面积为4.81hm</w:t>
      </w:r>
      <w:r>
        <w:rPr>
          <w:vertAlign w:val="superscript"/>
        </w:rPr>
        <w:t>2</w:t>
      </w:r>
      <w:r>
        <w:t>，覆土厚度为0.3~1.20m，表土回覆量为5.77万m</w:t>
      </w:r>
      <w:r>
        <w:rPr>
          <w:vertAlign w:val="superscript"/>
        </w:rPr>
        <w:t>3</w:t>
      </w:r>
      <w:r>
        <w:t>。</w:t>
      </w:r>
    </w:p>
    <w:p>
      <w:pPr>
        <w:ind w:firstLine="482"/>
        <w:rPr>
          <w:b/>
          <w:bCs/>
        </w:rPr>
      </w:pPr>
      <w:r>
        <w:rPr>
          <w:b/>
          <w:bCs/>
        </w:rPr>
        <w:t>2、植物措施</w:t>
      </w:r>
    </w:p>
    <w:p>
      <w:pPr>
        <w:ind w:firstLine="480"/>
      </w:pPr>
      <w:r>
        <w:t>（1）道路综合绿化（主体已有）</w:t>
      </w:r>
    </w:p>
    <w:p>
      <w:pPr>
        <w:ind w:firstLine="480"/>
      </w:pPr>
      <w:r>
        <w:t>根据园区道路横断面设计，主体将对本区道路实施栽植行道树绿化。绿化以当地乡土物种为主，乔木主要为小叶榕、香樟、槐树等。本区行道树绿化道路长度为5862m，树池间间隔8m，树池规格1.2×1.2m。经统计，道路绿化面积为2.41hm</w:t>
      </w:r>
      <w:r>
        <w:rPr>
          <w:vertAlign w:val="superscript"/>
        </w:rPr>
        <w:t>2</w:t>
      </w:r>
      <w:r>
        <w:t>（其中已栽植行道树0.21hm</w:t>
      </w:r>
      <w:r>
        <w:rPr>
          <w:vertAlign w:val="superscript"/>
        </w:rPr>
        <w:t>2</w:t>
      </w:r>
      <w:r>
        <w:t>/1475株，道路绿化带2.20hm</w:t>
      </w:r>
      <w:r>
        <w:rPr>
          <w:vertAlign w:val="superscript"/>
        </w:rPr>
        <w:t>2</w:t>
      </w:r>
      <w:r>
        <w:t>）。</w:t>
      </w:r>
    </w:p>
    <w:p>
      <w:pPr>
        <w:ind w:firstLine="480"/>
      </w:pPr>
      <w:r>
        <w:t>（2）边坡绿化防护</w:t>
      </w:r>
    </w:p>
    <w:p>
      <w:pPr>
        <w:ind w:firstLine="480"/>
      </w:pPr>
      <w:r>
        <w:t>根据设计资料，园区道路填方区路堤及挖方段边坡高度≤4米时采用喷播植草进行防护，边坡高度＞4米时采用挂三维网植草进行防护，边坡分级高度为8m的无外倾结构面的岩质边坡采用锚杆框架梁进行防护。路基填方边坡统一采用分级放坡，按一级边坡1：1.5坡率、二级边坡1：1.75坡率、三级及三级以上边坡按1：2坡率进行放坡。每级边坡≤8m，分级平台宽度2m，为减少边坡防护工程量。路基挖方边坡统一采用分级放坡，边坡采用临时性防护，分级边坡坡率依次为1：1、1：1.25、1：1.5，边坡分级高度为8m，级间平台宽度2m。经统计，本区边坡绿化面积为2.40hm</w:t>
      </w:r>
      <w:r>
        <w:rPr>
          <w:vertAlign w:val="superscript"/>
        </w:rPr>
        <w:t>2</w:t>
      </w:r>
      <w:r>
        <w:t>，其中挂三维网植草面积为1.10hm</w:t>
      </w:r>
      <w:r>
        <w:rPr>
          <w:vertAlign w:val="superscript"/>
        </w:rPr>
        <w:t>2</w:t>
      </w:r>
      <w:r>
        <w:t>，喷播植草面积为1.30hm</w:t>
      </w:r>
      <w:r>
        <w:rPr>
          <w:vertAlign w:val="superscript"/>
        </w:rPr>
        <w:t>2</w:t>
      </w:r>
      <w:r>
        <w:t>。</w:t>
      </w:r>
    </w:p>
    <w:p>
      <w:pPr>
        <w:ind w:firstLine="482"/>
        <w:rPr>
          <w:b/>
          <w:bCs/>
        </w:rPr>
      </w:pPr>
      <w:r>
        <w:rPr>
          <w:b/>
          <w:bCs/>
        </w:rPr>
        <w:t>3、临时措施</w:t>
      </w:r>
    </w:p>
    <w:p>
      <w:pPr>
        <w:ind w:firstLine="480"/>
      </w:pPr>
      <w:r>
        <w:t>（1）截排水沟</w:t>
      </w:r>
    </w:p>
    <w:p>
      <w:pPr>
        <w:widowControl/>
        <w:ind w:firstLine="480"/>
      </w:pPr>
      <w:r>
        <w:t>道路路基开挖与填筑将形成裸露面，为防止降雨及周边汇流对裸露面造成水土流失，本报告在路基两侧新增布设截排水沟用于</w:t>
      </w:r>
      <w:r>
        <w:rPr>
          <w:kern w:val="0"/>
          <w:szCs w:val="24"/>
        </w:rPr>
        <w:t>施工期排水。</w:t>
      </w:r>
      <w:r>
        <w:t>截排水沟采用矩形断面，断面尺寸采用净宽×净深=0.50×0.50m，</w:t>
      </w:r>
      <w:r>
        <w:rPr>
          <w:szCs w:val="24"/>
        </w:rPr>
        <w:t>四周为0.24m厚M7.5水泥砂浆砌砖，表面用M10水泥砂浆砌抹面</w:t>
      </w:r>
      <w:r>
        <w:t>。经统计，本区将设置截排水沟10901m。后期对其进行拆除。</w:t>
      </w:r>
    </w:p>
    <w:p>
      <w:pPr>
        <w:ind w:firstLine="480"/>
      </w:pPr>
      <w:r>
        <w:t>（2）沉沙池</w:t>
      </w:r>
    </w:p>
    <w:p>
      <w:pPr>
        <w:ind w:firstLine="480"/>
      </w:pPr>
      <w:r>
        <w:t>本报告在排水沟末端及每间隔300m设置沉沙池。沉沙池设计参照《水土保持工程设计规范》（GB51018-2014），设计采用准静止泥沙沉降法。砌砖抹面形式，净长×净宽×净深=2.0×1.5×1.5m，</w:t>
      </w:r>
      <w:r>
        <w:rPr>
          <w:szCs w:val="24"/>
        </w:rPr>
        <w:t>四周为0.24m厚M7.5水泥砂浆砌砖，C20砼底板厚0.20m，表面用M10水泥砂浆砌抹面，顶部铺设C20混凝土钢筋预制板盖板。</w:t>
      </w:r>
      <w:r>
        <w:t>经统计，本区将设置沉沙池40座。后期对其进行拆除。</w:t>
      </w:r>
    </w:p>
    <w:p>
      <w:pPr>
        <w:ind w:firstLine="480"/>
      </w:pPr>
      <w:r>
        <w:t>（3）防雨布苫盖（报告新增）</w:t>
      </w:r>
    </w:p>
    <w:p>
      <w:pPr>
        <w:ind w:firstLine="480"/>
      </w:pPr>
      <w:r>
        <w:t>道路路基开挖及回填形成的边坡，在降雨和大风时容易造成冲刷及扬尘，本报告新增防雨布苫盖、大块石压边的形式进行临时苫盖。防雨布可根据路基施工进度安排，重复使用。经统计，本区需防雨布苫盖约6.54hm</w:t>
      </w:r>
      <w:r>
        <w:rPr>
          <w:vertAlign w:val="superscript"/>
        </w:rPr>
        <w:t>2</w:t>
      </w:r>
      <w:r>
        <w:t>。后期，防雨布应进行拆除。</w:t>
      </w:r>
    </w:p>
    <w:p>
      <w:pPr>
        <w:ind w:firstLine="480"/>
      </w:pPr>
      <w:r>
        <w:t>（4）编织袋装土拦挡及拆除（报告新增）</w:t>
      </w:r>
    </w:p>
    <w:p>
      <w:pPr>
        <w:ind w:firstLine="480"/>
      </w:pPr>
      <w:r>
        <w:t>道路工程与交通工程施工时，一般将设置简易施工场地，其内堆放有砂砾石骨料，在堆放期间，材料堆场坡脚应采取土袋挡墙挡护。挡墙由土袋码砌形成，断面大致呈梯形，顶宽0.6m，底宽2.60m，高1.0m。施工临近结束时，应对土袋挡墙进行拆除。经统计，本区需布设土袋挡墙400m，后期拆除土袋挡墙400m。</w:t>
      </w:r>
    </w:p>
    <w:p>
      <w:pPr>
        <w:pStyle w:val="8"/>
        <w:rPr>
          <w:rFonts w:eastAsia="仿宋_GB2312"/>
        </w:rPr>
      </w:pPr>
      <w:r>
        <w:rPr>
          <w:rFonts w:eastAsia="仿宋_GB2312"/>
        </w:rPr>
        <w:t>5.3.2.3.3公用设施用地区</w:t>
      </w:r>
    </w:p>
    <w:p>
      <w:pPr>
        <w:ind w:firstLine="482"/>
      </w:pPr>
      <w:r>
        <w:rPr>
          <w:b/>
          <w:bCs/>
        </w:rPr>
        <w:t>1、工程措施</w:t>
      </w:r>
    </w:p>
    <w:p>
      <w:pPr>
        <w:ind w:firstLine="480"/>
      </w:pPr>
      <w:r>
        <w:t>（1）表土剥离及回覆（报告新增）</w:t>
      </w:r>
    </w:p>
    <w:p>
      <w:pPr>
        <w:ind w:firstLine="480"/>
      </w:pPr>
      <w:r>
        <w:t>对于尚未进行场平工作，目前处于原始地貌状态，</w:t>
      </w:r>
      <w:r>
        <w:rPr>
          <w:kern w:val="0"/>
          <w:szCs w:val="24"/>
        </w:rPr>
        <w:t>为了有效保护表土资源和解决园区后期绿化用土问题，</w:t>
      </w:r>
      <w:r>
        <w:t>本报告将在施工前对其占地范围内可进行表土剥离的区域新增表土剥离措施，本区表土剥离面积为18.93hm</w:t>
      </w:r>
      <w:r>
        <w:rPr>
          <w:vertAlign w:val="superscript"/>
        </w:rPr>
        <w:t>2</w:t>
      </w:r>
      <w:r>
        <w:t>，剥离厚度0.20m~0.40m，剥离量为5.90万m</w:t>
      </w:r>
      <w:r>
        <w:rPr>
          <w:vertAlign w:val="superscript"/>
        </w:rPr>
        <w:t>3</w:t>
      </w:r>
      <w:r>
        <w:t>，剥离后的表土就近临时集中堆放于表土中转场内。待后期用于企业内部绿化回填或道路、公共基础设施区域的绿地回填使用。本区后期绿化面积为4.89hm</w:t>
      </w:r>
      <w:r>
        <w:rPr>
          <w:vertAlign w:val="superscript"/>
        </w:rPr>
        <w:t>2</w:t>
      </w:r>
      <w:r>
        <w:t>，覆土厚度为0.3~1.20m，表土回覆量为1.47万m</w:t>
      </w:r>
      <w:r>
        <w:rPr>
          <w:vertAlign w:val="superscript"/>
        </w:rPr>
        <w:t>3</w:t>
      </w:r>
      <w:r>
        <w:t>。</w:t>
      </w:r>
    </w:p>
    <w:p>
      <w:pPr>
        <w:ind w:firstLine="482"/>
        <w:rPr>
          <w:b/>
          <w:bCs/>
        </w:rPr>
      </w:pPr>
      <w:r>
        <w:rPr>
          <w:b/>
          <w:bCs/>
        </w:rPr>
        <w:t>2、植物措施</w:t>
      </w:r>
    </w:p>
    <w:p>
      <w:pPr>
        <w:ind w:firstLine="480"/>
      </w:pPr>
      <w:r>
        <w:t>（1）乔灌草综合绿化（主体已有）</w:t>
      </w:r>
    </w:p>
    <w:p>
      <w:pPr>
        <w:ind w:firstLine="480"/>
      </w:pPr>
      <w:r>
        <w:t>根据收集的资料统计和推算，本区绿化面积共计4.89hm</w:t>
      </w:r>
      <w:r>
        <w:rPr>
          <w:vertAlign w:val="superscript"/>
        </w:rPr>
        <w:t>2</w:t>
      </w:r>
      <w:r>
        <w:t>，绿化以当地乡土物种为主，</w:t>
      </w:r>
      <w:r>
        <w:rPr>
          <w:kern w:val="0"/>
          <w:szCs w:val="24"/>
        </w:rPr>
        <w:t>乔木主要为香樟、银杏等，灌木主要为海桐、红继木等，草本主要为麦冬、狗牙根等。</w:t>
      </w:r>
    </w:p>
    <w:p>
      <w:pPr>
        <w:ind w:firstLine="482"/>
        <w:rPr>
          <w:b/>
          <w:bCs/>
        </w:rPr>
      </w:pPr>
      <w:r>
        <w:rPr>
          <w:b/>
          <w:bCs/>
        </w:rPr>
        <w:t>3、临时措施</w:t>
      </w:r>
    </w:p>
    <w:p>
      <w:pPr>
        <w:ind w:firstLine="480"/>
      </w:pPr>
      <w:r>
        <w:t>（1）截排水沟（报告新增）</w:t>
      </w:r>
    </w:p>
    <w:p>
      <w:pPr>
        <w:ind w:firstLine="480"/>
      </w:pPr>
      <w:r>
        <w:t>本区场地平整时将形成裸露面，为防止降雨、场内及周边汇流对裸露面冲刷造成水土流失。本报告根据开发进度安排，在各地块场平区域周边布设截排水沟。截排水沟采用矩形断面，断面尺寸采用净宽×净深=0.50×0.50m，</w:t>
      </w:r>
      <w:r>
        <w:rPr>
          <w:szCs w:val="24"/>
        </w:rPr>
        <w:t>四周为0.24m厚M7.5水泥砂浆砌砖，表面用M10水泥砂浆砌抹面</w:t>
      </w:r>
      <w:r>
        <w:t>。经统计，本区将设置截排水沟1282m。后期对其进行拆除。</w:t>
      </w:r>
    </w:p>
    <w:p>
      <w:pPr>
        <w:ind w:firstLine="480"/>
      </w:pPr>
      <w:r>
        <w:t>（2）沉沙池（报告新增）</w:t>
      </w:r>
    </w:p>
    <w:p>
      <w:pPr>
        <w:ind w:firstLine="480"/>
      </w:pPr>
      <w:r>
        <w:t>本报告在排水沟末端及每间隔300m设置沉沙池。沉沙池设计参照《水土保持工程设计规范》（GB51018-2014），设计采用准静止泥沙沉降法。砌砖抹面形式，净长×净宽×净深=2.0×1.5×1.5m，</w:t>
      </w:r>
      <w:r>
        <w:rPr>
          <w:szCs w:val="24"/>
        </w:rPr>
        <w:t>四周为0.24m厚M7.5水泥砂浆砌砖，C20砼底板厚0.20m，表面用M10水泥砂浆砌抹面，顶部铺设C20混凝土钢筋预制板盖板。</w:t>
      </w:r>
      <w:r>
        <w:t>经统计，本区将设置沉沙池4座。后期对其进行拆除。</w:t>
      </w:r>
    </w:p>
    <w:p>
      <w:pPr>
        <w:ind w:firstLine="480"/>
      </w:pPr>
      <w:r>
        <w:t>（3）防雨布苫盖（报告新增）</w:t>
      </w:r>
    </w:p>
    <w:p>
      <w:pPr>
        <w:ind w:firstLine="480"/>
      </w:pPr>
      <w:r>
        <w:t>场平施工形成一定的开挖回填边坡，在降雨和大风时容易造成冲刷及扬尘，本报告新增防雨布苫盖、大块石压边的形式进行临时苫盖。防雨布可根据场平工程施工进度安排，重复使用。经统计，本区需防雨布苫盖约5.80hm</w:t>
      </w:r>
      <w:r>
        <w:rPr>
          <w:vertAlign w:val="superscript"/>
        </w:rPr>
        <w:t>2</w:t>
      </w:r>
      <w:r>
        <w:t>。后期，防雨布应进行拆除。</w:t>
      </w:r>
    </w:p>
    <w:p>
      <w:pPr>
        <w:ind w:firstLine="480"/>
      </w:pPr>
      <w:r>
        <w:t>（4）临时洗车池（报告新增）</w:t>
      </w:r>
    </w:p>
    <w:p>
      <w:pPr>
        <w:ind w:firstLine="480"/>
      </w:pPr>
      <w:r>
        <w:t>本报告</w:t>
      </w:r>
      <w:r>
        <w:rPr>
          <w:kern w:val="0"/>
          <w:szCs w:val="24"/>
        </w:rPr>
        <w:t>在场地平整前，补充各地块的主要出入口的</w:t>
      </w:r>
      <w:r>
        <w:t>临时洗车池及沉沙池</w:t>
      </w:r>
      <w:r>
        <w:rPr>
          <w:kern w:val="0"/>
          <w:szCs w:val="24"/>
        </w:rPr>
        <w:t>措施，车池溢水经沉</w:t>
      </w:r>
      <w:r>
        <w:t>沙</w:t>
      </w:r>
      <w:r>
        <w:rPr>
          <w:kern w:val="0"/>
          <w:szCs w:val="24"/>
        </w:rPr>
        <w:t>池缓流后循环利用，起到清洗进出施工车辆的作用。</w:t>
      </w:r>
      <w:r>
        <w:rPr>
          <w:bCs/>
          <w:szCs w:val="24"/>
        </w:rPr>
        <w:t>洗车池构造由下往上为：1）素土夯实，2）150mm厚级配石，3）200mm厚C25砼，配筋φ16@300双向。洗车池完成后最低处低于路面800mm，洗车池向沉</w:t>
      </w:r>
      <w:r>
        <w:t>沙</w:t>
      </w:r>
      <w:r>
        <w:rPr>
          <w:bCs/>
          <w:szCs w:val="24"/>
        </w:rPr>
        <w:t>池方向排水坡度为3%，洗车池尺寸为长15m，宽4m。</w:t>
      </w:r>
      <w:r>
        <w:t>经统计，需新增设置临时洗车池2座，沉沙池2座。后期对其进行拆除。</w:t>
      </w:r>
    </w:p>
    <w:p>
      <w:pPr>
        <w:pStyle w:val="8"/>
        <w:rPr>
          <w:rFonts w:eastAsia="仿宋_GB2312"/>
        </w:rPr>
      </w:pPr>
      <w:r>
        <w:rPr>
          <w:rFonts w:eastAsia="仿宋_GB2312"/>
        </w:rPr>
        <w:t>5.3.2.3.4绿地与广场用地区</w:t>
      </w:r>
    </w:p>
    <w:p>
      <w:pPr>
        <w:ind w:firstLine="482"/>
        <w:rPr>
          <w:b/>
          <w:bCs/>
        </w:rPr>
      </w:pPr>
      <w:r>
        <w:rPr>
          <w:b/>
          <w:bCs/>
        </w:rPr>
        <w:t>1、工程措施</w:t>
      </w:r>
    </w:p>
    <w:p>
      <w:pPr>
        <w:ind w:firstLine="480"/>
      </w:pPr>
      <w:r>
        <w:t>（1）表土剥离及回覆（报告新增）</w:t>
      </w:r>
    </w:p>
    <w:p>
      <w:pPr>
        <w:ind w:firstLine="480"/>
      </w:pPr>
      <w:r>
        <w:t>对于尚未进行场平工作，目前处于原始地貌状态，</w:t>
      </w:r>
      <w:r>
        <w:rPr>
          <w:kern w:val="0"/>
          <w:szCs w:val="24"/>
        </w:rPr>
        <w:t>为了有效保护表土资源和解决园区后期绿化用土问题，</w:t>
      </w:r>
      <w:r>
        <w:t>本报告将在施工前对其占地范围内可进行表土剥离的区域新增表土剥离措施，本区表土剥离面积为20.34hm</w:t>
      </w:r>
      <w:r>
        <w:rPr>
          <w:vertAlign w:val="superscript"/>
        </w:rPr>
        <w:t>2</w:t>
      </w:r>
      <w:r>
        <w:t>，剥离厚度0.20m~0.40m，剥离量为6.21万m</w:t>
      </w:r>
      <w:r>
        <w:rPr>
          <w:vertAlign w:val="superscript"/>
        </w:rPr>
        <w:t>3</w:t>
      </w:r>
      <w:r>
        <w:t>，剥离后的表土就近临时集中堆放于表土中转场内。待后期用于企业内部绿化回填或道路、公共基础设施区域的绿地回填使用。本区后期绿化面积为41.57hm</w:t>
      </w:r>
      <w:r>
        <w:rPr>
          <w:vertAlign w:val="superscript"/>
        </w:rPr>
        <w:t>2</w:t>
      </w:r>
      <w:r>
        <w:t>，覆土厚度为</w:t>
      </w:r>
      <w:r>
        <w:rPr>
          <w:rFonts w:hint="eastAsia"/>
        </w:rPr>
        <w:t>1.0</w:t>
      </w:r>
      <w:r>
        <w:t>~</w:t>
      </w:r>
      <w:r>
        <w:rPr>
          <w:rFonts w:hint="eastAsia"/>
        </w:rPr>
        <w:t>2.</w:t>
      </w:r>
      <w:r>
        <w:t>0m，表土回覆量为</w:t>
      </w:r>
      <w:r>
        <w:rPr>
          <w:rFonts w:hint="eastAsia"/>
        </w:rPr>
        <w:t>78.77</w:t>
      </w:r>
      <w:r>
        <w:t>万m</w:t>
      </w:r>
      <w:r>
        <w:rPr>
          <w:vertAlign w:val="superscript"/>
        </w:rPr>
        <w:t>3</w:t>
      </w:r>
      <w:r>
        <w:t>。</w:t>
      </w:r>
    </w:p>
    <w:p>
      <w:pPr>
        <w:ind w:firstLine="482"/>
        <w:rPr>
          <w:b/>
          <w:bCs/>
        </w:rPr>
      </w:pPr>
      <w:r>
        <w:rPr>
          <w:b/>
          <w:bCs/>
        </w:rPr>
        <w:t>2、植物措施</w:t>
      </w:r>
    </w:p>
    <w:p>
      <w:pPr>
        <w:ind w:firstLine="480"/>
      </w:pPr>
      <w:r>
        <w:t>（1）乔灌草综合绿化（主体已有）</w:t>
      </w:r>
    </w:p>
    <w:p>
      <w:pPr>
        <w:ind w:firstLine="480"/>
      </w:pPr>
      <w:r>
        <w:t>根据收集的资料统计和推算，本区绿化面积共计41.57hm</w:t>
      </w:r>
      <w:r>
        <w:rPr>
          <w:vertAlign w:val="superscript"/>
        </w:rPr>
        <w:t>2</w:t>
      </w:r>
      <w:r>
        <w:t>，绿化以当地乡土物种为主，</w:t>
      </w:r>
      <w:r>
        <w:rPr>
          <w:kern w:val="0"/>
          <w:szCs w:val="24"/>
        </w:rPr>
        <w:t>乔木主要为香樟、银杏等，灌木主要为海桐、红继木等，草本主要为麦冬、狗牙根等。</w:t>
      </w:r>
    </w:p>
    <w:p>
      <w:pPr>
        <w:ind w:firstLine="482"/>
        <w:rPr>
          <w:b/>
          <w:bCs/>
        </w:rPr>
      </w:pPr>
      <w:r>
        <w:rPr>
          <w:b/>
          <w:bCs/>
        </w:rPr>
        <w:t>3、临时措施</w:t>
      </w:r>
    </w:p>
    <w:p>
      <w:pPr>
        <w:ind w:firstLine="480"/>
      </w:pPr>
      <w:r>
        <w:t>（1）防雨布苫盖（报告新增）</w:t>
      </w:r>
    </w:p>
    <w:p>
      <w:pPr>
        <w:ind w:firstLine="480"/>
      </w:pPr>
      <w:r>
        <w:t>本区施工期间，针对施工区域可能产生的裸露坡面，在降雨和大风时容易造成冲刷及扬尘，本报告新增防雨布苫盖、大块石压边的形式进行临时苫盖。防雨布可根据场平工程施工进度安排，重复使用。经统计，本区需防雨布苫盖约2.0hm</w:t>
      </w:r>
      <w:r>
        <w:rPr>
          <w:vertAlign w:val="superscript"/>
        </w:rPr>
        <w:t>2</w:t>
      </w:r>
      <w:r>
        <w:t>。后期，防雨布应进行拆除。</w:t>
      </w:r>
    </w:p>
    <w:p>
      <w:pPr>
        <w:ind w:firstLine="482"/>
      </w:pPr>
      <w:r>
        <w:rPr>
          <w:b/>
          <w:bCs/>
        </w:rPr>
        <w:t>4、管理措施</w:t>
      </w:r>
    </w:p>
    <w:p>
      <w:pPr>
        <w:ind w:firstLine="480"/>
      </w:pPr>
      <w:r>
        <w:t>（1）植被栽植后，应定期对其进行浇灌补植维护，病虫害治疗等，保证植被成活。</w:t>
      </w:r>
    </w:p>
    <w:p>
      <w:pPr>
        <w:ind w:firstLine="480"/>
      </w:pPr>
      <w:r>
        <w:t>（2）在覆土后有大面积裸露地表，在覆土后及时做好临时覆盖措施以防止大面积水土流失。</w:t>
      </w:r>
    </w:p>
    <w:p>
      <w:pPr>
        <w:ind w:firstLine="480"/>
      </w:pPr>
      <w:r>
        <w:t>（3）景观绿地实施前需按规定编制水土保持方案，其水土保持方案实行承诺制管理，建设单位需按照水土保持方案实施水土保持措施。</w:t>
      </w:r>
    </w:p>
    <w:p>
      <w:pPr>
        <w:ind w:firstLine="0" w:firstLineChars="0"/>
        <w:jc w:val="center"/>
        <w:rPr>
          <w:b/>
          <w:bCs/>
        </w:rPr>
        <w:sectPr>
          <w:pgSz w:w="11905" w:h="16838"/>
          <w:pgMar w:top="1417" w:right="1417" w:bottom="1417" w:left="1417" w:header="850" w:footer="992" w:gutter="0"/>
          <w:cols w:space="720" w:num="1"/>
          <w:docGrid w:linePitch="312" w:charSpace="0"/>
        </w:sectPr>
      </w:pPr>
    </w:p>
    <w:p>
      <w:pPr>
        <w:ind w:firstLine="0" w:firstLineChars="0"/>
        <w:jc w:val="center"/>
        <w:rPr>
          <w:b/>
          <w:bCs/>
        </w:rPr>
        <w:sectPr>
          <w:type w:val="continuous"/>
          <w:pgSz w:w="11905" w:h="16838"/>
          <w:pgMar w:top="1417" w:right="1417" w:bottom="1417" w:left="1417" w:header="850" w:footer="992" w:gutter="0"/>
          <w:cols w:space="720" w:num="1"/>
          <w:docGrid w:linePitch="312" w:charSpace="0"/>
        </w:sectPr>
      </w:pPr>
    </w:p>
    <w:p>
      <w:pPr>
        <w:tabs>
          <w:tab w:val="left" w:pos="4836"/>
          <w:tab w:val="center" w:pos="7002"/>
        </w:tabs>
        <w:ind w:firstLine="0" w:firstLineChars="0"/>
        <w:jc w:val="left"/>
      </w:pPr>
      <w:r>
        <w:rPr>
          <w:b/>
          <w:bCs/>
        </w:rPr>
        <w:tab/>
      </w:r>
      <w:r>
        <w:rPr>
          <w:b/>
          <w:bCs/>
        </w:rPr>
        <w:t>表5.3-2</w:t>
      </w:r>
      <w:r>
        <w:rPr>
          <w:b/>
          <w:bCs/>
        </w:rPr>
        <w:tab/>
      </w:r>
      <w:r>
        <w:rPr>
          <w:b/>
          <w:bCs/>
        </w:rPr>
        <w:t>近期建设区水土保持措施工程量统计表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115"/>
        <w:gridCol w:w="1200"/>
        <w:gridCol w:w="919"/>
        <w:gridCol w:w="2124"/>
        <w:gridCol w:w="856"/>
        <w:gridCol w:w="1686"/>
        <w:gridCol w:w="1686"/>
        <w:gridCol w:w="1685"/>
        <w:gridCol w:w="1688"/>
        <w:gridCol w:w="125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5" w:hRule="atLeast"/>
        </w:trPr>
        <w:tc>
          <w:tcPr>
            <w:tcW w:w="392" w:type="pct"/>
            <w:vMerge w:val="restart"/>
            <w:vAlign w:val="center"/>
          </w:tcPr>
          <w:p>
            <w:pPr>
              <w:spacing w:line="240" w:lineRule="auto"/>
              <w:ind w:firstLine="0" w:firstLineChars="0"/>
              <w:jc w:val="center"/>
              <w:rPr>
                <w:b/>
                <w:bCs/>
                <w:sz w:val="21"/>
                <w:szCs w:val="21"/>
              </w:rPr>
            </w:pPr>
            <w:r>
              <w:rPr>
                <w:b/>
                <w:bCs/>
                <w:sz w:val="21"/>
                <w:szCs w:val="21"/>
              </w:rPr>
              <w:t>防治分区</w:t>
            </w:r>
          </w:p>
        </w:tc>
        <w:tc>
          <w:tcPr>
            <w:tcW w:w="422" w:type="pct"/>
            <w:vMerge w:val="restart"/>
            <w:vAlign w:val="center"/>
          </w:tcPr>
          <w:p>
            <w:pPr>
              <w:spacing w:line="240" w:lineRule="auto"/>
              <w:ind w:firstLine="0" w:firstLineChars="0"/>
              <w:jc w:val="center"/>
              <w:rPr>
                <w:b/>
                <w:bCs/>
                <w:sz w:val="21"/>
                <w:szCs w:val="21"/>
              </w:rPr>
            </w:pPr>
            <w:r>
              <w:rPr>
                <w:b/>
                <w:bCs/>
                <w:sz w:val="21"/>
                <w:szCs w:val="21"/>
              </w:rPr>
              <w:t>措施类型</w:t>
            </w:r>
          </w:p>
        </w:tc>
        <w:tc>
          <w:tcPr>
            <w:tcW w:w="1070" w:type="pct"/>
            <w:gridSpan w:val="2"/>
            <w:vMerge w:val="restart"/>
            <w:vAlign w:val="center"/>
          </w:tcPr>
          <w:p>
            <w:pPr>
              <w:spacing w:line="240" w:lineRule="auto"/>
              <w:ind w:firstLine="0" w:firstLineChars="0"/>
              <w:jc w:val="center"/>
              <w:rPr>
                <w:b/>
                <w:bCs/>
                <w:sz w:val="21"/>
                <w:szCs w:val="21"/>
              </w:rPr>
            </w:pPr>
            <w:r>
              <w:rPr>
                <w:b/>
                <w:bCs/>
                <w:sz w:val="21"/>
                <w:szCs w:val="21"/>
              </w:rPr>
              <w:t>措施名称</w:t>
            </w:r>
          </w:p>
        </w:tc>
        <w:tc>
          <w:tcPr>
            <w:tcW w:w="301" w:type="pct"/>
            <w:vMerge w:val="restart"/>
            <w:vAlign w:val="center"/>
          </w:tcPr>
          <w:p>
            <w:pPr>
              <w:spacing w:line="240" w:lineRule="auto"/>
              <w:ind w:firstLine="0" w:firstLineChars="0"/>
              <w:jc w:val="center"/>
              <w:rPr>
                <w:b/>
                <w:bCs/>
                <w:sz w:val="21"/>
                <w:szCs w:val="21"/>
              </w:rPr>
            </w:pPr>
            <w:r>
              <w:rPr>
                <w:b/>
                <w:bCs/>
                <w:sz w:val="21"/>
                <w:szCs w:val="21"/>
              </w:rPr>
              <w:t>单位</w:t>
            </w:r>
          </w:p>
        </w:tc>
        <w:tc>
          <w:tcPr>
            <w:tcW w:w="2813" w:type="pct"/>
            <w:gridSpan w:val="5"/>
            <w:vAlign w:val="center"/>
          </w:tcPr>
          <w:p>
            <w:pPr>
              <w:spacing w:line="240" w:lineRule="auto"/>
              <w:ind w:firstLine="0" w:firstLineChars="0"/>
              <w:jc w:val="center"/>
              <w:rPr>
                <w:b/>
                <w:bCs/>
                <w:sz w:val="21"/>
                <w:szCs w:val="21"/>
              </w:rPr>
            </w:pPr>
            <w:r>
              <w:rPr>
                <w:b/>
                <w:bCs/>
                <w:sz w:val="21"/>
                <w:szCs w:val="21"/>
              </w:rPr>
              <w:t>工程量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7" w:hRule="atLeast"/>
        </w:trPr>
        <w:tc>
          <w:tcPr>
            <w:tcW w:w="392" w:type="pct"/>
            <w:vMerge w:val="continue"/>
            <w:vAlign w:val="center"/>
          </w:tcPr>
          <w:p>
            <w:pPr>
              <w:spacing w:line="240" w:lineRule="auto"/>
              <w:ind w:firstLine="0" w:firstLineChars="0"/>
              <w:jc w:val="center"/>
              <w:rPr>
                <w:b/>
                <w:bCs/>
                <w:sz w:val="21"/>
                <w:szCs w:val="21"/>
              </w:rPr>
            </w:pPr>
          </w:p>
        </w:tc>
        <w:tc>
          <w:tcPr>
            <w:tcW w:w="422" w:type="pct"/>
            <w:vMerge w:val="continue"/>
            <w:vAlign w:val="center"/>
          </w:tcPr>
          <w:p>
            <w:pPr>
              <w:spacing w:line="240" w:lineRule="auto"/>
              <w:ind w:firstLine="0" w:firstLineChars="0"/>
              <w:jc w:val="center"/>
              <w:rPr>
                <w:b/>
                <w:bCs/>
                <w:sz w:val="21"/>
                <w:szCs w:val="21"/>
              </w:rPr>
            </w:pPr>
          </w:p>
        </w:tc>
        <w:tc>
          <w:tcPr>
            <w:tcW w:w="1070" w:type="pct"/>
            <w:gridSpan w:val="2"/>
            <w:vMerge w:val="continue"/>
            <w:vAlign w:val="center"/>
          </w:tcPr>
          <w:p>
            <w:pPr>
              <w:spacing w:line="240" w:lineRule="auto"/>
              <w:ind w:firstLine="0" w:firstLineChars="0"/>
              <w:jc w:val="center"/>
              <w:rPr>
                <w:b/>
                <w:bCs/>
                <w:sz w:val="21"/>
                <w:szCs w:val="21"/>
              </w:rPr>
            </w:pPr>
          </w:p>
        </w:tc>
        <w:tc>
          <w:tcPr>
            <w:tcW w:w="301" w:type="pct"/>
            <w:vMerge w:val="continue"/>
            <w:vAlign w:val="center"/>
          </w:tcPr>
          <w:p>
            <w:pPr>
              <w:spacing w:line="240" w:lineRule="auto"/>
              <w:ind w:firstLine="0" w:firstLineChars="0"/>
              <w:jc w:val="center"/>
              <w:rPr>
                <w:b/>
                <w:bCs/>
                <w:sz w:val="21"/>
                <w:szCs w:val="21"/>
              </w:rPr>
            </w:pPr>
          </w:p>
        </w:tc>
        <w:tc>
          <w:tcPr>
            <w:tcW w:w="593" w:type="pct"/>
            <w:vAlign w:val="center"/>
          </w:tcPr>
          <w:p>
            <w:pPr>
              <w:spacing w:line="240" w:lineRule="auto"/>
              <w:ind w:firstLine="0" w:firstLineChars="0"/>
              <w:jc w:val="center"/>
              <w:rPr>
                <w:b/>
                <w:bCs/>
                <w:sz w:val="21"/>
                <w:szCs w:val="21"/>
              </w:rPr>
            </w:pPr>
            <w:r>
              <w:rPr>
                <w:b/>
                <w:bCs/>
                <w:sz w:val="21"/>
                <w:szCs w:val="21"/>
              </w:rPr>
              <w:t>工业用地区</w:t>
            </w:r>
          </w:p>
        </w:tc>
        <w:tc>
          <w:tcPr>
            <w:tcW w:w="593" w:type="pct"/>
            <w:vAlign w:val="center"/>
          </w:tcPr>
          <w:p>
            <w:pPr>
              <w:spacing w:line="240" w:lineRule="auto"/>
              <w:ind w:firstLine="0" w:firstLineChars="0"/>
              <w:jc w:val="center"/>
              <w:rPr>
                <w:b/>
                <w:bCs/>
                <w:sz w:val="21"/>
                <w:szCs w:val="21"/>
              </w:rPr>
            </w:pPr>
            <w:r>
              <w:rPr>
                <w:b/>
                <w:bCs/>
                <w:sz w:val="21"/>
                <w:szCs w:val="21"/>
              </w:rPr>
              <w:t>道路与交通设施用地区</w:t>
            </w:r>
          </w:p>
        </w:tc>
        <w:tc>
          <w:tcPr>
            <w:tcW w:w="593" w:type="pct"/>
            <w:vAlign w:val="center"/>
          </w:tcPr>
          <w:p>
            <w:pPr>
              <w:spacing w:line="240" w:lineRule="auto"/>
              <w:ind w:firstLine="0" w:firstLineChars="0"/>
              <w:jc w:val="center"/>
              <w:rPr>
                <w:b/>
                <w:bCs/>
                <w:sz w:val="21"/>
                <w:szCs w:val="21"/>
              </w:rPr>
            </w:pPr>
            <w:r>
              <w:rPr>
                <w:b/>
                <w:bCs/>
                <w:sz w:val="21"/>
                <w:szCs w:val="21"/>
              </w:rPr>
              <w:t>公用设施用地区</w:t>
            </w:r>
          </w:p>
        </w:tc>
        <w:tc>
          <w:tcPr>
            <w:tcW w:w="594" w:type="pct"/>
            <w:vAlign w:val="center"/>
          </w:tcPr>
          <w:p>
            <w:pPr>
              <w:spacing w:line="240" w:lineRule="auto"/>
              <w:ind w:firstLine="0" w:firstLineChars="0"/>
              <w:jc w:val="center"/>
              <w:rPr>
                <w:b/>
                <w:bCs/>
                <w:sz w:val="21"/>
                <w:szCs w:val="21"/>
              </w:rPr>
            </w:pPr>
            <w:r>
              <w:rPr>
                <w:b/>
                <w:bCs/>
                <w:sz w:val="21"/>
                <w:szCs w:val="21"/>
              </w:rPr>
              <w:t>绿地与广场用地区</w:t>
            </w:r>
          </w:p>
        </w:tc>
        <w:tc>
          <w:tcPr>
            <w:tcW w:w="439" w:type="pct"/>
            <w:vAlign w:val="center"/>
          </w:tcPr>
          <w:p>
            <w:pPr>
              <w:spacing w:line="240" w:lineRule="auto"/>
              <w:ind w:firstLine="0" w:firstLineChars="0"/>
              <w:jc w:val="center"/>
              <w:rPr>
                <w:b/>
                <w:bCs/>
                <w:sz w:val="21"/>
                <w:szCs w:val="21"/>
              </w:rPr>
            </w:pPr>
            <w:r>
              <w:rPr>
                <w:b/>
                <w:bCs/>
                <w:sz w:val="21"/>
                <w:szCs w:val="21"/>
              </w:rPr>
              <w:t>合计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8" w:hRule="atLeast"/>
        </w:trPr>
        <w:tc>
          <w:tcPr>
            <w:tcW w:w="392" w:type="pct"/>
            <w:vMerge w:val="restart"/>
            <w:vAlign w:val="center"/>
          </w:tcPr>
          <w:p>
            <w:pPr>
              <w:spacing w:line="240" w:lineRule="auto"/>
              <w:ind w:firstLine="0" w:firstLineChars="0"/>
              <w:jc w:val="center"/>
              <w:rPr>
                <w:sz w:val="21"/>
                <w:szCs w:val="21"/>
              </w:rPr>
            </w:pPr>
            <w:r>
              <w:rPr>
                <w:sz w:val="21"/>
                <w:szCs w:val="21"/>
              </w:rPr>
              <w:t>已建区</w:t>
            </w:r>
          </w:p>
        </w:tc>
        <w:tc>
          <w:tcPr>
            <w:tcW w:w="422" w:type="pct"/>
            <w:vMerge w:val="restart"/>
            <w:vAlign w:val="center"/>
          </w:tcPr>
          <w:p>
            <w:pPr>
              <w:spacing w:line="240" w:lineRule="auto"/>
              <w:ind w:firstLine="0" w:firstLineChars="0"/>
              <w:jc w:val="center"/>
              <w:rPr>
                <w:sz w:val="21"/>
                <w:szCs w:val="21"/>
              </w:rPr>
            </w:pPr>
            <w:r>
              <w:rPr>
                <w:sz w:val="21"/>
                <w:szCs w:val="21"/>
              </w:rPr>
              <w:t>工程措施</w:t>
            </w:r>
          </w:p>
        </w:tc>
        <w:tc>
          <w:tcPr>
            <w:tcW w:w="1070" w:type="pct"/>
            <w:gridSpan w:val="2"/>
            <w:vAlign w:val="center"/>
          </w:tcPr>
          <w:p>
            <w:pPr>
              <w:pStyle w:val="68"/>
              <w:adjustRightInd/>
              <w:snapToGrid/>
              <w:spacing w:afterLines="0"/>
              <w:jc w:val="center"/>
              <w:rPr>
                <w:b w:val="0"/>
                <w:sz w:val="21"/>
                <w:szCs w:val="21"/>
              </w:rPr>
            </w:pPr>
            <w:r>
              <w:rPr>
                <w:b w:val="0"/>
                <w:sz w:val="21"/>
                <w:szCs w:val="21"/>
              </w:rPr>
              <w:t>表土剥离</w:t>
            </w:r>
          </w:p>
        </w:tc>
        <w:tc>
          <w:tcPr>
            <w:tcW w:w="301" w:type="pct"/>
            <w:vAlign w:val="center"/>
          </w:tcPr>
          <w:p>
            <w:pPr>
              <w:pStyle w:val="68"/>
              <w:adjustRightInd/>
              <w:snapToGrid/>
              <w:spacing w:afterLines="0"/>
              <w:jc w:val="center"/>
              <w:rPr>
                <w:b w:val="0"/>
                <w:sz w:val="21"/>
                <w:szCs w:val="21"/>
              </w:rPr>
            </w:pPr>
            <w:r>
              <w:rPr>
                <w:b w:val="0"/>
                <w:sz w:val="21"/>
                <w:szCs w:val="21"/>
              </w:rPr>
              <w:t>万m</w:t>
            </w:r>
            <w:r>
              <w:rPr>
                <w:b w:val="0"/>
                <w:sz w:val="21"/>
                <w:szCs w:val="21"/>
                <w:vertAlign w:val="superscript"/>
              </w:rPr>
              <w:t>3</w:t>
            </w:r>
          </w:p>
        </w:tc>
        <w:tc>
          <w:tcPr>
            <w:tcW w:w="593" w:type="pct"/>
            <w:vAlign w:val="center"/>
          </w:tcPr>
          <w:p>
            <w:pPr>
              <w:pStyle w:val="68"/>
              <w:adjustRightInd/>
              <w:snapToGrid/>
              <w:spacing w:afterLines="0"/>
              <w:jc w:val="center"/>
              <w:rPr>
                <w:b w:val="0"/>
                <w:sz w:val="21"/>
                <w:szCs w:val="21"/>
              </w:rPr>
            </w:pPr>
            <w:r>
              <w:rPr>
                <w:b w:val="0"/>
                <w:sz w:val="21"/>
                <w:szCs w:val="21"/>
              </w:rPr>
              <w:t>3.94</w:t>
            </w:r>
          </w:p>
        </w:tc>
        <w:tc>
          <w:tcPr>
            <w:tcW w:w="593" w:type="pct"/>
            <w:vAlign w:val="center"/>
          </w:tcPr>
          <w:p>
            <w:pPr>
              <w:pStyle w:val="68"/>
              <w:adjustRightInd/>
              <w:snapToGrid/>
              <w:spacing w:afterLines="0"/>
              <w:jc w:val="center"/>
              <w:rPr>
                <w:b w:val="0"/>
                <w:sz w:val="21"/>
                <w:szCs w:val="21"/>
              </w:rPr>
            </w:pP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3.94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4"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sz w:val="21"/>
                <w:szCs w:val="21"/>
              </w:rPr>
              <w:t>表土回覆</w:t>
            </w:r>
          </w:p>
        </w:tc>
        <w:tc>
          <w:tcPr>
            <w:tcW w:w="301" w:type="pct"/>
            <w:vAlign w:val="center"/>
          </w:tcPr>
          <w:p>
            <w:pPr>
              <w:pStyle w:val="68"/>
              <w:adjustRightInd/>
              <w:snapToGrid/>
              <w:spacing w:afterLines="0"/>
              <w:jc w:val="center"/>
              <w:rPr>
                <w:b w:val="0"/>
                <w:sz w:val="21"/>
                <w:szCs w:val="21"/>
              </w:rPr>
            </w:pPr>
            <w:r>
              <w:rPr>
                <w:b w:val="0"/>
                <w:sz w:val="21"/>
                <w:szCs w:val="21"/>
              </w:rPr>
              <w:t>万m</w:t>
            </w:r>
            <w:r>
              <w:rPr>
                <w:b w:val="0"/>
                <w:sz w:val="21"/>
                <w:szCs w:val="21"/>
                <w:vertAlign w:val="superscript"/>
              </w:rPr>
              <w:t>3</w:t>
            </w:r>
          </w:p>
        </w:tc>
        <w:tc>
          <w:tcPr>
            <w:tcW w:w="593" w:type="pct"/>
            <w:vAlign w:val="center"/>
          </w:tcPr>
          <w:p>
            <w:pPr>
              <w:pStyle w:val="68"/>
              <w:adjustRightInd/>
              <w:snapToGrid/>
              <w:spacing w:afterLines="0"/>
              <w:jc w:val="center"/>
              <w:rPr>
                <w:b w:val="0"/>
                <w:sz w:val="21"/>
                <w:szCs w:val="21"/>
              </w:rPr>
            </w:pPr>
            <w:r>
              <w:rPr>
                <w:b w:val="0"/>
                <w:sz w:val="21"/>
                <w:szCs w:val="21"/>
              </w:rPr>
              <w:t>3.94</w:t>
            </w:r>
          </w:p>
        </w:tc>
        <w:tc>
          <w:tcPr>
            <w:tcW w:w="593" w:type="pct"/>
            <w:vAlign w:val="center"/>
          </w:tcPr>
          <w:p>
            <w:pPr>
              <w:pStyle w:val="68"/>
              <w:adjustRightInd/>
              <w:snapToGrid/>
              <w:spacing w:afterLines="0"/>
              <w:jc w:val="center"/>
              <w:rPr>
                <w:b w:val="0"/>
                <w:sz w:val="21"/>
                <w:szCs w:val="21"/>
              </w:rPr>
            </w:pPr>
            <w:r>
              <w:rPr>
                <w:b w:val="0"/>
                <w:bCs/>
                <w:sz w:val="21"/>
                <w:szCs w:val="21"/>
              </w:rPr>
              <w:t>2.41</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6.35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1"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雨水管</w:t>
            </w:r>
          </w:p>
        </w:tc>
        <w:tc>
          <w:tcPr>
            <w:tcW w:w="301" w:type="pct"/>
            <w:vAlign w:val="center"/>
          </w:tcPr>
          <w:p>
            <w:pPr>
              <w:pStyle w:val="68"/>
              <w:adjustRightInd/>
              <w:snapToGrid/>
              <w:spacing w:afterLines="0"/>
              <w:jc w:val="center"/>
              <w:rPr>
                <w:b w:val="0"/>
                <w:sz w:val="21"/>
                <w:szCs w:val="21"/>
              </w:rPr>
            </w:pPr>
            <w:r>
              <w:rPr>
                <w:b w:val="0"/>
                <w:bCs/>
                <w:sz w:val="21"/>
                <w:szCs w:val="21"/>
              </w:rPr>
              <w:t>m</w:t>
            </w:r>
          </w:p>
        </w:tc>
        <w:tc>
          <w:tcPr>
            <w:tcW w:w="593" w:type="pct"/>
            <w:vAlign w:val="center"/>
          </w:tcPr>
          <w:p>
            <w:pPr>
              <w:pStyle w:val="68"/>
              <w:adjustRightInd/>
              <w:snapToGrid/>
              <w:spacing w:afterLines="0"/>
              <w:jc w:val="center"/>
              <w:rPr>
                <w:b w:val="0"/>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2236</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2236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31"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雨水口</w:t>
            </w:r>
          </w:p>
        </w:tc>
        <w:tc>
          <w:tcPr>
            <w:tcW w:w="301" w:type="pct"/>
            <w:vAlign w:val="center"/>
          </w:tcPr>
          <w:p>
            <w:pPr>
              <w:pStyle w:val="68"/>
              <w:adjustRightInd/>
              <w:snapToGrid/>
              <w:spacing w:afterLines="0"/>
              <w:jc w:val="center"/>
              <w:rPr>
                <w:b w:val="0"/>
                <w:sz w:val="21"/>
                <w:szCs w:val="21"/>
              </w:rPr>
            </w:pPr>
            <w:r>
              <w:rPr>
                <w:b w:val="0"/>
                <w:bCs/>
                <w:sz w:val="21"/>
                <w:szCs w:val="21"/>
              </w:rPr>
              <w:t>个</w:t>
            </w:r>
          </w:p>
        </w:tc>
        <w:tc>
          <w:tcPr>
            <w:tcW w:w="593" w:type="pct"/>
            <w:vAlign w:val="center"/>
          </w:tcPr>
          <w:p>
            <w:pPr>
              <w:pStyle w:val="68"/>
              <w:adjustRightInd/>
              <w:snapToGrid/>
              <w:spacing w:afterLines="0"/>
              <w:jc w:val="center"/>
              <w:rPr>
                <w:b w:val="0"/>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45</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9" w:hRule="atLeast"/>
        </w:trPr>
        <w:tc>
          <w:tcPr>
            <w:tcW w:w="392" w:type="pct"/>
            <w:vMerge w:val="continue"/>
            <w:vAlign w:val="center"/>
          </w:tcPr>
          <w:p>
            <w:pPr>
              <w:spacing w:line="240" w:lineRule="auto"/>
              <w:ind w:firstLine="0" w:firstLineChars="0"/>
              <w:jc w:val="center"/>
              <w:rPr>
                <w:sz w:val="21"/>
                <w:szCs w:val="21"/>
              </w:rPr>
            </w:pPr>
          </w:p>
        </w:tc>
        <w:tc>
          <w:tcPr>
            <w:tcW w:w="422" w:type="pct"/>
            <w:vMerge w:val="restart"/>
            <w:vAlign w:val="center"/>
          </w:tcPr>
          <w:p>
            <w:pPr>
              <w:spacing w:line="240" w:lineRule="auto"/>
              <w:ind w:firstLine="0" w:firstLineChars="0"/>
              <w:jc w:val="center"/>
              <w:rPr>
                <w:sz w:val="21"/>
                <w:szCs w:val="21"/>
              </w:rPr>
            </w:pPr>
            <w:r>
              <w:rPr>
                <w:sz w:val="21"/>
                <w:szCs w:val="21"/>
              </w:rPr>
              <w:t>植物措施</w:t>
            </w:r>
          </w:p>
        </w:tc>
        <w:tc>
          <w:tcPr>
            <w:tcW w:w="323" w:type="pct"/>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747" w:type="pct"/>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301" w:type="pct"/>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593" w:type="pct"/>
            <w:tcBorders>
              <w:bottom w:val="single" w:color="auto" w:sz="4" w:space="0"/>
            </w:tcBorders>
            <w:vAlign w:val="center"/>
          </w:tcPr>
          <w:p>
            <w:pPr>
              <w:pStyle w:val="68"/>
              <w:adjustRightInd/>
              <w:snapToGrid/>
              <w:spacing w:afterLines="0"/>
              <w:jc w:val="center"/>
              <w:rPr>
                <w:b w:val="0"/>
                <w:sz w:val="21"/>
                <w:szCs w:val="21"/>
              </w:rPr>
            </w:pPr>
          </w:p>
        </w:tc>
        <w:tc>
          <w:tcPr>
            <w:tcW w:w="593"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2.11</w:t>
            </w:r>
          </w:p>
        </w:tc>
        <w:tc>
          <w:tcPr>
            <w:tcW w:w="593" w:type="pct"/>
            <w:tcBorders>
              <w:bottom w:val="single" w:color="auto" w:sz="4" w:space="0"/>
            </w:tcBorders>
            <w:vAlign w:val="center"/>
          </w:tcPr>
          <w:p>
            <w:pPr>
              <w:spacing w:line="240" w:lineRule="auto"/>
              <w:ind w:firstLine="0" w:firstLineChars="0"/>
              <w:jc w:val="center"/>
              <w:rPr>
                <w:sz w:val="21"/>
                <w:szCs w:val="21"/>
              </w:rPr>
            </w:pPr>
          </w:p>
        </w:tc>
        <w:tc>
          <w:tcPr>
            <w:tcW w:w="594" w:type="pct"/>
            <w:tcBorders>
              <w:bottom w:val="single" w:color="auto" w:sz="4" w:space="0"/>
            </w:tcBorders>
            <w:vAlign w:val="center"/>
          </w:tcPr>
          <w:p>
            <w:pPr>
              <w:spacing w:line="240" w:lineRule="auto"/>
              <w:ind w:firstLine="0" w:firstLineChars="0"/>
              <w:jc w:val="center"/>
              <w:rPr>
                <w:sz w:val="21"/>
                <w:szCs w:val="21"/>
              </w:rPr>
            </w:pPr>
          </w:p>
        </w:tc>
        <w:tc>
          <w:tcPr>
            <w:tcW w:w="439" w:type="pct"/>
            <w:tcBorders>
              <w:bottom w:val="single" w:color="auto" w:sz="4" w:space="0"/>
            </w:tcBorders>
            <w:vAlign w:val="center"/>
          </w:tcPr>
          <w:p>
            <w:pPr>
              <w:pStyle w:val="68"/>
              <w:adjustRightInd/>
              <w:snapToGrid/>
              <w:spacing w:afterLines="0"/>
              <w:jc w:val="center"/>
              <w:rPr>
                <w:sz w:val="21"/>
                <w:szCs w:val="21"/>
              </w:rPr>
            </w:pPr>
            <w:r>
              <w:rPr>
                <w:sz w:val="21"/>
                <w:szCs w:val="21"/>
              </w:rPr>
              <w:t>2.11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301" w:type="pct"/>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株/hm</w:t>
            </w:r>
            <w:r>
              <w:rPr>
                <w:b w:val="0"/>
                <w:bCs/>
                <w:sz w:val="21"/>
                <w:szCs w:val="21"/>
                <w:vertAlign w:val="superscript"/>
              </w:rPr>
              <w:t>2</w:t>
            </w:r>
          </w:p>
        </w:tc>
        <w:tc>
          <w:tcPr>
            <w:tcW w:w="593" w:type="pct"/>
            <w:tcBorders>
              <w:top w:val="single" w:color="auto" w:sz="4" w:space="0"/>
              <w:bottom w:val="single" w:color="auto" w:sz="4" w:space="0"/>
            </w:tcBorders>
            <w:vAlign w:val="center"/>
          </w:tcPr>
          <w:p>
            <w:pPr>
              <w:pStyle w:val="68"/>
              <w:adjustRightInd/>
              <w:snapToGrid/>
              <w:spacing w:afterLines="0"/>
              <w:jc w:val="center"/>
              <w:rPr>
                <w:b w:val="0"/>
                <w:sz w:val="21"/>
                <w:szCs w:val="21"/>
              </w:rPr>
            </w:pPr>
          </w:p>
        </w:tc>
        <w:tc>
          <w:tcPr>
            <w:tcW w:w="593"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516/0.07</w:t>
            </w:r>
          </w:p>
        </w:tc>
        <w:tc>
          <w:tcPr>
            <w:tcW w:w="593" w:type="pct"/>
            <w:tcBorders>
              <w:top w:val="single" w:color="auto" w:sz="4" w:space="0"/>
              <w:bottom w:val="single" w:color="auto" w:sz="4" w:space="0"/>
            </w:tcBorders>
            <w:vAlign w:val="center"/>
          </w:tcPr>
          <w:p>
            <w:pPr>
              <w:spacing w:line="240" w:lineRule="auto"/>
              <w:ind w:firstLine="0" w:firstLineChars="0"/>
              <w:jc w:val="center"/>
              <w:rPr>
                <w:sz w:val="21"/>
                <w:szCs w:val="21"/>
              </w:rPr>
            </w:pPr>
          </w:p>
        </w:tc>
        <w:tc>
          <w:tcPr>
            <w:tcW w:w="594" w:type="pct"/>
            <w:tcBorders>
              <w:top w:val="single" w:color="auto" w:sz="4" w:space="0"/>
              <w:bottom w:val="single" w:color="auto" w:sz="4" w:space="0"/>
            </w:tcBorders>
            <w:vAlign w:val="center"/>
          </w:tcPr>
          <w:p>
            <w:pPr>
              <w:spacing w:line="240" w:lineRule="auto"/>
              <w:ind w:firstLine="0" w:firstLineChars="0"/>
              <w:jc w:val="center"/>
              <w:rPr>
                <w:sz w:val="21"/>
                <w:szCs w:val="21"/>
              </w:rPr>
            </w:pPr>
          </w:p>
        </w:tc>
        <w:tc>
          <w:tcPr>
            <w:tcW w:w="439" w:type="pct"/>
            <w:tcBorders>
              <w:top w:val="single" w:color="auto" w:sz="4" w:space="0"/>
              <w:bottom w:val="single" w:color="auto" w:sz="4" w:space="0"/>
            </w:tcBorders>
            <w:vAlign w:val="center"/>
          </w:tcPr>
          <w:p>
            <w:pPr>
              <w:pStyle w:val="68"/>
              <w:adjustRightInd/>
              <w:snapToGrid/>
              <w:spacing w:afterLines="0"/>
              <w:jc w:val="center"/>
              <w:rPr>
                <w:sz w:val="21"/>
                <w:szCs w:val="21"/>
              </w:rPr>
            </w:pPr>
            <w:r>
              <w:rPr>
                <w:b w:val="0"/>
                <w:bCs/>
                <w:sz w:val="21"/>
                <w:szCs w:val="21"/>
              </w:rPr>
              <w:t>516/0.07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5"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30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tcBorders>
              <w:top w:val="single" w:color="auto" w:sz="4" w:space="0"/>
            </w:tcBorders>
            <w:vAlign w:val="center"/>
          </w:tcPr>
          <w:p>
            <w:pPr>
              <w:pStyle w:val="68"/>
              <w:adjustRightInd/>
              <w:snapToGrid/>
              <w:spacing w:afterLines="0"/>
              <w:jc w:val="center"/>
              <w:rPr>
                <w:b w:val="0"/>
                <w:sz w:val="21"/>
                <w:szCs w:val="21"/>
              </w:rPr>
            </w:pPr>
          </w:p>
        </w:tc>
        <w:tc>
          <w:tcPr>
            <w:tcW w:w="593"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2.04</w:t>
            </w:r>
          </w:p>
        </w:tc>
        <w:tc>
          <w:tcPr>
            <w:tcW w:w="593" w:type="pct"/>
            <w:tcBorders>
              <w:top w:val="single" w:color="auto" w:sz="4" w:space="0"/>
            </w:tcBorders>
            <w:vAlign w:val="center"/>
          </w:tcPr>
          <w:p>
            <w:pPr>
              <w:spacing w:line="240" w:lineRule="auto"/>
              <w:ind w:firstLine="0" w:firstLineChars="0"/>
              <w:jc w:val="center"/>
              <w:rPr>
                <w:sz w:val="21"/>
                <w:szCs w:val="21"/>
              </w:rPr>
            </w:pPr>
          </w:p>
        </w:tc>
        <w:tc>
          <w:tcPr>
            <w:tcW w:w="594" w:type="pct"/>
            <w:tcBorders>
              <w:top w:val="single" w:color="auto" w:sz="4" w:space="0"/>
            </w:tcBorders>
            <w:vAlign w:val="center"/>
          </w:tcPr>
          <w:p>
            <w:pPr>
              <w:spacing w:line="240" w:lineRule="auto"/>
              <w:ind w:firstLine="0" w:firstLineChars="0"/>
              <w:jc w:val="center"/>
              <w:rPr>
                <w:sz w:val="21"/>
                <w:szCs w:val="21"/>
              </w:rPr>
            </w:pPr>
          </w:p>
        </w:tc>
        <w:tc>
          <w:tcPr>
            <w:tcW w:w="439" w:type="pct"/>
            <w:tcBorders>
              <w:top w:val="single" w:color="auto" w:sz="4" w:space="0"/>
            </w:tcBorders>
            <w:vAlign w:val="center"/>
          </w:tcPr>
          <w:p>
            <w:pPr>
              <w:pStyle w:val="68"/>
              <w:adjustRightInd/>
              <w:snapToGrid/>
              <w:spacing w:afterLines="0"/>
              <w:jc w:val="center"/>
              <w:rPr>
                <w:sz w:val="21"/>
                <w:szCs w:val="21"/>
              </w:rPr>
            </w:pPr>
            <w:r>
              <w:rPr>
                <w:b w:val="0"/>
                <w:bCs/>
                <w:sz w:val="21"/>
                <w:szCs w:val="21"/>
              </w:rPr>
              <w:t>2.04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392" w:type="pct"/>
            <w:vMerge w:val="restart"/>
            <w:vAlign w:val="center"/>
          </w:tcPr>
          <w:p>
            <w:pPr>
              <w:spacing w:line="240" w:lineRule="auto"/>
              <w:ind w:firstLine="0" w:firstLineChars="0"/>
              <w:jc w:val="center"/>
              <w:rPr>
                <w:sz w:val="21"/>
                <w:szCs w:val="21"/>
              </w:rPr>
            </w:pPr>
            <w:r>
              <w:rPr>
                <w:sz w:val="21"/>
                <w:szCs w:val="21"/>
              </w:rPr>
              <w:t>在建区</w:t>
            </w:r>
          </w:p>
        </w:tc>
        <w:tc>
          <w:tcPr>
            <w:tcW w:w="422" w:type="pct"/>
            <w:vMerge w:val="restart"/>
            <w:vAlign w:val="center"/>
          </w:tcPr>
          <w:p>
            <w:pPr>
              <w:spacing w:line="240" w:lineRule="auto"/>
              <w:ind w:firstLine="0" w:firstLineChars="0"/>
              <w:jc w:val="center"/>
              <w:rPr>
                <w:sz w:val="21"/>
                <w:szCs w:val="21"/>
              </w:rPr>
            </w:pPr>
            <w:r>
              <w:rPr>
                <w:sz w:val="21"/>
                <w:szCs w:val="21"/>
              </w:rPr>
              <w:t>工程措施</w:t>
            </w:r>
          </w:p>
        </w:tc>
        <w:tc>
          <w:tcPr>
            <w:tcW w:w="1070" w:type="pct"/>
            <w:gridSpan w:val="2"/>
            <w:vAlign w:val="center"/>
          </w:tcPr>
          <w:p>
            <w:pPr>
              <w:pStyle w:val="68"/>
              <w:adjustRightInd/>
              <w:snapToGrid/>
              <w:spacing w:afterLines="0"/>
              <w:jc w:val="center"/>
              <w:rPr>
                <w:b w:val="0"/>
                <w:sz w:val="21"/>
                <w:szCs w:val="21"/>
              </w:rPr>
            </w:pPr>
            <w:r>
              <w:rPr>
                <w:b w:val="0"/>
                <w:bCs/>
                <w:sz w:val="21"/>
                <w:szCs w:val="21"/>
              </w:rPr>
              <w:t>表土剥离</w:t>
            </w:r>
          </w:p>
        </w:tc>
        <w:tc>
          <w:tcPr>
            <w:tcW w:w="301"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593" w:type="pct"/>
            <w:vAlign w:val="center"/>
          </w:tcPr>
          <w:p>
            <w:pPr>
              <w:spacing w:line="240" w:lineRule="auto"/>
              <w:ind w:firstLine="0" w:firstLineChars="0"/>
              <w:jc w:val="center"/>
              <w:rPr>
                <w:sz w:val="21"/>
                <w:szCs w:val="21"/>
              </w:rPr>
            </w:pPr>
            <w:r>
              <w:rPr>
                <w:rFonts w:hint="eastAsia"/>
                <w:sz w:val="21"/>
                <w:szCs w:val="21"/>
              </w:rPr>
              <w:t>75.50</w:t>
            </w:r>
          </w:p>
        </w:tc>
        <w:tc>
          <w:tcPr>
            <w:tcW w:w="593" w:type="pct"/>
            <w:vAlign w:val="center"/>
          </w:tcPr>
          <w:p>
            <w:pPr>
              <w:spacing w:line="240" w:lineRule="auto"/>
              <w:ind w:firstLine="0" w:firstLineChars="0"/>
              <w:jc w:val="center"/>
              <w:rPr>
                <w:sz w:val="21"/>
                <w:szCs w:val="21"/>
              </w:rPr>
            </w:pPr>
            <w:r>
              <w:rPr>
                <w:sz w:val="21"/>
                <w:szCs w:val="21"/>
              </w:rPr>
              <w:t>3.94</w:t>
            </w:r>
          </w:p>
        </w:tc>
        <w:tc>
          <w:tcPr>
            <w:tcW w:w="593" w:type="pct"/>
            <w:vAlign w:val="center"/>
          </w:tcPr>
          <w:p>
            <w:pPr>
              <w:pStyle w:val="68"/>
              <w:adjustRightInd/>
              <w:snapToGrid/>
              <w:spacing w:afterLines="0"/>
              <w:jc w:val="center"/>
              <w:rPr>
                <w:b w:val="0"/>
                <w:sz w:val="21"/>
                <w:szCs w:val="21"/>
              </w:rPr>
            </w:pPr>
            <w:r>
              <w:rPr>
                <w:b w:val="0"/>
                <w:bCs/>
                <w:sz w:val="21"/>
                <w:szCs w:val="21"/>
              </w:rPr>
              <w:t>0.71</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rFonts w:hint="eastAsia"/>
                <w:sz w:val="21"/>
                <w:szCs w:val="21"/>
              </w:rPr>
              <w:t>80.15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表土回覆</w:t>
            </w:r>
          </w:p>
        </w:tc>
        <w:tc>
          <w:tcPr>
            <w:tcW w:w="301"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593" w:type="pct"/>
            <w:vAlign w:val="center"/>
          </w:tcPr>
          <w:p>
            <w:pPr>
              <w:spacing w:line="240" w:lineRule="auto"/>
              <w:ind w:firstLine="0" w:firstLineChars="0"/>
              <w:jc w:val="center"/>
              <w:rPr>
                <w:sz w:val="21"/>
                <w:szCs w:val="21"/>
              </w:rPr>
            </w:pPr>
            <w:r>
              <w:rPr>
                <w:sz w:val="21"/>
                <w:szCs w:val="21"/>
              </w:rPr>
              <w:t>7.68</w:t>
            </w:r>
          </w:p>
        </w:tc>
        <w:tc>
          <w:tcPr>
            <w:tcW w:w="593" w:type="pct"/>
            <w:vAlign w:val="center"/>
          </w:tcPr>
          <w:p>
            <w:pPr>
              <w:spacing w:line="240" w:lineRule="auto"/>
              <w:ind w:firstLine="0" w:firstLineChars="0"/>
              <w:jc w:val="center"/>
              <w:rPr>
                <w:sz w:val="21"/>
                <w:szCs w:val="21"/>
              </w:rPr>
            </w:pPr>
            <w:r>
              <w:rPr>
                <w:sz w:val="21"/>
                <w:szCs w:val="21"/>
              </w:rPr>
              <w:t>3.94</w:t>
            </w:r>
          </w:p>
        </w:tc>
        <w:tc>
          <w:tcPr>
            <w:tcW w:w="593" w:type="pct"/>
            <w:vAlign w:val="center"/>
          </w:tcPr>
          <w:p>
            <w:pPr>
              <w:pStyle w:val="68"/>
              <w:adjustRightInd/>
              <w:snapToGrid/>
              <w:spacing w:afterLines="0"/>
              <w:jc w:val="center"/>
              <w:rPr>
                <w:b w:val="0"/>
                <w:sz w:val="21"/>
                <w:szCs w:val="21"/>
              </w:rPr>
            </w:pPr>
            <w:r>
              <w:rPr>
                <w:b w:val="0"/>
                <w:bCs/>
                <w:sz w:val="21"/>
                <w:szCs w:val="21"/>
              </w:rPr>
              <w:t>0.71</w:t>
            </w:r>
          </w:p>
        </w:tc>
        <w:tc>
          <w:tcPr>
            <w:tcW w:w="594" w:type="pct"/>
            <w:vAlign w:val="center"/>
          </w:tcPr>
          <w:p>
            <w:pPr>
              <w:spacing w:line="240" w:lineRule="auto"/>
              <w:ind w:firstLine="0" w:firstLineChars="0"/>
              <w:jc w:val="center"/>
              <w:rPr>
                <w:sz w:val="21"/>
                <w:szCs w:val="21"/>
              </w:rPr>
            </w:pPr>
            <w:r>
              <w:rPr>
                <w:rFonts w:hint="eastAsia"/>
                <w:sz w:val="21"/>
                <w:szCs w:val="21"/>
              </w:rPr>
              <w:t>11.95</w:t>
            </w:r>
          </w:p>
        </w:tc>
        <w:tc>
          <w:tcPr>
            <w:tcW w:w="439" w:type="pct"/>
            <w:vAlign w:val="center"/>
          </w:tcPr>
          <w:p>
            <w:pPr>
              <w:pStyle w:val="68"/>
              <w:adjustRightInd/>
              <w:snapToGrid/>
              <w:spacing w:afterLines="0"/>
              <w:jc w:val="center"/>
              <w:rPr>
                <w:sz w:val="21"/>
                <w:szCs w:val="21"/>
              </w:rPr>
            </w:pPr>
            <w:r>
              <w:rPr>
                <w:rFonts w:hint="eastAsia"/>
                <w:sz w:val="21"/>
                <w:szCs w:val="21"/>
              </w:rPr>
              <w:t>24.28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雨水管</w:t>
            </w:r>
          </w:p>
        </w:tc>
        <w:tc>
          <w:tcPr>
            <w:tcW w:w="301" w:type="pct"/>
            <w:vAlign w:val="center"/>
          </w:tcPr>
          <w:p>
            <w:pPr>
              <w:pStyle w:val="68"/>
              <w:adjustRightInd/>
              <w:snapToGrid/>
              <w:spacing w:afterLines="0"/>
              <w:jc w:val="center"/>
              <w:rPr>
                <w:b w:val="0"/>
                <w:sz w:val="21"/>
                <w:szCs w:val="21"/>
              </w:rPr>
            </w:pPr>
            <w:r>
              <w:rPr>
                <w:b w:val="0"/>
                <w:bCs/>
                <w:sz w:val="21"/>
                <w:szCs w:val="21"/>
              </w:rPr>
              <w:t>m</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6480</w:t>
            </w:r>
          </w:p>
        </w:tc>
        <w:tc>
          <w:tcPr>
            <w:tcW w:w="593" w:type="pct"/>
            <w:vAlign w:val="center"/>
          </w:tcPr>
          <w:p>
            <w:pPr>
              <w:pStyle w:val="68"/>
              <w:adjustRightInd/>
              <w:snapToGrid/>
              <w:spacing w:afterLines="0"/>
              <w:jc w:val="center"/>
              <w:rPr>
                <w:b w:val="0"/>
                <w:sz w:val="21"/>
                <w:szCs w:val="21"/>
              </w:rPr>
            </w:pPr>
            <w:r>
              <w:rPr>
                <w:b w:val="0"/>
                <w:bCs/>
                <w:sz w:val="21"/>
                <w:szCs w:val="21"/>
              </w:rPr>
              <w:t>4546</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11026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雨水口</w:t>
            </w:r>
          </w:p>
        </w:tc>
        <w:tc>
          <w:tcPr>
            <w:tcW w:w="301" w:type="pct"/>
            <w:vAlign w:val="center"/>
          </w:tcPr>
          <w:p>
            <w:pPr>
              <w:pStyle w:val="68"/>
              <w:adjustRightInd/>
              <w:snapToGrid/>
              <w:spacing w:afterLines="0"/>
              <w:jc w:val="center"/>
              <w:rPr>
                <w:b w:val="0"/>
                <w:sz w:val="21"/>
                <w:szCs w:val="21"/>
              </w:rPr>
            </w:pPr>
            <w:r>
              <w:rPr>
                <w:b w:val="0"/>
                <w:bCs/>
                <w:sz w:val="21"/>
                <w:szCs w:val="21"/>
              </w:rPr>
              <w:t>个</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130</w:t>
            </w:r>
          </w:p>
        </w:tc>
        <w:tc>
          <w:tcPr>
            <w:tcW w:w="593" w:type="pct"/>
            <w:vAlign w:val="center"/>
          </w:tcPr>
          <w:p>
            <w:pPr>
              <w:pStyle w:val="68"/>
              <w:adjustRightInd/>
              <w:snapToGrid/>
              <w:spacing w:afterLines="0"/>
              <w:jc w:val="center"/>
              <w:rPr>
                <w:b w:val="0"/>
                <w:sz w:val="21"/>
                <w:szCs w:val="21"/>
              </w:rPr>
            </w:pPr>
            <w:r>
              <w:rPr>
                <w:b w:val="0"/>
                <w:bCs/>
                <w:sz w:val="21"/>
                <w:szCs w:val="21"/>
              </w:rPr>
              <w:t>159</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289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9"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排水沟</w:t>
            </w:r>
          </w:p>
        </w:tc>
        <w:tc>
          <w:tcPr>
            <w:tcW w:w="301" w:type="pct"/>
            <w:vAlign w:val="center"/>
          </w:tcPr>
          <w:p>
            <w:pPr>
              <w:pStyle w:val="68"/>
              <w:adjustRightInd/>
              <w:snapToGrid/>
              <w:spacing w:afterLines="0"/>
              <w:jc w:val="center"/>
              <w:rPr>
                <w:b w:val="0"/>
                <w:sz w:val="21"/>
                <w:szCs w:val="21"/>
              </w:rPr>
            </w:pPr>
            <w:r>
              <w:rPr>
                <w:b w:val="0"/>
                <w:bCs/>
                <w:sz w:val="21"/>
                <w:szCs w:val="21"/>
              </w:rPr>
              <w:t>m</w:t>
            </w:r>
          </w:p>
        </w:tc>
        <w:tc>
          <w:tcPr>
            <w:tcW w:w="593" w:type="pct"/>
            <w:vAlign w:val="center"/>
          </w:tcPr>
          <w:p>
            <w:pPr>
              <w:spacing w:line="240" w:lineRule="auto"/>
              <w:ind w:firstLine="0" w:firstLineChars="0"/>
              <w:jc w:val="center"/>
              <w:rPr>
                <w:sz w:val="21"/>
                <w:szCs w:val="21"/>
              </w:rPr>
            </w:pP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408</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408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92" w:type="pct"/>
            <w:vMerge w:val="continue"/>
            <w:vAlign w:val="center"/>
          </w:tcPr>
          <w:p>
            <w:pPr>
              <w:spacing w:line="240" w:lineRule="auto"/>
              <w:ind w:firstLine="0" w:firstLineChars="0"/>
              <w:jc w:val="center"/>
              <w:rPr>
                <w:sz w:val="21"/>
                <w:szCs w:val="21"/>
              </w:rPr>
            </w:pPr>
          </w:p>
        </w:tc>
        <w:tc>
          <w:tcPr>
            <w:tcW w:w="422" w:type="pct"/>
            <w:vMerge w:val="restart"/>
            <w:vAlign w:val="center"/>
          </w:tcPr>
          <w:p>
            <w:pPr>
              <w:spacing w:line="240" w:lineRule="auto"/>
              <w:ind w:firstLine="0" w:firstLineChars="0"/>
              <w:jc w:val="center"/>
              <w:rPr>
                <w:sz w:val="21"/>
                <w:szCs w:val="21"/>
              </w:rPr>
            </w:pPr>
            <w:r>
              <w:rPr>
                <w:sz w:val="21"/>
                <w:szCs w:val="21"/>
              </w:rPr>
              <w:t>植物措施</w:t>
            </w:r>
          </w:p>
        </w:tc>
        <w:tc>
          <w:tcPr>
            <w:tcW w:w="1070" w:type="pct"/>
            <w:gridSpan w:val="2"/>
            <w:vAlign w:val="center"/>
          </w:tcPr>
          <w:p>
            <w:pPr>
              <w:pStyle w:val="68"/>
              <w:adjustRightInd/>
              <w:snapToGrid/>
              <w:spacing w:afterLines="0"/>
              <w:jc w:val="center"/>
              <w:rPr>
                <w:b w:val="0"/>
                <w:bCs/>
                <w:sz w:val="21"/>
                <w:szCs w:val="21"/>
              </w:rPr>
            </w:pPr>
            <w:r>
              <w:rPr>
                <w:b w:val="0"/>
                <w:bCs/>
                <w:sz w:val="21"/>
                <w:szCs w:val="21"/>
              </w:rPr>
              <w:t>乔灌草综合绿化</w:t>
            </w:r>
          </w:p>
        </w:tc>
        <w:tc>
          <w:tcPr>
            <w:tcW w:w="301"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sz w:val="21"/>
                <w:szCs w:val="21"/>
              </w:rPr>
            </w:pP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2.36</w:t>
            </w:r>
          </w:p>
        </w:tc>
        <w:tc>
          <w:tcPr>
            <w:tcW w:w="594" w:type="pct"/>
            <w:vAlign w:val="center"/>
          </w:tcPr>
          <w:p>
            <w:pPr>
              <w:spacing w:line="240" w:lineRule="auto"/>
              <w:ind w:firstLine="0" w:firstLineChars="0"/>
              <w:jc w:val="center"/>
              <w:rPr>
                <w:sz w:val="21"/>
                <w:szCs w:val="21"/>
              </w:rPr>
            </w:pPr>
            <w:r>
              <w:rPr>
                <w:bCs/>
                <w:sz w:val="21"/>
                <w:szCs w:val="21"/>
              </w:rPr>
              <w:t>6.64</w:t>
            </w:r>
          </w:p>
        </w:tc>
        <w:tc>
          <w:tcPr>
            <w:tcW w:w="439" w:type="pct"/>
            <w:vAlign w:val="center"/>
          </w:tcPr>
          <w:p>
            <w:pPr>
              <w:pStyle w:val="68"/>
              <w:adjustRightInd/>
              <w:snapToGrid/>
              <w:spacing w:afterLines="0"/>
              <w:jc w:val="center"/>
              <w:rPr>
                <w:sz w:val="21"/>
                <w:szCs w:val="21"/>
              </w:rPr>
            </w:pPr>
            <w:r>
              <w:rPr>
                <w:sz w:val="21"/>
                <w:szCs w:val="21"/>
              </w:rPr>
              <w:t>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5"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restart"/>
            <w:tcBorders>
              <w:right w:val="single" w:color="auto" w:sz="4" w:space="0"/>
            </w:tcBorders>
            <w:vAlign w:val="center"/>
          </w:tcPr>
          <w:p>
            <w:pPr>
              <w:pStyle w:val="68"/>
              <w:adjustRightInd/>
              <w:snapToGrid/>
              <w:spacing w:afterLines="0"/>
              <w:jc w:val="center"/>
              <w:rPr>
                <w:b w:val="0"/>
                <w:sz w:val="21"/>
                <w:szCs w:val="21"/>
              </w:rPr>
            </w:pPr>
            <w:r>
              <w:rPr>
                <w:b w:val="0"/>
                <w:bCs/>
                <w:sz w:val="21"/>
                <w:szCs w:val="21"/>
              </w:rPr>
              <w:t>道路综合绿化</w:t>
            </w:r>
          </w:p>
        </w:tc>
        <w:tc>
          <w:tcPr>
            <w:tcW w:w="747" w:type="pct"/>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301" w:type="pct"/>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593" w:type="pct"/>
            <w:tcBorders>
              <w:bottom w:val="single" w:color="auto" w:sz="4" w:space="0"/>
            </w:tcBorders>
            <w:vAlign w:val="center"/>
          </w:tcPr>
          <w:p>
            <w:pPr>
              <w:spacing w:line="240" w:lineRule="auto"/>
              <w:ind w:firstLine="0" w:firstLineChars="0"/>
              <w:jc w:val="center"/>
              <w:rPr>
                <w:bCs/>
                <w:sz w:val="21"/>
                <w:szCs w:val="21"/>
              </w:rPr>
            </w:pPr>
          </w:p>
        </w:tc>
        <w:tc>
          <w:tcPr>
            <w:tcW w:w="593" w:type="pct"/>
            <w:tcBorders>
              <w:bottom w:val="single" w:color="auto" w:sz="4" w:space="0"/>
            </w:tcBorders>
            <w:vAlign w:val="center"/>
          </w:tcPr>
          <w:p>
            <w:pPr>
              <w:pStyle w:val="68"/>
              <w:adjustRightInd/>
              <w:snapToGrid/>
              <w:spacing w:afterLines="0"/>
              <w:jc w:val="center"/>
              <w:rPr>
                <w:b w:val="0"/>
                <w:sz w:val="21"/>
                <w:szCs w:val="21"/>
              </w:rPr>
            </w:pPr>
            <w:r>
              <w:rPr>
                <w:b w:val="0"/>
                <w:sz w:val="21"/>
                <w:szCs w:val="21"/>
              </w:rPr>
              <w:t>3.22</w:t>
            </w:r>
          </w:p>
        </w:tc>
        <w:tc>
          <w:tcPr>
            <w:tcW w:w="593" w:type="pct"/>
            <w:tcBorders>
              <w:bottom w:val="single" w:color="auto" w:sz="4" w:space="0"/>
            </w:tcBorders>
            <w:vAlign w:val="center"/>
          </w:tcPr>
          <w:p>
            <w:pPr>
              <w:spacing w:line="240" w:lineRule="auto"/>
              <w:ind w:firstLine="0" w:firstLineChars="0"/>
              <w:jc w:val="center"/>
              <w:rPr>
                <w:bCs/>
                <w:sz w:val="21"/>
                <w:szCs w:val="21"/>
              </w:rPr>
            </w:pPr>
          </w:p>
        </w:tc>
        <w:tc>
          <w:tcPr>
            <w:tcW w:w="594" w:type="pct"/>
            <w:tcBorders>
              <w:bottom w:val="single" w:color="auto" w:sz="4" w:space="0"/>
            </w:tcBorders>
            <w:vAlign w:val="center"/>
          </w:tcPr>
          <w:p>
            <w:pPr>
              <w:spacing w:line="240" w:lineRule="auto"/>
              <w:ind w:firstLine="0" w:firstLineChars="0"/>
              <w:jc w:val="center"/>
              <w:rPr>
                <w:bCs/>
                <w:sz w:val="21"/>
                <w:szCs w:val="21"/>
              </w:rPr>
            </w:pPr>
          </w:p>
        </w:tc>
        <w:tc>
          <w:tcPr>
            <w:tcW w:w="439" w:type="pct"/>
            <w:tcBorders>
              <w:bottom w:val="single" w:color="auto" w:sz="4" w:space="0"/>
            </w:tcBorders>
            <w:vAlign w:val="center"/>
          </w:tcPr>
          <w:p>
            <w:pPr>
              <w:pStyle w:val="68"/>
              <w:adjustRightInd/>
              <w:snapToGrid/>
              <w:spacing w:afterLines="0"/>
              <w:jc w:val="center"/>
              <w:rPr>
                <w:sz w:val="21"/>
                <w:szCs w:val="21"/>
              </w:rPr>
            </w:pPr>
            <w:r>
              <w:rPr>
                <w:sz w:val="21"/>
                <w:szCs w:val="21"/>
              </w:rPr>
              <w:t>3.22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2"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301" w:type="pct"/>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株/hm</w:t>
            </w:r>
            <w:r>
              <w:rPr>
                <w:b w:val="0"/>
                <w:bCs/>
                <w:sz w:val="21"/>
                <w:szCs w:val="21"/>
                <w:vertAlign w:val="superscript"/>
              </w:rPr>
              <w:t>2</w:t>
            </w:r>
          </w:p>
        </w:tc>
        <w:tc>
          <w:tcPr>
            <w:tcW w:w="593" w:type="pct"/>
            <w:tcBorders>
              <w:top w:val="single" w:color="auto" w:sz="4" w:space="0"/>
              <w:bottom w:val="single" w:color="auto" w:sz="4" w:space="0"/>
            </w:tcBorders>
            <w:vAlign w:val="center"/>
          </w:tcPr>
          <w:p>
            <w:pPr>
              <w:spacing w:line="240" w:lineRule="auto"/>
              <w:ind w:firstLine="0" w:firstLineChars="0"/>
              <w:jc w:val="center"/>
              <w:rPr>
                <w:bCs/>
                <w:sz w:val="21"/>
                <w:szCs w:val="21"/>
              </w:rPr>
            </w:pPr>
          </w:p>
        </w:tc>
        <w:tc>
          <w:tcPr>
            <w:tcW w:w="593" w:type="pct"/>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1980/0.29</w:t>
            </w:r>
          </w:p>
        </w:tc>
        <w:tc>
          <w:tcPr>
            <w:tcW w:w="593" w:type="pct"/>
            <w:tcBorders>
              <w:top w:val="single" w:color="auto" w:sz="4" w:space="0"/>
              <w:bottom w:val="single" w:color="auto" w:sz="4" w:space="0"/>
            </w:tcBorders>
            <w:vAlign w:val="center"/>
          </w:tcPr>
          <w:p>
            <w:pPr>
              <w:spacing w:line="240" w:lineRule="auto"/>
              <w:ind w:firstLine="0" w:firstLineChars="0"/>
              <w:jc w:val="center"/>
              <w:rPr>
                <w:bCs/>
                <w:sz w:val="21"/>
                <w:szCs w:val="21"/>
              </w:rPr>
            </w:pPr>
          </w:p>
        </w:tc>
        <w:tc>
          <w:tcPr>
            <w:tcW w:w="594" w:type="pct"/>
            <w:tcBorders>
              <w:top w:val="single" w:color="auto" w:sz="4" w:space="0"/>
              <w:bottom w:val="single" w:color="auto" w:sz="4" w:space="0"/>
            </w:tcBorders>
            <w:vAlign w:val="center"/>
          </w:tcPr>
          <w:p>
            <w:pPr>
              <w:spacing w:line="240" w:lineRule="auto"/>
              <w:ind w:firstLine="0" w:firstLineChars="0"/>
              <w:jc w:val="center"/>
              <w:rPr>
                <w:bCs/>
                <w:sz w:val="21"/>
                <w:szCs w:val="21"/>
              </w:rPr>
            </w:pPr>
          </w:p>
        </w:tc>
        <w:tc>
          <w:tcPr>
            <w:tcW w:w="439" w:type="pct"/>
            <w:tcBorders>
              <w:top w:val="single" w:color="auto" w:sz="4" w:space="0"/>
              <w:bottom w:val="single" w:color="auto" w:sz="4" w:space="0"/>
            </w:tcBorders>
            <w:vAlign w:val="center"/>
          </w:tcPr>
          <w:p>
            <w:pPr>
              <w:pStyle w:val="68"/>
              <w:adjustRightInd/>
              <w:snapToGrid/>
              <w:spacing w:afterLines="0"/>
              <w:jc w:val="center"/>
              <w:rPr>
                <w:sz w:val="21"/>
                <w:szCs w:val="21"/>
              </w:rPr>
            </w:pPr>
            <w:r>
              <w:rPr>
                <w:sz w:val="21"/>
                <w:szCs w:val="21"/>
              </w:rPr>
              <w:t>1980/0.29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30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tcBorders>
              <w:top w:val="single" w:color="auto" w:sz="4" w:space="0"/>
            </w:tcBorders>
            <w:vAlign w:val="center"/>
          </w:tcPr>
          <w:p>
            <w:pPr>
              <w:spacing w:line="240" w:lineRule="auto"/>
              <w:ind w:firstLine="0" w:firstLineChars="0"/>
              <w:jc w:val="center"/>
              <w:rPr>
                <w:bCs/>
                <w:sz w:val="21"/>
                <w:szCs w:val="21"/>
              </w:rPr>
            </w:pPr>
          </w:p>
        </w:tc>
        <w:tc>
          <w:tcPr>
            <w:tcW w:w="593"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2.93</w:t>
            </w:r>
          </w:p>
        </w:tc>
        <w:tc>
          <w:tcPr>
            <w:tcW w:w="593" w:type="pct"/>
            <w:tcBorders>
              <w:top w:val="single" w:color="auto" w:sz="4" w:space="0"/>
            </w:tcBorders>
            <w:vAlign w:val="center"/>
          </w:tcPr>
          <w:p>
            <w:pPr>
              <w:spacing w:line="240" w:lineRule="auto"/>
              <w:ind w:firstLine="0" w:firstLineChars="0"/>
              <w:jc w:val="center"/>
              <w:rPr>
                <w:bCs/>
                <w:sz w:val="21"/>
                <w:szCs w:val="21"/>
              </w:rPr>
            </w:pPr>
          </w:p>
        </w:tc>
        <w:tc>
          <w:tcPr>
            <w:tcW w:w="594" w:type="pct"/>
            <w:tcBorders>
              <w:top w:val="single" w:color="auto" w:sz="4" w:space="0"/>
            </w:tcBorders>
            <w:vAlign w:val="center"/>
          </w:tcPr>
          <w:p>
            <w:pPr>
              <w:spacing w:line="240" w:lineRule="auto"/>
              <w:ind w:firstLine="0" w:firstLineChars="0"/>
              <w:jc w:val="center"/>
              <w:rPr>
                <w:bCs/>
                <w:sz w:val="21"/>
                <w:szCs w:val="21"/>
              </w:rPr>
            </w:pPr>
          </w:p>
        </w:tc>
        <w:tc>
          <w:tcPr>
            <w:tcW w:w="439" w:type="pct"/>
            <w:tcBorders>
              <w:top w:val="single" w:color="auto" w:sz="4" w:space="0"/>
            </w:tcBorders>
            <w:vAlign w:val="center"/>
          </w:tcPr>
          <w:p>
            <w:pPr>
              <w:pStyle w:val="68"/>
              <w:adjustRightInd/>
              <w:snapToGrid/>
              <w:spacing w:afterLines="0"/>
              <w:jc w:val="center"/>
              <w:rPr>
                <w:sz w:val="21"/>
                <w:szCs w:val="21"/>
              </w:rPr>
            </w:pPr>
            <w:r>
              <w:rPr>
                <w:sz w:val="21"/>
                <w:szCs w:val="21"/>
              </w:rPr>
              <w:t>2.93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restart"/>
            <w:tcBorders>
              <w:right w:val="single" w:color="auto" w:sz="4" w:space="0"/>
            </w:tcBorders>
            <w:vAlign w:val="center"/>
          </w:tcPr>
          <w:p>
            <w:pPr>
              <w:pStyle w:val="68"/>
              <w:adjustRightInd/>
              <w:snapToGrid/>
              <w:spacing w:afterLines="0"/>
              <w:jc w:val="center"/>
              <w:rPr>
                <w:b w:val="0"/>
                <w:sz w:val="21"/>
                <w:szCs w:val="21"/>
              </w:rPr>
            </w:pPr>
            <w:r>
              <w:rPr>
                <w:b w:val="0"/>
                <w:bCs/>
                <w:sz w:val="21"/>
                <w:szCs w:val="21"/>
              </w:rPr>
              <w:t>边坡绿化</w:t>
            </w:r>
          </w:p>
        </w:tc>
        <w:tc>
          <w:tcPr>
            <w:tcW w:w="747" w:type="pct"/>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301" w:type="pct"/>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7.25</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7.25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4"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sz w:val="21"/>
                <w:szCs w:val="21"/>
              </w:rPr>
            </w:pPr>
          </w:p>
        </w:tc>
        <w:tc>
          <w:tcPr>
            <w:tcW w:w="747" w:type="pct"/>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301" w:type="pct"/>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3.11</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3.11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5" w:hRule="atLeast"/>
        </w:trPr>
        <w:tc>
          <w:tcPr>
            <w:tcW w:w="392" w:type="pct"/>
            <w:vMerge w:val="continue"/>
            <w:vAlign w:val="center"/>
          </w:tcPr>
          <w:p>
            <w:pPr>
              <w:spacing w:line="240" w:lineRule="auto"/>
              <w:ind w:firstLine="0" w:firstLineChars="0"/>
              <w:jc w:val="center"/>
              <w:rPr>
                <w:bCs/>
                <w:sz w:val="21"/>
                <w:szCs w:val="21"/>
              </w:rPr>
            </w:pPr>
          </w:p>
        </w:tc>
        <w:tc>
          <w:tcPr>
            <w:tcW w:w="422" w:type="pct"/>
            <w:vMerge w:val="restart"/>
            <w:vAlign w:val="center"/>
          </w:tcPr>
          <w:p>
            <w:pPr>
              <w:spacing w:line="240" w:lineRule="auto"/>
              <w:ind w:firstLine="0" w:firstLineChars="0"/>
              <w:jc w:val="center"/>
              <w:rPr>
                <w:bCs/>
                <w:sz w:val="21"/>
                <w:szCs w:val="21"/>
              </w:rPr>
            </w:pPr>
            <w:r>
              <w:rPr>
                <w:bCs/>
                <w:sz w:val="21"/>
                <w:szCs w:val="21"/>
              </w:rPr>
              <w:t>临时措施</w:t>
            </w:r>
          </w:p>
        </w:tc>
        <w:tc>
          <w:tcPr>
            <w:tcW w:w="323" w:type="pct"/>
            <w:vMerge w:val="restart"/>
            <w:vAlign w:val="center"/>
          </w:tcPr>
          <w:p>
            <w:pPr>
              <w:pStyle w:val="68"/>
              <w:adjustRightInd/>
              <w:snapToGrid/>
              <w:spacing w:afterLines="0"/>
              <w:jc w:val="center"/>
              <w:rPr>
                <w:b w:val="0"/>
                <w:bCs/>
                <w:sz w:val="21"/>
                <w:szCs w:val="21"/>
              </w:rPr>
            </w:pPr>
            <w:r>
              <w:rPr>
                <w:b w:val="0"/>
                <w:bCs/>
                <w:sz w:val="21"/>
                <w:szCs w:val="21"/>
              </w:rPr>
              <w:t>截排水沟</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bCs/>
                <w:sz w:val="21"/>
                <w:szCs w:val="21"/>
              </w:rPr>
            </w:pPr>
            <w:r>
              <w:rPr>
                <w:b w:val="0"/>
                <w:bCs/>
                <w:sz w:val="21"/>
                <w:szCs w:val="21"/>
              </w:rPr>
              <w:t>m</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3244</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3244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5"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sz w:val="21"/>
                <w:szCs w:val="21"/>
              </w:rPr>
              <w:t>土方开挖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2352.55</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2352.55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sz w:val="21"/>
                <w:szCs w:val="21"/>
              </w:rPr>
              <w:t>M7.5水泥砂浆砌砖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1541.55</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1541.55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kern w:val="0"/>
                <w:sz w:val="21"/>
                <w:szCs w:val="21"/>
              </w:rPr>
              <w:t>M10水泥砂浆抹面</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11224.24</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11224.24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sz w:val="21"/>
                <w:szCs w:val="21"/>
              </w:rPr>
              <w:t>砌砖拆除</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1541.58</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1541.58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restart"/>
            <w:vAlign w:val="center"/>
          </w:tcPr>
          <w:p>
            <w:pPr>
              <w:pStyle w:val="68"/>
              <w:adjustRightInd/>
              <w:snapToGrid/>
              <w:spacing w:afterLines="0"/>
              <w:jc w:val="center"/>
              <w:rPr>
                <w:b w:val="0"/>
                <w:bCs/>
                <w:sz w:val="21"/>
                <w:szCs w:val="21"/>
              </w:rPr>
            </w:pPr>
            <w:r>
              <w:rPr>
                <w:b w:val="0"/>
                <w:bCs/>
                <w:sz w:val="21"/>
                <w:szCs w:val="21"/>
              </w:rPr>
              <w:t>沉沙池</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bCs/>
                <w:sz w:val="21"/>
                <w:szCs w:val="21"/>
              </w:rPr>
            </w:pPr>
            <w:r>
              <w:rPr>
                <w:b w:val="0"/>
                <w:bCs/>
                <w:sz w:val="21"/>
                <w:szCs w:val="21"/>
              </w:rPr>
              <w:t>座</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13</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sz w:val="21"/>
                <w:szCs w:val="21"/>
              </w:rPr>
              <w:t>土方开挖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44.79</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44.79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kern w:val="0"/>
                <w:sz w:val="21"/>
                <w:szCs w:val="21"/>
              </w:rPr>
              <w:t>M7.5水泥砂浆砌砖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19.37</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19.37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kern w:val="0"/>
                <w:sz w:val="21"/>
                <w:szCs w:val="21"/>
              </w:rPr>
              <w:t>M10水泥砂浆抹面</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112.19</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112.19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restart"/>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kern w:val="0"/>
                <w:sz w:val="21"/>
                <w:szCs w:val="21"/>
              </w:rPr>
              <w:t>C20砼底板</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9.36</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9.36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kern w:val="0"/>
                <w:sz w:val="21"/>
                <w:szCs w:val="21"/>
              </w:rPr>
              <w:t>预制钢筋混凝土盖板</w:t>
            </w:r>
          </w:p>
        </w:tc>
        <w:tc>
          <w:tcPr>
            <w:tcW w:w="301" w:type="pct"/>
            <w:vAlign w:val="center"/>
          </w:tcPr>
          <w:p>
            <w:pPr>
              <w:spacing w:line="240" w:lineRule="auto"/>
              <w:ind w:firstLine="0" w:firstLineChars="0"/>
              <w:jc w:val="center"/>
              <w:rPr>
                <w:bCs/>
                <w:sz w:val="21"/>
                <w:szCs w:val="21"/>
              </w:rPr>
            </w:pPr>
            <w:r>
              <w:rPr>
                <w:sz w:val="21"/>
                <w:szCs w:val="21"/>
              </w:rPr>
              <w:t>块</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13</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bCs/>
                <w:sz w:val="21"/>
                <w:szCs w:val="21"/>
              </w:rPr>
            </w:pPr>
            <w:r>
              <w:rPr>
                <w:sz w:val="21"/>
                <w:szCs w:val="21"/>
              </w:rPr>
              <w:t>砌砖及</w:t>
            </w:r>
            <w:r>
              <w:rPr>
                <w:kern w:val="0"/>
                <w:sz w:val="21"/>
                <w:szCs w:val="21"/>
              </w:rPr>
              <w:t>C20砼</w:t>
            </w:r>
            <w:r>
              <w:rPr>
                <w:sz w:val="21"/>
                <w:szCs w:val="21"/>
              </w:rPr>
              <w:t>拆除</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28.73</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28.73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1070" w:type="pct"/>
            <w:gridSpan w:val="2"/>
            <w:vAlign w:val="center"/>
          </w:tcPr>
          <w:p>
            <w:pPr>
              <w:pStyle w:val="68"/>
              <w:adjustRightInd/>
              <w:snapToGrid/>
              <w:spacing w:afterLines="0"/>
              <w:jc w:val="center"/>
              <w:rPr>
                <w:b w:val="0"/>
                <w:bCs/>
                <w:sz w:val="21"/>
                <w:szCs w:val="21"/>
              </w:rPr>
            </w:pPr>
            <w:r>
              <w:rPr>
                <w:b w:val="0"/>
                <w:bCs/>
                <w:sz w:val="21"/>
                <w:szCs w:val="21"/>
              </w:rPr>
              <w:t>防雨布苫盖</w:t>
            </w:r>
          </w:p>
        </w:tc>
        <w:tc>
          <w:tcPr>
            <w:tcW w:w="301"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spacing w:line="240" w:lineRule="auto"/>
              <w:ind w:firstLine="0" w:firstLineChars="0"/>
              <w:jc w:val="center"/>
              <w:rPr>
                <w:bCs/>
                <w:sz w:val="21"/>
                <w:szCs w:val="21"/>
              </w:rPr>
            </w:pPr>
            <w:r>
              <w:rPr>
                <w:bCs/>
                <w:sz w:val="21"/>
                <w:szCs w:val="21"/>
              </w:rPr>
              <w:t>10.36</w:t>
            </w:r>
          </w:p>
        </w:tc>
        <w:tc>
          <w:tcPr>
            <w:tcW w:w="593" w:type="pct"/>
            <w:vAlign w:val="center"/>
          </w:tcPr>
          <w:p>
            <w:pPr>
              <w:pStyle w:val="68"/>
              <w:adjustRightInd/>
              <w:snapToGrid/>
              <w:spacing w:afterLines="0"/>
              <w:jc w:val="center"/>
              <w:rPr>
                <w:b w:val="0"/>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10.36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restart"/>
            <w:vAlign w:val="center"/>
          </w:tcPr>
          <w:p>
            <w:pPr>
              <w:pStyle w:val="68"/>
              <w:adjustRightInd/>
              <w:snapToGrid/>
              <w:spacing w:afterLines="0"/>
              <w:jc w:val="center"/>
              <w:rPr>
                <w:b w:val="0"/>
                <w:bCs/>
                <w:sz w:val="21"/>
                <w:szCs w:val="21"/>
              </w:rPr>
            </w:pPr>
            <w:r>
              <w:rPr>
                <w:b w:val="0"/>
                <w:bCs/>
                <w:sz w:val="21"/>
                <w:szCs w:val="21"/>
              </w:rPr>
              <w:t>编织袋装土拦挡</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bCs/>
                <w:sz w:val="21"/>
                <w:szCs w:val="21"/>
              </w:rPr>
            </w:pPr>
            <w:r>
              <w:rPr>
                <w:b w:val="0"/>
                <w:bCs/>
                <w:sz w:val="21"/>
                <w:szCs w:val="21"/>
              </w:rPr>
              <w:t>m</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400</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400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pStyle w:val="68"/>
              <w:adjustRightInd/>
              <w:snapToGrid/>
              <w:spacing w:afterLines="0"/>
              <w:jc w:val="center"/>
              <w:rPr>
                <w:b w:val="0"/>
                <w:bCs/>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编织袋装土填筑</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640</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640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vAlign w:val="center"/>
          </w:tcPr>
          <w:p>
            <w:pPr>
              <w:pStyle w:val="68"/>
              <w:adjustRightInd/>
              <w:snapToGrid/>
              <w:spacing w:afterLines="0"/>
              <w:jc w:val="center"/>
              <w:rPr>
                <w:b w:val="0"/>
                <w:bCs/>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土袋拆除</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640</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640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6" w:hRule="atLeast"/>
        </w:trPr>
        <w:tc>
          <w:tcPr>
            <w:tcW w:w="392" w:type="pct"/>
            <w:vMerge w:val="restart"/>
            <w:vAlign w:val="center"/>
          </w:tcPr>
          <w:p>
            <w:pPr>
              <w:spacing w:line="240" w:lineRule="auto"/>
              <w:ind w:firstLine="0" w:firstLineChars="0"/>
              <w:jc w:val="center"/>
              <w:rPr>
                <w:sz w:val="21"/>
                <w:szCs w:val="21"/>
              </w:rPr>
            </w:pPr>
            <w:r>
              <w:rPr>
                <w:sz w:val="21"/>
                <w:szCs w:val="21"/>
              </w:rPr>
              <w:t>未建区</w:t>
            </w:r>
          </w:p>
        </w:tc>
        <w:tc>
          <w:tcPr>
            <w:tcW w:w="422" w:type="pct"/>
            <w:vMerge w:val="restart"/>
            <w:vAlign w:val="center"/>
          </w:tcPr>
          <w:p>
            <w:pPr>
              <w:spacing w:line="240" w:lineRule="auto"/>
              <w:ind w:firstLine="0" w:firstLineChars="0"/>
              <w:jc w:val="center"/>
              <w:rPr>
                <w:sz w:val="21"/>
                <w:szCs w:val="21"/>
              </w:rPr>
            </w:pPr>
            <w:r>
              <w:rPr>
                <w:sz w:val="21"/>
                <w:szCs w:val="21"/>
              </w:rPr>
              <w:t>工程措施</w:t>
            </w:r>
          </w:p>
        </w:tc>
        <w:tc>
          <w:tcPr>
            <w:tcW w:w="1070" w:type="pct"/>
            <w:gridSpan w:val="2"/>
            <w:vAlign w:val="center"/>
          </w:tcPr>
          <w:p>
            <w:pPr>
              <w:pStyle w:val="68"/>
              <w:adjustRightInd/>
              <w:snapToGrid/>
              <w:spacing w:afterLines="0"/>
              <w:jc w:val="center"/>
              <w:rPr>
                <w:b w:val="0"/>
                <w:sz w:val="21"/>
                <w:szCs w:val="21"/>
              </w:rPr>
            </w:pPr>
            <w:r>
              <w:rPr>
                <w:b w:val="0"/>
                <w:sz w:val="21"/>
                <w:szCs w:val="21"/>
              </w:rPr>
              <w:t>表土剥离</w:t>
            </w:r>
          </w:p>
        </w:tc>
        <w:tc>
          <w:tcPr>
            <w:tcW w:w="301" w:type="pct"/>
            <w:vAlign w:val="center"/>
          </w:tcPr>
          <w:p>
            <w:pPr>
              <w:pStyle w:val="68"/>
              <w:adjustRightInd/>
              <w:snapToGrid/>
              <w:spacing w:afterLines="0"/>
              <w:jc w:val="center"/>
              <w:rPr>
                <w:b w:val="0"/>
                <w:sz w:val="21"/>
                <w:szCs w:val="21"/>
              </w:rPr>
            </w:pPr>
            <w:r>
              <w:rPr>
                <w:b w:val="0"/>
                <w:sz w:val="21"/>
                <w:szCs w:val="21"/>
              </w:rPr>
              <w:t>万m</w:t>
            </w:r>
            <w:r>
              <w:rPr>
                <w:b w:val="0"/>
                <w:sz w:val="21"/>
                <w:szCs w:val="21"/>
                <w:vertAlign w:val="superscript"/>
              </w:rPr>
              <w:t>3</w:t>
            </w:r>
          </w:p>
        </w:tc>
        <w:tc>
          <w:tcPr>
            <w:tcW w:w="593" w:type="pct"/>
            <w:vAlign w:val="center"/>
          </w:tcPr>
          <w:p>
            <w:pPr>
              <w:pStyle w:val="68"/>
              <w:adjustRightInd/>
              <w:snapToGrid/>
              <w:spacing w:afterLines="0"/>
              <w:jc w:val="center"/>
              <w:rPr>
                <w:b w:val="0"/>
                <w:sz w:val="21"/>
                <w:szCs w:val="21"/>
              </w:rPr>
            </w:pPr>
            <w:r>
              <w:rPr>
                <w:b w:val="0"/>
                <w:sz w:val="21"/>
                <w:szCs w:val="21"/>
              </w:rPr>
              <w:t>62.11</w:t>
            </w:r>
          </w:p>
        </w:tc>
        <w:tc>
          <w:tcPr>
            <w:tcW w:w="593" w:type="pct"/>
            <w:vAlign w:val="center"/>
          </w:tcPr>
          <w:p>
            <w:pPr>
              <w:spacing w:line="240" w:lineRule="auto"/>
              <w:ind w:firstLine="0" w:firstLineChars="0"/>
              <w:jc w:val="center"/>
              <w:rPr>
                <w:sz w:val="21"/>
                <w:szCs w:val="21"/>
              </w:rPr>
            </w:pPr>
            <w:r>
              <w:rPr>
                <w:sz w:val="21"/>
                <w:szCs w:val="21"/>
              </w:rPr>
              <w:t>7.04</w:t>
            </w:r>
          </w:p>
        </w:tc>
        <w:tc>
          <w:tcPr>
            <w:tcW w:w="593" w:type="pct"/>
            <w:vAlign w:val="center"/>
          </w:tcPr>
          <w:p>
            <w:pPr>
              <w:pStyle w:val="68"/>
              <w:adjustRightInd/>
              <w:snapToGrid/>
              <w:spacing w:afterLines="0"/>
              <w:jc w:val="center"/>
              <w:rPr>
                <w:b w:val="0"/>
                <w:bCs/>
                <w:sz w:val="21"/>
                <w:szCs w:val="21"/>
              </w:rPr>
            </w:pPr>
            <w:r>
              <w:rPr>
                <w:b w:val="0"/>
                <w:bCs/>
                <w:sz w:val="21"/>
                <w:szCs w:val="21"/>
              </w:rPr>
              <w:t>5.90</w:t>
            </w:r>
          </w:p>
        </w:tc>
        <w:tc>
          <w:tcPr>
            <w:tcW w:w="594" w:type="pct"/>
            <w:vAlign w:val="center"/>
          </w:tcPr>
          <w:p>
            <w:pPr>
              <w:pStyle w:val="68"/>
              <w:adjustRightInd/>
              <w:snapToGrid/>
              <w:spacing w:afterLines="0"/>
              <w:jc w:val="center"/>
              <w:rPr>
                <w:b w:val="0"/>
                <w:bCs/>
                <w:sz w:val="21"/>
                <w:szCs w:val="21"/>
              </w:rPr>
            </w:pPr>
            <w:r>
              <w:rPr>
                <w:b w:val="0"/>
                <w:bCs/>
                <w:sz w:val="21"/>
                <w:szCs w:val="21"/>
              </w:rPr>
              <w:t>6.21</w:t>
            </w:r>
          </w:p>
        </w:tc>
        <w:tc>
          <w:tcPr>
            <w:tcW w:w="439" w:type="pct"/>
            <w:vAlign w:val="center"/>
          </w:tcPr>
          <w:p>
            <w:pPr>
              <w:pStyle w:val="68"/>
              <w:adjustRightInd/>
              <w:snapToGrid/>
              <w:spacing w:afterLines="0"/>
              <w:jc w:val="center"/>
              <w:rPr>
                <w:sz w:val="21"/>
                <w:szCs w:val="21"/>
              </w:rPr>
            </w:pPr>
            <w:r>
              <w:rPr>
                <w:sz w:val="21"/>
                <w:szCs w:val="21"/>
              </w:rPr>
              <w:t>81.26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3"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sz w:val="21"/>
                <w:szCs w:val="21"/>
              </w:rPr>
              <w:t>表土回覆</w:t>
            </w:r>
          </w:p>
        </w:tc>
        <w:tc>
          <w:tcPr>
            <w:tcW w:w="301" w:type="pct"/>
            <w:vAlign w:val="center"/>
          </w:tcPr>
          <w:p>
            <w:pPr>
              <w:pStyle w:val="68"/>
              <w:adjustRightInd/>
              <w:snapToGrid/>
              <w:spacing w:afterLines="0"/>
              <w:jc w:val="center"/>
              <w:rPr>
                <w:b w:val="0"/>
                <w:sz w:val="21"/>
                <w:szCs w:val="21"/>
              </w:rPr>
            </w:pPr>
            <w:r>
              <w:rPr>
                <w:b w:val="0"/>
                <w:sz w:val="21"/>
                <w:szCs w:val="21"/>
              </w:rPr>
              <w:t>万m</w:t>
            </w:r>
            <w:r>
              <w:rPr>
                <w:b w:val="0"/>
                <w:sz w:val="21"/>
                <w:szCs w:val="21"/>
                <w:vertAlign w:val="superscript"/>
              </w:rPr>
              <w:t>3</w:t>
            </w:r>
          </w:p>
        </w:tc>
        <w:tc>
          <w:tcPr>
            <w:tcW w:w="593" w:type="pct"/>
            <w:vAlign w:val="center"/>
          </w:tcPr>
          <w:p>
            <w:pPr>
              <w:pStyle w:val="68"/>
              <w:adjustRightInd/>
              <w:snapToGrid/>
              <w:spacing w:afterLines="0"/>
              <w:jc w:val="center"/>
              <w:rPr>
                <w:b w:val="0"/>
                <w:sz w:val="21"/>
                <w:szCs w:val="21"/>
              </w:rPr>
            </w:pPr>
            <w:r>
              <w:rPr>
                <w:rFonts w:hint="eastAsia"/>
                <w:b w:val="0"/>
                <w:sz w:val="21"/>
                <w:szCs w:val="21"/>
              </w:rPr>
              <w:t>48.71</w:t>
            </w:r>
          </w:p>
        </w:tc>
        <w:tc>
          <w:tcPr>
            <w:tcW w:w="593" w:type="pct"/>
            <w:vAlign w:val="center"/>
          </w:tcPr>
          <w:p>
            <w:pPr>
              <w:spacing w:line="240" w:lineRule="auto"/>
              <w:ind w:firstLine="0" w:firstLineChars="0"/>
              <w:jc w:val="center"/>
              <w:rPr>
                <w:sz w:val="21"/>
                <w:szCs w:val="21"/>
              </w:rPr>
            </w:pPr>
            <w:r>
              <w:rPr>
                <w:sz w:val="21"/>
                <w:szCs w:val="21"/>
              </w:rPr>
              <w:t>5.77</w:t>
            </w:r>
          </w:p>
        </w:tc>
        <w:tc>
          <w:tcPr>
            <w:tcW w:w="593" w:type="pct"/>
            <w:vAlign w:val="center"/>
          </w:tcPr>
          <w:p>
            <w:pPr>
              <w:pStyle w:val="68"/>
              <w:adjustRightInd/>
              <w:snapToGrid/>
              <w:spacing w:afterLines="0"/>
              <w:jc w:val="center"/>
              <w:rPr>
                <w:b w:val="0"/>
                <w:bCs/>
                <w:sz w:val="21"/>
                <w:szCs w:val="21"/>
              </w:rPr>
            </w:pPr>
            <w:r>
              <w:rPr>
                <w:b w:val="0"/>
                <w:bCs/>
                <w:sz w:val="21"/>
                <w:szCs w:val="21"/>
              </w:rPr>
              <w:t>1.47</w:t>
            </w:r>
          </w:p>
        </w:tc>
        <w:tc>
          <w:tcPr>
            <w:tcW w:w="594" w:type="pct"/>
            <w:vAlign w:val="center"/>
          </w:tcPr>
          <w:p>
            <w:pPr>
              <w:pStyle w:val="68"/>
              <w:adjustRightInd/>
              <w:snapToGrid/>
              <w:spacing w:afterLines="0"/>
              <w:jc w:val="center"/>
              <w:rPr>
                <w:b w:val="0"/>
                <w:bCs/>
                <w:sz w:val="21"/>
                <w:szCs w:val="21"/>
              </w:rPr>
            </w:pPr>
            <w:r>
              <w:rPr>
                <w:rFonts w:hint="eastAsia"/>
                <w:b w:val="0"/>
                <w:bCs/>
                <w:sz w:val="21"/>
                <w:szCs w:val="21"/>
              </w:rPr>
              <w:t>78.77</w:t>
            </w:r>
          </w:p>
        </w:tc>
        <w:tc>
          <w:tcPr>
            <w:tcW w:w="439" w:type="pct"/>
            <w:vAlign w:val="center"/>
          </w:tcPr>
          <w:p>
            <w:pPr>
              <w:pStyle w:val="68"/>
              <w:adjustRightInd/>
              <w:snapToGrid/>
              <w:spacing w:afterLines="0"/>
              <w:jc w:val="center"/>
              <w:rPr>
                <w:sz w:val="21"/>
                <w:szCs w:val="21"/>
              </w:rPr>
            </w:pPr>
            <w:r>
              <w:rPr>
                <w:rFonts w:hint="eastAsia"/>
                <w:sz w:val="21"/>
                <w:szCs w:val="21"/>
              </w:rPr>
              <w:t>134.72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6"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雨水管</w:t>
            </w:r>
          </w:p>
        </w:tc>
        <w:tc>
          <w:tcPr>
            <w:tcW w:w="301" w:type="pct"/>
            <w:vAlign w:val="center"/>
          </w:tcPr>
          <w:p>
            <w:pPr>
              <w:pStyle w:val="68"/>
              <w:adjustRightInd/>
              <w:snapToGrid/>
              <w:spacing w:afterLines="0"/>
              <w:jc w:val="center"/>
              <w:rPr>
                <w:b w:val="0"/>
                <w:sz w:val="21"/>
                <w:szCs w:val="21"/>
              </w:rPr>
            </w:pPr>
            <w:r>
              <w:rPr>
                <w:b w:val="0"/>
                <w:bCs/>
                <w:sz w:val="21"/>
                <w:szCs w:val="21"/>
              </w:rPr>
              <w:t>m</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8750</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8750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雨水口</w:t>
            </w:r>
          </w:p>
        </w:tc>
        <w:tc>
          <w:tcPr>
            <w:tcW w:w="301" w:type="pct"/>
            <w:vAlign w:val="center"/>
          </w:tcPr>
          <w:p>
            <w:pPr>
              <w:pStyle w:val="68"/>
              <w:adjustRightInd/>
              <w:snapToGrid/>
              <w:spacing w:afterLines="0"/>
              <w:jc w:val="center"/>
              <w:rPr>
                <w:b w:val="0"/>
                <w:sz w:val="21"/>
                <w:szCs w:val="21"/>
              </w:rPr>
            </w:pPr>
            <w:r>
              <w:rPr>
                <w:b w:val="0"/>
                <w:bCs/>
                <w:sz w:val="21"/>
                <w:szCs w:val="21"/>
              </w:rPr>
              <w:t>个</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175</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175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0" w:hRule="atLeast"/>
        </w:trPr>
        <w:tc>
          <w:tcPr>
            <w:tcW w:w="392" w:type="pct"/>
            <w:vMerge w:val="continue"/>
            <w:vAlign w:val="center"/>
          </w:tcPr>
          <w:p>
            <w:pPr>
              <w:spacing w:line="240" w:lineRule="auto"/>
              <w:ind w:firstLine="0" w:firstLineChars="0"/>
              <w:jc w:val="center"/>
              <w:rPr>
                <w:sz w:val="21"/>
                <w:szCs w:val="21"/>
              </w:rPr>
            </w:pPr>
          </w:p>
        </w:tc>
        <w:tc>
          <w:tcPr>
            <w:tcW w:w="422" w:type="pct"/>
            <w:vMerge w:val="restart"/>
            <w:vAlign w:val="center"/>
          </w:tcPr>
          <w:p>
            <w:pPr>
              <w:spacing w:line="240" w:lineRule="auto"/>
              <w:ind w:firstLine="0" w:firstLineChars="0"/>
              <w:jc w:val="center"/>
              <w:rPr>
                <w:sz w:val="21"/>
                <w:szCs w:val="21"/>
              </w:rPr>
            </w:pPr>
            <w:r>
              <w:rPr>
                <w:sz w:val="21"/>
                <w:szCs w:val="21"/>
              </w:rPr>
              <w:t>植物措施</w:t>
            </w:r>
          </w:p>
        </w:tc>
        <w:tc>
          <w:tcPr>
            <w:tcW w:w="1070" w:type="pct"/>
            <w:gridSpan w:val="2"/>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301"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sz w:val="21"/>
                <w:szCs w:val="21"/>
              </w:rPr>
            </w:pPr>
          </w:p>
        </w:tc>
        <w:tc>
          <w:tcPr>
            <w:tcW w:w="593" w:type="pct"/>
            <w:vAlign w:val="center"/>
          </w:tcPr>
          <w:p>
            <w:pPr>
              <w:spacing w:line="240" w:lineRule="auto"/>
              <w:ind w:firstLine="0" w:firstLineChars="0"/>
              <w:jc w:val="center"/>
              <w:rPr>
                <w:sz w:val="21"/>
                <w:szCs w:val="21"/>
              </w:rPr>
            </w:pPr>
            <w:r>
              <w:rPr>
                <w:sz w:val="21"/>
                <w:szCs w:val="21"/>
              </w:rPr>
              <w:t>4.89</w:t>
            </w:r>
          </w:p>
        </w:tc>
        <w:tc>
          <w:tcPr>
            <w:tcW w:w="594" w:type="pct"/>
            <w:vAlign w:val="center"/>
          </w:tcPr>
          <w:p>
            <w:pPr>
              <w:spacing w:line="240" w:lineRule="auto"/>
              <w:ind w:firstLine="0" w:firstLineChars="0"/>
              <w:jc w:val="center"/>
              <w:rPr>
                <w:sz w:val="21"/>
                <w:szCs w:val="21"/>
              </w:rPr>
            </w:pPr>
            <w:r>
              <w:rPr>
                <w:bCs/>
                <w:sz w:val="21"/>
                <w:szCs w:val="21"/>
              </w:rPr>
              <w:t>41.57</w:t>
            </w:r>
          </w:p>
        </w:tc>
        <w:tc>
          <w:tcPr>
            <w:tcW w:w="439" w:type="pct"/>
            <w:vAlign w:val="center"/>
          </w:tcPr>
          <w:p>
            <w:pPr>
              <w:pStyle w:val="68"/>
              <w:adjustRightInd/>
              <w:snapToGrid/>
              <w:spacing w:afterLines="0"/>
              <w:jc w:val="center"/>
              <w:rPr>
                <w:sz w:val="21"/>
                <w:szCs w:val="21"/>
              </w:rPr>
            </w:pPr>
            <w:r>
              <w:rPr>
                <w:sz w:val="21"/>
                <w:szCs w:val="21"/>
              </w:rPr>
              <w:t>46.46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restart"/>
            <w:tcBorders>
              <w:top w:val="single" w:color="auto" w:sz="4" w:space="0"/>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747" w:type="pct"/>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30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tcBorders>
              <w:bottom w:val="single" w:color="auto" w:sz="4" w:space="0"/>
            </w:tcBorders>
            <w:vAlign w:val="center"/>
          </w:tcPr>
          <w:p>
            <w:pPr>
              <w:spacing w:line="240" w:lineRule="auto"/>
              <w:ind w:firstLine="0" w:firstLineChars="0"/>
              <w:jc w:val="center"/>
              <w:rPr>
                <w:bCs/>
                <w:sz w:val="21"/>
                <w:szCs w:val="21"/>
              </w:rPr>
            </w:pPr>
          </w:p>
        </w:tc>
        <w:tc>
          <w:tcPr>
            <w:tcW w:w="593" w:type="pct"/>
            <w:tcBorders>
              <w:bottom w:val="single" w:color="auto" w:sz="4" w:space="0"/>
            </w:tcBorders>
            <w:vAlign w:val="center"/>
          </w:tcPr>
          <w:p>
            <w:pPr>
              <w:pStyle w:val="68"/>
              <w:adjustRightInd/>
              <w:snapToGrid/>
              <w:spacing w:afterLines="0"/>
              <w:jc w:val="center"/>
              <w:rPr>
                <w:b w:val="0"/>
                <w:sz w:val="21"/>
                <w:szCs w:val="21"/>
              </w:rPr>
            </w:pPr>
            <w:r>
              <w:rPr>
                <w:b w:val="0"/>
                <w:sz w:val="21"/>
                <w:szCs w:val="21"/>
              </w:rPr>
              <w:t>2.41</w:t>
            </w:r>
          </w:p>
        </w:tc>
        <w:tc>
          <w:tcPr>
            <w:tcW w:w="593" w:type="pct"/>
            <w:tcBorders>
              <w:bottom w:val="single" w:color="auto" w:sz="4" w:space="0"/>
            </w:tcBorders>
            <w:vAlign w:val="center"/>
          </w:tcPr>
          <w:p>
            <w:pPr>
              <w:spacing w:line="240" w:lineRule="auto"/>
              <w:ind w:firstLine="0" w:firstLineChars="0"/>
              <w:jc w:val="center"/>
              <w:rPr>
                <w:bCs/>
                <w:sz w:val="21"/>
                <w:szCs w:val="21"/>
              </w:rPr>
            </w:pPr>
          </w:p>
        </w:tc>
        <w:tc>
          <w:tcPr>
            <w:tcW w:w="594" w:type="pct"/>
            <w:tcBorders>
              <w:bottom w:val="single" w:color="auto" w:sz="4" w:space="0"/>
            </w:tcBorders>
            <w:vAlign w:val="center"/>
          </w:tcPr>
          <w:p>
            <w:pPr>
              <w:spacing w:line="240" w:lineRule="auto"/>
              <w:ind w:firstLine="0" w:firstLineChars="0"/>
              <w:jc w:val="center"/>
              <w:rPr>
                <w:bCs/>
                <w:sz w:val="21"/>
                <w:szCs w:val="21"/>
              </w:rPr>
            </w:pPr>
          </w:p>
        </w:tc>
        <w:tc>
          <w:tcPr>
            <w:tcW w:w="439" w:type="pct"/>
            <w:tcBorders>
              <w:bottom w:val="single" w:color="auto" w:sz="4" w:space="0"/>
            </w:tcBorders>
            <w:vAlign w:val="center"/>
          </w:tcPr>
          <w:p>
            <w:pPr>
              <w:pStyle w:val="68"/>
              <w:adjustRightInd/>
              <w:snapToGrid/>
              <w:spacing w:afterLines="0"/>
              <w:jc w:val="center"/>
              <w:rPr>
                <w:bCs/>
                <w:sz w:val="21"/>
                <w:szCs w:val="21"/>
              </w:rPr>
            </w:pPr>
            <w:r>
              <w:rPr>
                <w:bCs/>
                <w:sz w:val="21"/>
                <w:szCs w:val="21"/>
              </w:rPr>
              <w:t>2.41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3"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30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593" w:type="pct"/>
            <w:tcBorders>
              <w:top w:val="single" w:color="auto" w:sz="4" w:space="0"/>
              <w:bottom w:val="single" w:color="auto" w:sz="4" w:space="0"/>
            </w:tcBorders>
            <w:vAlign w:val="center"/>
          </w:tcPr>
          <w:p>
            <w:pPr>
              <w:spacing w:line="240" w:lineRule="auto"/>
              <w:ind w:firstLine="0" w:firstLineChars="0"/>
              <w:jc w:val="center"/>
              <w:rPr>
                <w:bCs/>
                <w:sz w:val="21"/>
                <w:szCs w:val="21"/>
              </w:rPr>
            </w:pPr>
          </w:p>
        </w:tc>
        <w:tc>
          <w:tcPr>
            <w:tcW w:w="593" w:type="pct"/>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1475/0.21</w:t>
            </w:r>
          </w:p>
        </w:tc>
        <w:tc>
          <w:tcPr>
            <w:tcW w:w="593" w:type="pct"/>
            <w:tcBorders>
              <w:top w:val="single" w:color="auto" w:sz="4" w:space="0"/>
              <w:bottom w:val="single" w:color="auto" w:sz="4" w:space="0"/>
            </w:tcBorders>
            <w:vAlign w:val="center"/>
          </w:tcPr>
          <w:p>
            <w:pPr>
              <w:spacing w:line="240" w:lineRule="auto"/>
              <w:ind w:firstLine="0" w:firstLineChars="0"/>
              <w:jc w:val="center"/>
              <w:rPr>
                <w:bCs/>
                <w:sz w:val="21"/>
                <w:szCs w:val="21"/>
              </w:rPr>
            </w:pPr>
          </w:p>
        </w:tc>
        <w:tc>
          <w:tcPr>
            <w:tcW w:w="594" w:type="pct"/>
            <w:tcBorders>
              <w:top w:val="single" w:color="auto" w:sz="4" w:space="0"/>
              <w:bottom w:val="single" w:color="auto" w:sz="4" w:space="0"/>
            </w:tcBorders>
            <w:vAlign w:val="center"/>
          </w:tcPr>
          <w:p>
            <w:pPr>
              <w:spacing w:line="240" w:lineRule="auto"/>
              <w:ind w:firstLine="0" w:firstLineChars="0"/>
              <w:jc w:val="center"/>
              <w:rPr>
                <w:bCs/>
                <w:sz w:val="21"/>
                <w:szCs w:val="21"/>
              </w:rPr>
            </w:pPr>
          </w:p>
        </w:tc>
        <w:tc>
          <w:tcPr>
            <w:tcW w:w="439" w:type="pct"/>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1475/0.21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5"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30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tcBorders>
              <w:top w:val="single" w:color="auto" w:sz="4" w:space="0"/>
            </w:tcBorders>
            <w:vAlign w:val="center"/>
          </w:tcPr>
          <w:p>
            <w:pPr>
              <w:spacing w:line="240" w:lineRule="auto"/>
              <w:ind w:firstLine="0" w:firstLineChars="0"/>
              <w:jc w:val="center"/>
              <w:rPr>
                <w:bCs/>
                <w:sz w:val="21"/>
                <w:szCs w:val="21"/>
              </w:rPr>
            </w:pPr>
          </w:p>
        </w:tc>
        <w:tc>
          <w:tcPr>
            <w:tcW w:w="593"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2.20</w:t>
            </w:r>
          </w:p>
        </w:tc>
        <w:tc>
          <w:tcPr>
            <w:tcW w:w="593" w:type="pct"/>
            <w:tcBorders>
              <w:top w:val="single" w:color="auto" w:sz="4" w:space="0"/>
            </w:tcBorders>
            <w:vAlign w:val="center"/>
          </w:tcPr>
          <w:p>
            <w:pPr>
              <w:spacing w:line="240" w:lineRule="auto"/>
              <w:ind w:firstLine="0" w:firstLineChars="0"/>
              <w:jc w:val="center"/>
              <w:rPr>
                <w:bCs/>
                <w:sz w:val="21"/>
                <w:szCs w:val="21"/>
              </w:rPr>
            </w:pPr>
          </w:p>
        </w:tc>
        <w:tc>
          <w:tcPr>
            <w:tcW w:w="594" w:type="pct"/>
            <w:tcBorders>
              <w:top w:val="single" w:color="auto" w:sz="4" w:space="0"/>
            </w:tcBorders>
            <w:vAlign w:val="center"/>
          </w:tcPr>
          <w:p>
            <w:pPr>
              <w:spacing w:line="240" w:lineRule="auto"/>
              <w:ind w:firstLine="0" w:firstLineChars="0"/>
              <w:jc w:val="center"/>
              <w:rPr>
                <w:bCs/>
                <w:sz w:val="21"/>
                <w:szCs w:val="21"/>
              </w:rPr>
            </w:pPr>
          </w:p>
        </w:tc>
        <w:tc>
          <w:tcPr>
            <w:tcW w:w="439" w:type="pct"/>
            <w:tcBorders>
              <w:top w:val="single" w:color="auto" w:sz="4" w:space="0"/>
            </w:tcBorders>
            <w:vAlign w:val="center"/>
          </w:tcPr>
          <w:p>
            <w:pPr>
              <w:pStyle w:val="68"/>
              <w:adjustRightInd/>
              <w:snapToGrid/>
              <w:spacing w:afterLines="0"/>
              <w:jc w:val="center"/>
              <w:rPr>
                <w:bCs/>
                <w:sz w:val="21"/>
                <w:szCs w:val="21"/>
              </w:rPr>
            </w:pPr>
            <w:r>
              <w:rPr>
                <w:bCs/>
                <w:sz w:val="21"/>
                <w:szCs w:val="21"/>
              </w:rPr>
              <w:t>2.20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1"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边坡绿化</w:t>
            </w:r>
          </w:p>
        </w:tc>
        <w:tc>
          <w:tcPr>
            <w:tcW w:w="747" w:type="pct"/>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301"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sz w:val="21"/>
                <w:szCs w:val="21"/>
              </w:rPr>
            </w:pPr>
            <w:r>
              <w:rPr>
                <w:b w:val="0"/>
                <w:bCs/>
                <w:sz w:val="21"/>
                <w:szCs w:val="21"/>
              </w:rPr>
              <w:t>1.30</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1" w:hRule="atLeast"/>
        </w:trPr>
        <w:tc>
          <w:tcPr>
            <w:tcW w:w="392" w:type="pct"/>
            <w:vMerge w:val="continue"/>
            <w:vAlign w:val="center"/>
          </w:tcPr>
          <w:p>
            <w:pPr>
              <w:spacing w:line="240" w:lineRule="auto"/>
              <w:ind w:firstLine="0" w:firstLineChars="0"/>
              <w:jc w:val="center"/>
              <w:rPr>
                <w:bCs/>
                <w:sz w:val="21"/>
                <w:szCs w:val="21"/>
              </w:rPr>
            </w:pPr>
          </w:p>
        </w:tc>
        <w:tc>
          <w:tcPr>
            <w:tcW w:w="422" w:type="pct"/>
            <w:vMerge w:val="continue"/>
            <w:vAlign w:val="center"/>
          </w:tcPr>
          <w:p>
            <w:pPr>
              <w:spacing w:line="240" w:lineRule="auto"/>
              <w:ind w:firstLine="0" w:firstLineChars="0"/>
              <w:jc w:val="center"/>
              <w:rPr>
                <w:bCs/>
                <w:sz w:val="21"/>
                <w:szCs w:val="21"/>
              </w:rPr>
            </w:pPr>
          </w:p>
        </w:tc>
        <w:tc>
          <w:tcPr>
            <w:tcW w:w="323"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747" w:type="pct"/>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301"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1.10</w:t>
            </w:r>
          </w:p>
        </w:tc>
        <w:tc>
          <w:tcPr>
            <w:tcW w:w="593" w:type="pct"/>
            <w:vAlign w:val="center"/>
          </w:tcPr>
          <w:p>
            <w:pPr>
              <w:spacing w:line="240" w:lineRule="auto"/>
              <w:ind w:firstLine="0" w:firstLineChars="0"/>
              <w:jc w:val="center"/>
              <w:rPr>
                <w:bCs/>
                <w:sz w:val="21"/>
                <w:szCs w:val="21"/>
              </w:rPr>
            </w:pPr>
          </w:p>
        </w:tc>
        <w:tc>
          <w:tcPr>
            <w:tcW w:w="594" w:type="pct"/>
            <w:vAlign w:val="center"/>
          </w:tcPr>
          <w:p>
            <w:pPr>
              <w:spacing w:line="240" w:lineRule="auto"/>
              <w:ind w:firstLine="0" w:firstLineChars="0"/>
              <w:jc w:val="center"/>
              <w:rPr>
                <w:bCs/>
                <w:sz w:val="21"/>
                <w:szCs w:val="21"/>
              </w:rPr>
            </w:pPr>
          </w:p>
        </w:tc>
        <w:tc>
          <w:tcPr>
            <w:tcW w:w="439" w:type="pct"/>
            <w:vAlign w:val="center"/>
          </w:tcPr>
          <w:p>
            <w:pPr>
              <w:pStyle w:val="68"/>
              <w:adjustRightInd/>
              <w:snapToGrid/>
              <w:spacing w:afterLines="0"/>
              <w:jc w:val="center"/>
              <w:rPr>
                <w:sz w:val="21"/>
                <w:szCs w:val="21"/>
              </w:rPr>
            </w:pPr>
            <w:r>
              <w:rPr>
                <w:sz w:val="21"/>
                <w:szCs w:val="21"/>
              </w:rPr>
              <w:t>1.10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restart"/>
            <w:vAlign w:val="center"/>
          </w:tcPr>
          <w:p>
            <w:pPr>
              <w:spacing w:line="240" w:lineRule="auto"/>
              <w:ind w:firstLine="0" w:firstLineChars="0"/>
              <w:jc w:val="center"/>
              <w:rPr>
                <w:sz w:val="21"/>
                <w:szCs w:val="21"/>
              </w:rPr>
            </w:pPr>
            <w:r>
              <w:rPr>
                <w:sz w:val="21"/>
                <w:szCs w:val="21"/>
              </w:rPr>
              <w:t>临时措施</w:t>
            </w:r>
          </w:p>
        </w:tc>
        <w:tc>
          <w:tcPr>
            <w:tcW w:w="323" w:type="pct"/>
            <w:vMerge w:val="restart"/>
            <w:vAlign w:val="center"/>
          </w:tcPr>
          <w:p>
            <w:pPr>
              <w:pStyle w:val="68"/>
              <w:adjustRightInd/>
              <w:snapToGrid/>
              <w:spacing w:afterLines="0"/>
              <w:jc w:val="center"/>
              <w:rPr>
                <w:b w:val="0"/>
                <w:sz w:val="21"/>
                <w:szCs w:val="21"/>
              </w:rPr>
            </w:pPr>
            <w:r>
              <w:rPr>
                <w:b w:val="0"/>
                <w:bCs/>
                <w:sz w:val="21"/>
                <w:szCs w:val="21"/>
              </w:rPr>
              <w:t>截排水沟</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sz w:val="21"/>
                <w:szCs w:val="21"/>
              </w:rPr>
            </w:pPr>
            <w:r>
              <w:rPr>
                <w:b w:val="0"/>
                <w:bCs/>
                <w:sz w:val="21"/>
                <w:szCs w:val="21"/>
              </w:rPr>
              <w:t>m</w:t>
            </w:r>
          </w:p>
        </w:tc>
        <w:tc>
          <w:tcPr>
            <w:tcW w:w="593" w:type="pct"/>
            <w:vAlign w:val="center"/>
          </w:tcPr>
          <w:p>
            <w:pPr>
              <w:pStyle w:val="68"/>
              <w:adjustRightInd/>
              <w:snapToGrid/>
              <w:spacing w:afterLines="0"/>
              <w:jc w:val="center"/>
              <w:rPr>
                <w:b w:val="0"/>
                <w:sz w:val="21"/>
                <w:szCs w:val="21"/>
              </w:rPr>
            </w:pPr>
            <w:r>
              <w:rPr>
                <w:b w:val="0"/>
                <w:bCs/>
                <w:sz w:val="21"/>
                <w:szCs w:val="21"/>
              </w:rPr>
              <w:t>5017</w:t>
            </w:r>
          </w:p>
        </w:tc>
        <w:tc>
          <w:tcPr>
            <w:tcW w:w="593" w:type="pct"/>
            <w:vAlign w:val="center"/>
          </w:tcPr>
          <w:p>
            <w:pPr>
              <w:pStyle w:val="68"/>
              <w:adjustRightInd/>
              <w:snapToGrid/>
              <w:spacing w:afterLines="0"/>
              <w:jc w:val="center"/>
              <w:rPr>
                <w:b w:val="0"/>
                <w:bCs/>
                <w:sz w:val="21"/>
                <w:szCs w:val="21"/>
              </w:rPr>
            </w:pPr>
            <w:r>
              <w:rPr>
                <w:b w:val="0"/>
                <w:bCs/>
                <w:sz w:val="21"/>
                <w:szCs w:val="21"/>
              </w:rPr>
              <w:t>10901</w:t>
            </w:r>
          </w:p>
        </w:tc>
        <w:tc>
          <w:tcPr>
            <w:tcW w:w="593" w:type="pct"/>
            <w:vAlign w:val="center"/>
          </w:tcPr>
          <w:p>
            <w:pPr>
              <w:pStyle w:val="68"/>
              <w:adjustRightInd/>
              <w:snapToGrid/>
              <w:spacing w:afterLines="0"/>
              <w:jc w:val="center"/>
              <w:rPr>
                <w:b w:val="0"/>
                <w:bCs/>
                <w:sz w:val="21"/>
                <w:szCs w:val="21"/>
              </w:rPr>
            </w:pPr>
            <w:r>
              <w:rPr>
                <w:b w:val="0"/>
                <w:bCs/>
                <w:sz w:val="21"/>
                <w:szCs w:val="21"/>
              </w:rPr>
              <w:t>1282</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17200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sz w:val="21"/>
                <w:szCs w:val="21"/>
              </w:rPr>
            </w:pPr>
            <w:r>
              <w:rPr>
                <w:sz w:val="21"/>
                <w:szCs w:val="21"/>
              </w:rPr>
              <w:t>土方开挖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3638.33</w:t>
            </w:r>
          </w:p>
        </w:tc>
        <w:tc>
          <w:tcPr>
            <w:tcW w:w="593" w:type="pct"/>
            <w:vAlign w:val="center"/>
          </w:tcPr>
          <w:p>
            <w:pPr>
              <w:pStyle w:val="68"/>
              <w:adjustRightInd/>
              <w:snapToGrid/>
              <w:spacing w:afterLines="0"/>
              <w:jc w:val="center"/>
              <w:rPr>
                <w:b w:val="0"/>
                <w:bCs/>
                <w:sz w:val="21"/>
                <w:szCs w:val="21"/>
              </w:rPr>
            </w:pPr>
            <w:r>
              <w:rPr>
                <w:b w:val="0"/>
                <w:bCs/>
                <w:sz w:val="21"/>
                <w:szCs w:val="21"/>
              </w:rPr>
              <w:t>7905.41</w:t>
            </w:r>
          </w:p>
        </w:tc>
        <w:tc>
          <w:tcPr>
            <w:tcW w:w="593" w:type="pct"/>
            <w:vAlign w:val="center"/>
          </w:tcPr>
          <w:p>
            <w:pPr>
              <w:pStyle w:val="68"/>
              <w:adjustRightInd/>
              <w:snapToGrid/>
              <w:spacing w:afterLines="0"/>
              <w:jc w:val="center"/>
              <w:rPr>
                <w:b w:val="0"/>
                <w:bCs/>
                <w:sz w:val="21"/>
                <w:szCs w:val="21"/>
              </w:rPr>
            </w:pPr>
            <w:r>
              <w:rPr>
                <w:b w:val="0"/>
                <w:bCs/>
                <w:sz w:val="21"/>
                <w:szCs w:val="21"/>
              </w:rPr>
              <w:t>929.71</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12473.45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sz w:val="21"/>
                <w:szCs w:val="21"/>
              </w:rPr>
            </w:pPr>
            <w:r>
              <w:rPr>
                <w:sz w:val="21"/>
                <w:szCs w:val="21"/>
              </w:rPr>
              <w:t>M7.5水泥砂浆砌砖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2384.08</w:t>
            </w:r>
          </w:p>
        </w:tc>
        <w:tc>
          <w:tcPr>
            <w:tcW w:w="593" w:type="pct"/>
            <w:vAlign w:val="center"/>
          </w:tcPr>
          <w:p>
            <w:pPr>
              <w:pStyle w:val="68"/>
              <w:adjustRightInd/>
              <w:snapToGrid/>
              <w:spacing w:afterLines="0"/>
              <w:jc w:val="center"/>
              <w:rPr>
                <w:b w:val="0"/>
                <w:bCs/>
                <w:sz w:val="21"/>
                <w:szCs w:val="21"/>
              </w:rPr>
            </w:pPr>
            <w:r>
              <w:rPr>
                <w:b w:val="0"/>
                <w:bCs/>
                <w:sz w:val="21"/>
                <w:szCs w:val="21"/>
              </w:rPr>
              <w:t>5180.16</w:t>
            </w:r>
          </w:p>
        </w:tc>
        <w:tc>
          <w:tcPr>
            <w:tcW w:w="593" w:type="pct"/>
            <w:vAlign w:val="center"/>
          </w:tcPr>
          <w:p>
            <w:pPr>
              <w:pStyle w:val="68"/>
              <w:adjustRightInd/>
              <w:snapToGrid/>
              <w:spacing w:afterLines="0"/>
              <w:jc w:val="center"/>
              <w:rPr>
                <w:b w:val="0"/>
                <w:bCs/>
                <w:sz w:val="21"/>
                <w:szCs w:val="21"/>
              </w:rPr>
            </w:pPr>
            <w:r>
              <w:rPr>
                <w:b w:val="0"/>
                <w:bCs/>
                <w:sz w:val="21"/>
                <w:szCs w:val="21"/>
              </w:rPr>
              <w:t>609.21</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8173.45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kern w:val="0"/>
                <w:sz w:val="21"/>
                <w:szCs w:val="21"/>
              </w:rPr>
            </w:pPr>
            <w:r>
              <w:rPr>
                <w:kern w:val="0"/>
                <w:sz w:val="21"/>
                <w:szCs w:val="21"/>
              </w:rPr>
              <w:t>M10水泥砂浆抹面</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2</w:t>
            </w:r>
          </w:p>
        </w:tc>
        <w:tc>
          <w:tcPr>
            <w:tcW w:w="593" w:type="pct"/>
            <w:vAlign w:val="center"/>
          </w:tcPr>
          <w:p>
            <w:pPr>
              <w:pStyle w:val="68"/>
              <w:adjustRightInd/>
              <w:snapToGrid/>
              <w:spacing w:afterLines="0"/>
              <w:jc w:val="center"/>
              <w:rPr>
                <w:b w:val="0"/>
                <w:bCs/>
                <w:sz w:val="21"/>
                <w:szCs w:val="21"/>
              </w:rPr>
            </w:pPr>
            <w:r>
              <w:rPr>
                <w:b w:val="0"/>
                <w:bCs/>
                <w:sz w:val="21"/>
                <w:szCs w:val="21"/>
              </w:rPr>
              <w:t>17358.82</w:t>
            </w:r>
          </w:p>
        </w:tc>
        <w:tc>
          <w:tcPr>
            <w:tcW w:w="593" w:type="pct"/>
            <w:vAlign w:val="center"/>
          </w:tcPr>
          <w:p>
            <w:pPr>
              <w:pStyle w:val="68"/>
              <w:adjustRightInd/>
              <w:snapToGrid/>
              <w:spacing w:afterLines="0"/>
              <w:jc w:val="center"/>
              <w:rPr>
                <w:b w:val="0"/>
                <w:bCs/>
                <w:sz w:val="21"/>
                <w:szCs w:val="21"/>
              </w:rPr>
            </w:pPr>
            <w:r>
              <w:rPr>
                <w:b w:val="0"/>
                <w:bCs/>
                <w:sz w:val="21"/>
                <w:szCs w:val="21"/>
              </w:rPr>
              <w:t>37717.46</w:t>
            </w:r>
          </w:p>
        </w:tc>
        <w:tc>
          <w:tcPr>
            <w:tcW w:w="593" w:type="pct"/>
            <w:vAlign w:val="center"/>
          </w:tcPr>
          <w:p>
            <w:pPr>
              <w:pStyle w:val="68"/>
              <w:adjustRightInd/>
              <w:snapToGrid/>
              <w:spacing w:afterLines="0"/>
              <w:jc w:val="center"/>
              <w:rPr>
                <w:b w:val="0"/>
                <w:bCs/>
                <w:sz w:val="21"/>
                <w:szCs w:val="21"/>
              </w:rPr>
            </w:pPr>
            <w:r>
              <w:rPr>
                <w:b w:val="0"/>
                <w:bCs/>
                <w:sz w:val="21"/>
                <w:szCs w:val="21"/>
              </w:rPr>
              <w:t>4435.72</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59512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sz w:val="21"/>
                <w:szCs w:val="21"/>
              </w:rPr>
            </w:pPr>
            <w:r>
              <w:rPr>
                <w:sz w:val="21"/>
                <w:szCs w:val="21"/>
              </w:rPr>
              <w:t>砌砖拆除</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2384.08</w:t>
            </w:r>
          </w:p>
        </w:tc>
        <w:tc>
          <w:tcPr>
            <w:tcW w:w="593" w:type="pct"/>
            <w:vAlign w:val="center"/>
          </w:tcPr>
          <w:p>
            <w:pPr>
              <w:pStyle w:val="68"/>
              <w:adjustRightInd/>
              <w:snapToGrid/>
              <w:spacing w:afterLines="0"/>
              <w:jc w:val="center"/>
              <w:rPr>
                <w:b w:val="0"/>
                <w:bCs/>
                <w:sz w:val="21"/>
                <w:szCs w:val="21"/>
              </w:rPr>
            </w:pPr>
            <w:r>
              <w:rPr>
                <w:b w:val="0"/>
                <w:bCs/>
                <w:sz w:val="21"/>
                <w:szCs w:val="21"/>
              </w:rPr>
              <w:t>5180.16</w:t>
            </w:r>
          </w:p>
        </w:tc>
        <w:tc>
          <w:tcPr>
            <w:tcW w:w="593" w:type="pct"/>
            <w:vAlign w:val="center"/>
          </w:tcPr>
          <w:p>
            <w:pPr>
              <w:pStyle w:val="68"/>
              <w:adjustRightInd/>
              <w:snapToGrid/>
              <w:spacing w:afterLines="0"/>
              <w:jc w:val="center"/>
              <w:rPr>
                <w:b w:val="0"/>
                <w:bCs/>
                <w:sz w:val="21"/>
                <w:szCs w:val="21"/>
              </w:rPr>
            </w:pPr>
            <w:r>
              <w:rPr>
                <w:b w:val="0"/>
                <w:bCs/>
                <w:sz w:val="21"/>
                <w:szCs w:val="21"/>
              </w:rPr>
              <w:t>609.21</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8173.45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restart"/>
            <w:vAlign w:val="center"/>
          </w:tcPr>
          <w:p>
            <w:pPr>
              <w:pStyle w:val="68"/>
              <w:spacing w:afterLines="0"/>
              <w:jc w:val="center"/>
              <w:rPr>
                <w:sz w:val="21"/>
                <w:szCs w:val="21"/>
              </w:rPr>
            </w:pPr>
            <w:r>
              <w:rPr>
                <w:b w:val="0"/>
                <w:bCs/>
                <w:sz w:val="21"/>
                <w:szCs w:val="21"/>
              </w:rPr>
              <w:t>沉沙池</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sz w:val="21"/>
                <w:szCs w:val="21"/>
              </w:rPr>
            </w:pPr>
            <w:r>
              <w:rPr>
                <w:b w:val="0"/>
                <w:bCs/>
                <w:sz w:val="21"/>
                <w:szCs w:val="21"/>
              </w:rPr>
              <w:t>座</w:t>
            </w:r>
          </w:p>
        </w:tc>
        <w:tc>
          <w:tcPr>
            <w:tcW w:w="593" w:type="pct"/>
            <w:vAlign w:val="center"/>
          </w:tcPr>
          <w:p>
            <w:pPr>
              <w:pStyle w:val="68"/>
              <w:adjustRightInd/>
              <w:snapToGrid/>
              <w:spacing w:afterLines="0"/>
              <w:jc w:val="center"/>
              <w:rPr>
                <w:b w:val="0"/>
                <w:bCs/>
                <w:sz w:val="21"/>
                <w:szCs w:val="21"/>
              </w:rPr>
            </w:pPr>
            <w:r>
              <w:rPr>
                <w:b w:val="0"/>
                <w:bCs/>
                <w:sz w:val="21"/>
                <w:szCs w:val="21"/>
              </w:rPr>
              <w:t>24</w:t>
            </w:r>
          </w:p>
        </w:tc>
        <w:tc>
          <w:tcPr>
            <w:tcW w:w="593" w:type="pct"/>
            <w:vAlign w:val="center"/>
          </w:tcPr>
          <w:p>
            <w:pPr>
              <w:pStyle w:val="68"/>
              <w:adjustRightInd/>
              <w:snapToGrid/>
              <w:spacing w:afterLines="0"/>
              <w:jc w:val="center"/>
              <w:rPr>
                <w:b w:val="0"/>
                <w:bCs/>
                <w:sz w:val="21"/>
                <w:szCs w:val="21"/>
              </w:rPr>
            </w:pPr>
            <w:r>
              <w:rPr>
                <w:b w:val="0"/>
                <w:bCs/>
                <w:sz w:val="21"/>
                <w:szCs w:val="21"/>
              </w:rPr>
              <w:t>40</w:t>
            </w:r>
          </w:p>
        </w:tc>
        <w:tc>
          <w:tcPr>
            <w:tcW w:w="593" w:type="pct"/>
            <w:vAlign w:val="center"/>
          </w:tcPr>
          <w:p>
            <w:pPr>
              <w:pStyle w:val="68"/>
              <w:adjustRightInd/>
              <w:snapToGrid/>
              <w:spacing w:afterLines="0"/>
              <w:jc w:val="center"/>
              <w:rPr>
                <w:b w:val="0"/>
                <w:bCs/>
                <w:sz w:val="21"/>
                <w:szCs w:val="21"/>
              </w:rPr>
            </w:pPr>
            <w:r>
              <w:rPr>
                <w:b w:val="0"/>
                <w:bCs/>
                <w:sz w:val="21"/>
                <w:szCs w:val="21"/>
              </w:rPr>
              <w:t>6</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sz w:val="21"/>
                <w:szCs w:val="21"/>
              </w:rPr>
            </w:pPr>
            <w:r>
              <w:rPr>
                <w:sz w:val="21"/>
                <w:szCs w:val="21"/>
              </w:rPr>
              <w:t>土方开挖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82.68</w:t>
            </w:r>
          </w:p>
        </w:tc>
        <w:tc>
          <w:tcPr>
            <w:tcW w:w="593" w:type="pct"/>
            <w:vAlign w:val="center"/>
          </w:tcPr>
          <w:p>
            <w:pPr>
              <w:pStyle w:val="68"/>
              <w:adjustRightInd/>
              <w:snapToGrid/>
              <w:spacing w:afterLines="0"/>
              <w:jc w:val="center"/>
              <w:rPr>
                <w:b w:val="0"/>
                <w:bCs/>
                <w:sz w:val="21"/>
                <w:szCs w:val="21"/>
              </w:rPr>
            </w:pPr>
            <w:r>
              <w:rPr>
                <w:b w:val="0"/>
                <w:bCs/>
                <w:sz w:val="21"/>
                <w:szCs w:val="21"/>
              </w:rPr>
              <w:t>137.80</w:t>
            </w:r>
          </w:p>
        </w:tc>
        <w:tc>
          <w:tcPr>
            <w:tcW w:w="593" w:type="pct"/>
            <w:vAlign w:val="center"/>
          </w:tcPr>
          <w:p>
            <w:pPr>
              <w:pStyle w:val="68"/>
              <w:adjustRightInd/>
              <w:snapToGrid/>
              <w:spacing w:afterLines="0"/>
              <w:jc w:val="center"/>
              <w:rPr>
                <w:b w:val="0"/>
                <w:bCs/>
                <w:sz w:val="21"/>
                <w:szCs w:val="21"/>
              </w:rPr>
            </w:pPr>
            <w:r>
              <w:rPr>
                <w:b w:val="0"/>
                <w:bCs/>
                <w:sz w:val="21"/>
                <w:szCs w:val="21"/>
              </w:rPr>
              <w:t>20.67</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241.15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kern w:val="0"/>
                <w:sz w:val="21"/>
                <w:szCs w:val="21"/>
              </w:rPr>
            </w:pPr>
            <w:r>
              <w:rPr>
                <w:kern w:val="0"/>
                <w:sz w:val="21"/>
                <w:szCs w:val="21"/>
              </w:rPr>
              <w:t>M7.5水泥砂浆砌砖</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35.76</w:t>
            </w:r>
          </w:p>
        </w:tc>
        <w:tc>
          <w:tcPr>
            <w:tcW w:w="593" w:type="pct"/>
            <w:vAlign w:val="center"/>
          </w:tcPr>
          <w:p>
            <w:pPr>
              <w:pStyle w:val="68"/>
              <w:adjustRightInd/>
              <w:snapToGrid/>
              <w:spacing w:afterLines="0"/>
              <w:jc w:val="center"/>
              <w:rPr>
                <w:b w:val="0"/>
                <w:bCs/>
                <w:sz w:val="21"/>
                <w:szCs w:val="21"/>
              </w:rPr>
            </w:pPr>
            <w:r>
              <w:rPr>
                <w:b w:val="0"/>
                <w:bCs/>
                <w:sz w:val="21"/>
                <w:szCs w:val="21"/>
              </w:rPr>
              <w:t>59.60</w:t>
            </w:r>
          </w:p>
        </w:tc>
        <w:tc>
          <w:tcPr>
            <w:tcW w:w="593" w:type="pct"/>
            <w:vAlign w:val="center"/>
          </w:tcPr>
          <w:p>
            <w:pPr>
              <w:pStyle w:val="68"/>
              <w:adjustRightInd/>
              <w:snapToGrid/>
              <w:spacing w:afterLines="0"/>
              <w:jc w:val="center"/>
              <w:rPr>
                <w:b w:val="0"/>
                <w:bCs/>
                <w:sz w:val="21"/>
                <w:szCs w:val="21"/>
              </w:rPr>
            </w:pPr>
            <w:r>
              <w:rPr>
                <w:b w:val="0"/>
                <w:bCs/>
                <w:sz w:val="21"/>
                <w:szCs w:val="21"/>
              </w:rPr>
              <w:t>8.94</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104.3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kern w:val="0"/>
                <w:sz w:val="21"/>
                <w:szCs w:val="21"/>
              </w:rPr>
            </w:pPr>
            <w:r>
              <w:rPr>
                <w:kern w:val="0"/>
                <w:sz w:val="21"/>
                <w:szCs w:val="21"/>
              </w:rPr>
              <w:t>M10水泥砂浆抹面</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2</w:t>
            </w:r>
          </w:p>
        </w:tc>
        <w:tc>
          <w:tcPr>
            <w:tcW w:w="593" w:type="pct"/>
            <w:vAlign w:val="center"/>
          </w:tcPr>
          <w:p>
            <w:pPr>
              <w:pStyle w:val="68"/>
              <w:adjustRightInd/>
              <w:snapToGrid/>
              <w:spacing w:afterLines="0"/>
              <w:jc w:val="center"/>
              <w:rPr>
                <w:b w:val="0"/>
                <w:bCs/>
                <w:sz w:val="21"/>
                <w:szCs w:val="21"/>
              </w:rPr>
            </w:pPr>
            <w:r>
              <w:rPr>
                <w:b w:val="0"/>
                <w:bCs/>
                <w:sz w:val="21"/>
                <w:szCs w:val="21"/>
              </w:rPr>
              <w:t>207.12</w:t>
            </w:r>
          </w:p>
        </w:tc>
        <w:tc>
          <w:tcPr>
            <w:tcW w:w="593" w:type="pct"/>
            <w:vAlign w:val="center"/>
          </w:tcPr>
          <w:p>
            <w:pPr>
              <w:pStyle w:val="68"/>
              <w:adjustRightInd/>
              <w:snapToGrid/>
              <w:spacing w:afterLines="0"/>
              <w:jc w:val="center"/>
              <w:rPr>
                <w:b w:val="0"/>
                <w:bCs/>
                <w:sz w:val="21"/>
                <w:szCs w:val="21"/>
              </w:rPr>
            </w:pPr>
            <w:r>
              <w:rPr>
                <w:b w:val="0"/>
                <w:bCs/>
                <w:sz w:val="21"/>
                <w:szCs w:val="21"/>
              </w:rPr>
              <w:t>345.20</w:t>
            </w:r>
          </w:p>
        </w:tc>
        <w:tc>
          <w:tcPr>
            <w:tcW w:w="593" w:type="pct"/>
            <w:vAlign w:val="center"/>
          </w:tcPr>
          <w:p>
            <w:pPr>
              <w:pStyle w:val="68"/>
              <w:adjustRightInd/>
              <w:snapToGrid/>
              <w:spacing w:afterLines="0"/>
              <w:jc w:val="center"/>
              <w:rPr>
                <w:b w:val="0"/>
                <w:bCs/>
                <w:sz w:val="21"/>
                <w:szCs w:val="21"/>
              </w:rPr>
            </w:pPr>
            <w:r>
              <w:rPr>
                <w:b w:val="0"/>
                <w:bCs/>
                <w:sz w:val="21"/>
                <w:szCs w:val="21"/>
              </w:rPr>
              <w:t>51.78</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604.1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kern w:val="0"/>
                <w:sz w:val="21"/>
                <w:szCs w:val="21"/>
              </w:rPr>
            </w:pPr>
            <w:r>
              <w:rPr>
                <w:kern w:val="0"/>
                <w:sz w:val="21"/>
                <w:szCs w:val="21"/>
              </w:rPr>
              <w:t>C20砼底板</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17.28</w:t>
            </w:r>
          </w:p>
        </w:tc>
        <w:tc>
          <w:tcPr>
            <w:tcW w:w="593" w:type="pct"/>
            <w:vAlign w:val="center"/>
          </w:tcPr>
          <w:p>
            <w:pPr>
              <w:pStyle w:val="68"/>
              <w:adjustRightInd/>
              <w:snapToGrid/>
              <w:spacing w:afterLines="0"/>
              <w:jc w:val="center"/>
              <w:rPr>
                <w:b w:val="0"/>
                <w:bCs/>
                <w:sz w:val="21"/>
                <w:szCs w:val="21"/>
              </w:rPr>
            </w:pPr>
            <w:r>
              <w:rPr>
                <w:b w:val="0"/>
                <w:bCs/>
                <w:sz w:val="21"/>
                <w:szCs w:val="21"/>
              </w:rPr>
              <w:t>28.80</w:t>
            </w:r>
          </w:p>
        </w:tc>
        <w:tc>
          <w:tcPr>
            <w:tcW w:w="593" w:type="pct"/>
            <w:vAlign w:val="center"/>
          </w:tcPr>
          <w:p>
            <w:pPr>
              <w:pStyle w:val="68"/>
              <w:adjustRightInd/>
              <w:snapToGrid/>
              <w:spacing w:afterLines="0"/>
              <w:jc w:val="center"/>
              <w:rPr>
                <w:b w:val="0"/>
                <w:bCs/>
                <w:sz w:val="21"/>
                <w:szCs w:val="21"/>
              </w:rPr>
            </w:pPr>
            <w:r>
              <w:rPr>
                <w:b w:val="0"/>
                <w:bCs/>
                <w:sz w:val="21"/>
                <w:szCs w:val="21"/>
              </w:rPr>
              <w:t>4.32</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50.4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spacing w:line="240" w:lineRule="auto"/>
              <w:ind w:firstLine="0" w:firstLineChars="0"/>
              <w:jc w:val="center"/>
              <w:rPr>
                <w:kern w:val="0"/>
                <w:sz w:val="21"/>
                <w:szCs w:val="21"/>
              </w:rPr>
            </w:pPr>
            <w:r>
              <w:rPr>
                <w:kern w:val="0"/>
                <w:sz w:val="21"/>
                <w:szCs w:val="21"/>
              </w:rPr>
              <w:t>预制钢筋混凝土盖板</w:t>
            </w:r>
          </w:p>
        </w:tc>
        <w:tc>
          <w:tcPr>
            <w:tcW w:w="301" w:type="pct"/>
            <w:vAlign w:val="center"/>
          </w:tcPr>
          <w:p>
            <w:pPr>
              <w:spacing w:line="240" w:lineRule="auto"/>
              <w:ind w:firstLine="0" w:firstLineChars="0"/>
              <w:jc w:val="center"/>
              <w:rPr>
                <w:bCs/>
                <w:sz w:val="21"/>
                <w:szCs w:val="21"/>
              </w:rPr>
            </w:pPr>
            <w:r>
              <w:rPr>
                <w:sz w:val="21"/>
                <w:szCs w:val="21"/>
              </w:rPr>
              <w:t>块</w:t>
            </w:r>
          </w:p>
        </w:tc>
        <w:tc>
          <w:tcPr>
            <w:tcW w:w="593" w:type="pct"/>
            <w:vAlign w:val="center"/>
          </w:tcPr>
          <w:p>
            <w:pPr>
              <w:pStyle w:val="68"/>
              <w:adjustRightInd/>
              <w:snapToGrid/>
              <w:spacing w:afterLines="0"/>
              <w:jc w:val="center"/>
              <w:rPr>
                <w:b w:val="0"/>
                <w:bCs/>
                <w:sz w:val="21"/>
                <w:szCs w:val="21"/>
              </w:rPr>
            </w:pPr>
            <w:r>
              <w:rPr>
                <w:b w:val="0"/>
                <w:bCs/>
                <w:sz w:val="21"/>
                <w:szCs w:val="21"/>
              </w:rPr>
              <w:t>24</w:t>
            </w:r>
          </w:p>
        </w:tc>
        <w:tc>
          <w:tcPr>
            <w:tcW w:w="593" w:type="pct"/>
            <w:vAlign w:val="center"/>
          </w:tcPr>
          <w:p>
            <w:pPr>
              <w:pStyle w:val="68"/>
              <w:adjustRightInd/>
              <w:snapToGrid/>
              <w:spacing w:afterLines="0"/>
              <w:jc w:val="center"/>
              <w:rPr>
                <w:b w:val="0"/>
                <w:bCs/>
                <w:sz w:val="21"/>
                <w:szCs w:val="21"/>
              </w:rPr>
            </w:pPr>
            <w:r>
              <w:rPr>
                <w:b w:val="0"/>
                <w:bCs/>
                <w:sz w:val="21"/>
                <w:szCs w:val="21"/>
              </w:rPr>
              <w:t>40</w:t>
            </w:r>
          </w:p>
        </w:tc>
        <w:tc>
          <w:tcPr>
            <w:tcW w:w="593" w:type="pct"/>
            <w:vAlign w:val="center"/>
          </w:tcPr>
          <w:p>
            <w:pPr>
              <w:pStyle w:val="68"/>
              <w:adjustRightInd/>
              <w:snapToGrid/>
              <w:spacing w:afterLines="0"/>
              <w:jc w:val="center"/>
              <w:rPr>
                <w:b w:val="0"/>
                <w:bCs/>
                <w:sz w:val="21"/>
                <w:szCs w:val="21"/>
              </w:rPr>
            </w:pPr>
            <w:r>
              <w:rPr>
                <w:b w:val="0"/>
                <w:bCs/>
                <w:sz w:val="21"/>
                <w:szCs w:val="21"/>
              </w:rPr>
              <w:t>6</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bCs/>
                <w:sz w:val="21"/>
                <w:szCs w:val="21"/>
              </w:rPr>
            </w:pPr>
          </w:p>
        </w:tc>
        <w:tc>
          <w:tcPr>
            <w:tcW w:w="747" w:type="pct"/>
            <w:vAlign w:val="center"/>
          </w:tcPr>
          <w:p>
            <w:pPr>
              <w:spacing w:line="240" w:lineRule="auto"/>
              <w:ind w:firstLine="0" w:firstLineChars="0"/>
              <w:jc w:val="center"/>
              <w:rPr>
                <w:sz w:val="21"/>
                <w:szCs w:val="21"/>
              </w:rPr>
            </w:pPr>
            <w:r>
              <w:rPr>
                <w:sz w:val="21"/>
                <w:szCs w:val="21"/>
              </w:rPr>
              <w:t>砌砖及</w:t>
            </w:r>
            <w:r>
              <w:rPr>
                <w:kern w:val="0"/>
                <w:sz w:val="21"/>
                <w:szCs w:val="21"/>
              </w:rPr>
              <w:t>C20砼</w:t>
            </w:r>
            <w:r>
              <w:rPr>
                <w:sz w:val="21"/>
                <w:szCs w:val="21"/>
              </w:rPr>
              <w:t>拆除</w:t>
            </w:r>
          </w:p>
        </w:tc>
        <w:tc>
          <w:tcPr>
            <w:tcW w:w="301"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53.04</w:t>
            </w:r>
          </w:p>
        </w:tc>
        <w:tc>
          <w:tcPr>
            <w:tcW w:w="593" w:type="pct"/>
            <w:vAlign w:val="center"/>
          </w:tcPr>
          <w:p>
            <w:pPr>
              <w:pStyle w:val="68"/>
              <w:adjustRightInd/>
              <w:snapToGrid/>
              <w:spacing w:afterLines="0"/>
              <w:jc w:val="center"/>
              <w:rPr>
                <w:b w:val="0"/>
                <w:bCs/>
                <w:sz w:val="21"/>
                <w:szCs w:val="21"/>
              </w:rPr>
            </w:pPr>
            <w:r>
              <w:rPr>
                <w:b w:val="0"/>
                <w:bCs/>
                <w:sz w:val="21"/>
                <w:szCs w:val="21"/>
              </w:rPr>
              <w:t>88.4</w:t>
            </w:r>
          </w:p>
        </w:tc>
        <w:tc>
          <w:tcPr>
            <w:tcW w:w="593" w:type="pct"/>
            <w:vAlign w:val="center"/>
          </w:tcPr>
          <w:p>
            <w:pPr>
              <w:pStyle w:val="68"/>
              <w:adjustRightInd/>
              <w:snapToGrid/>
              <w:spacing w:afterLines="0"/>
              <w:jc w:val="center"/>
              <w:rPr>
                <w:b w:val="0"/>
                <w:bCs/>
                <w:sz w:val="21"/>
                <w:szCs w:val="21"/>
              </w:rPr>
            </w:pPr>
            <w:r>
              <w:rPr>
                <w:b w:val="0"/>
                <w:bCs/>
                <w:sz w:val="21"/>
                <w:szCs w:val="21"/>
              </w:rPr>
              <w:t>13.26</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154.7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1070" w:type="pct"/>
            <w:gridSpan w:val="2"/>
            <w:vAlign w:val="center"/>
          </w:tcPr>
          <w:p>
            <w:pPr>
              <w:pStyle w:val="68"/>
              <w:adjustRightInd/>
              <w:snapToGrid/>
              <w:spacing w:afterLines="0"/>
              <w:jc w:val="center"/>
              <w:rPr>
                <w:b w:val="0"/>
                <w:sz w:val="21"/>
                <w:szCs w:val="21"/>
              </w:rPr>
            </w:pPr>
            <w:r>
              <w:rPr>
                <w:b w:val="0"/>
                <w:bCs/>
                <w:sz w:val="21"/>
                <w:szCs w:val="21"/>
              </w:rPr>
              <w:t>防雨布苫盖</w:t>
            </w:r>
          </w:p>
        </w:tc>
        <w:tc>
          <w:tcPr>
            <w:tcW w:w="301" w:type="pct"/>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593" w:type="pct"/>
            <w:vAlign w:val="center"/>
          </w:tcPr>
          <w:p>
            <w:pPr>
              <w:spacing w:line="240" w:lineRule="auto"/>
              <w:ind w:firstLine="0" w:firstLineChars="0"/>
              <w:jc w:val="center"/>
              <w:rPr>
                <w:sz w:val="21"/>
                <w:szCs w:val="21"/>
              </w:rPr>
            </w:pPr>
            <w:r>
              <w:rPr>
                <w:bCs/>
                <w:sz w:val="21"/>
                <w:szCs w:val="21"/>
              </w:rPr>
              <w:t>29.93</w:t>
            </w:r>
          </w:p>
        </w:tc>
        <w:tc>
          <w:tcPr>
            <w:tcW w:w="593" w:type="pct"/>
            <w:vAlign w:val="center"/>
          </w:tcPr>
          <w:p>
            <w:pPr>
              <w:pStyle w:val="68"/>
              <w:adjustRightInd/>
              <w:snapToGrid/>
              <w:spacing w:afterLines="0"/>
              <w:jc w:val="center"/>
              <w:rPr>
                <w:b w:val="0"/>
                <w:bCs/>
                <w:sz w:val="21"/>
                <w:szCs w:val="21"/>
              </w:rPr>
            </w:pPr>
            <w:r>
              <w:rPr>
                <w:b w:val="0"/>
                <w:bCs/>
                <w:sz w:val="21"/>
                <w:szCs w:val="21"/>
              </w:rPr>
              <w:t>6.54</w:t>
            </w:r>
          </w:p>
        </w:tc>
        <w:tc>
          <w:tcPr>
            <w:tcW w:w="593" w:type="pct"/>
            <w:vAlign w:val="center"/>
          </w:tcPr>
          <w:p>
            <w:pPr>
              <w:pStyle w:val="68"/>
              <w:adjustRightInd/>
              <w:snapToGrid/>
              <w:spacing w:afterLines="0"/>
              <w:jc w:val="center"/>
              <w:rPr>
                <w:b w:val="0"/>
                <w:bCs/>
                <w:sz w:val="21"/>
                <w:szCs w:val="21"/>
              </w:rPr>
            </w:pPr>
            <w:r>
              <w:rPr>
                <w:b w:val="0"/>
                <w:bCs/>
                <w:sz w:val="21"/>
                <w:szCs w:val="21"/>
              </w:rPr>
              <w:t>5.80</w:t>
            </w:r>
          </w:p>
        </w:tc>
        <w:tc>
          <w:tcPr>
            <w:tcW w:w="594" w:type="pct"/>
            <w:vAlign w:val="center"/>
          </w:tcPr>
          <w:p>
            <w:pPr>
              <w:pStyle w:val="68"/>
              <w:adjustRightInd/>
              <w:snapToGrid/>
              <w:spacing w:afterLines="0"/>
              <w:jc w:val="center"/>
              <w:rPr>
                <w:b w:val="0"/>
                <w:bCs/>
                <w:sz w:val="21"/>
                <w:szCs w:val="21"/>
              </w:rPr>
            </w:pPr>
            <w:r>
              <w:rPr>
                <w:b w:val="0"/>
                <w:bCs/>
                <w:sz w:val="21"/>
                <w:szCs w:val="21"/>
              </w:rPr>
              <w:t>2.0</w:t>
            </w:r>
          </w:p>
        </w:tc>
        <w:tc>
          <w:tcPr>
            <w:tcW w:w="439" w:type="pct"/>
            <w:vAlign w:val="center"/>
          </w:tcPr>
          <w:p>
            <w:pPr>
              <w:pStyle w:val="68"/>
              <w:adjustRightInd/>
              <w:snapToGrid/>
              <w:spacing w:afterLines="0"/>
              <w:jc w:val="center"/>
              <w:rPr>
                <w:sz w:val="21"/>
                <w:szCs w:val="21"/>
              </w:rPr>
            </w:pPr>
            <w:r>
              <w:rPr>
                <w:sz w:val="21"/>
                <w:szCs w:val="21"/>
              </w:rPr>
              <w:t>44.27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restart"/>
            <w:vAlign w:val="center"/>
          </w:tcPr>
          <w:p>
            <w:pPr>
              <w:pStyle w:val="68"/>
              <w:spacing w:afterLines="0"/>
              <w:jc w:val="center"/>
              <w:rPr>
                <w:sz w:val="21"/>
                <w:szCs w:val="21"/>
              </w:rPr>
            </w:pPr>
            <w:r>
              <w:rPr>
                <w:b w:val="0"/>
                <w:bCs/>
                <w:sz w:val="21"/>
                <w:szCs w:val="21"/>
              </w:rPr>
              <w:t>洗车池</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bCs/>
                <w:sz w:val="21"/>
                <w:szCs w:val="21"/>
              </w:rPr>
            </w:pPr>
            <w:r>
              <w:rPr>
                <w:b w:val="0"/>
                <w:bCs/>
                <w:sz w:val="21"/>
                <w:szCs w:val="21"/>
              </w:rPr>
              <w:t>座</w:t>
            </w:r>
          </w:p>
        </w:tc>
        <w:tc>
          <w:tcPr>
            <w:tcW w:w="593" w:type="pct"/>
            <w:vAlign w:val="center"/>
          </w:tcPr>
          <w:p>
            <w:pPr>
              <w:pStyle w:val="68"/>
              <w:adjustRightInd/>
              <w:snapToGrid/>
              <w:spacing w:afterLines="0"/>
              <w:jc w:val="center"/>
              <w:rPr>
                <w:b w:val="0"/>
                <w:bCs/>
                <w:sz w:val="21"/>
                <w:szCs w:val="21"/>
              </w:rPr>
            </w:pPr>
            <w:r>
              <w:rPr>
                <w:b w:val="0"/>
                <w:bCs/>
                <w:sz w:val="21"/>
                <w:szCs w:val="21"/>
              </w:rPr>
              <w:t>6</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土方开挖</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126</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42</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168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素土夯实</w:t>
            </w:r>
          </w:p>
        </w:tc>
        <w:tc>
          <w:tcPr>
            <w:tcW w:w="301" w:type="pct"/>
            <w:vAlign w:val="center"/>
          </w:tcPr>
          <w:p>
            <w:pPr>
              <w:pStyle w:val="68"/>
              <w:adjustRightInd/>
              <w:snapToGrid/>
              <w:spacing w:afterLines="0"/>
              <w:jc w:val="center"/>
              <w:rPr>
                <w:b w:val="0"/>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66.78</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22.26</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89.04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砂砾石回填</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54</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18</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C25砼现浇</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72</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24</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96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钢筋制安</w:t>
            </w:r>
          </w:p>
        </w:tc>
        <w:tc>
          <w:tcPr>
            <w:tcW w:w="301" w:type="pct"/>
            <w:vAlign w:val="center"/>
          </w:tcPr>
          <w:p>
            <w:pPr>
              <w:pStyle w:val="68"/>
              <w:adjustRightInd/>
              <w:snapToGrid/>
              <w:spacing w:afterLines="0"/>
              <w:jc w:val="center"/>
              <w:rPr>
                <w:b w:val="0"/>
                <w:bCs/>
                <w:sz w:val="21"/>
                <w:szCs w:val="21"/>
              </w:rPr>
            </w:pPr>
            <w:r>
              <w:rPr>
                <w:b w:val="0"/>
                <w:bCs/>
                <w:sz w:val="21"/>
                <w:szCs w:val="21"/>
              </w:rPr>
              <w:t>t</w:t>
            </w:r>
          </w:p>
        </w:tc>
        <w:tc>
          <w:tcPr>
            <w:tcW w:w="593" w:type="pct"/>
            <w:vAlign w:val="center"/>
          </w:tcPr>
          <w:p>
            <w:pPr>
              <w:pStyle w:val="68"/>
              <w:adjustRightInd/>
              <w:snapToGrid/>
              <w:spacing w:afterLines="0"/>
              <w:jc w:val="center"/>
              <w:rPr>
                <w:b w:val="0"/>
                <w:bCs/>
                <w:sz w:val="21"/>
                <w:szCs w:val="21"/>
              </w:rPr>
            </w:pPr>
            <w:r>
              <w:rPr>
                <w:b w:val="0"/>
                <w:bCs/>
                <w:sz w:val="21"/>
                <w:szCs w:val="21"/>
              </w:rPr>
              <w:t>1.63</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0.54</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2.17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C25砼拆除</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r>
              <w:rPr>
                <w:b w:val="0"/>
                <w:bCs/>
                <w:sz w:val="21"/>
                <w:szCs w:val="21"/>
              </w:rPr>
              <w:t>72</w:t>
            </w:r>
          </w:p>
        </w:tc>
        <w:tc>
          <w:tcPr>
            <w:tcW w:w="593" w:type="pct"/>
            <w:vAlign w:val="center"/>
          </w:tcPr>
          <w:p>
            <w:pPr>
              <w:spacing w:line="240" w:lineRule="auto"/>
              <w:ind w:firstLine="0" w:firstLineChars="0"/>
              <w:jc w:val="center"/>
              <w:rPr>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24</w:t>
            </w: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96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5"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restart"/>
            <w:vAlign w:val="center"/>
          </w:tcPr>
          <w:p>
            <w:pPr>
              <w:pStyle w:val="68"/>
              <w:spacing w:afterLines="0"/>
              <w:jc w:val="center"/>
              <w:rPr>
                <w:sz w:val="21"/>
                <w:szCs w:val="21"/>
              </w:rPr>
            </w:pPr>
            <w:r>
              <w:rPr>
                <w:b w:val="0"/>
                <w:bCs/>
                <w:sz w:val="21"/>
                <w:szCs w:val="21"/>
              </w:rPr>
              <w:t>编织袋装土拦挡</w:t>
            </w:r>
          </w:p>
        </w:tc>
        <w:tc>
          <w:tcPr>
            <w:tcW w:w="747" w:type="pct"/>
            <w:vAlign w:val="center"/>
          </w:tcPr>
          <w:p>
            <w:pPr>
              <w:pStyle w:val="68"/>
              <w:adjustRightInd/>
              <w:snapToGrid/>
              <w:spacing w:afterLines="0"/>
              <w:jc w:val="center"/>
              <w:rPr>
                <w:b w:val="0"/>
                <w:bCs/>
                <w:sz w:val="21"/>
                <w:szCs w:val="21"/>
              </w:rPr>
            </w:pPr>
            <w:r>
              <w:rPr>
                <w:b w:val="0"/>
                <w:bCs/>
                <w:sz w:val="21"/>
                <w:szCs w:val="21"/>
              </w:rPr>
              <w:t>组成</w:t>
            </w:r>
          </w:p>
        </w:tc>
        <w:tc>
          <w:tcPr>
            <w:tcW w:w="301" w:type="pct"/>
            <w:vAlign w:val="center"/>
          </w:tcPr>
          <w:p>
            <w:pPr>
              <w:pStyle w:val="68"/>
              <w:adjustRightInd/>
              <w:snapToGrid/>
              <w:spacing w:afterLines="0"/>
              <w:jc w:val="center"/>
              <w:rPr>
                <w:b w:val="0"/>
                <w:bCs/>
                <w:sz w:val="21"/>
                <w:szCs w:val="21"/>
              </w:rPr>
            </w:pPr>
            <w:r>
              <w:rPr>
                <w:b w:val="0"/>
                <w:bCs/>
                <w:sz w:val="21"/>
                <w:szCs w:val="21"/>
              </w:rPr>
              <w:t>m</w:t>
            </w:r>
          </w:p>
        </w:tc>
        <w:tc>
          <w:tcPr>
            <w:tcW w:w="593" w:type="pct"/>
            <w:vAlign w:val="center"/>
          </w:tcPr>
          <w:p>
            <w:pPr>
              <w:pStyle w:val="68"/>
              <w:adjustRightInd/>
              <w:snapToGrid/>
              <w:spacing w:afterLines="0"/>
              <w:jc w:val="center"/>
              <w:rPr>
                <w:b w:val="0"/>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400</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400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9"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编织袋装土填筑</w:t>
            </w:r>
          </w:p>
        </w:tc>
        <w:tc>
          <w:tcPr>
            <w:tcW w:w="301"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640</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640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392" w:type="pct"/>
            <w:vMerge w:val="continue"/>
            <w:vAlign w:val="center"/>
          </w:tcPr>
          <w:p>
            <w:pPr>
              <w:spacing w:line="240" w:lineRule="auto"/>
              <w:ind w:firstLine="0" w:firstLineChars="0"/>
              <w:jc w:val="center"/>
              <w:rPr>
                <w:sz w:val="21"/>
                <w:szCs w:val="21"/>
              </w:rPr>
            </w:pPr>
          </w:p>
        </w:tc>
        <w:tc>
          <w:tcPr>
            <w:tcW w:w="422" w:type="pct"/>
            <w:vMerge w:val="continue"/>
            <w:vAlign w:val="center"/>
          </w:tcPr>
          <w:p>
            <w:pPr>
              <w:spacing w:line="240" w:lineRule="auto"/>
              <w:ind w:firstLine="0" w:firstLineChars="0"/>
              <w:jc w:val="center"/>
              <w:rPr>
                <w:sz w:val="21"/>
                <w:szCs w:val="21"/>
              </w:rPr>
            </w:pPr>
          </w:p>
        </w:tc>
        <w:tc>
          <w:tcPr>
            <w:tcW w:w="323" w:type="pct"/>
            <w:vMerge w:val="continue"/>
            <w:vAlign w:val="center"/>
          </w:tcPr>
          <w:p>
            <w:pPr>
              <w:spacing w:line="240" w:lineRule="auto"/>
              <w:ind w:firstLine="0" w:firstLineChars="0"/>
              <w:jc w:val="center"/>
              <w:rPr>
                <w:sz w:val="21"/>
                <w:szCs w:val="21"/>
              </w:rPr>
            </w:pPr>
          </w:p>
        </w:tc>
        <w:tc>
          <w:tcPr>
            <w:tcW w:w="747" w:type="pct"/>
            <w:vAlign w:val="center"/>
          </w:tcPr>
          <w:p>
            <w:pPr>
              <w:pStyle w:val="68"/>
              <w:adjustRightInd/>
              <w:snapToGrid/>
              <w:spacing w:afterLines="0"/>
              <w:jc w:val="center"/>
              <w:rPr>
                <w:b w:val="0"/>
                <w:bCs/>
                <w:sz w:val="21"/>
                <w:szCs w:val="21"/>
              </w:rPr>
            </w:pPr>
            <w:r>
              <w:rPr>
                <w:b w:val="0"/>
                <w:bCs/>
                <w:sz w:val="21"/>
                <w:szCs w:val="21"/>
              </w:rPr>
              <w:t>土袋拆除</w:t>
            </w:r>
          </w:p>
        </w:tc>
        <w:tc>
          <w:tcPr>
            <w:tcW w:w="301" w:type="pct"/>
            <w:vAlign w:val="center"/>
          </w:tcPr>
          <w:p>
            <w:pPr>
              <w:pStyle w:val="68"/>
              <w:adjustRightInd/>
              <w:snapToGrid/>
              <w:spacing w:afterLines="0"/>
              <w:jc w:val="center"/>
              <w:rPr>
                <w:b w:val="0"/>
                <w:sz w:val="21"/>
                <w:szCs w:val="21"/>
              </w:rPr>
            </w:pPr>
            <w:r>
              <w:rPr>
                <w:b w:val="0"/>
                <w:sz w:val="21"/>
                <w:szCs w:val="21"/>
              </w:rPr>
              <w:t>m</w:t>
            </w:r>
            <w:r>
              <w:rPr>
                <w:b w:val="0"/>
                <w:sz w:val="21"/>
                <w:szCs w:val="21"/>
                <w:vertAlign w:val="superscript"/>
              </w:rPr>
              <w:t>3</w:t>
            </w:r>
          </w:p>
        </w:tc>
        <w:tc>
          <w:tcPr>
            <w:tcW w:w="593" w:type="pct"/>
            <w:vAlign w:val="center"/>
          </w:tcPr>
          <w:p>
            <w:pPr>
              <w:pStyle w:val="68"/>
              <w:adjustRightInd/>
              <w:snapToGrid/>
              <w:spacing w:afterLines="0"/>
              <w:jc w:val="center"/>
              <w:rPr>
                <w:b w:val="0"/>
                <w:bCs/>
                <w:sz w:val="21"/>
                <w:szCs w:val="21"/>
              </w:rPr>
            </w:pPr>
          </w:p>
        </w:tc>
        <w:tc>
          <w:tcPr>
            <w:tcW w:w="593" w:type="pct"/>
            <w:vAlign w:val="center"/>
          </w:tcPr>
          <w:p>
            <w:pPr>
              <w:pStyle w:val="68"/>
              <w:adjustRightInd/>
              <w:snapToGrid/>
              <w:spacing w:afterLines="0"/>
              <w:jc w:val="center"/>
              <w:rPr>
                <w:b w:val="0"/>
                <w:bCs/>
                <w:sz w:val="21"/>
                <w:szCs w:val="21"/>
              </w:rPr>
            </w:pPr>
            <w:r>
              <w:rPr>
                <w:b w:val="0"/>
                <w:bCs/>
                <w:sz w:val="21"/>
                <w:szCs w:val="21"/>
              </w:rPr>
              <w:t>640</w:t>
            </w:r>
          </w:p>
        </w:tc>
        <w:tc>
          <w:tcPr>
            <w:tcW w:w="593" w:type="pct"/>
            <w:vAlign w:val="center"/>
          </w:tcPr>
          <w:p>
            <w:pPr>
              <w:spacing w:line="240" w:lineRule="auto"/>
              <w:ind w:firstLine="0" w:firstLineChars="0"/>
              <w:jc w:val="center"/>
              <w:rPr>
                <w:sz w:val="21"/>
                <w:szCs w:val="21"/>
              </w:rPr>
            </w:pPr>
          </w:p>
        </w:tc>
        <w:tc>
          <w:tcPr>
            <w:tcW w:w="594" w:type="pct"/>
            <w:vAlign w:val="center"/>
          </w:tcPr>
          <w:p>
            <w:pPr>
              <w:spacing w:line="240" w:lineRule="auto"/>
              <w:ind w:firstLine="0" w:firstLineChars="0"/>
              <w:jc w:val="center"/>
              <w:rPr>
                <w:sz w:val="21"/>
                <w:szCs w:val="21"/>
              </w:rPr>
            </w:pPr>
          </w:p>
        </w:tc>
        <w:tc>
          <w:tcPr>
            <w:tcW w:w="439" w:type="pct"/>
            <w:vAlign w:val="center"/>
          </w:tcPr>
          <w:p>
            <w:pPr>
              <w:pStyle w:val="68"/>
              <w:adjustRightInd/>
              <w:snapToGrid/>
              <w:spacing w:afterLines="0"/>
              <w:jc w:val="center"/>
              <w:rPr>
                <w:sz w:val="21"/>
                <w:szCs w:val="21"/>
              </w:rPr>
            </w:pPr>
            <w:r>
              <w:rPr>
                <w:sz w:val="21"/>
                <w:szCs w:val="21"/>
              </w:rPr>
              <w:t>640</w:t>
            </w:r>
          </w:p>
        </w:tc>
      </w:tr>
    </w:tbl>
    <w:p>
      <w:pPr>
        <w:ind w:firstLine="0" w:firstLineChars="0"/>
        <w:jc w:val="center"/>
      </w:pPr>
    </w:p>
    <w:p>
      <w:pPr>
        <w:pStyle w:val="6"/>
        <w:spacing w:beforeLines="50"/>
        <w:sectPr>
          <w:pgSz w:w="16838" w:h="11905" w:orient="landscape"/>
          <w:pgMar w:top="1417" w:right="1417" w:bottom="1417" w:left="1417" w:header="850" w:footer="992" w:gutter="0"/>
          <w:cols w:space="720" w:num="1"/>
          <w:docGrid w:linePitch="312" w:charSpace="0"/>
        </w:sectPr>
      </w:pPr>
    </w:p>
    <w:p>
      <w:pPr>
        <w:pStyle w:val="6"/>
        <w:spacing w:beforeLines="50"/>
      </w:pPr>
      <w:r>
        <w:t>5.3.3远期建设区</w:t>
      </w:r>
    </w:p>
    <w:p>
      <w:pPr>
        <w:ind w:firstLine="482"/>
        <w:rPr>
          <w:b/>
          <w:bCs/>
          <w:kern w:val="0"/>
          <w:szCs w:val="24"/>
        </w:rPr>
      </w:pPr>
      <w:r>
        <w:rPr>
          <w:b/>
          <w:bCs/>
        </w:rPr>
        <w:t>本评估报告要求入驻项目在建设过程中落实完善的水土保持措施体系，并加强管护，保证水土保持措施安全有效运行。根据规划期及本评估方案期限，本报告仅对远期水土保持工作提要求，待本报告水土保持服务期满后，再对远期进行详细评估。同时，建议园区根据区域水土流失动态监测结果，结合园区景观规划的需要，对远期建设区局部水土流失剧烈及以上的区域，主要采取补植补种措施，恢复绿化。</w:t>
      </w:r>
    </w:p>
    <w:p>
      <w:pPr>
        <w:pStyle w:val="7"/>
      </w:pPr>
      <w:r>
        <w:t>5.3.3.1未建区</w:t>
      </w:r>
    </w:p>
    <w:p>
      <w:pPr>
        <w:pStyle w:val="8"/>
        <w:rPr>
          <w:rFonts w:eastAsia="仿宋_GB2312"/>
        </w:rPr>
      </w:pPr>
      <w:r>
        <w:rPr>
          <w:rFonts w:eastAsia="仿宋_GB2312"/>
        </w:rPr>
        <w:t>5.3.3.1.1工业用地区</w:t>
      </w:r>
    </w:p>
    <w:p>
      <w:pPr>
        <w:ind w:firstLine="480"/>
        <w:rPr>
          <w:b/>
          <w:bCs/>
          <w:kern w:val="0"/>
          <w:szCs w:val="24"/>
        </w:rPr>
      </w:pPr>
      <w:r>
        <w:t>根据近期水土保持措施设计情况，本报告要求远期入驻企业在场平前对具备表土剥离条件区域实施表土剥离措施；合理布设截排水措施；场平过程中开挖回填边坡防雨布临时苫盖；裸露面区域周边布设临时截排水沟、临时沉沙池等措施；</w:t>
      </w:r>
      <w:r>
        <w:rPr>
          <w:kern w:val="0"/>
          <w:szCs w:val="24"/>
        </w:rPr>
        <w:t>各地块的主要出入口设置</w:t>
      </w:r>
      <w:r>
        <w:t>临时洗车池及沉沙池</w:t>
      </w:r>
      <w:r>
        <w:rPr>
          <w:kern w:val="0"/>
          <w:szCs w:val="24"/>
        </w:rPr>
        <w:t>措施</w:t>
      </w:r>
      <w:r>
        <w:t>。</w:t>
      </w:r>
    </w:p>
    <w:p>
      <w:pPr>
        <w:pStyle w:val="8"/>
        <w:spacing w:beforeLines="50"/>
        <w:rPr>
          <w:rFonts w:eastAsia="仿宋_GB2312"/>
        </w:rPr>
      </w:pPr>
      <w:r>
        <w:rPr>
          <w:rFonts w:eastAsia="仿宋_GB2312"/>
        </w:rPr>
        <w:t>5.3.3.1.2道路与交通设施用地区</w:t>
      </w:r>
    </w:p>
    <w:p>
      <w:pPr>
        <w:ind w:firstLine="482"/>
        <w:rPr>
          <w:b/>
          <w:bCs/>
        </w:rPr>
      </w:pPr>
      <w:r>
        <w:rPr>
          <w:b/>
          <w:bCs/>
        </w:rPr>
        <w:t>根据近期水土保持措施设计情况，本报告要求远期道路与交通设施用地区按远期规划道路及交通规划设计，合理布设雨水管及雨水口；</w:t>
      </w:r>
      <w:r>
        <w:t>场平前对具备表土剥离条件区域实施表土剥离措施；场平过程中开挖回填边坡防雨布临时苫盖；裸露面区域周边布设临时截排水沟、临时沉沙池等措施，临时堆土、堆料采用土袋挡墙及苫盖措施；主体施工结束后，及时种植行道树及边坡绿化。</w:t>
      </w:r>
    </w:p>
    <w:p>
      <w:pPr>
        <w:pStyle w:val="8"/>
        <w:rPr>
          <w:rFonts w:eastAsia="仿宋_GB2312"/>
        </w:rPr>
      </w:pPr>
      <w:r>
        <w:rPr>
          <w:rFonts w:eastAsia="仿宋_GB2312"/>
        </w:rPr>
        <w:t>5.3.3.1.3公用设施用地区</w:t>
      </w:r>
    </w:p>
    <w:p>
      <w:pPr>
        <w:ind w:firstLine="482"/>
        <w:rPr>
          <w:b/>
          <w:bCs/>
        </w:rPr>
      </w:pPr>
      <w:r>
        <w:rPr>
          <w:b/>
          <w:bCs/>
        </w:rPr>
        <w:t>根据近期水土保持措施设计情况，本报告要求公用设施用地区按远期规划设计，</w:t>
      </w:r>
      <w:r>
        <w:t>场平前对具备表土剥离条件区域实施表土剥离措施；场平过程中开挖回填边坡防雨布临时苫盖；</w:t>
      </w:r>
      <w:r>
        <w:rPr>
          <w:kern w:val="0"/>
          <w:szCs w:val="24"/>
        </w:rPr>
        <w:t>各地块的主要出入口设置</w:t>
      </w:r>
      <w:r>
        <w:t>临时洗车池及沉沙池</w:t>
      </w:r>
      <w:r>
        <w:rPr>
          <w:kern w:val="0"/>
          <w:szCs w:val="24"/>
        </w:rPr>
        <w:t>措施</w:t>
      </w:r>
      <w:r>
        <w:t>。</w:t>
      </w:r>
    </w:p>
    <w:p>
      <w:pPr>
        <w:pStyle w:val="8"/>
        <w:spacing w:beforeLines="50"/>
        <w:rPr>
          <w:rFonts w:eastAsia="仿宋_GB2312"/>
        </w:rPr>
      </w:pPr>
      <w:r>
        <w:rPr>
          <w:rFonts w:eastAsia="仿宋_GB2312"/>
        </w:rPr>
        <w:t>5.3.3.1.4绿地与广场用地区</w:t>
      </w:r>
    </w:p>
    <w:p>
      <w:pPr>
        <w:ind w:firstLine="482"/>
      </w:pPr>
      <w:r>
        <w:rPr>
          <w:b/>
          <w:bCs/>
        </w:rPr>
        <w:t>根据近期水土保持措施设计情况，本报告要求根据远期绿化与广场用地区规划设计，</w:t>
      </w:r>
      <w:r>
        <w:t>场平前对具备表土剥离条件区域实施表土剥离措施；针对施工区域可能产生的裸露坡面，在降雨和大风时容易造成冲刷及扬尘，进行防雨布苫盖、大块石压边的形式进行临时苫盖；及时实施绿化措施。植被栽植后，应定期对其进行浇灌补植维护，病虫害治疗等，保证植被成活；在覆土后有大面积裸露地表，在覆土后及时做好临时覆盖措施以防止大面积水土流失。</w:t>
      </w:r>
    </w:p>
    <w:p>
      <w:pPr>
        <w:pStyle w:val="6"/>
        <w:spacing w:beforeLines="50"/>
      </w:pPr>
      <w:r>
        <w:t>5.3.4临时堆场区</w:t>
      </w:r>
    </w:p>
    <w:p>
      <w:pPr>
        <w:pStyle w:val="7"/>
      </w:pPr>
      <w:r>
        <w:t>5.3.4.1表土中转场</w:t>
      </w:r>
    </w:p>
    <w:p>
      <w:pPr>
        <w:ind w:firstLine="482"/>
        <w:rPr>
          <w:b/>
          <w:bCs/>
        </w:rPr>
      </w:pPr>
      <w:r>
        <w:rPr>
          <w:b/>
          <w:bCs/>
        </w:rPr>
        <w:t>1、植物措施</w:t>
      </w:r>
    </w:p>
    <w:p>
      <w:pPr>
        <w:ind w:firstLine="480"/>
        <w:rPr>
          <w:lang w:val="zh-CN"/>
        </w:rPr>
      </w:pPr>
      <w:r>
        <w:t>（1）</w:t>
      </w:r>
      <w:r>
        <w:rPr>
          <w:lang w:val="zh-CN"/>
        </w:rPr>
        <w:t>撒播草籽（报告新增）</w:t>
      </w:r>
    </w:p>
    <w:p>
      <w:pPr>
        <w:ind w:firstLine="480"/>
      </w:pPr>
      <w:r>
        <w:t>由于表土裸露堆放时间较长，本报告在表土顶面及坡面新增撒播草籽进行绿化，绿化面积42.19hm</w:t>
      </w:r>
      <w:r>
        <w:rPr>
          <w:vertAlign w:val="superscript"/>
        </w:rPr>
        <w:t>2</w:t>
      </w:r>
      <w:r>
        <w:t>。草籽选用当地适生的狗牙根（Cymbopogondistans（Nees）Wats.）。草籽用量为80kg/hm</w:t>
      </w:r>
      <w:r>
        <w:rPr>
          <w:vertAlign w:val="superscript"/>
        </w:rPr>
        <w:t>2</w:t>
      </w:r>
      <w:r>
        <w:t>，共需草籽3375.20kg。</w:t>
      </w:r>
    </w:p>
    <w:p>
      <w:pPr>
        <w:pStyle w:val="46"/>
        <w:ind w:firstLine="482"/>
        <w:rPr>
          <w:b/>
          <w:bCs/>
        </w:rPr>
      </w:pPr>
      <w:r>
        <w:rPr>
          <w:b/>
          <w:bCs/>
        </w:rPr>
        <w:t>2、临时措施</w:t>
      </w:r>
    </w:p>
    <w:p>
      <w:pPr>
        <w:ind w:firstLine="480"/>
        <w:rPr>
          <w:kern w:val="0"/>
          <w:szCs w:val="24"/>
        </w:rPr>
      </w:pPr>
      <w:r>
        <w:rPr>
          <w:kern w:val="0"/>
          <w:szCs w:val="24"/>
        </w:rPr>
        <w:t>表土堆场均布置在道路一侧的绿地区域，堆场的临时排水可依托工业用地及道路设置的临时排水沟进行排水。故不再重复新增表土堆场的临时排水措施。</w:t>
      </w:r>
    </w:p>
    <w:p>
      <w:pPr>
        <w:ind w:firstLine="480"/>
        <w:rPr>
          <w:kern w:val="0"/>
          <w:szCs w:val="24"/>
        </w:rPr>
      </w:pPr>
      <w:r>
        <w:rPr>
          <w:kern w:val="0"/>
          <w:szCs w:val="24"/>
        </w:rPr>
        <w:t>（1）密目网苫盖（</w:t>
      </w:r>
      <w:r>
        <w:rPr>
          <w:lang w:val="zh-CN"/>
        </w:rPr>
        <w:t>报告新增</w:t>
      </w:r>
      <w:r>
        <w:rPr>
          <w:kern w:val="0"/>
          <w:szCs w:val="24"/>
        </w:rPr>
        <w:t>）</w:t>
      </w:r>
    </w:p>
    <w:p>
      <w:pPr>
        <w:ind w:firstLine="480"/>
        <w:rPr>
          <w:kern w:val="0"/>
          <w:szCs w:val="24"/>
        </w:rPr>
      </w:pPr>
      <w:r>
        <w:t>本报告在表土顶面及坡面新增</w:t>
      </w:r>
      <w:r>
        <w:rPr>
          <w:kern w:val="0"/>
          <w:szCs w:val="24"/>
        </w:rPr>
        <w:t>密目网苫盖措施，经统计，密目网苫盖面积为42.19hm</w:t>
      </w:r>
      <w:r>
        <w:rPr>
          <w:kern w:val="0"/>
          <w:szCs w:val="24"/>
          <w:vertAlign w:val="superscript"/>
        </w:rPr>
        <w:t>2</w:t>
      </w:r>
      <w:r>
        <w:rPr>
          <w:kern w:val="0"/>
          <w:szCs w:val="24"/>
        </w:rPr>
        <w:t>。</w:t>
      </w:r>
    </w:p>
    <w:p>
      <w:pPr>
        <w:ind w:firstLine="480"/>
      </w:pPr>
      <w:r>
        <w:t>（2）临时拦挡措施（报告新增）</w:t>
      </w:r>
    </w:p>
    <w:p>
      <w:pPr>
        <w:ind w:firstLine="480"/>
      </w:pPr>
      <w:r>
        <w:t>为防止表土滑移，本报告将在堆场四周用编织袋装土码砌进行临时拦挡，码砌断面规格为梯形断面。根据堆土高度设计顶宽0.6m，底宽2.60m，高1.0m，总布设长度为22600m，编织袋填土及拆除36160m</w:t>
      </w:r>
      <w:r>
        <w:rPr>
          <w:vertAlign w:val="superscript"/>
        </w:rPr>
        <w:t>3</w:t>
      </w:r>
      <w:r>
        <w:t>。</w:t>
      </w:r>
    </w:p>
    <w:p>
      <w:pPr>
        <w:ind w:firstLine="0" w:firstLineChars="0"/>
        <w:jc w:val="center"/>
        <w:rPr>
          <w:b/>
          <w:bCs/>
        </w:rPr>
      </w:pPr>
      <w:r>
        <w:rPr>
          <w:b/>
          <w:bCs/>
        </w:rPr>
        <w:t>表5.3-7表土中转场水土保持措施工程量明细表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41"/>
        <w:gridCol w:w="809"/>
        <w:gridCol w:w="1450"/>
        <w:gridCol w:w="835"/>
        <w:gridCol w:w="794"/>
        <w:gridCol w:w="794"/>
        <w:gridCol w:w="794"/>
        <w:gridCol w:w="794"/>
        <w:gridCol w:w="794"/>
        <w:gridCol w:w="794"/>
        <w:gridCol w:w="78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5" w:hRule="atLeast"/>
        </w:trPr>
        <w:tc>
          <w:tcPr>
            <w:tcW w:w="350" w:type="pct"/>
            <w:vMerge w:val="restart"/>
            <w:vAlign w:val="center"/>
          </w:tcPr>
          <w:p>
            <w:pPr>
              <w:spacing w:line="240" w:lineRule="auto"/>
              <w:ind w:firstLine="0" w:firstLineChars="0"/>
              <w:jc w:val="center"/>
              <w:rPr>
                <w:b/>
                <w:bCs/>
                <w:sz w:val="21"/>
                <w:szCs w:val="21"/>
              </w:rPr>
            </w:pPr>
            <w:r>
              <w:rPr>
                <w:b/>
                <w:bCs/>
                <w:sz w:val="21"/>
                <w:szCs w:val="21"/>
              </w:rPr>
              <w:t>措施类型</w:t>
            </w:r>
          </w:p>
        </w:tc>
        <w:tc>
          <w:tcPr>
            <w:tcW w:w="1225" w:type="pct"/>
            <w:gridSpan w:val="2"/>
            <w:vMerge w:val="restart"/>
            <w:vAlign w:val="center"/>
          </w:tcPr>
          <w:p>
            <w:pPr>
              <w:spacing w:line="240" w:lineRule="auto"/>
              <w:ind w:firstLine="0" w:firstLineChars="0"/>
              <w:jc w:val="center"/>
              <w:rPr>
                <w:b/>
                <w:bCs/>
                <w:sz w:val="21"/>
                <w:szCs w:val="21"/>
              </w:rPr>
            </w:pPr>
            <w:r>
              <w:rPr>
                <w:b/>
                <w:bCs/>
                <w:sz w:val="21"/>
                <w:szCs w:val="21"/>
              </w:rPr>
              <w:t>措施名称</w:t>
            </w:r>
          </w:p>
        </w:tc>
        <w:tc>
          <w:tcPr>
            <w:tcW w:w="454" w:type="pct"/>
            <w:vMerge w:val="restart"/>
            <w:vAlign w:val="center"/>
          </w:tcPr>
          <w:p>
            <w:pPr>
              <w:spacing w:line="240" w:lineRule="auto"/>
              <w:ind w:firstLine="0" w:firstLineChars="0"/>
              <w:jc w:val="center"/>
              <w:rPr>
                <w:b/>
                <w:bCs/>
                <w:sz w:val="21"/>
                <w:szCs w:val="21"/>
              </w:rPr>
            </w:pPr>
            <w:r>
              <w:rPr>
                <w:b/>
                <w:bCs/>
                <w:sz w:val="21"/>
                <w:szCs w:val="21"/>
              </w:rPr>
              <w:t>单位</w:t>
            </w:r>
          </w:p>
        </w:tc>
        <w:tc>
          <w:tcPr>
            <w:tcW w:w="2969" w:type="pct"/>
            <w:gridSpan w:val="7"/>
            <w:vAlign w:val="center"/>
          </w:tcPr>
          <w:p>
            <w:pPr>
              <w:spacing w:line="240" w:lineRule="auto"/>
              <w:ind w:firstLine="0" w:firstLineChars="0"/>
              <w:jc w:val="center"/>
              <w:rPr>
                <w:b/>
                <w:bCs/>
                <w:sz w:val="21"/>
                <w:szCs w:val="21"/>
              </w:rPr>
            </w:pPr>
            <w:r>
              <w:rPr>
                <w:b/>
                <w:bCs/>
                <w:sz w:val="21"/>
                <w:szCs w:val="21"/>
              </w:rPr>
              <w:t>工程量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7" w:hRule="atLeast"/>
        </w:trPr>
        <w:tc>
          <w:tcPr>
            <w:tcW w:w="350" w:type="pct"/>
            <w:vMerge w:val="continue"/>
            <w:vAlign w:val="center"/>
          </w:tcPr>
          <w:p>
            <w:pPr>
              <w:spacing w:line="240" w:lineRule="auto"/>
              <w:ind w:firstLine="0" w:firstLineChars="0"/>
              <w:jc w:val="center"/>
              <w:rPr>
                <w:b/>
                <w:bCs/>
                <w:sz w:val="21"/>
                <w:szCs w:val="21"/>
              </w:rPr>
            </w:pPr>
          </w:p>
        </w:tc>
        <w:tc>
          <w:tcPr>
            <w:tcW w:w="1225" w:type="pct"/>
            <w:gridSpan w:val="2"/>
            <w:vMerge w:val="continue"/>
            <w:vAlign w:val="center"/>
          </w:tcPr>
          <w:p>
            <w:pPr>
              <w:spacing w:line="240" w:lineRule="auto"/>
              <w:ind w:firstLine="0" w:firstLineChars="0"/>
              <w:jc w:val="center"/>
              <w:rPr>
                <w:b/>
                <w:bCs/>
                <w:sz w:val="21"/>
                <w:szCs w:val="21"/>
              </w:rPr>
            </w:pPr>
          </w:p>
        </w:tc>
        <w:tc>
          <w:tcPr>
            <w:tcW w:w="454" w:type="pct"/>
            <w:vMerge w:val="continue"/>
            <w:vAlign w:val="center"/>
          </w:tcPr>
          <w:p>
            <w:pPr>
              <w:spacing w:line="240" w:lineRule="auto"/>
              <w:ind w:firstLine="0" w:firstLineChars="0"/>
              <w:jc w:val="center"/>
              <w:rPr>
                <w:b/>
                <w:bCs/>
                <w:sz w:val="21"/>
                <w:szCs w:val="21"/>
              </w:rPr>
            </w:pPr>
          </w:p>
        </w:tc>
        <w:tc>
          <w:tcPr>
            <w:tcW w:w="424" w:type="pct"/>
            <w:vAlign w:val="center"/>
          </w:tcPr>
          <w:p>
            <w:pPr>
              <w:spacing w:line="240" w:lineRule="auto"/>
              <w:ind w:firstLine="0" w:firstLineChars="0"/>
              <w:jc w:val="center"/>
              <w:rPr>
                <w:b/>
                <w:bCs/>
                <w:sz w:val="21"/>
                <w:szCs w:val="21"/>
              </w:rPr>
            </w:pPr>
            <w:r>
              <w:rPr>
                <w:b/>
                <w:bCs/>
                <w:sz w:val="21"/>
                <w:szCs w:val="21"/>
              </w:rPr>
              <w:t>1#</w:t>
            </w:r>
          </w:p>
        </w:tc>
        <w:tc>
          <w:tcPr>
            <w:tcW w:w="424" w:type="pct"/>
            <w:vAlign w:val="center"/>
          </w:tcPr>
          <w:p>
            <w:pPr>
              <w:spacing w:line="240" w:lineRule="auto"/>
              <w:ind w:firstLine="0" w:firstLineChars="0"/>
              <w:jc w:val="center"/>
              <w:rPr>
                <w:b/>
                <w:bCs/>
                <w:sz w:val="21"/>
                <w:szCs w:val="21"/>
              </w:rPr>
            </w:pPr>
            <w:r>
              <w:rPr>
                <w:b/>
                <w:bCs/>
                <w:sz w:val="21"/>
                <w:szCs w:val="21"/>
              </w:rPr>
              <w:t>2#</w:t>
            </w:r>
          </w:p>
        </w:tc>
        <w:tc>
          <w:tcPr>
            <w:tcW w:w="424" w:type="pct"/>
            <w:vAlign w:val="center"/>
          </w:tcPr>
          <w:p>
            <w:pPr>
              <w:spacing w:line="240" w:lineRule="auto"/>
              <w:ind w:firstLine="0" w:firstLineChars="0"/>
              <w:jc w:val="center"/>
              <w:rPr>
                <w:b/>
                <w:bCs/>
                <w:sz w:val="21"/>
                <w:szCs w:val="21"/>
              </w:rPr>
            </w:pPr>
            <w:r>
              <w:rPr>
                <w:b/>
                <w:bCs/>
                <w:sz w:val="21"/>
                <w:szCs w:val="21"/>
              </w:rPr>
              <w:t>3#</w:t>
            </w:r>
          </w:p>
        </w:tc>
        <w:tc>
          <w:tcPr>
            <w:tcW w:w="424" w:type="pct"/>
            <w:vAlign w:val="center"/>
          </w:tcPr>
          <w:p>
            <w:pPr>
              <w:spacing w:line="240" w:lineRule="auto"/>
              <w:ind w:firstLine="0" w:firstLineChars="0"/>
              <w:jc w:val="center"/>
              <w:rPr>
                <w:b/>
                <w:bCs/>
                <w:sz w:val="21"/>
                <w:szCs w:val="21"/>
              </w:rPr>
            </w:pPr>
            <w:r>
              <w:rPr>
                <w:b/>
                <w:bCs/>
                <w:sz w:val="21"/>
                <w:szCs w:val="21"/>
              </w:rPr>
              <w:t>4#</w:t>
            </w:r>
          </w:p>
        </w:tc>
        <w:tc>
          <w:tcPr>
            <w:tcW w:w="424" w:type="pct"/>
            <w:vAlign w:val="center"/>
          </w:tcPr>
          <w:p>
            <w:pPr>
              <w:spacing w:line="240" w:lineRule="auto"/>
              <w:ind w:firstLine="0" w:firstLineChars="0"/>
              <w:jc w:val="center"/>
              <w:rPr>
                <w:b/>
                <w:bCs/>
                <w:sz w:val="21"/>
                <w:szCs w:val="21"/>
              </w:rPr>
            </w:pPr>
            <w:r>
              <w:rPr>
                <w:b/>
                <w:bCs/>
                <w:sz w:val="21"/>
                <w:szCs w:val="21"/>
              </w:rPr>
              <w:t>5#</w:t>
            </w:r>
          </w:p>
        </w:tc>
        <w:tc>
          <w:tcPr>
            <w:tcW w:w="424" w:type="pct"/>
            <w:vAlign w:val="center"/>
          </w:tcPr>
          <w:p>
            <w:pPr>
              <w:spacing w:line="240" w:lineRule="auto"/>
              <w:ind w:firstLine="0" w:firstLineChars="0"/>
              <w:jc w:val="center"/>
              <w:rPr>
                <w:b/>
                <w:bCs/>
                <w:sz w:val="21"/>
                <w:szCs w:val="21"/>
              </w:rPr>
            </w:pPr>
            <w:r>
              <w:rPr>
                <w:b/>
                <w:bCs/>
                <w:sz w:val="21"/>
                <w:szCs w:val="21"/>
              </w:rPr>
              <w:t>6#</w:t>
            </w:r>
          </w:p>
        </w:tc>
        <w:tc>
          <w:tcPr>
            <w:tcW w:w="425" w:type="pct"/>
            <w:vAlign w:val="center"/>
          </w:tcPr>
          <w:p>
            <w:pPr>
              <w:spacing w:line="240" w:lineRule="auto"/>
              <w:ind w:firstLine="0" w:firstLineChars="0"/>
              <w:jc w:val="center"/>
              <w:rPr>
                <w:b/>
                <w:bCs/>
                <w:sz w:val="21"/>
                <w:szCs w:val="21"/>
              </w:rPr>
            </w:pPr>
            <w:r>
              <w:rPr>
                <w:b/>
                <w:bCs/>
                <w:sz w:val="21"/>
                <w:szCs w:val="21"/>
              </w:rPr>
              <w:t>合计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7" w:hRule="atLeast"/>
        </w:trPr>
        <w:tc>
          <w:tcPr>
            <w:tcW w:w="350" w:type="pct"/>
            <w:vAlign w:val="center"/>
          </w:tcPr>
          <w:p>
            <w:pPr>
              <w:spacing w:line="240" w:lineRule="auto"/>
              <w:ind w:firstLine="0" w:firstLineChars="0"/>
              <w:jc w:val="center"/>
              <w:rPr>
                <w:sz w:val="21"/>
                <w:szCs w:val="21"/>
              </w:rPr>
            </w:pPr>
            <w:r>
              <w:rPr>
                <w:sz w:val="21"/>
                <w:szCs w:val="21"/>
              </w:rPr>
              <w:t>植物措施</w:t>
            </w:r>
          </w:p>
        </w:tc>
        <w:tc>
          <w:tcPr>
            <w:tcW w:w="1225" w:type="pct"/>
            <w:gridSpan w:val="2"/>
            <w:vAlign w:val="center"/>
          </w:tcPr>
          <w:p>
            <w:pPr>
              <w:spacing w:line="240" w:lineRule="auto"/>
              <w:ind w:firstLine="0" w:firstLineChars="0"/>
              <w:jc w:val="center"/>
              <w:rPr>
                <w:b/>
                <w:bCs/>
                <w:sz w:val="21"/>
                <w:szCs w:val="21"/>
              </w:rPr>
            </w:pPr>
            <w:r>
              <w:rPr>
                <w:sz w:val="21"/>
                <w:szCs w:val="21"/>
                <w:lang w:val="zh-CN"/>
              </w:rPr>
              <w:t>撒播草籽</w:t>
            </w:r>
          </w:p>
        </w:tc>
        <w:tc>
          <w:tcPr>
            <w:tcW w:w="454" w:type="pct"/>
            <w:vAlign w:val="center"/>
          </w:tcPr>
          <w:p>
            <w:pPr>
              <w:spacing w:line="240" w:lineRule="auto"/>
              <w:ind w:firstLine="0" w:firstLineChars="0"/>
              <w:jc w:val="center"/>
              <w:rPr>
                <w:b/>
                <w:bCs/>
                <w:sz w:val="21"/>
                <w:szCs w:val="21"/>
              </w:rPr>
            </w:pPr>
            <w:r>
              <w:rPr>
                <w:sz w:val="21"/>
                <w:szCs w:val="21"/>
              </w:rPr>
              <w:t>hm</w:t>
            </w:r>
            <w:r>
              <w:rPr>
                <w:sz w:val="21"/>
                <w:szCs w:val="21"/>
                <w:vertAlign w:val="superscript"/>
              </w:rPr>
              <w:t>2</w:t>
            </w:r>
          </w:p>
        </w:tc>
        <w:tc>
          <w:tcPr>
            <w:tcW w:w="787" w:type="dxa"/>
            <w:vAlign w:val="center"/>
          </w:tcPr>
          <w:p>
            <w:pPr>
              <w:spacing w:line="240" w:lineRule="auto"/>
              <w:ind w:firstLine="0" w:firstLineChars="0"/>
              <w:jc w:val="center"/>
              <w:rPr>
                <w:b/>
                <w:bCs/>
                <w:sz w:val="21"/>
                <w:szCs w:val="21"/>
              </w:rPr>
            </w:pPr>
            <w:r>
              <w:rPr>
                <w:sz w:val="21"/>
                <w:szCs w:val="21"/>
              </w:rPr>
              <w:t>4.51</w:t>
            </w:r>
          </w:p>
        </w:tc>
        <w:tc>
          <w:tcPr>
            <w:tcW w:w="787" w:type="dxa"/>
            <w:vAlign w:val="center"/>
          </w:tcPr>
          <w:p>
            <w:pPr>
              <w:spacing w:line="240" w:lineRule="auto"/>
              <w:ind w:firstLine="0" w:firstLineChars="0"/>
              <w:jc w:val="center"/>
              <w:rPr>
                <w:b/>
                <w:bCs/>
                <w:sz w:val="21"/>
                <w:szCs w:val="21"/>
              </w:rPr>
            </w:pPr>
            <w:r>
              <w:rPr>
                <w:sz w:val="21"/>
                <w:szCs w:val="21"/>
              </w:rPr>
              <w:t>11.83</w:t>
            </w:r>
          </w:p>
        </w:tc>
        <w:tc>
          <w:tcPr>
            <w:tcW w:w="787" w:type="dxa"/>
            <w:vAlign w:val="center"/>
          </w:tcPr>
          <w:p>
            <w:pPr>
              <w:spacing w:line="240" w:lineRule="auto"/>
              <w:ind w:firstLine="0" w:firstLineChars="0"/>
              <w:jc w:val="center"/>
              <w:rPr>
                <w:b/>
                <w:bCs/>
                <w:sz w:val="21"/>
                <w:szCs w:val="21"/>
              </w:rPr>
            </w:pPr>
            <w:r>
              <w:rPr>
                <w:sz w:val="21"/>
                <w:szCs w:val="21"/>
              </w:rPr>
              <w:t>2.82</w:t>
            </w:r>
          </w:p>
        </w:tc>
        <w:tc>
          <w:tcPr>
            <w:tcW w:w="787" w:type="dxa"/>
            <w:vAlign w:val="center"/>
          </w:tcPr>
          <w:p>
            <w:pPr>
              <w:spacing w:line="240" w:lineRule="auto"/>
              <w:ind w:firstLine="0" w:firstLineChars="0"/>
              <w:jc w:val="center"/>
              <w:rPr>
                <w:b/>
                <w:bCs/>
                <w:sz w:val="21"/>
                <w:szCs w:val="21"/>
              </w:rPr>
            </w:pPr>
            <w:r>
              <w:rPr>
                <w:sz w:val="21"/>
                <w:szCs w:val="21"/>
              </w:rPr>
              <w:t>2.78</w:t>
            </w:r>
          </w:p>
        </w:tc>
        <w:tc>
          <w:tcPr>
            <w:tcW w:w="787" w:type="dxa"/>
            <w:vAlign w:val="center"/>
          </w:tcPr>
          <w:p>
            <w:pPr>
              <w:spacing w:line="240" w:lineRule="auto"/>
              <w:ind w:firstLine="0" w:firstLineChars="0"/>
              <w:jc w:val="center"/>
              <w:rPr>
                <w:b/>
                <w:bCs/>
                <w:sz w:val="21"/>
                <w:szCs w:val="21"/>
              </w:rPr>
            </w:pPr>
            <w:r>
              <w:rPr>
                <w:sz w:val="21"/>
                <w:szCs w:val="21"/>
              </w:rPr>
              <w:t>6.57</w:t>
            </w:r>
          </w:p>
        </w:tc>
        <w:tc>
          <w:tcPr>
            <w:tcW w:w="787" w:type="dxa"/>
            <w:vAlign w:val="center"/>
          </w:tcPr>
          <w:p>
            <w:pPr>
              <w:spacing w:line="240" w:lineRule="auto"/>
              <w:ind w:firstLine="0" w:firstLineChars="0"/>
              <w:jc w:val="center"/>
              <w:rPr>
                <w:b/>
                <w:bCs/>
                <w:sz w:val="21"/>
                <w:szCs w:val="21"/>
              </w:rPr>
            </w:pPr>
            <w:r>
              <w:rPr>
                <w:sz w:val="21"/>
                <w:szCs w:val="21"/>
              </w:rPr>
              <w:t>13.68</w:t>
            </w:r>
          </w:p>
        </w:tc>
        <w:tc>
          <w:tcPr>
            <w:tcW w:w="425" w:type="pct"/>
            <w:vAlign w:val="center"/>
          </w:tcPr>
          <w:p>
            <w:pPr>
              <w:spacing w:line="240" w:lineRule="auto"/>
              <w:ind w:firstLine="0" w:firstLineChars="0"/>
              <w:jc w:val="center"/>
              <w:rPr>
                <w:b/>
                <w:bCs/>
                <w:sz w:val="21"/>
                <w:szCs w:val="21"/>
              </w:rPr>
            </w:pPr>
            <w:r>
              <w:rPr>
                <w:b/>
                <w:bCs/>
                <w:sz w:val="21"/>
                <w:szCs w:val="21"/>
              </w:rPr>
              <w:t>42.19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6" w:hRule="atLeast"/>
        </w:trPr>
        <w:tc>
          <w:tcPr>
            <w:tcW w:w="350" w:type="pct"/>
            <w:vMerge w:val="restart"/>
            <w:vAlign w:val="center"/>
          </w:tcPr>
          <w:p>
            <w:pPr>
              <w:spacing w:line="240" w:lineRule="auto"/>
              <w:ind w:firstLine="0" w:firstLineChars="0"/>
              <w:jc w:val="center"/>
              <w:rPr>
                <w:sz w:val="21"/>
                <w:szCs w:val="21"/>
              </w:rPr>
            </w:pPr>
            <w:r>
              <w:rPr>
                <w:sz w:val="21"/>
                <w:szCs w:val="21"/>
              </w:rPr>
              <w:t>临时措施</w:t>
            </w:r>
          </w:p>
        </w:tc>
        <w:tc>
          <w:tcPr>
            <w:tcW w:w="1225" w:type="pct"/>
            <w:gridSpan w:val="2"/>
            <w:vAlign w:val="center"/>
          </w:tcPr>
          <w:p>
            <w:pPr>
              <w:spacing w:line="240" w:lineRule="auto"/>
              <w:ind w:firstLine="0" w:firstLineChars="0"/>
              <w:jc w:val="center"/>
              <w:rPr>
                <w:sz w:val="21"/>
                <w:szCs w:val="21"/>
              </w:rPr>
            </w:pPr>
            <w:r>
              <w:rPr>
                <w:sz w:val="21"/>
                <w:szCs w:val="21"/>
              </w:rPr>
              <w:t>密目网苫盖</w:t>
            </w:r>
          </w:p>
        </w:tc>
        <w:tc>
          <w:tcPr>
            <w:tcW w:w="454" w:type="pct"/>
            <w:vAlign w:val="center"/>
          </w:tcPr>
          <w:p>
            <w:pPr>
              <w:spacing w:line="240" w:lineRule="auto"/>
              <w:ind w:firstLine="0" w:firstLineChars="0"/>
              <w:jc w:val="center"/>
              <w:rPr>
                <w:sz w:val="21"/>
                <w:szCs w:val="21"/>
              </w:rPr>
            </w:pPr>
            <w:r>
              <w:rPr>
                <w:sz w:val="21"/>
                <w:szCs w:val="21"/>
              </w:rPr>
              <w:t>hm</w:t>
            </w:r>
            <w:r>
              <w:rPr>
                <w:sz w:val="21"/>
                <w:szCs w:val="21"/>
                <w:vertAlign w:val="superscript"/>
              </w:rPr>
              <w:t>2</w:t>
            </w:r>
          </w:p>
        </w:tc>
        <w:tc>
          <w:tcPr>
            <w:tcW w:w="424" w:type="pct"/>
            <w:vAlign w:val="center"/>
          </w:tcPr>
          <w:p>
            <w:pPr>
              <w:spacing w:line="240" w:lineRule="auto"/>
              <w:ind w:firstLine="0" w:firstLineChars="0"/>
              <w:jc w:val="center"/>
              <w:rPr>
                <w:sz w:val="21"/>
                <w:szCs w:val="21"/>
              </w:rPr>
            </w:pPr>
            <w:r>
              <w:rPr>
                <w:sz w:val="21"/>
                <w:szCs w:val="21"/>
              </w:rPr>
              <w:t>4.51</w:t>
            </w:r>
          </w:p>
        </w:tc>
        <w:tc>
          <w:tcPr>
            <w:tcW w:w="424" w:type="pct"/>
            <w:vAlign w:val="center"/>
          </w:tcPr>
          <w:p>
            <w:pPr>
              <w:spacing w:line="240" w:lineRule="auto"/>
              <w:ind w:firstLine="0" w:firstLineChars="0"/>
              <w:jc w:val="center"/>
              <w:rPr>
                <w:sz w:val="21"/>
                <w:szCs w:val="21"/>
              </w:rPr>
            </w:pPr>
            <w:r>
              <w:rPr>
                <w:sz w:val="21"/>
                <w:szCs w:val="21"/>
              </w:rPr>
              <w:t>11.83</w:t>
            </w:r>
          </w:p>
        </w:tc>
        <w:tc>
          <w:tcPr>
            <w:tcW w:w="424" w:type="pct"/>
            <w:vAlign w:val="center"/>
          </w:tcPr>
          <w:p>
            <w:pPr>
              <w:spacing w:line="240" w:lineRule="auto"/>
              <w:ind w:firstLine="0" w:firstLineChars="0"/>
              <w:jc w:val="center"/>
              <w:rPr>
                <w:sz w:val="21"/>
                <w:szCs w:val="21"/>
              </w:rPr>
            </w:pPr>
            <w:r>
              <w:rPr>
                <w:sz w:val="21"/>
                <w:szCs w:val="21"/>
              </w:rPr>
              <w:t>2.82</w:t>
            </w:r>
          </w:p>
        </w:tc>
        <w:tc>
          <w:tcPr>
            <w:tcW w:w="424" w:type="pct"/>
            <w:vAlign w:val="center"/>
          </w:tcPr>
          <w:p>
            <w:pPr>
              <w:spacing w:line="240" w:lineRule="auto"/>
              <w:ind w:firstLine="0" w:firstLineChars="0"/>
              <w:jc w:val="center"/>
              <w:rPr>
                <w:sz w:val="21"/>
                <w:szCs w:val="21"/>
              </w:rPr>
            </w:pPr>
            <w:r>
              <w:rPr>
                <w:sz w:val="21"/>
                <w:szCs w:val="21"/>
              </w:rPr>
              <w:t>2.78</w:t>
            </w:r>
          </w:p>
        </w:tc>
        <w:tc>
          <w:tcPr>
            <w:tcW w:w="424" w:type="pct"/>
            <w:vAlign w:val="center"/>
          </w:tcPr>
          <w:p>
            <w:pPr>
              <w:spacing w:line="240" w:lineRule="auto"/>
              <w:ind w:firstLine="0" w:firstLineChars="0"/>
              <w:jc w:val="center"/>
              <w:rPr>
                <w:sz w:val="21"/>
                <w:szCs w:val="21"/>
              </w:rPr>
            </w:pPr>
            <w:r>
              <w:rPr>
                <w:sz w:val="21"/>
                <w:szCs w:val="21"/>
              </w:rPr>
              <w:t>6.57</w:t>
            </w:r>
          </w:p>
        </w:tc>
        <w:tc>
          <w:tcPr>
            <w:tcW w:w="424" w:type="pct"/>
            <w:vAlign w:val="center"/>
          </w:tcPr>
          <w:p>
            <w:pPr>
              <w:spacing w:line="240" w:lineRule="auto"/>
              <w:ind w:firstLine="0" w:firstLineChars="0"/>
              <w:jc w:val="center"/>
              <w:rPr>
                <w:sz w:val="21"/>
                <w:szCs w:val="21"/>
              </w:rPr>
            </w:pPr>
            <w:r>
              <w:rPr>
                <w:sz w:val="21"/>
                <w:szCs w:val="21"/>
              </w:rPr>
              <w:t>13.68</w:t>
            </w:r>
          </w:p>
        </w:tc>
        <w:tc>
          <w:tcPr>
            <w:tcW w:w="425" w:type="pct"/>
            <w:vAlign w:val="center"/>
          </w:tcPr>
          <w:p>
            <w:pPr>
              <w:spacing w:line="240" w:lineRule="auto"/>
              <w:ind w:firstLine="0" w:firstLineChars="0"/>
              <w:jc w:val="center"/>
              <w:rPr>
                <w:b/>
                <w:bCs/>
                <w:sz w:val="21"/>
                <w:szCs w:val="21"/>
              </w:rPr>
            </w:pPr>
            <w:r>
              <w:rPr>
                <w:b/>
                <w:bCs/>
                <w:sz w:val="21"/>
                <w:szCs w:val="21"/>
              </w:rPr>
              <w:t>42.19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9" w:hRule="atLeast"/>
        </w:trPr>
        <w:tc>
          <w:tcPr>
            <w:tcW w:w="350" w:type="pct"/>
            <w:vMerge w:val="continue"/>
            <w:vAlign w:val="center"/>
          </w:tcPr>
          <w:p>
            <w:pPr>
              <w:spacing w:line="240" w:lineRule="auto"/>
              <w:ind w:firstLine="0" w:firstLineChars="0"/>
              <w:jc w:val="center"/>
              <w:rPr>
                <w:sz w:val="21"/>
                <w:szCs w:val="21"/>
              </w:rPr>
            </w:pPr>
          </w:p>
        </w:tc>
        <w:tc>
          <w:tcPr>
            <w:tcW w:w="440" w:type="pct"/>
            <w:vMerge w:val="restart"/>
            <w:vAlign w:val="center"/>
          </w:tcPr>
          <w:p>
            <w:pPr>
              <w:spacing w:line="240" w:lineRule="auto"/>
              <w:ind w:firstLine="0" w:firstLineChars="0"/>
              <w:jc w:val="center"/>
              <w:rPr>
                <w:sz w:val="21"/>
                <w:szCs w:val="21"/>
              </w:rPr>
            </w:pPr>
            <w:r>
              <w:rPr>
                <w:sz w:val="21"/>
                <w:szCs w:val="21"/>
              </w:rPr>
              <w:t>编织袋装土拦挡</w:t>
            </w:r>
          </w:p>
        </w:tc>
        <w:tc>
          <w:tcPr>
            <w:tcW w:w="784" w:type="pct"/>
            <w:vAlign w:val="center"/>
          </w:tcPr>
          <w:p>
            <w:pPr>
              <w:spacing w:line="240" w:lineRule="auto"/>
              <w:ind w:firstLine="0" w:firstLineChars="0"/>
              <w:jc w:val="center"/>
              <w:rPr>
                <w:sz w:val="21"/>
                <w:szCs w:val="21"/>
              </w:rPr>
            </w:pPr>
            <w:r>
              <w:rPr>
                <w:sz w:val="21"/>
                <w:szCs w:val="21"/>
              </w:rPr>
              <w:t>组成</w:t>
            </w:r>
          </w:p>
        </w:tc>
        <w:tc>
          <w:tcPr>
            <w:tcW w:w="454" w:type="pct"/>
            <w:vAlign w:val="center"/>
          </w:tcPr>
          <w:p>
            <w:pPr>
              <w:spacing w:line="240" w:lineRule="auto"/>
              <w:ind w:firstLine="0" w:firstLineChars="0"/>
              <w:jc w:val="center"/>
              <w:rPr>
                <w:sz w:val="21"/>
                <w:szCs w:val="21"/>
              </w:rPr>
            </w:pPr>
            <w:r>
              <w:rPr>
                <w:sz w:val="21"/>
                <w:szCs w:val="21"/>
              </w:rPr>
              <w:t>m</w:t>
            </w:r>
          </w:p>
        </w:tc>
        <w:tc>
          <w:tcPr>
            <w:tcW w:w="787" w:type="dxa"/>
            <w:vAlign w:val="center"/>
          </w:tcPr>
          <w:p>
            <w:pPr>
              <w:spacing w:line="240" w:lineRule="auto"/>
              <w:ind w:firstLine="0" w:firstLineChars="0"/>
              <w:jc w:val="center"/>
              <w:rPr>
                <w:sz w:val="21"/>
                <w:szCs w:val="21"/>
              </w:rPr>
            </w:pPr>
            <w:r>
              <w:rPr>
                <w:sz w:val="21"/>
                <w:szCs w:val="21"/>
              </w:rPr>
              <w:t>4903</w:t>
            </w:r>
          </w:p>
        </w:tc>
        <w:tc>
          <w:tcPr>
            <w:tcW w:w="787" w:type="dxa"/>
            <w:vAlign w:val="center"/>
          </w:tcPr>
          <w:p>
            <w:pPr>
              <w:spacing w:line="240" w:lineRule="auto"/>
              <w:ind w:firstLine="0" w:firstLineChars="0"/>
              <w:jc w:val="center"/>
              <w:rPr>
                <w:sz w:val="21"/>
                <w:szCs w:val="21"/>
              </w:rPr>
            </w:pPr>
            <w:r>
              <w:rPr>
                <w:sz w:val="21"/>
                <w:szCs w:val="21"/>
              </w:rPr>
              <w:t>2779</w:t>
            </w:r>
          </w:p>
        </w:tc>
        <w:tc>
          <w:tcPr>
            <w:tcW w:w="787" w:type="dxa"/>
            <w:vAlign w:val="center"/>
          </w:tcPr>
          <w:p>
            <w:pPr>
              <w:spacing w:line="240" w:lineRule="auto"/>
              <w:ind w:firstLine="0" w:firstLineChars="0"/>
              <w:jc w:val="center"/>
              <w:rPr>
                <w:sz w:val="21"/>
                <w:szCs w:val="21"/>
              </w:rPr>
            </w:pPr>
            <w:r>
              <w:rPr>
                <w:sz w:val="21"/>
                <w:szCs w:val="21"/>
              </w:rPr>
              <w:t>3184</w:t>
            </w:r>
          </w:p>
        </w:tc>
        <w:tc>
          <w:tcPr>
            <w:tcW w:w="787" w:type="dxa"/>
            <w:vAlign w:val="center"/>
          </w:tcPr>
          <w:p>
            <w:pPr>
              <w:spacing w:line="240" w:lineRule="auto"/>
              <w:ind w:firstLine="0" w:firstLineChars="0"/>
              <w:jc w:val="center"/>
              <w:rPr>
                <w:sz w:val="21"/>
                <w:szCs w:val="21"/>
              </w:rPr>
            </w:pPr>
            <w:r>
              <w:rPr>
                <w:sz w:val="21"/>
                <w:szCs w:val="21"/>
              </w:rPr>
              <w:t>3139</w:t>
            </w:r>
          </w:p>
        </w:tc>
        <w:tc>
          <w:tcPr>
            <w:tcW w:w="787" w:type="dxa"/>
            <w:vAlign w:val="center"/>
          </w:tcPr>
          <w:p>
            <w:pPr>
              <w:spacing w:line="240" w:lineRule="auto"/>
              <w:ind w:firstLine="0" w:firstLineChars="0"/>
              <w:jc w:val="center"/>
              <w:rPr>
                <w:sz w:val="21"/>
                <w:szCs w:val="21"/>
              </w:rPr>
            </w:pPr>
            <w:r>
              <w:rPr>
                <w:sz w:val="21"/>
                <w:szCs w:val="21"/>
              </w:rPr>
              <w:t>5158</w:t>
            </w:r>
          </w:p>
        </w:tc>
        <w:tc>
          <w:tcPr>
            <w:tcW w:w="787" w:type="dxa"/>
            <w:vAlign w:val="center"/>
          </w:tcPr>
          <w:p>
            <w:pPr>
              <w:spacing w:line="240" w:lineRule="auto"/>
              <w:ind w:firstLine="0" w:firstLineChars="0"/>
              <w:jc w:val="center"/>
              <w:rPr>
                <w:sz w:val="21"/>
                <w:szCs w:val="21"/>
              </w:rPr>
            </w:pPr>
            <w:r>
              <w:rPr>
                <w:sz w:val="21"/>
                <w:szCs w:val="21"/>
              </w:rPr>
              <w:t>3437</w:t>
            </w:r>
          </w:p>
        </w:tc>
        <w:tc>
          <w:tcPr>
            <w:tcW w:w="425" w:type="pct"/>
            <w:vAlign w:val="center"/>
          </w:tcPr>
          <w:p>
            <w:pPr>
              <w:spacing w:line="240" w:lineRule="auto"/>
              <w:ind w:firstLine="0" w:firstLineChars="0"/>
              <w:jc w:val="center"/>
              <w:rPr>
                <w:b/>
                <w:bCs/>
                <w:sz w:val="21"/>
                <w:szCs w:val="21"/>
              </w:rPr>
            </w:pPr>
            <w:r>
              <w:rPr>
                <w:b/>
                <w:bCs/>
                <w:sz w:val="21"/>
                <w:szCs w:val="21"/>
              </w:rPr>
              <w:t>22600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0" w:hRule="atLeast"/>
        </w:trPr>
        <w:tc>
          <w:tcPr>
            <w:tcW w:w="350" w:type="pct"/>
            <w:vMerge w:val="continue"/>
            <w:vAlign w:val="center"/>
          </w:tcPr>
          <w:p>
            <w:pPr>
              <w:spacing w:line="240" w:lineRule="auto"/>
              <w:ind w:firstLine="0" w:firstLineChars="0"/>
              <w:jc w:val="center"/>
              <w:rPr>
                <w:sz w:val="21"/>
                <w:szCs w:val="21"/>
              </w:rPr>
            </w:pPr>
          </w:p>
        </w:tc>
        <w:tc>
          <w:tcPr>
            <w:tcW w:w="440" w:type="pct"/>
            <w:vMerge w:val="continue"/>
            <w:vAlign w:val="center"/>
          </w:tcPr>
          <w:p>
            <w:pPr>
              <w:spacing w:line="240" w:lineRule="auto"/>
              <w:ind w:firstLine="0" w:firstLineChars="0"/>
              <w:jc w:val="center"/>
              <w:rPr>
                <w:sz w:val="21"/>
                <w:szCs w:val="21"/>
              </w:rPr>
            </w:pPr>
          </w:p>
        </w:tc>
        <w:tc>
          <w:tcPr>
            <w:tcW w:w="784" w:type="pct"/>
            <w:vAlign w:val="center"/>
          </w:tcPr>
          <w:p>
            <w:pPr>
              <w:spacing w:line="240" w:lineRule="auto"/>
              <w:ind w:firstLine="0" w:firstLineChars="0"/>
              <w:jc w:val="center"/>
              <w:rPr>
                <w:sz w:val="21"/>
                <w:szCs w:val="21"/>
              </w:rPr>
            </w:pPr>
            <w:r>
              <w:rPr>
                <w:sz w:val="21"/>
                <w:szCs w:val="21"/>
              </w:rPr>
              <w:t>编织袋装土</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787" w:type="dxa"/>
            <w:vAlign w:val="center"/>
          </w:tcPr>
          <w:p>
            <w:pPr>
              <w:spacing w:line="240" w:lineRule="auto"/>
              <w:ind w:firstLine="0" w:firstLineChars="0"/>
              <w:jc w:val="center"/>
              <w:rPr>
                <w:sz w:val="21"/>
                <w:szCs w:val="21"/>
              </w:rPr>
            </w:pPr>
            <w:r>
              <w:rPr>
                <w:sz w:val="21"/>
                <w:szCs w:val="21"/>
              </w:rPr>
              <w:t>7844.8</w:t>
            </w:r>
          </w:p>
        </w:tc>
        <w:tc>
          <w:tcPr>
            <w:tcW w:w="787" w:type="dxa"/>
            <w:vAlign w:val="center"/>
          </w:tcPr>
          <w:p>
            <w:pPr>
              <w:spacing w:line="240" w:lineRule="auto"/>
              <w:ind w:firstLine="0" w:firstLineChars="0"/>
              <w:jc w:val="center"/>
              <w:rPr>
                <w:sz w:val="21"/>
                <w:szCs w:val="21"/>
              </w:rPr>
            </w:pPr>
            <w:r>
              <w:rPr>
                <w:sz w:val="21"/>
                <w:szCs w:val="21"/>
              </w:rPr>
              <w:t>4446.4</w:t>
            </w:r>
          </w:p>
        </w:tc>
        <w:tc>
          <w:tcPr>
            <w:tcW w:w="787" w:type="dxa"/>
            <w:vAlign w:val="center"/>
          </w:tcPr>
          <w:p>
            <w:pPr>
              <w:spacing w:line="240" w:lineRule="auto"/>
              <w:ind w:firstLine="0" w:firstLineChars="0"/>
              <w:jc w:val="center"/>
              <w:rPr>
                <w:sz w:val="21"/>
                <w:szCs w:val="21"/>
              </w:rPr>
            </w:pPr>
            <w:r>
              <w:rPr>
                <w:sz w:val="21"/>
                <w:szCs w:val="21"/>
              </w:rPr>
              <w:t>5094.4</w:t>
            </w:r>
          </w:p>
        </w:tc>
        <w:tc>
          <w:tcPr>
            <w:tcW w:w="787" w:type="dxa"/>
            <w:vAlign w:val="center"/>
          </w:tcPr>
          <w:p>
            <w:pPr>
              <w:spacing w:line="240" w:lineRule="auto"/>
              <w:ind w:firstLine="0" w:firstLineChars="0"/>
              <w:jc w:val="center"/>
              <w:rPr>
                <w:sz w:val="21"/>
                <w:szCs w:val="21"/>
              </w:rPr>
            </w:pPr>
            <w:r>
              <w:rPr>
                <w:sz w:val="21"/>
                <w:szCs w:val="21"/>
              </w:rPr>
              <w:t>5022.4</w:t>
            </w:r>
          </w:p>
        </w:tc>
        <w:tc>
          <w:tcPr>
            <w:tcW w:w="787" w:type="dxa"/>
            <w:vAlign w:val="center"/>
          </w:tcPr>
          <w:p>
            <w:pPr>
              <w:spacing w:line="240" w:lineRule="auto"/>
              <w:ind w:firstLine="0" w:firstLineChars="0"/>
              <w:jc w:val="center"/>
              <w:rPr>
                <w:sz w:val="21"/>
                <w:szCs w:val="21"/>
              </w:rPr>
            </w:pPr>
            <w:r>
              <w:rPr>
                <w:sz w:val="21"/>
                <w:szCs w:val="21"/>
              </w:rPr>
              <w:t>8252.8</w:t>
            </w:r>
          </w:p>
        </w:tc>
        <w:tc>
          <w:tcPr>
            <w:tcW w:w="787" w:type="dxa"/>
            <w:vAlign w:val="center"/>
          </w:tcPr>
          <w:p>
            <w:pPr>
              <w:spacing w:line="240" w:lineRule="auto"/>
              <w:ind w:firstLine="0" w:firstLineChars="0"/>
              <w:jc w:val="center"/>
              <w:rPr>
                <w:sz w:val="21"/>
                <w:szCs w:val="21"/>
              </w:rPr>
            </w:pPr>
            <w:r>
              <w:rPr>
                <w:sz w:val="21"/>
                <w:szCs w:val="21"/>
              </w:rPr>
              <w:t>5499.2</w:t>
            </w:r>
          </w:p>
        </w:tc>
        <w:tc>
          <w:tcPr>
            <w:tcW w:w="790" w:type="dxa"/>
            <w:vAlign w:val="center"/>
          </w:tcPr>
          <w:p>
            <w:pPr>
              <w:spacing w:line="240" w:lineRule="auto"/>
              <w:ind w:firstLine="0" w:firstLineChars="0"/>
              <w:jc w:val="center"/>
              <w:rPr>
                <w:b/>
                <w:bCs/>
                <w:sz w:val="21"/>
                <w:szCs w:val="21"/>
              </w:rPr>
            </w:pPr>
            <w:r>
              <w:rPr>
                <w:b/>
                <w:bCs/>
                <w:sz w:val="21"/>
                <w:szCs w:val="21"/>
              </w:rPr>
              <w:t>36160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5" w:hRule="atLeast"/>
        </w:trPr>
        <w:tc>
          <w:tcPr>
            <w:tcW w:w="350" w:type="pct"/>
            <w:vMerge w:val="continue"/>
            <w:vAlign w:val="center"/>
          </w:tcPr>
          <w:p>
            <w:pPr>
              <w:spacing w:line="240" w:lineRule="auto"/>
              <w:ind w:firstLine="0" w:firstLineChars="0"/>
              <w:jc w:val="center"/>
              <w:rPr>
                <w:sz w:val="21"/>
                <w:szCs w:val="21"/>
              </w:rPr>
            </w:pPr>
          </w:p>
        </w:tc>
        <w:tc>
          <w:tcPr>
            <w:tcW w:w="440" w:type="pct"/>
            <w:vMerge w:val="continue"/>
            <w:vAlign w:val="center"/>
          </w:tcPr>
          <w:p>
            <w:pPr>
              <w:spacing w:line="240" w:lineRule="auto"/>
              <w:ind w:firstLine="0" w:firstLineChars="0"/>
              <w:jc w:val="center"/>
              <w:rPr>
                <w:sz w:val="21"/>
                <w:szCs w:val="21"/>
              </w:rPr>
            </w:pPr>
          </w:p>
        </w:tc>
        <w:tc>
          <w:tcPr>
            <w:tcW w:w="784" w:type="pct"/>
            <w:vAlign w:val="center"/>
          </w:tcPr>
          <w:p>
            <w:pPr>
              <w:spacing w:line="240" w:lineRule="auto"/>
              <w:ind w:firstLine="0" w:firstLineChars="0"/>
              <w:jc w:val="center"/>
              <w:rPr>
                <w:sz w:val="21"/>
                <w:szCs w:val="21"/>
              </w:rPr>
            </w:pPr>
            <w:r>
              <w:rPr>
                <w:sz w:val="21"/>
                <w:szCs w:val="21"/>
              </w:rPr>
              <w:t>编织袋拆除</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787" w:type="dxa"/>
            <w:vAlign w:val="center"/>
          </w:tcPr>
          <w:p>
            <w:pPr>
              <w:spacing w:line="240" w:lineRule="auto"/>
              <w:ind w:firstLine="0" w:firstLineChars="0"/>
              <w:jc w:val="center"/>
              <w:rPr>
                <w:sz w:val="21"/>
                <w:szCs w:val="21"/>
              </w:rPr>
            </w:pPr>
            <w:r>
              <w:rPr>
                <w:sz w:val="21"/>
                <w:szCs w:val="21"/>
              </w:rPr>
              <w:t>7844.8</w:t>
            </w:r>
          </w:p>
        </w:tc>
        <w:tc>
          <w:tcPr>
            <w:tcW w:w="787" w:type="dxa"/>
            <w:vAlign w:val="center"/>
          </w:tcPr>
          <w:p>
            <w:pPr>
              <w:spacing w:line="240" w:lineRule="auto"/>
              <w:ind w:firstLine="0" w:firstLineChars="0"/>
              <w:jc w:val="center"/>
              <w:rPr>
                <w:sz w:val="21"/>
                <w:szCs w:val="21"/>
              </w:rPr>
            </w:pPr>
            <w:r>
              <w:rPr>
                <w:sz w:val="21"/>
                <w:szCs w:val="21"/>
              </w:rPr>
              <w:t>4446.4</w:t>
            </w:r>
          </w:p>
        </w:tc>
        <w:tc>
          <w:tcPr>
            <w:tcW w:w="787" w:type="dxa"/>
            <w:vAlign w:val="center"/>
          </w:tcPr>
          <w:p>
            <w:pPr>
              <w:spacing w:line="240" w:lineRule="auto"/>
              <w:ind w:firstLine="0" w:firstLineChars="0"/>
              <w:jc w:val="center"/>
              <w:rPr>
                <w:sz w:val="21"/>
                <w:szCs w:val="21"/>
              </w:rPr>
            </w:pPr>
            <w:r>
              <w:rPr>
                <w:sz w:val="21"/>
                <w:szCs w:val="21"/>
              </w:rPr>
              <w:t>5094.4</w:t>
            </w:r>
          </w:p>
        </w:tc>
        <w:tc>
          <w:tcPr>
            <w:tcW w:w="787" w:type="dxa"/>
            <w:vAlign w:val="center"/>
          </w:tcPr>
          <w:p>
            <w:pPr>
              <w:spacing w:line="240" w:lineRule="auto"/>
              <w:ind w:firstLine="0" w:firstLineChars="0"/>
              <w:jc w:val="center"/>
              <w:rPr>
                <w:sz w:val="21"/>
                <w:szCs w:val="21"/>
              </w:rPr>
            </w:pPr>
            <w:r>
              <w:rPr>
                <w:sz w:val="21"/>
                <w:szCs w:val="21"/>
              </w:rPr>
              <w:t>5022.4</w:t>
            </w:r>
          </w:p>
        </w:tc>
        <w:tc>
          <w:tcPr>
            <w:tcW w:w="787" w:type="dxa"/>
            <w:vAlign w:val="center"/>
          </w:tcPr>
          <w:p>
            <w:pPr>
              <w:spacing w:line="240" w:lineRule="auto"/>
              <w:ind w:firstLine="0" w:firstLineChars="0"/>
              <w:jc w:val="center"/>
              <w:rPr>
                <w:sz w:val="21"/>
                <w:szCs w:val="21"/>
              </w:rPr>
            </w:pPr>
            <w:r>
              <w:rPr>
                <w:sz w:val="21"/>
                <w:szCs w:val="21"/>
              </w:rPr>
              <w:t>8252.8</w:t>
            </w:r>
          </w:p>
        </w:tc>
        <w:tc>
          <w:tcPr>
            <w:tcW w:w="787" w:type="dxa"/>
            <w:vAlign w:val="center"/>
          </w:tcPr>
          <w:p>
            <w:pPr>
              <w:spacing w:line="240" w:lineRule="auto"/>
              <w:ind w:firstLine="0" w:firstLineChars="0"/>
              <w:jc w:val="center"/>
              <w:rPr>
                <w:sz w:val="21"/>
                <w:szCs w:val="21"/>
              </w:rPr>
            </w:pPr>
            <w:r>
              <w:rPr>
                <w:sz w:val="21"/>
                <w:szCs w:val="21"/>
              </w:rPr>
              <w:t>5499.2</w:t>
            </w:r>
          </w:p>
        </w:tc>
        <w:tc>
          <w:tcPr>
            <w:tcW w:w="790" w:type="dxa"/>
            <w:vAlign w:val="center"/>
          </w:tcPr>
          <w:p>
            <w:pPr>
              <w:spacing w:line="240" w:lineRule="auto"/>
              <w:ind w:firstLine="0" w:firstLineChars="0"/>
              <w:jc w:val="center"/>
              <w:rPr>
                <w:b/>
                <w:bCs/>
                <w:sz w:val="21"/>
                <w:szCs w:val="21"/>
              </w:rPr>
            </w:pPr>
            <w:r>
              <w:rPr>
                <w:b/>
                <w:bCs/>
                <w:sz w:val="21"/>
                <w:szCs w:val="21"/>
              </w:rPr>
              <w:t>36160</w:t>
            </w:r>
          </w:p>
        </w:tc>
      </w:tr>
    </w:tbl>
    <w:p>
      <w:pPr>
        <w:pStyle w:val="7"/>
        <w:spacing w:beforeLines="50"/>
      </w:pPr>
      <w:r>
        <w:t>5.3.4.2土石方中转场</w:t>
      </w:r>
    </w:p>
    <w:p>
      <w:pPr>
        <w:ind w:firstLine="482"/>
        <w:rPr>
          <w:b/>
          <w:bCs/>
        </w:rPr>
      </w:pPr>
      <w:r>
        <w:rPr>
          <w:b/>
          <w:bCs/>
        </w:rPr>
        <w:t>1、临时措施</w:t>
      </w:r>
    </w:p>
    <w:p>
      <w:pPr>
        <w:ind w:firstLine="480"/>
      </w:pPr>
      <w:r>
        <w:rPr>
          <w:kern w:val="0"/>
          <w:szCs w:val="24"/>
        </w:rPr>
        <w:t>（1）</w:t>
      </w:r>
      <w:r>
        <w:t>浆砌石重力式挡土墙（报告新增）</w:t>
      </w:r>
    </w:p>
    <w:p>
      <w:pPr>
        <w:ind w:firstLine="480"/>
      </w:pPr>
      <w:r>
        <w:rPr>
          <w:kern w:val="24"/>
        </w:rPr>
        <w:t>为防止土石方滑落或坍塌，</w:t>
      </w:r>
      <w:r>
        <w:rPr>
          <w:kern w:val="0"/>
          <w:szCs w:val="24"/>
        </w:rPr>
        <w:t>本报告在中转场坡脚处新增挡墙措施进行拦挡，</w:t>
      </w:r>
      <w:r>
        <w:t>挡土墙</w:t>
      </w:r>
      <w:r>
        <w:rPr>
          <w:spacing w:val="-12"/>
        </w:rPr>
        <w:t>采用</w:t>
      </w:r>
      <w:r>
        <w:t>M10</w:t>
      </w:r>
      <w:r>
        <w:rPr>
          <w:spacing w:val="-5"/>
        </w:rPr>
        <w:t>浆砌石重力墙，墙高6.5</w:t>
      </w:r>
      <w:r>
        <w:t>m</w:t>
      </w:r>
      <w:r>
        <w:rPr>
          <w:spacing w:val="-9"/>
        </w:rPr>
        <w:t>，墙顶宽</w:t>
      </w:r>
      <w:r>
        <w:t>2.0m</w:t>
      </w:r>
      <w:r>
        <w:rPr>
          <w:spacing w:val="-6"/>
        </w:rPr>
        <w:t>，面</w:t>
      </w:r>
      <w:r>
        <w:rPr>
          <w:spacing w:val="-22"/>
        </w:rPr>
        <w:t>坡比</w:t>
      </w:r>
      <w:r>
        <w:rPr>
          <w:spacing w:val="-3"/>
        </w:rPr>
        <w:t>1</w:t>
      </w:r>
      <w:r>
        <w:t>：</w:t>
      </w:r>
      <w:r>
        <w:rPr>
          <w:spacing w:val="-3"/>
        </w:rPr>
        <w:t>0.25</w:t>
      </w:r>
      <w:r>
        <w:rPr>
          <w:spacing w:val="-15"/>
        </w:rPr>
        <w:t>，背坡比</w:t>
      </w:r>
      <w:r>
        <w:t>1：0.20</w:t>
      </w:r>
      <w:r>
        <w:rPr>
          <w:spacing w:val="-11"/>
        </w:rPr>
        <w:t>，基础埋深</w:t>
      </w:r>
      <w:r>
        <w:rPr>
          <w:spacing w:val="-3"/>
        </w:rPr>
        <w:t>1.50m</w:t>
      </w:r>
      <w:r>
        <w:rPr>
          <w:spacing w:val="-15"/>
        </w:rPr>
        <w:t>，墙趾宽0.30</w:t>
      </w:r>
      <w:r>
        <w:t>m</w:t>
      </w:r>
      <w:r>
        <w:rPr>
          <w:spacing w:val="-3"/>
        </w:rPr>
        <w:t>，以</w:t>
      </w:r>
      <w:r>
        <w:rPr>
          <w:spacing w:val="-5"/>
        </w:rPr>
        <w:t>防止雨水冲刷。墙身每间隔</w:t>
      </w:r>
      <w:r>
        <w:t>2m</w:t>
      </w:r>
      <w:r>
        <w:rPr>
          <w:spacing w:val="-5"/>
        </w:rPr>
        <w:t>设一个排水孔，排水尺寸</w:t>
      </w:r>
      <w:r>
        <w:t>5×5cm，挡墙每隔10m设置一条施工缝，缝宽2cm。后期土石方中转场不再使用时对其进行拆除。经统计，浆砌石重力式挡土墙总长度为123m。</w:t>
      </w:r>
    </w:p>
    <w:p>
      <w:pPr>
        <w:ind w:firstLine="480"/>
      </w:pPr>
      <w:r>
        <w:t>（2）截排水沟（报告新增）</w:t>
      </w:r>
    </w:p>
    <w:p>
      <w:pPr>
        <w:ind w:firstLine="480"/>
      </w:pPr>
      <w:r>
        <w:rPr>
          <w:kern w:val="24"/>
        </w:rPr>
        <w:t>为了防止暴雨对中转场冲刷产生水土流失，本报告在中转场四周设置浆砌石截排水沟，</w:t>
      </w:r>
      <w:r>
        <w:t>中转场采取分级堆放，共分为3级斜坡堆放，平台马道宽3m，坡比为1：3，为了防治坡面来水冲刷造成水土流失，本报告在</w:t>
      </w:r>
      <w:r>
        <w:rPr>
          <w:kern w:val="24"/>
        </w:rPr>
        <w:t>平台马道内侧增加平台排水沟。截排水沟</w:t>
      </w:r>
      <w:r>
        <w:t>设计断面尺寸b×h=0.6×0.6m，沟壁及沟底M7.5浆砌砖衬砌厚0.24m，表面用M10水泥砂浆砌抹面，</w:t>
      </w:r>
      <w:r>
        <w:rPr>
          <w:kern w:val="24"/>
        </w:rPr>
        <w:t>纵坡取值范围为1~5%。经统计，中转场截排水沟总长度为6202m，其中周边截排水沟总长度为4731m，马道排水沟总长度为1471m。</w:t>
      </w:r>
      <w:r>
        <w:t>后期土石方中转场不再使用时对其进行拆除。</w:t>
      </w:r>
    </w:p>
    <w:p>
      <w:pPr>
        <w:ind w:firstLine="480"/>
      </w:pPr>
      <w:r>
        <w:rPr>
          <w:kern w:val="24"/>
        </w:rPr>
        <w:t>（3）排水盲沟</w:t>
      </w:r>
      <w:r>
        <w:t>（报告新增）</w:t>
      </w:r>
    </w:p>
    <w:p>
      <w:pPr>
        <w:ind w:firstLine="480"/>
        <w:rPr>
          <w:kern w:val="24"/>
        </w:rPr>
      </w:pPr>
      <w:r>
        <w:rPr>
          <w:kern w:val="24"/>
        </w:rPr>
        <w:t>为了保证土石方堆积体稳定，降低地下水位，本报告在堆场底部新增设置排水盲沟。盲沟设置在土石方堆积体底部，按原沟道水流走向铺设，采用梯形断面，底宽3.0m，深1.0m，边坡1：1.0，沟内干砌卵石，经统计，中转场排水盲沟总长度为2119m。</w:t>
      </w:r>
      <w:r>
        <w:t>后期土石方中转场不再使用时对其进行拆除。</w:t>
      </w:r>
    </w:p>
    <w:p>
      <w:pPr>
        <w:ind w:firstLine="480"/>
      </w:pPr>
      <w:r>
        <w:t>（4）消力池（报告新增）</w:t>
      </w:r>
    </w:p>
    <w:p>
      <w:pPr>
        <w:ind w:firstLine="480"/>
      </w:pPr>
      <w:r>
        <w:t>由于截排水沟的坡度较陡，为了保障截排水沟排水畅通，减小水流冲刷对截排水沟的破坏。本工程在截排水沟变坡和地形较陡的地段设计跌水。跌水为M7.5浆砌石结构，跌水进出口根据排水沟大小做渐变段平顺连接，进出口段底坡可根据现场地形调整。单个跌水全长17.6m，进口段长4m，消力池段长8.5m，出口段长5.1m。跌水槽宽1.2m，跌水墙顶宽0.75m，底宽1.5m，高4.0m，消力池底板厚0.8m，进出口段底板厚0.6m。经统计，共设置跌水设施10座。后期土石方中转场不再使用时对其进行拆除。</w:t>
      </w:r>
    </w:p>
    <w:p>
      <w:pPr>
        <w:ind w:firstLine="480"/>
      </w:pPr>
      <w:r>
        <w:t>（5）沉沙池（报告新增）</w:t>
      </w:r>
    </w:p>
    <w:p>
      <w:pPr>
        <w:ind w:firstLine="480"/>
      </w:pPr>
      <w:r>
        <w:t>本报告将在排水沟相接处及末端设置沉沙池并加上钢筋预制板盖板，使汇水在沉沙池中流速减缓、沉淀泥沙，从而减少水土流失。沉沙池尺寸采用净长×净宽×净深=2.0×1.5×1.5m，</w:t>
      </w:r>
      <w:r>
        <w:rPr>
          <w:szCs w:val="24"/>
        </w:rPr>
        <w:t>四周为0.24m厚M7.5水泥砂浆砌砖，C20砼底板厚0.20m，表面用M10水泥砂浆砌抹面</w:t>
      </w:r>
      <w:r>
        <w:t>，顶部铺设C20混凝土钢筋预制板盖板。经统计，共设置沉沙池10座。后期土石方中转场不再使用时对其进行拆除。</w:t>
      </w:r>
    </w:p>
    <w:p>
      <w:pPr>
        <w:ind w:firstLine="480"/>
      </w:pPr>
      <w:r>
        <w:t>（6）防雨布苫盖（报告新增）</w:t>
      </w:r>
    </w:p>
    <w:p>
      <w:pPr>
        <w:ind w:firstLine="480"/>
      </w:pPr>
      <w:r>
        <w:t>土石方在堆放期间，为防止降雨冲刷及风吹扬尘，需用防雨布进行临时苫盖。经统计，土石方中转场区需防雨布苫盖约12.17hm</w:t>
      </w:r>
      <w:r>
        <w:rPr>
          <w:vertAlign w:val="superscript"/>
        </w:rPr>
        <w:t>2</w:t>
      </w:r>
      <w:r>
        <w:t>。后期土石方中转场不再使用时防雨布应进行拆除。</w:t>
      </w:r>
    </w:p>
    <w:p>
      <w:pPr>
        <w:spacing w:beforeLines="50"/>
        <w:ind w:firstLine="0" w:firstLineChars="0"/>
        <w:jc w:val="center"/>
        <w:rPr>
          <w:b/>
          <w:bCs/>
        </w:rPr>
      </w:pPr>
      <w:r>
        <w:rPr>
          <w:b/>
          <w:bCs/>
        </w:rPr>
        <w:t>表5.3-8土石方中转场水土保持措施一览表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58"/>
        <w:gridCol w:w="958"/>
        <w:gridCol w:w="1316"/>
        <w:gridCol w:w="843"/>
        <w:gridCol w:w="899"/>
        <w:gridCol w:w="899"/>
        <w:gridCol w:w="899"/>
        <w:gridCol w:w="899"/>
        <w:gridCol w:w="891"/>
        <w:gridCol w:w="101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5" w:hRule="atLeast"/>
        </w:trPr>
        <w:tc>
          <w:tcPr>
            <w:tcW w:w="355" w:type="pct"/>
            <w:vMerge w:val="restart"/>
            <w:vAlign w:val="center"/>
          </w:tcPr>
          <w:p>
            <w:pPr>
              <w:spacing w:line="240" w:lineRule="auto"/>
              <w:ind w:firstLine="0" w:firstLineChars="0"/>
              <w:jc w:val="center"/>
              <w:rPr>
                <w:b/>
                <w:bCs/>
                <w:sz w:val="21"/>
                <w:szCs w:val="21"/>
              </w:rPr>
            </w:pPr>
            <w:r>
              <w:rPr>
                <w:b/>
                <w:bCs/>
                <w:sz w:val="21"/>
                <w:szCs w:val="21"/>
              </w:rPr>
              <w:t>措施类型</w:t>
            </w:r>
          </w:p>
        </w:tc>
        <w:tc>
          <w:tcPr>
            <w:tcW w:w="1225" w:type="pct"/>
            <w:gridSpan w:val="2"/>
            <w:vMerge w:val="restart"/>
            <w:vAlign w:val="center"/>
          </w:tcPr>
          <w:p>
            <w:pPr>
              <w:spacing w:line="240" w:lineRule="auto"/>
              <w:ind w:firstLine="0" w:firstLineChars="0"/>
              <w:jc w:val="center"/>
              <w:rPr>
                <w:b/>
                <w:bCs/>
                <w:sz w:val="21"/>
                <w:szCs w:val="21"/>
              </w:rPr>
            </w:pPr>
            <w:r>
              <w:rPr>
                <w:b/>
                <w:bCs/>
                <w:sz w:val="21"/>
                <w:szCs w:val="21"/>
              </w:rPr>
              <w:t>措施名称</w:t>
            </w:r>
          </w:p>
        </w:tc>
        <w:tc>
          <w:tcPr>
            <w:tcW w:w="454" w:type="pct"/>
            <w:vMerge w:val="restart"/>
            <w:vAlign w:val="center"/>
          </w:tcPr>
          <w:p>
            <w:pPr>
              <w:spacing w:line="240" w:lineRule="auto"/>
              <w:ind w:firstLine="0" w:firstLineChars="0"/>
              <w:jc w:val="center"/>
              <w:rPr>
                <w:b/>
                <w:bCs/>
                <w:sz w:val="21"/>
                <w:szCs w:val="21"/>
              </w:rPr>
            </w:pPr>
            <w:r>
              <w:rPr>
                <w:b/>
                <w:bCs/>
                <w:sz w:val="21"/>
                <w:szCs w:val="21"/>
              </w:rPr>
              <w:t>单位</w:t>
            </w:r>
          </w:p>
        </w:tc>
        <w:tc>
          <w:tcPr>
            <w:tcW w:w="2964" w:type="pct"/>
            <w:gridSpan w:val="6"/>
            <w:vAlign w:val="center"/>
          </w:tcPr>
          <w:p>
            <w:pPr>
              <w:spacing w:line="240" w:lineRule="auto"/>
              <w:ind w:firstLine="0" w:firstLineChars="0"/>
              <w:jc w:val="center"/>
              <w:rPr>
                <w:b/>
                <w:bCs/>
                <w:sz w:val="21"/>
                <w:szCs w:val="21"/>
              </w:rPr>
            </w:pPr>
            <w:r>
              <w:rPr>
                <w:b/>
                <w:bCs/>
                <w:sz w:val="21"/>
                <w:szCs w:val="21"/>
              </w:rPr>
              <w:t>工程量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7" w:hRule="atLeast"/>
        </w:trPr>
        <w:tc>
          <w:tcPr>
            <w:tcW w:w="355" w:type="pct"/>
            <w:vMerge w:val="continue"/>
            <w:vAlign w:val="center"/>
          </w:tcPr>
          <w:p>
            <w:pPr>
              <w:spacing w:line="240" w:lineRule="auto"/>
              <w:ind w:firstLine="0" w:firstLineChars="0"/>
              <w:jc w:val="center"/>
              <w:rPr>
                <w:b/>
                <w:bCs/>
                <w:sz w:val="21"/>
                <w:szCs w:val="21"/>
              </w:rPr>
            </w:pPr>
          </w:p>
        </w:tc>
        <w:tc>
          <w:tcPr>
            <w:tcW w:w="1225" w:type="pct"/>
            <w:gridSpan w:val="2"/>
            <w:vMerge w:val="continue"/>
            <w:vAlign w:val="center"/>
          </w:tcPr>
          <w:p>
            <w:pPr>
              <w:spacing w:line="240" w:lineRule="auto"/>
              <w:ind w:firstLine="0" w:firstLineChars="0"/>
              <w:jc w:val="center"/>
              <w:rPr>
                <w:b/>
                <w:bCs/>
                <w:sz w:val="21"/>
                <w:szCs w:val="21"/>
              </w:rPr>
            </w:pPr>
          </w:p>
        </w:tc>
        <w:tc>
          <w:tcPr>
            <w:tcW w:w="454" w:type="pct"/>
            <w:vMerge w:val="continue"/>
            <w:vAlign w:val="center"/>
          </w:tcPr>
          <w:p>
            <w:pPr>
              <w:spacing w:line="240" w:lineRule="auto"/>
              <w:ind w:firstLine="0" w:firstLineChars="0"/>
              <w:jc w:val="center"/>
              <w:rPr>
                <w:b/>
                <w:bCs/>
                <w:sz w:val="21"/>
                <w:szCs w:val="21"/>
              </w:rPr>
            </w:pPr>
          </w:p>
        </w:tc>
        <w:tc>
          <w:tcPr>
            <w:tcW w:w="484" w:type="pct"/>
            <w:vAlign w:val="center"/>
          </w:tcPr>
          <w:p>
            <w:pPr>
              <w:spacing w:line="240" w:lineRule="auto"/>
              <w:ind w:firstLine="0" w:firstLineChars="0"/>
              <w:jc w:val="center"/>
              <w:rPr>
                <w:b/>
                <w:bCs/>
                <w:sz w:val="21"/>
                <w:szCs w:val="21"/>
              </w:rPr>
            </w:pPr>
            <w:r>
              <w:rPr>
                <w:b/>
                <w:bCs/>
                <w:sz w:val="21"/>
                <w:szCs w:val="21"/>
              </w:rPr>
              <w:t>1#</w:t>
            </w:r>
          </w:p>
        </w:tc>
        <w:tc>
          <w:tcPr>
            <w:tcW w:w="484" w:type="pct"/>
            <w:vAlign w:val="center"/>
          </w:tcPr>
          <w:p>
            <w:pPr>
              <w:spacing w:line="240" w:lineRule="auto"/>
              <w:ind w:firstLine="0" w:firstLineChars="0"/>
              <w:jc w:val="center"/>
              <w:rPr>
                <w:b/>
                <w:bCs/>
                <w:sz w:val="21"/>
                <w:szCs w:val="21"/>
              </w:rPr>
            </w:pPr>
            <w:r>
              <w:rPr>
                <w:b/>
                <w:bCs/>
                <w:sz w:val="21"/>
                <w:szCs w:val="21"/>
              </w:rPr>
              <w:t>2#</w:t>
            </w:r>
          </w:p>
        </w:tc>
        <w:tc>
          <w:tcPr>
            <w:tcW w:w="484" w:type="pct"/>
            <w:vAlign w:val="center"/>
          </w:tcPr>
          <w:p>
            <w:pPr>
              <w:spacing w:line="240" w:lineRule="auto"/>
              <w:ind w:firstLine="0" w:firstLineChars="0"/>
              <w:jc w:val="center"/>
              <w:rPr>
                <w:b/>
                <w:bCs/>
                <w:sz w:val="21"/>
                <w:szCs w:val="21"/>
              </w:rPr>
            </w:pPr>
            <w:r>
              <w:rPr>
                <w:b/>
                <w:bCs/>
                <w:sz w:val="21"/>
                <w:szCs w:val="21"/>
              </w:rPr>
              <w:t>3#</w:t>
            </w:r>
          </w:p>
        </w:tc>
        <w:tc>
          <w:tcPr>
            <w:tcW w:w="484" w:type="pct"/>
            <w:vAlign w:val="center"/>
          </w:tcPr>
          <w:p>
            <w:pPr>
              <w:spacing w:line="240" w:lineRule="auto"/>
              <w:ind w:firstLine="0" w:firstLineChars="0"/>
              <w:jc w:val="center"/>
              <w:rPr>
                <w:b/>
                <w:bCs/>
                <w:sz w:val="21"/>
                <w:szCs w:val="21"/>
              </w:rPr>
            </w:pPr>
            <w:r>
              <w:rPr>
                <w:b/>
                <w:bCs/>
                <w:sz w:val="21"/>
                <w:szCs w:val="21"/>
              </w:rPr>
              <w:t>4#</w:t>
            </w:r>
          </w:p>
        </w:tc>
        <w:tc>
          <w:tcPr>
            <w:tcW w:w="480" w:type="pct"/>
            <w:vAlign w:val="center"/>
          </w:tcPr>
          <w:p>
            <w:pPr>
              <w:spacing w:line="240" w:lineRule="auto"/>
              <w:ind w:firstLine="0" w:firstLineChars="0"/>
              <w:jc w:val="center"/>
              <w:rPr>
                <w:b/>
                <w:bCs/>
                <w:sz w:val="21"/>
                <w:szCs w:val="21"/>
              </w:rPr>
            </w:pPr>
            <w:r>
              <w:rPr>
                <w:b/>
                <w:bCs/>
                <w:sz w:val="21"/>
                <w:szCs w:val="21"/>
              </w:rPr>
              <w:t>5#</w:t>
            </w:r>
          </w:p>
        </w:tc>
        <w:tc>
          <w:tcPr>
            <w:tcW w:w="547" w:type="pct"/>
            <w:vAlign w:val="center"/>
          </w:tcPr>
          <w:p>
            <w:pPr>
              <w:spacing w:line="240" w:lineRule="auto"/>
              <w:ind w:firstLine="0" w:firstLineChars="0"/>
              <w:jc w:val="center"/>
              <w:rPr>
                <w:b/>
                <w:bCs/>
                <w:sz w:val="21"/>
                <w:szCs w:val="21"/>
              </w:rPr>
            </w:pPr>
            <w:r>
              <w:rPr>
                <w:b/>
                <w:bCs/>
                <w:sz w:val="21"/>
                <w:szCs w:val="21"/>
              </w:rPr>
              <w:t>合计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3" w:hRule="atLeast"/>
        </w:trPr>
        <w:tc>
          <w:tcPr>
            <w:tcW w:w="355" w:type="pct"/>
            <w:vMerge w:val="restart"/>
            <w:vAlign w:val="center"/>
          </w:tcPr>
          <w:p>
            <w:pPr>
              <w:spacing w:line="240" w:lineRule="auto"/>
              <w:ind w:firstLine="0" w:firstLineChars="0"/>
              <w:jc w:val="center"/>
              <w:rPr>
                <w:sz w:val="21"/>
                <w:szCs w:val="21"/>
              </w:rPr>
            </w:pPr>
            <w:r>
              <w:rPr>
                <w:sz w:val="21"/>
                <w:szCs w:val="21"/>
              </w:rPr>
              <w:t>临时措施</w:t>
            </w:r>
          </w:p>
        </w:tc>
        <w:tc>
          <w:tcPr>
            <w:tcW w:w="516" w:type="pct"/>
            <w:vMerge w:val="restart"/>
            <w:vAlign w:val="center"/>
          </w:tcPr>
          <w:p>
            <w:pPr>
              <w:spacing w:line="240" w:lineRule="auto"/>
              <w:ind w:firstLine="0" w:firstLineChars="0"/>
              <w:jc w:val="center"/>
              <w:rPr>
                <w:sz w:val="21"/>
                <w:szCs w:val="21"/>
              </w:rPr>
            </w:pPr>
            <w:r>
              <w:rPr>
                <w:sz w:val="21"/>
                <w:szCs w:val="21"/>
              </w:rPr>
              <w:t>浆砌石重力式挡土墙</w:t>
            </w:r>
          </w:p>
        </w:tc>
        <w:tc>
          <w:tcPr>
            <w:tcW w:w="709" w:type="pct"/>
            <w:vAlign w:val="center"/>
          </w:tcPr>
          <w:p>
            <w:pPr>
              <w:spacing w:line="240" w:lineRule="auto"/>
              <w:ind w:firstLine="0" w:firstLineChars="0"/>
              <w:jc w:val="center"/>
              <w:rPr>
                <w:sz w:val="21"/>
                <w:szCs w:val="21"/>
              </w:rPr>
            </w:pPr>
            <w:r>
              <w:rPr>
                <w:sz w:val="21"/>
                <w:szCs w:val="21"/>
              </w:rPr>
              <w:t>组成</w:t>
            </w:r>
          </w:p>
        </w:tc>
        <w:tc>
          <w:tcPr>
            <w:tcW w:w="454" w:type="pct"/>
            <w:vAlign w:val="center"/>
          </w:tcPr>
          <w:p>
            <w:pPr>
              <w:spacing w:line="240" w:lineRule="auto"/>
              <w:ind w:firstLine="0" w:firstLineChars="0"/>
              <w:jc w:val="center"/>
              <w:rPr>
                <w:sz w:val="21"/>
                <w:szCs w:val="21"/>
              </w:rPr>
            </w:pPr>
            <w:r>
              <w:rPr>
                <w:sz w:val="21"/>
                <w:szCs w:val="21"/>
              </w:rPr>
              <w:t>m</w:t>
            </w:r>
          </w:p>
        </w:tc>
        <w:tc>
          <w:tcPr>
            <w:tcW w:w="484" w:type="pct"/>
            <w:vAlign w:val="center"/>
          </w:tcPr>
          <w:p>
            <w:pPr>
              <w:spacing w:line="240" w:lineRule="auto"/>
              <w:ind w:firstLine="0" w:firstLineChars="0"/>
              <w:jc w:val="center"/>
              <w:rPr>
                <w:sz w:val="21"/>
                <w:szCs w:val="21"/>
              </w:rPr>
            </w:pPr>
            <w:r>
              <w:rPr>
                <w:sz w:val="21"/>
                <w:szCs w:val="21"/>
              </w:rPr>
              <w:t>21</w:t>
            </w:r>
          </w:p>
        </w:tc>
        <w:tc>
          <w:tcPr>
            <w:tcW w:w="484" w:type="pct"/>
            <w:vAlign w:val="center"/>
          </w:tcPr>
          <w:p>
            <w:pPr>
              <w:spacing w:line="240" w:lineRule="auto"/>
              <w:ind w:firstLine="0" w:firstLineChars="0"/>
              <w:jc w:val="center"/>
              <w:rPr>
                <w:sz w:val="21"/>
                <w:szCs w:val="21"/>
              </w:rPr>
            </w:pPr>
            <w:r>
              <w:rPr>
                <w:sz w:val="21"/>
                <w:szCs w:val="21"/>
              </w:rPr>
              <w:t>19</w:t>
            </w:r>
          </w:p>
        </w:tc>
        <w:tc>
          <w:tcPr>
            <w:tcW w:w="484" w:type="pct"/>
            <w:vAlign w:val="center"/>
          </w:tcPr>
          <w:p>
            <w:pPr>
              <w:spacing w:line="240" w:lineRule="auto"/>
              <w:ind w:firstLine="0" w:firstLineChars="0"/>
              <w:jc w:val="center"/>
              <w:rPr>
                <w:sz w:val="21"/>
                <w:szCs w:val="21"/>
              </w:rPr>
            </w:pPr>
            <w:r>
              <w:rPr>
                <w:sz w:val="21"/>
                <w:szCs w:val="21"/>
              </w:rPr>
              <w:t>33</w:t>
            </w:r>
          </w:p>
        </w:tc>
        <w:tc>
          <w:tcPr>
            <w:tcW w:w="484" w:type="pct"/>
            <w:vAlign w:val="center"/>
          </w:tcPr>
          <w:p>
            <w:pPr>
              <w:spacing w:line="240" w:lineRule="auto"/>
              <w:ind w:firstLine="0" w:firstLineChars="0"/>
              <w:jc w:val="center"/>
              <w:rPr>
                <w:sz w:val="21"/>
                <w:szCs w:val="21"/>
              </w:rPr>
            </w:pPr>
            <w:r>
              <w:rPr>
                <w:sz w:val="21"/>
                <w:szCs w:val="21"/>
              </w:rPr>
              <w:t>23</w:t>
            </w:r>
          </w:p>
        </w:tc>
        <w:tc>
          <w:tcPr>
            <w:tcW w:w="480" w:type="pct"/>
            <w:vAlign w:val="center"/>
          </w:tcPr>
          <w:p>
            <w:pPr>
              <w:spacing w:line="240" w:lineRule="auto"/>
              <w:ind w:firstLine="0" w:firstLineChars="0"/>
              <w:jc w:val="center"/>
              <w:rPr>
                <w:sz w:val="21"/>
                <w:szCs w:val="21"/>
              </w:rPr>
            </w:pPr>
            <w:r>
              <w:rPr>
                <w:sz w:val="21"/>
                <w:szCs w:val="21"/>
              </w:rPr>
              <w:t>27</w:t>
            </w:r>
          </w:p>
        </w:tc>
        <w:tc>
          <w:tcPr>
            <w:tcW w:w="547" w:type="pct"/>
            <w:vAlign w:val="center"/>
          </w:tcPr>
          <w:p>
            <w:pPr>
              <w:spacing w:line="240" w:lineRule="auto"/>
              <w:ind w:firstLine="0" w:firstLineChars="0"/>
              <w:jc w:val="center"/>
              <w:rPr>
                <w:b/>
                <w:bCs/>
                <w:sz w:val="21"/>
                <w:szCs w:val="21"/>
              </w:rPr>
            </w:pPr>
            <w:r>
              <w:rPr>
                <w:b/>
                <w:bCs/>
                <w:sz w:val="21"/>
                <w:szCs w:val="21"/>
              </w:rPr>
              <w:t>123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0"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土方开挖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80.85</w:t>
            </w:r>
          </w:p>
        </w:tc>
        <w:tc>
          <w:tcPr>
            <w:tcW w:w="484" w:type="pct"/>
            <w:vAlign w:val="center"/>
          </w:tcPr>
          <w:p>
            <w:pPr>
              <w:spacing w:line="240" w:lineRule="auto"/>
              <w:ind w:firstLine="0" w:firstLineChars="0"/>
              <w:jc w:val="center"/>
              <w:rPr>
                <w:sz w:val="21"/>
                <w:szCs w:val="21"/>
              </w:rPr>
            </w:pPr>
            <w:r>
              <w:rPr>
                <w:sz w:val="21"/>
                <w:szCs w:val="21"/>
              </w:rPr>
              <w:t>73.15</w:t>
            </w:r>
          </w:p>
        </w:tc>
        <w:tc>
          <w:tcPr>
            <w:tcW w:w="484" w:type="pct"/>
            <w:vAlign w:val="center"/>
          </w:tcPr>
          <w:p>
            <w:pPr>
              <w:spacing w:line="240" w:lineRule="auto"/>
              <w:ind w:firstLine="0" w:firstLineChars="0"/>
              <w:jc w:val="center"/>
              <w:rPr>
                <w:sz w:val="21"/>
                <w:szCs w:val="21"/>
              </w:rPr>
            </w:pPr>
            <w:r>
              <w:rPr>
                <w:sz w:val="21"/>
                <w:szCs w:val="21"/>
              </w:rPr>
              <w:t>127.05</w:t>
            </w:r>
          </w:p>
        </w:tc>
        <w:tc>
          <w:tcPr>
            <w:tcW w:w="484" w:type="pct"/>
            <w:vAlign w:val="center"/>
          </w:tcPr>
          <w:p>
            <w:pPr>
              <w:spacing w:line="240" w:lineRule="auto"/>
              <w:ind w:firstLine="0" w:firstLineChars="0"/>
              <w:jc w:val="center"/>
              <w:rPr>
                <w:sz w:val="21"/>
                <w:szCs w:val="21"/>
              </w:rPr>
            </w:pPr>
            <w:r>
              <w:rPr>
                <w:sz w:val="21"/>
                <w:szCs w:val="21"/>
              </w:rPr>
              <w:t>88.55</w:t>
            </w:r>
          </w:p>
        </w:tc>
        <w:tc>
          <w:tcPr>
            <w:tcW w:w="480" w:type="pct"/>
            <w:vAlign w:val="center"/>
          </w:tcPr>
          <w:p>
            <w:pPr>
              <w:spacing w:line="240" w:lineRule="auto"/>
              <w:ind w:firstLine="0" w:firstLineChars="0"/>
              <w:jc w:val="center"/>
              <w:rPr>
                <w:sz w:val="21"/>
                <w:szCs w:val="21"/>
              </w:rPr>
            </w:pPr>
            <w:r>
              <w:rPr>
                <w:sz w:val="21"/>
                <w:szCs w:val="21"/>
              </w:rPr>
              <w:t>103.95</w:t>
            </w:r>
          </w:p>
        </w:tc>
        <w:tc>
          <w:tcPr>
            <w:tcW w:w="547" w:type="pct"/>
            <w:vAlign w:val="center"/>
          </w:tcPr>
          <w:p>
            <w:pPr>
              <w:spacing w:line="240" w:lineRule="auto"/>
              <w:ind w:firstLine="0" w:firstLineChars="0"/>
              <w:jc w:val="center"/>
              <w:rPr>
                <w:b/>
                <w:bCs/>
                <w:sz w:val="21"/>
                <w:szCs w:val="21"/>
              </w:rPr>
            </w:pPr>
            <w:r>
              <w:rPr>
                <w:b/>
                <w:bCs/>
                <w:sz w:val="21"/>
                <w:szCs w:val="21"/>
              </w:rPr>
              <w:t>473.55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2"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土方回填</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34.07</w:t>
            </w:r>
          </w:p>
        </w:tc>
        <w:tc>
          <w:tcPr>
            <w:tcW w:w="484" w:type="pct"/>
            <w:vAlign w:val="center"/>
          </w:tcPr>
          <w:p>
            <w:pPr>
              <w:spacing w:line="240" w:lineRule="auto"/>
              <w:ind w:firstLine="0" w:firstLineChars="0"/>
              <w:jc w:val="center"/>
              <w:rPr>
                <w:sz w:val="21"/>
                <w:szCs w:val="21"/>
              </w:rPr>
            </w:pPr>
            <w:r>
              <w:rPr>
                <w:sz w:val="21"/>
                <w:szCs w:val="21"/>
              </w:rPr>
              <w:t>30.83</w:t>
            </w:r>
          </w:p>
        </w:tc>
        <w:tc>
          <w:tcPr>
            <w:tcW w:w="484" w:type="pct"/>
            <w:vAlign w:val="center"/>
          </w:tcPr>
          <w:p>
            <w:pPr>
              <w:spacing w:line="240" w:lineRule="auto"/>
              <w:ind w:firstLine="0" w:firstLineChars="0"/>
              <w:jc w:val="center"/>
              <w:rPr>
                <w:sz w:val="21"/>
                <w:szCs w:val="21"/>
              </w:rPr>
            </w:pPr>
            <w:r>
              <w:rPr>
                <w:sz w:val="21"/>
                <w:szCs w:val="21"/>
              </w:rPr>
              <w:t>53.54</w:t>
            </w:r>
          </w:p>
        </w:tc>
        <w:tc>
          <w:tcPr>
            <w:tcW w:w="484" w:type="pct"/>
            <w:vAlign w:val="center"/>
          </w:tcPr>
          <w:p>
            <w:pPr>
              <w:spacing w:line="240" w:lineRule="auto"/>
              <w:ind w:firstLine="0" w:firstLineChars="0"/>
              <w:jc w:val="center"/>
              <w:rPr>
                <w:sz w:val="21"/>
                <w:szCs w:val="21"/>
              </w:rPr>
            </w:pPr>
            <w:r>
              <w:rPr>
                <w:sz w:val="21"/>
                <w:szCs w:val="21"/>
              </w:rPr>
              <w:t>37.32</w:t>
            </w:r>
          </w:p>
        </w:tc>
        <w:tc>
          <w:tcPr>
            <w:tcW w:w="480" w:type="pct"/>
            <w:vAlign w:val="center"/>
          </w:tcPr>
          <w:p>
            <w:pPr>
              <w:spacing w:line="240" w:lineRule="auto"/>
              <w:ind w:firstLine="0" w:firstLineChars="0"/>
              <w:jc w:val="center"/>
              <w:rPr>
                <w:sz w:val="21"/>
                <w:szCs w:val="21"/>
              </w:rPr>
            </w:pPr>
            <w:r>
              <w:rPr>
                <w:sz w:val="21"/>
                <w:szCs w:val="21"/>
              </w:rPr>
              <w:t>43.81</w:t>
            </w:r>
          </w:p>
        </w:tc>
        <w:tc>
          <w:tcPr>
            <w:tcW w:w="547" w:type="pct"/>
            <w:vAlign w:val="center"/>
          </w:tcPr>
          <w:p>
            <w:pPr>
              <w:spacing w:line="240" w:lineRule="auto"/>
              <w:ind w:firstLine="0" w:firstLineChars="0"/>
              <w:jc w:val="center"/>
              <w:rPr>
                <w:b/>
                <w:bCs/>
                <w:sz w:val="21"/>
                <w:szCs w:val="21"/>
              </w:rPr>
            </w:pPr>
            <w:r>
              <w:rPr>
                <w:b/>
                <w:bCs/>
                <w:sz w:val="21"/>
                <w:szCs w:val="21"/>
              </w:rPr>
              <w:t>199.57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19"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M10浆砌石挡墙</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116.76</w:t>
            </w:r>
          </w:p>
        </w:tc>
        <w:tc>
          <w:tcPr>
            <w:tcW w:w="484" w:type="pct"/>
            <w:vAlign w:val="center"/>
          </w:tcPr>
          <w:p>
            <w:pPr>
              <w:spacing w:line="240" w:lineRule="auto"/>
              <w:ind w:firstLine="0" w:firstLineChars="0"/>
              <w:jc w:val="center"/>
              <w:rPr>
                <w:sz w:val="21"/>
                <w:szCs w:val="21"/>
              </w:rPr>
            </w:pPr>
            <w:r>
              <w:rPr>
                <w:sz w:val="21"/>
                <w:szCs w:val="21"/>
              </w:rPr>
              <w:t>105.64</w:t>
            </w:r>
          </w:p>
        </w:tc>
        <w:tc>
          <w:tcPr>
            <w:tcW w:w="484" w:type="pct"/>
            <w:vAlign w:val="center"/>
          </w:tcPr>
          <w:p>
            <w:pPr>
              <w:spacing w:line="240" w:lineRule="auto"/>
              <w:ind w:firstLine="0" w:firstLineChars="0"/>
              <w:jc w:val="center"/>
              <w:rPr>
                <w:sz w:val="21"/>
                <w:szCs w:val="21"/>
              </w:rPr>
            </w:pPr>
            <w:r>
              <w:rPr>
                <w:sz w:val="21"/>
                <w:szCs w:val="21"/>
              </w:rPr>
              <w:t>183.48</w:t>
            </w:r>
          </w:p>
        </w:tc>
        <w:tc>
          <w:tcPr>
            <w:tcW w:w="484" w:type="pct"/>
            <w:vAlign w:val="center"/>
          </w:tcPr>
          <w:p>
            <w:pPr>
              <w:spacing w:line="240" w:lineRule="auto"/>
              <w:ind w:firstLine="0" w:firstLineChars="0"/>
              <w:jc w:val="center"/>
              <w:rPr>
                <w:sz w:val="21"/>
                <w:szCs w:val="21"/>
              </w:rPr>
            </w:pPr>
            <w:r>
              <w:rPr>
                <w:sz w:val="21"/>
                <w:szCs w:val="21"/>
              </w:rPr>
              <w:t>127.88</w:t>
            </w:r>
          </w:p>
        </w:tc>
        <w:tc>
          <w:tcPr>
            <w:tcW w:w="480" w:type="pct"/>
            <w:vAlign w:val="center"/>
          </w:tcPr>
          <w:p>
            <w:pPr>
              <w:spacing w:line="240" w:lineRule="auto"/>
              <w:ind w:firstLine="0" w:firstLineChars="0"/>
              <w:jc w:val="center"/>
              <w:rPr>
                <w:sz w:val="21"/>
                <w:szCs w:val="21"/>
              </w:rPr>
            </w:pPr>
            <w:r>
              <w:rPr>
                <w:sz w:val="21"/>
                <w:szCs w:val="21"/>
              </w:rPr>
              <w:t>150.12</w:t>
            </w:r>
          </w:p>
        </w:tc>
        <w:tc>
          <w:tcPr>
            <w:tcW w:w="547" w:type="pct"/>
            <w:vAlign w:val="center"/>
          </w:tcPr>
          <w:p>
            <w:pPr>
              <w:spacing w:line="240" w:lineRule="auto"/>
              <w:ind w:firstLine="0" w:firstLineChars="0"/>
              <w:jc w:val="center"/>
              <w:rPr>
                <w:b/>
                <w:bCs/>
                <w:sz w:val="21"/>
                <w:szCs w:val="21"/>
              </w:rPr>
            </w:pPr>
            <w:r>
              <w:rPr>
                <w:b/>
                <w:bCs/>
                <w:sz w:val="21"/>
                <w:szCs w:val="21"/>
              </w:rPr>
              <w:t>683.88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5"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Φ50mmPVC排水管</w:t>
            </w:r>
          </w:p>
        </w:tc>
        <w:tc>
          <w:tcPr>
            <w:tcW w:w="454" w:type="pct"/>
            <w:vAlign w:val="center"/>
          </w:tcPr>
          <w:p>
            <w:pPr>
              <w:spacing w:line="240" w:lineRule="auto"/>
              <w:ind w:firstLine="0" w:firstLineChars="0"/>
              <w:jc w:val="center"/>
              <w:rPr>
                <w:sz w:val="21"/>
                <w:szCs w:val="21"/>
              </w:rPr>
            </w:pPr>
            <w:r>
              <w:rPr>
                <w:sz w:val="21"/>
                <w:szCs w:val="21"/>
              </w:rPr>
              <w:t>m</w:t>
            </w:r>
          </w:p>
        </w:tc>
        <w:tc>
          <w:tcPr>
            <w:tcW w:w="484" w:type="pct"/>
            <w:vAlign w:val="center"/>
          </w:tcPr>
          <w:p>
            <w:pPr>
              <w:spacing w:line="240" w:lineRule="auto"/>
              <w:ind w:firstLine="0" w:firstLineChars="0"/>
              <w:jc w:val="center"/>
              <w:rPr>
                <w:sz w:val="21"/>
                <w:szCs w:val="21"/>
              </w:rPr>
            </w:pPr>
            <w:r>
              <w:rPr>
                <w:sz w:val="21"/>
                <w:szCs w:val="21"/>
              </w:rPr>
              <w:t>147.00</w:t>
            </w:r>
          </w:p>
        </w:tc>
        <w:tc>
          <w:tcPr>
            <w:tcW w:w="484" w:type="pct"/>
            <w:vAlign w:val="center"/>
          </w:tcPr>
          <w:p>
            <w:pPr>
              <w:spacing w:line="240" w:lineRule="auto"/>
              <w:ind w:firstLine="0" w:firstLineChars="0"/>
              <w:jc w:val="center"/>
              <w:rPr>
                <w:sz w:val="21"/>
                <w:szCs w:val="21"/>
              </w:rPr>
            </w:pPr>
            <w:r>
              <w:rPr>
                <w:sz w:val="21"/>
                <w:szCs w:val="21"/>
              </w:rPr>
              <w:t>133.00</w:t>
            </w:r>
          </w:p>
        </w:tc>
        <w:tc>
          <w:tcPr>
            <w:tcW w:w="484" w:type="pct"/>
            <w:vAlign w:val="center"/>
          </w:tcPr>
          <w:p>
            <w:pPr>
              <w:spacing w:line="240" w:lineRule="auto"/>
              <w:ind w:firstLine="0" w:firstLineChars="0"/>
              <w:jc w:val="center"/>
              <w:rPr>
                <w:sz w:val="21"/>
                <w:szCs w:val="21"/>
              </w:rPr>
            </w:pPr>
            <w:r>
              <w:rPr>
                <w:sz w:val="21"/>
                <w:szCs w:val="21"/>
              </w:rPr>
              <w:t>231.00</w:t>
            </w:r>
          </w:p>
        </w:tc>
        <w:tc>
          <w:tcPr>
            <w:tcW w:w="484" w:type="pct"/>
            <w:vAlign w:val="center"/>
          </w:tcPr>
          <w:p>
            <w:pPr>
              <w:spacing w:line="240" w:lineRule="auto"/>
              <w:ind w:firstLine="0" w:firstLineChars="0"/>
              <w:jc w:val="center"/>
              <w:rPr>
                <w:sz w:val="21"/>
                <w:szCs w:val="21"/>
              </w:rPr>
            </w:pPr>
            <w:r>
              <w:rPr>
                <w:sz w:val="21"/>
                <w:szCs w:val="21"/>
              </w:rPr>
              <w:t>161.00</w:t>
            </w:r>
          </w:p>
        </w:tc>
        <w:tc>
          <w:tcPr>
            <w:tcW w:w="480" w:type="pct"/>
            <w:vAlign w:val="center"/>
          </w:tcPr>
          <w:p>
            <w:pPr>
              <w:spacing w:line="240" w:lineRule="auto"/>
              <w:ind w:firstLine="0" w:firstLineChars="0"/>
              <w:jc w:val="center"/>
              <w:rPr>
                <w:sz w:val="21"/>
                <w:szCs w:val="21"/>
              </w:rPr>
            </w:pPr>
            <w:r>
              <w:rPr>
                <w:sz w:val="21"/>
                <w:szCs w:val="21"/>
              </w:rPr>
              <w:t>189.00</w:t>
            </w:r>
          </w:p>
        </w:tc>
        <w:tc>
          <w:tcPr>
            <w:tcW w:w="547" w:type="pct"/>
            <w:vAlign w:val="center"/>
          </w:tcPr>
          <w:p>
            <w:pPr>
              <w:spacing w:line="240" w:lineRule="auto"/>
              <w:ind w:firstLine="0" w:firstLineChars="0"/>
              <w:jc w:val="center"/>
              <w:rPr>
                <w:b/>
                <w:bCs/>
                <w:sz w:val="21"/>
                <w:szCs w:val="21"/>
              </w:rPr>
            </w:pPr>
            <w:r>
              <w:rPr>
                <w:b/>
                <w:bCs/>
                <w:sz w:val="21"/>
                <w:szCs w:val="21"/>
              </w:rPr>
              <w:t>861.0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7"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反滤层</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2.63</w:t>
            </w:r>
          </w:p>
        </w:tc>
        <w:tc>
          <w:tcPr>
            <w:tcW w:w="484" w:type="pct"/>
            <w:vAlign w:val="center"/>
          </w:tcPr>
          <w:p>
            <w:pPr>
              <w:spacing w:line="240" w:lineRule="auto"/>
              <w:ind w:firstLine="0" w:firstLineChars="0"/>
              <w:jc w:val="center"/>
              <w:rPr>
                <w:sz w:val="21"/>
                <w:szCs w:val="21"/>
              </w:rPr>
            </w:pPr>
            <w:r>
              <w:rPr>
                <w:sz w:val="21"/>
                <w:szCs w:val="21"/>
              </w:rPr>
              <w:t>2.38</w:t>
            </w:r>
          </w:p>
        </w:tc>
        <w:tc>
          <w:tcPr>
            <w:tcW w:w="484" w:type="pct"/>
            <w:vAlign w:val="center"/>
          </w:tcPr>
          <w:p>
            <w:pPr>
              <w:spacing w:line="240" w:lineRule="auto"/>
              <w:ind w:firstLine="0" w:firstLineChars="0"/>
              <w:jc w:val="center"/>
              <w:rPr>
                <w:sz w:val="21"/>
                <w:szCs w:val="21"/>
              </w:rPr>
            </w:pPr>
            <w:r>
              <w:rPr>
                <w:sz w:val="21"/>
                <w:szCs w:val="21"/>
              </w:rPr>
              <w:t>4.13</w:t>
            </w:r>
          </w:p>
        </w:tc>
        <w:tc>
          <w:tcPr>
            <w:tcW w:w="484" w:type="pct"/>
            <w:vAlign w:val="center"/>
          </w:tcPr>
          <w:p>
            <w:pPr>
              <w:spacing w:line="240" w:lineRule="auto"/>
              <w:ind w:firstLine="0" w:firstLineChars="0"/>
              <w:jc w:val="center"/>
              <w:rPr>
                <w:sz w:val="21"/>
                <w:szCs w:val="21"/>
              </w:rPr>
            </w:pPr>
            <w:r>
              <w:rPr>
                <w:sz w:val="21"/>
                <w:szCs w:val="21"/>
              </w:rPr>
              <w:t>2.88</w:t>
            </w:r>
          </w:p>
        </w:tc>
        <w:tc>
          <w:tcPr>
            <w:tcW w:w="480" w:type="pct"/>
            <w:vAlign w:val="center"/>
          </w:tcPr>
          <w:p>
            <w:pPr>
              <w:spacing w:line="240" w:lineRule="auto"/>
              <w:ind w:firstLine="0" w:firstLineChars="0"/>
              <w:jc w:val="center"/>
              <w:rPr>
                <w:sz w:val="21"/>
                <w:szCs w:val="21"/>
              </w:rPr>
            </w:pPr>
            <w:r>
              <w:rPr>
                <w:sz w:val="21"/>
                <w:szCs w:val="21"/>
              </w:rPr>
              <w:t>3.38</w:t>
            </w:r>
          </w:p>
        </w:tc>
        <w:tc>
          <w:tcPr>
            <w:tcW w:w="547" w:type="pct"/>
            <w:vAlign w:val="center"/>
          </w:tcPr>
          <w:p>
            <w:pPr>
              <w:spacing w:line="240" w:lineRule="auto"/>
              <w:ind w:firstLine="0" w:firstLineChars="0"/>
              <w:jc w:val="center"/>
              <w:rPr>
                <w:b/>
                <w:bCs/>
                <w:sz w:val="21"/>
                <w:szCs w:val="21"/>
              </w:rPr>
            </w:pPr>
            <w:r>
              <w:rPr>
                <w:b/>
                <w:bCs/>
                <w:sz w:val="21"/>
                <w:szCs w:val="21"/>
              </w:rPr>
              <w:t>15.40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5"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砌石拆除</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116.76</w:t>
            </w:r>
          </w:p>
        </w:tc>
        <w:tc>
          <w:tcPr>
            <w:tcW w:w="484" w:type="pct"/>
            <w:vAlign w:val="center"/>
          </w:tcPr>
          <w:p>
            <w:pPr>
              <w:spacing w:line="240" w:lineRule="auto"/>
              <w:ind w:firstLine="0" w:firstLineChars="0"/>
              <w:jc w:val="center"/>
              <w:rPr>
                <w:sz w:val="21"/>
                <w:szCs w:val="21"/>
              </w:rPr>
            </w:pPr>
            <w:r>
              <w:rPr>
                <w:sz w:val="21"/>
                <w:szCs w:val="21"/>
              </w:rPr>
              <w:t>105.64</w:t>
            </w:r>
          </w:p>
        </w:tc>
        <w:tc>
          <w:tcPr>
            <w:tcW w:w="484" w:type="pct"/>
            <w:vAlign w:val="center"/>
          </w:tcPr>
          <w:p>
            <w:pPr>
              <w:spacing w:line="240" w:lineRule="auto"/>
              <w:ind w:firstLine="0" w:firstLineChars="0"/>
              <w:jc w:val="center"/>
              <w:rPr>
                <w:sz w:val="21"/>
                <w:szCs w:val="21"/>
              </w:rPr>
            </w:pPr>
            <w:r>
              <w:rPr>
                <w:sz w:val="21"/>
                <w:szCs w:val="21"/>
              </w:rPr>
              <w:t>183.48</w:t>
            </w:r>
          </w:p>
        </w:tc>
        <w:tc>
          <w:tcPr>
            <w:tcW w:w="484" w:type="pct"/>
            <w:vAlign w:val="center"/>
          </w:tcPr>
          <w:p>
            <w:pPr>
              <w:spacing w:line="240" w:lineRule="auto"/>
              <w:ind w:firstLine="0" w:firstLineChars="0"/>
              <w:jc w:val="center"/>
              <w:rPr>
                <w:sz w:val="21"/>
                <w:szCs w:val="21"/>
              </w:rPr>
            </w:pPr>
            <w:r>
              <w:rPr>
                <w:sz w:val="21"/>
                <w:szCs w:val="21"/>
              </w:rPr>
              <w:t>127.88</w:t>
            </w:r>
          </w:p>
        </w:tc>
        <w:tc>
          <w:tcPr>
            <w:tcW w:w="480" w:type="pct"/>
            <w:vAlign w:val="center"/>
          </w:tcPr>
          <w:p>
            <w:pPr>
              <w:spacing w:line="240" w:lineRule="auto"/>
              <w:ind w:firstLine="0" w:firstLineChars="0"/>
              <w:jc w:val="center"/>
              <w:rPr>
                <w:sz w:val="21"/>
                <w:szCs w:val="21"/>
              </w:rPr>
            </w:pPr>
            <w:r>
              <w:rPr>
                <w:sz w:val="21"/>
                <w:szCs w:val="21"/>
              </w:rPr>
              <w:t>150.12</w:t>
            </w:r>
          </w:p>
        </w:tc>
        <w:tc>
          <w:tcPr>
            <w:tcW w:w="547" w:type="pct"/>
            <w:vAlign w:val="center"/>
          </w:tcPr>
          <w:p>
            <w:pPr>
              <w:spacing w:line="240" w:lineRule="auto"/>
              <w:ind w:firstLine="0" w:firstLineChars="0"/>
              <w:jc w:val="center"/>
              <w:rPr>
                <w:b/>
                <w:bCs/>
                <w:sz w:val="21"/>
                <w:szCs w:val="21"/>
              </w:rPr>
            </w:pPr>
            <w:r>
              <w:rPr>
                <w:b/>
                <w:bCs/>
                <w:sz w:val="21"/>
                <w:szCs w:val="21"/>
              </w:rPr>
              <w:t>683.88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52" w:hRule="atLeast"/>
        </w:trPr>
        <w:tc>
          <w:tcPr>
            <w:tcW w:w="355" w:type="pct"/>
            <w:vMerge w:val="continue"/>
            <w:vAlign w:val="center"/>
          </w:tcPr>
          <w:p>
            <w:pPr>
              <w:spacing w:line="240" w:lineRule="auto"/>
              <w:ind w:firstLine="0" w:firstLineChars="0"/>
              <w:jc w:val="center"/>
              <w:rPr>
                <w:sz w:val="21"/>
                <w:szCs w:val="21"/>
              </w:rPr>
            </w:pPr>
          </w:p>
        </w:tc>
        <w:tc>
          <w:tcPr>
            <w:tcW w:w="516" w:type="pct"/>
            <w:vMerge w:val="restart"/>
            <w:vAlign w:val="center"/>
          </w:tcPr>
          <w:p>
            <w:pPr>
              <w:spacing w:line="240" w:lineRule="auto"/>
              <w:ind w:firstLine="0" w:firstLineChars="0"/>
              <w:jc w:val="center"/>
              <w:rPr>
                <w:sz w:val="21"/>
                <w:szCs w:val="21"/>
              </w:rPr>
            </w:pPr>
            <w:r>
              <w:rPr>
                <w:sz w:val="21"/>
                <w:szCs w:val="21"/>
              </w:rPr>
              <w:t>截排水沟</w:t>
            </w:r>
          </w:p>
        </w:tc>
        <w:tc>
          <w:tcPr>
            <w:tcW w:w="709" w:type="pct"/>
            <w:vAlign w:val="center"/>
          </w:tcPr>
          <w:p>
            <w:pPr>
              <w:spacing w:line="240" w:lineRule="auto"/>
              <w:ind w:firstLine="0" w:firstLineChars="0"/>
              <w:jc w:val="center"/>
              <w:rPr>
                <w:sz w:val="21"/>
                <w:szCs w:val="21"/>
              </w:rPr>
            </w:pPr>
            <w:r>
              <w:rPr>
                <w:sz w:val="21"/>
                <w:szCs w:val="21"/>
              </w:rPr>
              <w:t>组成</w:t>
            </w:r>
          </w:p>
        </w:tc>
        <w:tc>
          <w:tcPr>
            <w:tcW w:w="454" w:type="pct"/>
            <w:vAlign w:val="center"/>
          </w:tcPr>
          <w:p>
            <w:pPr>
              <w:spacing w:line="240" w:lineRule="auto"/>
              <w:ind w:firstLine="0" w:firstLineChars="0"/>
              <w:jc w:val="center"/>
              <w:rPr>
                <w:sz w:val="21"/>
                <w:szCs w:val="21"/>
              </w:rPr>
            </w:pPr>
            <w:r>
              <w:rPr>
                <w:sz w:val="21"/>
                <w:szCs w:val="21"/>
              </w:rPr>
              <w:t>m</w:t>
            </w:r>
          </w:p>
        </w:tc>
        <w:tc>
          <w:tcPr>
            <w:tcW w:w="484" w:type="pct"/>
            <w:vAlign w:val="center"/>
          </w:tcPr>
          <w:p>
            <w:pPr>
              <w:spacing w:line="240" w:lineRule="auto"/>
              <w:ind w:firstLine="0" w:firstLineChars="0"/>
              <w:jc w:val="center"/>
              <w:rPr>
                <w:sz w:val="21"/>
                <w:szCs w:val="21"/>
              </w:rPr>
            </w:pPr>
            <w:r>
              <w:rPr>
                <w:sz w:val="21"/>
                <w:szCs w:val="21"/>
              </w:rPr>
              <w:t>1326</w:t>
            </w:r>
          </w:p>
        </w:tc>
        <w:tc>
          <w:tcPr>
            <w:tcW w:w="484" w:type="pct"/>
            <w:vAlign w:val="center"/>
          </w:tcPr>
          <w:p>
            <w:pPr>
              <w:spacing w:line="240" w:lineRule="auto"/>
              <w:ind w:firstLine="0" w:firstLineChars="0"/>
              <w:jc w:val="center"/>
              <w:rPr>
                <w:sz w:val="21"/>
                <w:szCs w:val="21"/>
              </w:rPr>
            </w:pPr>
            <w:r>
              <w:rPr>
                <w:sz w:val="21"/>
                <w:szCs w:val="21"/>
              </w:rPr>
              <w:t>972</w:t>
            </w:r>
          </w:p>
        </w:tc>
        <w:tc>
          <w:tcPr>
            <w:tcW w:w="484" w:type="pct"/>
            <w:vAlign w:val="center"/>
          </w:tcPr>
          <w:p>
            <w:pPr>
              <w:spacing w:line="240" w:lineRule="auto"/>
              <w:ind w:firstLine="0" w:firstLineChars="0"/>
              <w:jc w:val="center"/>
              <w:rPr>
                <w:sz w:val="21"/>
                <w:szCs w:val="21"/>
              </w:rPr>
            </w:pPr>
            <w:r>
              <w:rPr>
                <w:sz w:val="21"/>
                <w:szCs w:val="21"/>
              </w:rPr>
              <w:t>1125</w:t>
            </w:r>
          </w:p>
        </w:tc>
        <w:tc>
          <w:tcPr>
            <w:tcW w:w="484" w:type="pct"/>
            <w:vAlign w:val="center"/>
          </w:tcPr>
          <w:p>
            <w:pPr>
              <w:spacing w:line="240" w:lineRule="auto"/>
              <w:ind w:firstLine="0" w:firstLineChars="0"/>
              <w:jc w:val="center"/>
              <w:rPr>
                <w:sz w:val="21"/>
                <w:szCs w:val="21"/>
              </w:rPr>
            </w:pPr>
            <w:r>
              <w:rPr>
                <w:sz w:val="21"/>
                <w:szCs w:val="21"/>
              </w:rPr>
              <w:t>1509</w:t>
            </w:r>
          </w:p>
        </w:tc>
        <w:tc>
          <w:tcPr>
            <w:tcW w:w="480" w:type="pct"/>
            <w:vAlign w:val="center"/>
          </w:tcPr>
          <w:p>
            <w:pPr>
              <w:spacing w:line="240" w:lineRule="auto"/>
              <w:ind w:firstLine="0" w:firstLineChars="0"/>
              <w:jc w:val="center"/>
              <w:rPr>
                <w:sz w:val="21"/>
                <w:szCs w:val="21"/>
              </w:rPr>
            </w:pPr>
            <w:r>
              <w:rPr>
                <w:sz w:val="21"/>
                <w:szCs w:val="21"/>
              </w:rPr>
              <w:t>1270</w:t>
            </w:r>
          </w:p>
        </w:tc>
        <w:tc>
          <w:tcPr>
            <w:tcW w:w="547" w:type="pct"/>
            <w:vAlign w:val="center"/>
          </w:tcPr>
          <w:p>
            <w:pPr>
              <w:spacing w:line="240" w:lineRule="auto"/>
              <w:ind w:firstLine="0" w:firstLineChars="0"/>
              <w:jc w:val="center"/>
              <w:rPr>
                <w:b/>
                <w:bCs/>
                <w:sz w:val="21"/>
                <w:szCs w:val="21"/>
              </w:rPr>
            </w:pPr>
            <w:r>
              <w:rPr>
                <w:b/>
                <w:bCs/>
                <w:sz w:val="21"/>
                <w:szCs w:val="21"/>
              </w:rPr>
              <w:t>6202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5"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土方开挖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1202.95</w:t>
            </w:r>
          </w:p>
        </w:tc>
        <w:tc>
          <w:tcPr>
            <w:tcW w:w="484" w:type="pct"/>
            <w:vAlign w:val="center"/>
          </w:tcPr>
          <w:p>
            <w:pPr>
              <w:spacing w:line="240" w:lineRule="auto"/>
              <w:ind w:firstLine="0" w:firstLineChars="0"/>
              <w:jc w:val="center"/>
              <w:rPr>
                <w:sz w:val="21"/>
                <w:szCs w:val="21"/>
              </w:rPr>
            </w:pPr>
            <w:r>
              <w:rPr>
                <w:sz w:val="21"/>
                <w:szCs w:val="21"/>
              </w:rPr>
              <w:t>881.80</w:t>
            </w:r>
          </w:p>
        </w:tc>
        <w:tc>
          <w:tcPr>
            <w:tcW w:w="484" w:type="pct"/>
            <w:vAlign w:val="center"/>
          </w:tcPr>
          <w:p>
            <w:pPr>
              <w:spacing w:line="240" w:lineRule="auto"/>
              <w:ind w:firstLine="0" w:firstLineChars="0"/>
              <w:jc w:val="center"/>
              <w:rPr>
                <w:sz w:val="21"/>
                <w:szCs w:val="21"/>
              </w:rPr>
            </w:pPr>
            <w:r>
              <w:rPr>
                <w:sz w:val="21"/>
                <w:szCs w:val="21"/>
              </w:rPr>
              <w:t>1020.60</w:t>
            </w:r>
          </w:p>
        </w:tc>
        <w:tc>
          <w:tcPr>
            <w:tcW w:w="484" w:type="pct"/>
            <w:vAlign w:val="center"/>
          </w:tcPr>
          <w:p>
            <w:pPr>
              <w:spacing w:line="240" w:lineRule="auto"/>
              <w:ind w:firstLine="0" w:firstLineChars="0"/>
              <w:jc w:val="center"/>
              <w:rPr>
                <w:sz w:val="21"/>
                <w:szCs w:val="21"/>
              </w:rPr>
            </w:pPr>
            <w:r>
              <w:rPr>
                <w:sz w:val="21"/>
                <w:szCs w:val="21"/>
              </w:rPr>
              <w:t>1368.96</w:t>
            </w:r>
          </w:p>
        </w:tc>
        <w:tc>
          <w:tcPr>
            <w:tcW w:w="480" w:type="pct"/>
            <w:vAlign w:val="center"/>
          </w:tcPr>
          <w:p>
            <w:pPr>
              <w:spacing w:line="240" w:lineRule="auto"/>
              <w:ind w:firstLine="0" w:firstLineChars="0"/>
              <w:jc w:val="center"/>
              <w:rPr>
                <w:sz w:val="21"/>
                <w:szCs w:val="21"/>
              </w:rPr>
            </w:pPr>
            <w:r>
              <w:rPr>
                <w:sz w:val="21"/>
                <w:szCs w:val="21"/>
              </w:rPr>
              <w:t>1152.14</w:t>
            </w:r>
          </w:p>
        </w:tc>
        <w:tc>
          <w:tcPr>
            <w:tcW w:w="547" w:type="pct"/>
            <w:vAlign w:val="center"/>
          </w:tcPr>
          <w:p>
            <w:pPr>
              <w:spacing w:line="240" w:lineRule="auto"/>
              <w:ind w:firstLine="0" w:firstLineChars="0"/>
              <w:jc w:val="center"/>
              <w:rPr>
                <w:sz w:val="21"/>
                <w:szCs w:val="21"/>
              </w:rPr>
            </w:pPr>
            <w:r>
              <w:rPr>
                <w:b/>
                <w:bCs/>
                <w:sz w:val="21"/>
                <w:szCs w:val="21"/>
              </w:rPr>
              <w:t>5626.45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7"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M7.5水泥砂浆砌砖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725.59</w:t>
            </w:r>
          </w:p>
        </w:tc>
        <w:tc>
          <w:tcPr>
            <w:tcW w:w="484" w:type="pct"/>
            <w:vAlign w:val="center"/>
          </w:tcPr>
          <w:p>
            <w:pPr>
              <w:spacing w:line="240" w:lineRule="auto"/>
              <w:ind w:firstLine="0" w:firstLineChars="0"/>
              <w:jc w:val="center"/>
              <w:rPr>
                <w:sz w:val="21"/>
                <w:szCs w:val="21"/>
              </w:rPr>
            </w:pPr>
            <w:r>
              <w:rPr>
                <w:sz w:val="21"/>
                <w:szCs w:val="21"/>
              </w:rPr>
              <w:t>531.88</w:t>
            </w:r>
          </w:p>
        </w:tc>
        <w:tc>
          <w:tcPr>
            <w:tcW w:w="484" w:type="pct"/>
            <w:vAlign w:val="center"/>
          </w:tcPr>
          <w:p>
            <w:pPr>
              <w:spacing w:line="240" w:lineRule="auto"/>
              <w:ind w:firstLine="0" w:firstLineChars="0"/>
              <w:jc w:val="center"/>
              <w:rPr>
                <w:sz w:val="21"/>
                <w:szCs w:val="21"/>
              </w:rPr>
            </w:pPr>
            <w:r>
              <w:rPr>
                <w:sz w:val="21"/>
                <w:szCs w:val="21"/>
              </w:rPr>
              <w:t>615.60</w:t>
            </w:r>
          </w:p>
        </w:tc>
        <w:tc>
          <w:tcPr>
            <w:tcW w:w="484" w:type="pct"/>
            <w:vAlign w:val="center"/>
          </w:tcPr>
          <w:p>
            <w:pPr>
              <w:spacing w:line="240" w:lineRule="auto"/>
              <w:ind w:firstLine="0" w:firstLineChars="0"/>
              <w:jc w:val="center"/>
              <w:rPr>
                <w:sz w:val="21"/>
                <w:szCs w:val="21"/>
              </w:rPr>
            </w:pPr>
            <w:r>
              <w:rPr>
                <w:sz w:val="21"/>
                <w:szCs w:val="21"/>
              </w:rPr>
              <w:t>825.72</w:t>
            </w:r>
          </w:p>
        </w:tc>
        <w:tc>
          <w:tcPr>
            <w:tcW w:w="480" w:type="pct"/>
            <w:vAlign w:val="center"/>
          </w:tcPr>
          <w:p>
            <w:pPr>
              <w:spacing w:line="240" w:lineRule="auto"/>
              <w:ind w:firstLine="0" w:firstLineChars="0"/>
              <w:jc w:val="center"/>
              <w:rPr>
                <w:sz w:val="21"/>
                <w:szCs w:val="21"/>
              </w:rPr>
            </w:pPr>
            <w:r>
              <w:rPr>
                <w:sz w:val="21"/>
                <w:szCs w:val="21"/>
              </w:rPr>
              <w:t>694.94</w:t>
            </w:r>
          </w:p>
        </w:tc>
        <w:tc>
          <w:tcPr>
            <w:tcW w:w="547" w:type="pct"/>
            <w:vAlign w:val="center"/>
          </w:tcPr>
          <w:p>
            <w:pPr>
              <w:spacing w:line="240" w:lineRule="auto"/>
              <w:ind w:firstLine="0" w:firstLineChars="0"/>
              <w:jc w:val="center"/>
              <w:rPr>
                <w:b/>
                <w:bCs/>
                <w:sz w:val="21"/>
                <w:szCs w:val="21"/>
              </w:rPr>
            </w:pPr>
            <w:r>
              <w:rPr>
                <w:b/>
                <w:bCs/>
                <w:sz w:val="21"/>
                <w:szCs w:val="21"/>
              </w:rPr>
              <w:t>3393.73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5"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kern w:val="0"/>
                <w:sz w:val="21"/>
                <w:szCs w:val="21"/>
              </w:rPr>
              <w:t>M10水泥砂浆抹面</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2</w:t>
            </w:r>
          </w:p>
        </w:tc>
        <w:tc>
          <w:tcPr>
            <w:tcW w:w="484" w:type="pct"/>
            <w:vAlign w:val="center"/>
          </w:tcPr>
          <w:p>
            <w:pPr>
              <w:spacing w:line="240" w:lineRule="auto"/>
              <w:ind w:firstLine="0" w:firstLineChars="0"/>
              <w:jc w:val="center"/>
              <w:rPr>
                <w:sz w:val="21"/>
                <w:szCs w:val="21"/>
              </w:rPr>
            </w:pPr>
            <w:r>
              <w:rPr>
                <w:sz w:val="21"/>
                <w:szCs w:val="21"/>
              </w:rPr>
              <w:t>5250.96</w:t>
            </w:r>
          </w:p>
        </w:tc>
        <w:tc>
          <w:tcPr>
            <w:tcW w:w="484" w:type="pct"/>
            <w:vAlign w:val="center"/>
          </w:tcPr>
          <w:p>
            <w:pPr>
              <w:spacing w:line="240" w:lineRule="auto"/>
              <w:ind w:firstLine="0" w:firstLineChars="0"/>
              <w:jc w:val="center"/>
              <w:rPr>
                <w:sz w:val="21"/>
                <w:szCs w:val="21"/>
              </w:rPr>
            </w:pPr>
            <w:r>
              <w:rPr>
                <w:sz w:val="21"/>
                <w:szCs w:val="21"/>
              </w:rPr>
              <w:t>3849.12</w:t>
            </w:r>
          </w:p>
        </w:tc>
        <w:tc>
          <w:tcPr>
            <w:tcW w:w="484" w:type="pct"/>
            <w:vAlign w:val="center"/>
          </w:tcPr>
          <w:p>
            <w:pPr>
              <w:spacing w:line="240" w:lineRule="auto"/>
              <w:ind w:firstLine="0" w:firstLineChars="0"/>
              <w:jc w:val="center"/>
              <w:rPr>
                <w:sz w:val="21"/>
                <w:szCs w:val="21"/>
              </w:rPr>
            </w:pPr>
            <w:r>
              <w:rPr>
                <w:sz w:val="21"/>
                <w:szCs w:val="21"/>
              </w:rPr>
              <w:t>4455</w:t>
            </w:r>
          </w:p>
        </w:tc>
        <w:tc>
          <w:tcPr>
            <w:tcW w:w="484" w:type="pct"/>
            <w:vAlign w:val="center"/>
          </w:tcPr>
          <w:p>
            <w:pPr>
              <w:spacing w:line="240" w:lineRule="auto"/>
              <w:ind w:firstLine="0" w:firstLineChars="0"/>
              <w:jc w:val="center"/>
              <w:rPr>
                <w:sz w:val="21"/>
                <w:szCs w:val="21"/>
              </w:rPr>
            </w:pPr>
            <w:r>
              <w:rPr>
                <w:sz w:val="21"/>
                <w:szCs w:val="21"/>
              </w:rPr>
              <w:t>5975.64</w:t>
            </w:r>
          </w:p>
        </w:tc>
        <w:tc>
          <w:tcPr>
            <w:tcW w:w="480" w:type="pct"/>
            <w:vAlign w:val="center"/>
          </w:tcPr>
          <w:p>
            <w:pPr>
              <w:spacing w:line="240" w:lineRule="auto"/>
              <w:ind w:firstLine="0" w:firstLineChars="0"/>
              <w:jc w:val="center"/>
              <w:rPr>
                <w:sz w:val="21"/>
                <w:szCs w:val="21"/>
              </w:rPr>
            </w:pPr>
            <w:r>
              <w:rPr>
                <w:sz w:val="21"/>
                <w:szCs w:val="21"/>
              </w:rPr>
              <w:t>5029.2</w:t>
            </w:r>
          </w:p>
        </w:tc>
        <w:tc>
          <w:tcPr>
            <w:tcW w:w="547" w:type="pct"/>
            <w:vAlign w:val="center"/>
          </w:tcPr>
          <w:p>
            <w:pPr>
              <w:spacing w:line="240" w:lineRule="auto"/>
              <w:ind w:firstLine="0" w:firstLineChars="0"/>
              <w:jc w:val="center"/>
              <w:rPr>
                <w:sz w:val="21"/>
                <w:szCs w:val="21"/>
              </w:rPr>
            </w:pPr>
            <w:r>
              <w:rPr>
                <w:b/>
                <w:bCs/>
                <w:sz w:val="21"/>
                <w:szCs w:val="21"/>
              </w:rPr>
              <w:t>24559.92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9"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kern w:val="0"/>
                <w:sz w:val="21"/>
                <w:szCs w:val="21"/>
              </w:rPr>
            </w:pPr>
            <w:r>
              <w:rPr>
                <w:sz w:val="21"/>
                <w:szCs w:val="21"/>
              </w:rPr>
              <w:t>砌砖拆除</w:t>
            </w:r>
          </w:p>
        </w:tc>
        <w:tc>
          <w:tcPr>
            <w:tcW w:w="843"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899" w:type="dxa"/>
            <w:vAlign w:val="center"/>
          </w:tcPr>
          <w:p>
            <w:pPr>
              <w:spacing w:line="240" w:lineRule="auto"/>
              <w:ind w:firstLine="0" w:firstLineChars="0"/>
              <w:jc w:val="center"/>
              <w:rPr>
                <w:sz w:val="21"/>
                <w:szCs w:val="21"/>
              </w:rPr>
            </w:pPr>
            <w:r>
              <w:rPr>
                <w:sz w:val="21"/>
                <w:szCs w:val="21"/>
              </w:rPr>
              <w:t>725.59</w:t>
            </w:r>
          </w:p>
        </w:tc>
        <w:tc>
          <w:tcPr>
            <w:tcW w:w="899" w:type="dxa"/>
            <w:vAlign w:val="center"/>
          </w:tcPr>
          <w:p>
            <w:pPr>
              <w:spacing w:line="240" w:lineRule="auto"/>
              <w:ind w:firstLine="0" w:firstLineChars="0"/>
              <w:jc w:val="center"/>
              <w:rPr>
                <w:sz w:val="21"/>
                <w:szCs w:val="21"/>
              </w:rPr>
            </w:pPr>
            <w:r>
              <w:rPr>
                <w:sz w:val="21"/>
                <w:szCs w:val="21"/>
              </w:rPr>
              <w:t>531.88</w:t>
            </w:r>
          </w:p>
        </w:tc>
        <w:tc>
          <w:tcPr>
            <w:tcW w:w="899" w:type="dxa"/>
            <w:vAlign w:val="center"/>
          </w:tcPr>
          <w:p>
            <w:pPr>
              <w:spacing w:line="240" w:lineRule="auto"/>
              <w:ind w:firstLine="0" w:firstLineChars="0"/>
              <w:jc w:val="center"/>
              <w:rPr>
                <w:sz w:val="21"/>
                <w:szCs w:val="21"/>
              </w:rPr>
            </w:pPr>
            <w:r>
              <w:rPr>
                <w:sz w:val="21"/>
                <w:szCs w:val="21"/>
              </w:rPr>
              <w:t>615.60</w:t>
            </w:r>
          </w:p>
        </w:tc>
        <w:tc>
          <w:tcPr>
            <w:tcW w:w="899" w:type="dxa"/>
            <w:vAlign w:val="center"/>
          </w:tcPr>
          <w:p>
            <w:pPr>
              <w:spacing w:line="240" w:lineRule="auto"/>
              <w:ind w:firstLine="0" w:firstLineChars="0"/>
              <w:jc w:val="center"/>
              <w:rPr>
                <w:sz w:val="21"/>
                <w:szCs w:val="21"/>
              </w:rPr>
            </w:pPr>
            <w:r>
              <w:rPr>
                <w:sz w:val="21"/>
                <w:szCs w:val="21"/>
              </w:rPr>
              <w:t>825.72</w:t>
            </w:r>
          </w:p>
        </w:tc>
        <w:tc>
          <w:tcPr>
            <w:tcW w:w="891" w:type="dxa"/>
            <w:vAlign w:val="center"/>
          </w:tcPr>
          <w:p>
            <w:pPr>
              <w:spacing w:line="240" w:lineRule="auto"/>
              <w:ind w:firstLine="0" w:firstLineChars="0"/>
              <w:jc w:val="center"/>
              <w:rPr>
                <w:sz w:val="21"/>
                <w:szCs w:val="21"/>
              </w:rPr>
            </w:pPr>
            <w:r>
              <w:rPr>
                <w:sz w:val="21"/>
                <w:szCs w:val="21"/>
              </w:rPr>
              <w:t>694.94</w:t>
            </w:r>
          </w:p>
        </w:tc>
        <w:tc>
          <w:tcPr>
            <w:tcW w:w="1018" w:type="dxa"/>
            <w:vAlign w:val="center"/>
          </w:tcPr>
          <w:p>
            <w:pPr>
              <w:spacing w:line="240" w:lineRule="auto"/>
              <w:ind w:firstLine="0" w:firstLineChars="0"/>
              <w:jc w:val="center"/>
              <w:rPr>
                <w:b/>
                <w:bCs/>
                <w:sz w:val="21"/>
                <w:szCs w:val="21"/>
              </w:rPr>
            </w:pPr>
            <w:r>
              <w:rPr>
                <w:b/>
                <w:bCs/>
                <w:sz w:val="21"/>
                <w:szCs w:val="21"/>
              </w:rPr>
              <w:t>3393.73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6" w:hRule="atLeast"/>
        </w:trPr>
        <w:tc>
          <w:tcPr>
            <w:tcW w:w="355" w:type="pct"/>
            <w:vMerge w:val="continue"/>
            <w:vAlign w:val="center"/>
          </w:tcPr>
          <w:p>
            <w:pPr>
              <w:spacing w:line="240" w:lineRule="auto"/>
              <w:ind w:firstLine="0" w:firstLineChars="0"/>
              <w:jc w:val="center"/>
              <w:rPr>
                <w:sz w:val="21"/>
                <w:szCs w:val="21"/>
              </w:rPr>
            </w:pPr>
          </w:p>
        </w:tc>
        <w:tc>
          <w:tcPr>
            <w:tcW w:w="516" w:type="pct"/>
            <w:vMerge w:val="restart"/>
            <w:vAlign w:val="center"/>
          </w:tcPr>
          <w:p>
            <w:pPr>
              <w:spacing w:line="240" w:lineRule="auto"/>
              <w:ind w:firstLine="0" w:firstLineChars="0"/>
              <w:jc w:val="center"/>
              <w:rPr>
                <w:sz w:val="21"/>
                <w:szCs w:val="21"/>
              </w:rPr>
            </w:pPr>
            <w:r>
              <w:rPr>
                <w:kern w:val="24"/>
                <w:sz w:val="21"/>
                <w:szCs w:val="21"/>
              </w:rPr>
              <w:t>排水盲沟</w:t>
            </w:r>
          </w:p>
        </w:tc>
        <w:tc>
          <w:tcPr>
            <w:tcW w:w="709" w:type="pct"/>
            <w:vAlign w:val="center"/>
          </w:tcPr>
          <w:p>
            <w:pPr>
              <w:spacing w:line="240" w:lineRule="auto"/>
              <w:ind w:firstLine="0" w:firstLineChars="0"/>
              <w:jc w:val="center"/>
              <w:rPr>
                <w:kern w:val="24"/>
                <w:sz w:val="21"/>
                <w:szCs w:val="21"/>
              </w:rPr>
            </w:pPr>
            <w:r>
              <w:rPr>
                <w:sz w:val="21"/>
                <w:szCs w:val="21"/>
              </w:rPr>
              <w:t>组成</w:t>
            </w:r>
          </w:p>
        </w:tc>
        <w:tc>
          <w:tcPr>
            <w:tcW w:w="454" w:type="pct"/>
            <w:vAlign w:val="center"/>
          </w:tcPr>
          <w:p>
            <w:pPr>
              <w:spacing w:line="240" w:lineRule="auto"/>
              <w:ind w:firstLine="0" w:firstLineChars="0"/>
              <w:jc w:val="center"/>
              <w:rPr>
                <w:sz w:val="21"/>
                <w:szCs w:val="21"/>
              </w:rPr>
            </w:pPr>
            <w:r>
              <w:rPr>
                <w:sz w:val="21"/>
                <w:szCs w:val="21"/>
              </w:rPr>
              <w:t>m</w:t>
            </w:r>
          </w:p>
        </w:tc>
        <w:tc>
          <w:tcPr>
            <w:tcW w:w="484" w:type="pct"/>
            <w:vAlign w:val="center"/>
          </w:tcPr>
          <w:p>
            <w:pPr>
              <w:spacing w:line="240" w:lineRule="auto"/>
              <w:ind w:firstLine="0" w:firstLineChars="0"/>
              <w:jc w:val="center"/>
              <w:rPr>
                <w:sz w:val="21"/>
                <w:szCs w:val="21"/>
              </w:rPr>
            </w:pPr>
            <w:r>
              <w:rPr>
                <w:sz w:val="21"/>
                <w:szCs w:val="21"/>
              </w:rPr>
              <w:t>402</w:t>
            </w:r>
          </w:p>
        </w:tc>
        <w:tc>
          <w:tcPr>
            <w:tcW w:w="484" w:type="pct"/>
            <w:vAlign w:val="center"/>
          </w:tcPr>
          <w:p>
            <w:pPr>
              <w:spacing w:line="240" w:lineRule="auto"/>
              <w:ind w:firstLine="0" w:firstLineChars="0"/>
              <w:jc w:val="center"/>
              <w:rPr>
                <w:sz w:val="21"/>
                <w:szCs w:val="21"/>
              </w:rPr>
            </w:pPr>
            <w:r>
              <w:rPr>
                <w:sz w:val="21"/>
                <w:szCs w:val="21"/>
              </w:rPr>
              <w:t>273</w:t>
            </w:r>
          </w:p>
        </w:tc>
        <w:tc>
          <w:tcPr>
            <w:tcW w:w="484" w:type="pct"/>
            <w:vAlign w:val="center"/>
          </w:tcPr>
          <w:p>
            <w:pPr>
              <w:spacing w:line="240" w:lineRule="auto"/>
              <w:ind w:firstLine="0" w:firstLineChars="0"/>
              <w:jc w:val="center"/>
              <w:rPr>
                <w:sz w:val="21"/>
                <w:szCs w:val="21"/>
              </w:rPr>
            </w:pPr>
            <w:r>
              <w:rPr>
                <w:sz w:val="21"/>
                <w:szCs w:val="21"/>
              </w:rPr>
              <w:t>460</w:t>
            </w:r>
          </w:p>
        </w:tc>
        <w:tc>
          <w:tcPr>
            <w:tcW w:w="484" w:type="pct"/>
            <w:vAlign w:val="center"/>
          </w:tcPr>
          <w:p>
            <w:pPr>
              <w:spacing w:line="240" w:lineRule="auto"/>
              <w:ind w:firstLine="0" w:firstLineChars="0"/>
              <w:jc w:val="center"/>
              <w:rPr>
                <w:sz w:val="21"/>
                <w:szCs w:val="21"/>
              </w:rPr>
            </w:pPr>
            <w:r>
              <w:rPr>
                <w:sz w:val="21"/>
                <w:szCs w:val="21"/>
              </w:rPr>
              <w:t>544</w:t>
            </w:r>
          </w:p>
        </w:tc>
        <w:tc>
          <w:tcPr>
            <w:tcW w:w="480" w:type="pct"/>
            <w:vAlign w:val="center"/>
          </w:tcPr>
          <w:p>
            <w:pPr>
              <w:spacing w:line="240" w:lineRule="auto"/>
              <w:ind w:firstLine="0" w:firstLineChars="0"/>
              <w:jc w:val="center"/>
              <w:rPr>
                <w:sz w:val="21"/>
                <w:szCs w:val="21"/>
              </w:rPr>
            </w:pPr>
            <w:r>
              <w:rPr>
                <w:sz w:val="21"/>
                <w:szCs w:val="21"/>
              </w:rPr>
              <w:t>440</w:t>
            </w:r>
          </w:p>
        </w:tc>
        <w:tc>
          <w:tcPr>
            <w:tcW w:w="547" w:type="pct"/>
            <w:vAlign w:val="center"/>
          </w:tcPr>
          <w:p>
            <w:pPr>
              <w:spacing w:line="240" w:lineRule="auto"/>
              <w:ind w:firstLine="0" w:firstLineChars="0"/>
              <w:jc w:val="center"/>
              <w:rPr>
                <w:b/>
                <w:bCs/>
                <w:sz w:val="21"/>
                <w:szCs w:val="21"/>
              </w:rPr>
            </w:pPr>
            <w:r>
              <w:rPr>
                <w:b/>
                <w:bCs/>
                <w:sz w:val="21"/>
                <w:szCs w:val="21"/>
              </w:rPr>
              <w:t>2119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9"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kern w:val="24"/>
                <w:sz w:val="21"/>
                <w:szCs w:val="21"/>
              </w:rPr>
            </w:pPr>
          </w:p>
        </w:tc>
        <w:tc>
          <w:tcPr>
            <w:tcW w:w="709" w:type="pct"/>
            <w:vAlign w:val="center"/>
          </w:tcPr>
          <w:p>
            <w:pPr>
              <w:spacing w:line="240" w:lineRule="auto"/>
              <w:ind w:firstLine="0" w:firstLineChars="0"/>
              <w:jc w:val="center"/>
              <w:rPr>
                <w:kern w:val="24"/>
                <w:sz w:val="21"/>
                <w:szCs w:val="21"/>
              </w:rPr>
            </w:pPr>
            <w:r>
              <w:rPr>
                <w:sz w:val="21"/>
                <w:szCs w:val="21"/>
              </w:rPr>
              <w:t>土方开挖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1407</w:t>
            </w:r>
          </w:p>
        </w:tc>
        <w:tc>
          <w:tcPr>
            <w:tcW w:w="484" w:type="pct"/>
            <w:vAlign w:val="center"/>
          </w:tcPr>
          <w:p>
            <w:pPr>
              <w:spacing w:line="240" w:lineRule="auto"/>
              <w:ind w:firstLine="0" w:firstLineChars="0"/>
              <w:jc w:val="center"/>
              <w:rPr>
                <w:sz w:val="21"/>
                <w:szCs w:val="21"/>
              </w:rPr>
            </w:pPr>
            <w:r>
              <w:rPr>
                <w:sz w:val="21"/>
                <w:szCs w:val="21"/>
              </w:rPr>
              <w:t>955.50</w:t>
            </w:r>
          </w:p>
        </w:tc>
        <w:tc>
          <w:tcPr>
            <w:tcW w:w="484" w:type="pct"/>
            <w:vAlign w:val="center"/>
          </w:tcPr>
          <w:p>
            <w:pPr>
              <w:spacing w:line="240" w:lineRule="auto"/>
              <w:ind w:firstLine="0" w:firstLineChars="0"/>
              <w:jc w:val="center"/>
              <w:rPr>
                <w:sz w:val="21"/>
                <w:szCs w:val="21"/>
              </w:rPr>
            </w:pPr>
            <w:r>
              <w:rPr>
                <w:sz w:val="21"/>
                <w:szCs w:val="21"/>
              </w:rPr>
              <w:t>1610</w:t>
            </w:r>
          </w:p>
        </w:tc>
        <w:tc>
          <w:tcPr>
            <w:tcW w:w="484" w:type="pct"/>
            <w:vAlign w:val="center"/>
          </w:tcPr>
          <w:p>
            <w:pPr>
              <w:spacing w:line="240" w:lineRule="auto"/>
              <w:ind w:firstLine="0" w:firstLineChars="0"/>
              <w:jc w:val="center"/>
              <w:rPr>
                <w:sz w:val="21"/>
                <w:szCs w:val="21"/>
              </w:rPr>
            </w:pPr>
            <w:r>
              <w:rPr>
                <w:sz w:val="21"/>
                <w:szCs w:val="21"/>
              </w:rPr>
              <w:t>1904</w:t>
            </w:r>
          </w:p>
        </w:tc>
        <w:tc>
          <w:tcPr>
            <w:tcW w:w="480" w:type="pct"/>
            <w:vAlign w:val="center"/>
          </w:tcPr>
          <w:p>
            <w:pPr>
              <w:spacing w:line="240" w:lineRule="auto"/>
              <w:ind w:firstLine="0" w:firstLineChars="0"/>
              <w:jc w:val="center"/>
              <w:rPr>
                <w:sz w:val="21"/>
                <w:szCs w:val="21"/>
              </w:rPr>
            </w:pPr>
            <w:r>
              <w:rPr>
                <w:sz w:val="21"/>
                <w:szCs w:val="21"/>
              </w:rPr>
              <w:t>1540</w:t>
            </w:r>
          </w:p>
        </w:tc>
        <w:tc>
          <w:tcPr>
            <w:tcW w:w="547" w:type="pct"/>
            <w:vAlign w:val="center"/>
          </w:tcPr>
          <w:p>
            <w:pPr>
              <w:spacing w:line="240" w:lineRule="auto"/>
              <w:ind w:firstLine="0" w:firstLineChars="0"/>
              <w:jc w:val="center"/>
              <w:rPr>
                <w:b/>
                <w:bCs/>
                <w:sz w:val="21"/>
                <w:szCs w:val="21"/>
              </w:rPr>
            </w:pPr>
            <w:r>
              <w:rPr>
                <w:b/>
                <w:bCs/>
                <w:sz w:val="21"/>
                <w:szCs w:val="21"/>
              </w:rPr>
              <w:t>7416.50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8"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kern w:val="24"/>
                <w:sz w:val="21"/>
                <w:szCs w:val="21"/>
              </w:rPr>
            </w:pPr>
          </w:p>
        </w:tc>
        <w:tc>
          <w:tcPr>
            <w:tcW w:w="709" w:type="pct"/>
            <w:vAlign w:val="center"/>
          </w:tcPr>
          <w:p>
            <w:pPr>
              <w:spacing w:line="240" w:lineRule="auto"/>
              <w:ind w:firstLine="0" w:firstLineChars="0"/>
              <w:jc w:val="center"/>
              <w:rPr>
                <w:kern w:val="24"/>
                <w:sz w:val="21"/>
                <w:szCs w:val="21"/>
              </w:rPr>
            </w:pPr>
            <w:r>
              <w:rPr>
                <w:kern w:val="0"/>
                <w:sz w:val="21"/>
                <w:szCs w:val="21"/>
              </w:rPr>
              <w:t>干砌卵石</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1407</w:t>
            </w:r>
          </w:p>
        </w:tc>
        <w:tc>
          <w:tcPr>
            <w:tcW w:w="484" w:type="pct"/>
            <w:vAlign w:val="center"/>
          </w:tcPr>
          <w:p>
            <w:pPr>
              <w:spacing w:line="240" w:lineRule="auto"/>
              <w:ind w:firstLine="0" w:firstLineChars="0"/>
              <w:jc w:val="center"/>
              <w:rPr>
                <w:sz w:val="21"/>
                <w:szCs w:val="21"/>
              </w:rPr>
            </w:pPr>
            <w:r>
              <w:rPr>
                <w:sz w:val="21"/>
                <w:szCs w:val="21"/>
              </w:rPr>
              <w:t>955.50</w:t>
            </w:r>
          </w:p>
        </w:tc>
        <w:tc>
          <w:tcPr>
            <w:tcW w:w="484" w:type="pct"/>
            <w:vAlign w:val="center"/>
          </w:tcPr>
          <w:p>
            <w:pPr>
              <w:spacing w:line="240" w:lineRule="auto"/>
              <w:ind w:firstLine="0" w:firstLineChars="0"/>
              <w:jc w:val="center"/>
              <w:rPr>
                <w:sz w:val="21"/>
                <w:szCs w:val="21"/>
              </w:rPr>
            </w:pPr>
            <w:r>
              <w:rPr>
                <w:sz w:val="21"/>
                <w:szCs w:val="21"/>
              </w:rPr>
              <w:t>1610</w:t>
            </w:r>
          </w:p>
        </w:tc>
        <w:tc>
          <w:tcPr>
            <w:tcW w:w="484" w:type="pct"/>
            <w:vAlign w:val="center"/>
          </w:tcPr>
          <w:p>
            <w:pPr>
              <w:spacing w:line="240" w:lineRule="auto"/>
              <w:ind w:firstLine="0" w:firstLineChars="0"/>
              <w:jc w:val="center"/>
              <w:rPr>
                <w:sz w:val="21"/>
                <w:szCs w:val="21"/>
              </w:rPr>
            </w:pPr>
            <w:r>
              <w:rPr>
                <w:sz w:val="21"/>
                <w:szCs w:val="21"/>
              </w:rPr>
              <w:t>1904</w:t>
            </w:r>
          </w:p>
        </w:tc>
        <w:tc>
          <w:tcPr>
            <w:tcW w:w="480" w:type="pct"/>
            <w:vAlign w:val="center"/>
          </w:tcPr>
          <w:p>
            <w:pPr>
              <w:spacing w:line="240" w:lineRule="auto"/>
              <w:ind w:firstLine="0" w:firstLineChars="0"/>
              <w:jc w:val="center"/>
              <w:rPr>
                <w:sz w:val="21"/>
                <w:szCs w:val="21"/>
              </w:rPr>
            </w:pPr>
            <w:r>
              <w:rPr>
                <w:sz w:val="21"/>
                <w:szCs w:val="21"/>
              </w:rPr>
              <w:t>1540</w:t>
            </w:r>
          </w:p>
        </w:tc>
        <w:tc>
          <w:tcPr>
            <w:tcW w:w="547" w:type="pct"/>
            <w:vAlign w:val="center"/>
          </w:tcPr>
          <w:p>
            <w:pPr>
              <w:spacing w:line="240" w:lineRule="auto"/>
              <w:ind w:firstLine="0" w:firstLineChars="0"/>
              <w:jc w:val="center"/>
              <w:rPr>
                <w:b/>
                <w:bCs/>
                <w:sz w:val="21"/>
                <w:szCs w:val="21"/>
              </w:rPr>
            </w:pPr>
            <w:r>
              <w:rPr>
                <w:b/>
                <w:bCs/>
                <w:sz w:val="21"/>
                <w:szCs w:val="21"/>
              </w:rPr>
              <w:t>7416.50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1" w:hRule="atLeast"/>
        </w:trPr>
        <w:tc>
          <w:tcPr>
            <w:tcW w:w="355" w:type="pct"/>
            <w:vMerge w:val="continue"/>
            <w:vAlign w:val="center"/>
          </w:tcPr>
          <w:p>
            <w:pPr>
              <w:spacing w:line="240" w:lineRule="auto"/>
              <w:ind w:firstLine="0" w:firstLineChars="0"/>
              <w:jc w:val="center"/>
              <w:rPr>
                <w:sz w:val="21"/>
                <w:szCs w:val="21"/>
              </w:rPr>
            </w:pPr>
          </w:p>
        </w:tc>
        <w:tc>
          <w:tcPr>
            <w:tcW w:w="516" w:type="pct"/>
            <w:vMerge w:val="restart"/>
            <w:vAlign w:val="center"/>
          </w:tcPr>
          <w:p>
            <w:pPr>
              <w:spacing w:line="240" w:lineRule="auto"/>
              <w:ind w:firstLine="0" w:firstLineChars="0"/>
              <w:jc w:val="center"/>
              <w:rPr>
                <w:sz w:val="21"/>
                <w:szCs w:val="21"/>
              </w:rPr>
            </w:pPr>
            <w:r>
              <w:rPr>
                <w:sz w:val="21"/>
                <w:szCs w:val="21"/>
              </w:rPr>
              <w:t>消力池</w:t>
            </w:r>
          </w:p>
        </w:tc>
        <w:tc>
          <w:tcPr>
            <w:tcW w:w="709" w:type="pct"/>
            <w:vAlign w:val="center"/>
          </w:tcPr>
          <w:p>
            <w:pPr>
              <w:spacing w:line="240" w:lineRule="auto"/>
              <w:ind w:firstLine="0" w:firstLineChars="0"/>
              <w:jc w:val="center"/>
              <w:rPr>
                <w:sz w:val="21"/>
                <w:szCs w:val="21"/>
              </w:rPr>
            </w:pPr>
            <w:r>
              <w:rPr>
                <w:sz w:val="21"/>
                <w:szCs w:val="21"/>
              </w:rPr>
              <w:t>组成</w:t>
            </w:r>
          </w:p>
        </w:tc>
        <w:tc>
          <w:tcPr>
            <w:tcW w:w="454" w:type="pct"/>
            <w:vAlign w:val="center"/>
          </w:tcPr>
          <w:p>
            <w:pPr>
              <w:spacing w:line="240" w:lineRule="auto"/>
              <w:ind w:firstLine="0" w:firstLineChars="0"/>
              <w:jc w:val="center"/>
              <w:rPr>
                <w:sz w:val="21"/>
                <w:szCs w:val="21"/>
              </w:rPr>
            </w:pPr>
            <w:r>
              <w:rPr>
                <w:sz w:val="21"/>
                <w:szCs w:val="21"/>
              </w:rPr>
              <w:t>座</w:t>
            </w:r>
          </w:p>
        </w:tc>
        <w:tc>
          <w:tcPr>
            <w:tcW w:w="484" w:type="pct"/>
            <w:vAlign w:val="center"/>
          </w:tcPr>
          <w:p>
            <w:pPr>
              <w:spacing w:line="240" w:lineRule="auto"/>
              <w:ind w:firstLine="0" w:firstLineChars="0"/>
              <w:jc w:val="center"/>
              <w:rPr>
                <w:sz w:val="21"/>
                <w:szCs w:val="21"/>
              </w:rPr>
            </w:pPr>
            <w:r>
              <w:rPr>
                <w:sz w:val="21"/>
                <w:szCs w:val="21"/>
              </w:rPr>
              <w:t>2</w:t>
            </w:r>
          </w:p>
        </w:tc>
        <w:tc>
          <w:tcPr>
            <w:tcW w:w="484" w:type="pct"/>
            <w:vAlign w:val="center"/>
          </w:tcPr>
          <w:p>
            <w:pPr>
              <w:spacing w:line="240" w:lineRule="auto"/>
              <w:ind w:firstLine="0" w:firstLineChars="0"/>
              <w:jc w:val="center"/>
              <w:rPr>
                <w:sz w:val="21"/>
                <w:szCs w:val="21"/>
              </w:rPr>
            </w:pPr>
            <w:r>
              <w:rPr>
                <w:sz w:val="21"/>
                <w:szCs w:val="21"/>
              </w:rPr>
              <w:t>2</w:t>
            </w:r>
          </w:p>
        </w:tc>
        <w:tc>
          <w:tcPr>
            <w:tcW w:w="484" w:type="pct"/>
            <w:vAlign w:val="center"/>
          </w:tcPr>
          <w:p>
            <w:pPr>
              <w:spacing w:line="240" w:lineRule="auto"/>
              <w:ind w:firstLine="0" w:firstLineChars="0"/>
              <w:jc w:val="center"/>
              <w:rPr>
                <w:sz w:val="21"/>
                <w:szCs w:val="21"/>
              </w:rPr>
            </w:pPr>
            <w:r>
              <w:rPr>
                <w:sz w:val="21"/>
                <w:szCs w:val="21"/>
              </w:rPr>
              <w:t>2</w:t>
            </w:r>
          </w:p>
        </w:tc>
        <w:tc>
          <w:tcPr>
            <w:tcW w:w="484" w:type="pct"/>
            <w:vAlign w:val="center"/>
          </w:tcPr>
          <w:p>
            <w:pPr>
              <w:spacing w:line="240" w:lineRule="auto"/>
              <w:ind w:firstLine="0" w:firstLineChars="0"/>
              <w:jc w:val="center"/>
              <w:rPr>
                <w:sz w:val="21"/>
                <w:szCs w:val="21"/>
              </w:rPr>
            </w:pPr>
            <w:r>
              <w:rPr>
                <w:sz w:val="21"/>
                <w:szCs w:val="21"/>
              </w:rPr>
              <w:t>2</w:t>
            </w:r>
          </w:p>
        </w:tc>
        <w:tc>
          <w:tcPr>
            <w:tcW w:w="480" w:type="pct"/>
            <w:vAlign w:val="center"/>
          </w:tcPr>
          <w:p>
            <w:pPr>
              <w:spacing w:line="240" w:lineRule="auto"/>
              <w:ind w:firstLine="0" w:firstLineChars="0"/>
              <w:jc w:val="center"/>
              <w:rPr>
                <w:sz w:val="21"/>
                <w:szCs w:val="21"/>
              </w:rPr>
            </w:pPr>
            <w:r>
              <w:rPr>
                <w:sz w:val="21"/>
                <w:szCs w:val="21"/>
              </w:rPr>
              <w:t>2</w:t>
            </w:r>
          </w:p>
        </w:tc>
        <w:tc>
          <w:tcPr>
            <w:tcW w:w="547" w:type="pct"/>
            <w:vAlign w:val="center"/>
          </w:tcPr>
          <w:p>
            <w:pPr>
              <w:spacing w:line="240" w:lineRule="auto"/>
              <w:ind w:firstLine="0" w:firstLineChars="0"/>
              <w:jc w:val="center"/>
              <w:rPr>
                <w:b/>
                <w:bCs/>
                <w:sz w:val="21"/>
                <w:szCs w:val="21"/>
              </w:rPr>
            </w:pPr>
            <w:r>
              <w:rPr>
                <w:b/>
                <w:bCs/>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1"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土方开挖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140</w:t>
            </w:r>
          </w:p>
        </w:tc>
        <w:tc>
          <w:tcPr>
            <w:tcW w:w="484" w:type="pct"/>
            <w:vAlign w:val="center"/>
          </w:tcPr>
          <w:p>
            <w:pPr>
              <w:spacing w:line="240" w:lineRule="auto"/>
              <w:ind w:firstLine="0" w:firstLineChars="0"/>
              <w:jc w:val="center"/>
              <w:rPr>
                <w:sz w:val="21"/>
                <w:szCs w:val="21"/>
              </w:rPr>
            </w:pPr>
            <w:r>
              <w:rPr>
                <w:sz w:val="21"/>
                <w:szCs w:val="21"/>
              </w:rPr>
              <w:t>140</w:t>
            </w:r>
          </w:p>
        </w:tc>
        <w:tc>
          <w:tcPr>
            <w:tcW w:w="484" w:type="pct"/>
            <w:vAlign w:val="center"/>
          </w:tcPr>
          <w:p>
            <w:pPr>
              <w:spacing w:line="240" w:lineRule="auto"/>
              <w:ind w:firstLine="0" w:firstLineChars="0"/>
              <w:jc w:val="center"/>
              <w:rPr>
                <w:sz w:val="21"/>
                <w:szCs w:val="21"/>
              </w:rPr>
            </w:pPr>
            <w:r>
              <w:rPr>
                <w:sz w:val="21"/>
                <w:szCs w:val="21"/>
              </w:rPr>
              <w:t>140</w:t>
            </w:r>
          </w:p>
        </w:tc>
        <w:tc>
          <w:tcPr>
            <w:tcW w:w="484" w:type="pct"/>
            <w:vAlign w:val="center"/>
          </w:tcPr>
          <w:p>
            <w:pPr>
              <w:spacing w:line="240" w:lineRule="auto"/>
              <w:ind w:firstLine="0" w:firstLineChars="0"/>
              <w:jc w:val="center"/>
              <w:rPr>
                <w:sz w:val="21"/>
                <w:szCs w:val="21"/>
              </w:rPr>
            </w:pPr>
            <w:r>
              <w:rPr>
                <w:sz w:val="21"/>
                <w:szCs w:val="21"/>
              </w:rPr>
              <w:t>140</w:t>
            </w:r>
          </w:p>
        </w:tc>
        <w:tc>
          <w:tcPr>
            <w:tcW w:w="480" w:type="pct"/>
            <w:vAlign w:val="center"/>
          </w:tcPr>
          <w:p>
            <w:pPr>
              <w:spacing w:line="240" w:lineRule="auto"/>
              <w:ind w:firstLine="0" w:firstLineChars="0"/>
              <w:jc w:val="center"/>
              <w:rPr>
                <w:sz w:val="21"/>
                <w:szCs w:val="21"/>
              </w:rPr>
            </w:pPr>
            <w:r>
              <w:rPr>
                <w:sz w:val="21"/>
                <w:szCs w:val="21"/>
              </w:rPr>
              <w:t>140</w:t>
            </w:r>
          </w:p>
        </w:tc>
        <w:tc>
          <w:tcPr>
            <w:tcW w:w="547" w:type="pct"/>
            <w:vAlign w:val="center"/>
          </w:tcPr>
          <w:p>
            <w:pPr>
              <w:spacing w:line="240" w:lineRule="auto"/>
              <w:ind w:firstLine="0" w:firstLineChars="0"/>
              <w:jc w:val="center"/>
              <w:rPr>
                <w:b/>
                <w:bCs/>
                <w:sz w:val="21"/>
                <w:szCs w:val="21"/>
              </w:rPr>
            </w:pPr>
            <w:r>
              <w:rPr>
                <w:b/>
                <w:bCs/>
                <w:sz w:val="21"/>
                <w:szCs w:val="21"/>
              </w:rPr>
              <w:t>700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91"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M7.5水泥砂浆砌石</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164.16</w:t>
            </w:r>
          </w:p>
        </w:tc>
        <w:tc>
          <w:tcPr>
            <w:tcW w:w="484" w:type="pct"/>
            <w:vAlign w:val="center"/>
          </w:tcPr>
          <w:p>
            <w:pPr>
              <w:spacing w:line="240" w:lineRule="auto"/>
              <w:ind w:firstLine="0" w:firstLineChars="0"/>
              <w:jc w:val="center"/>
              <w:rPr>
                <w:sz w:val="21"/>
                <w:szCs w:val="21"/>
              </w:rPr>
            </w:pPr>
            <w:r>
              <w:rPr>
                <w:sz w:val="21"/>
                <w:szCs w:val="21"/>
              </w:rPr>
              <w:t>164.16</w:t>
            </w:r>
          </w:p>
        </w:tc>
        <w:tc>
          <w:tcPr>
            <w:tcW w:w="484" w:type="pct"/>
            <w:vAlign w:val="center"/>
          </w:tcPr>
          <w:p>
            <w:pPr>
              <w:spacing w:line="240" w:lineRule="auto"/>
              <w:ind w:firstLine="0" w:firstLineChars="0"/>
              <w:jc w:val="center"/>
              <w:rPr>
                <w:sz w:val="21"/>
                <w:szCs w:val="21"/>
              </w:rPr>
            </w:pPr>
            <w:r>
              <w:rPr>
                <w:sz w:val="21"/>
                <w:szCs w:val="21"/>
              </w:rPr>
              <w:t>164.16</w:t>
            </w:r>
          </w:p>
        </w:tc>
        <w:tc>
          <w:tcPr>
            <w:tcW w:w="484" w:type="pct"/>
            <w:vAlign w:val="center"/>
          </w:tcPr>
          <w:p>
            <w:pPr>
              <w:spacing w:line="240" w:lineRule="auto"/>
              <w:ind w:firstLine="0" w:firstLineChars="0"/>
              <w:jc w:val="center"/>
              <w:rPr>
                <w:sz w:val="21"/>
                <w:szCs w:val="21"/>
              </w:rPr>
            </w:pPr>
            <w:r>
              <w:rPr>
                <w:sz w:val="21"/>
                <w:szCs w:val="21"/>
              </w:rPr>
              <w:t>164.16</w:t>
            </w:r>
          </w:p>
        </w:tc>
        <w:tc>
          <w:tcPr>
            <w:tcW w:w="480" w:type="pct"/>
            <w:vAlign w:val="center"/>
          </w:tcPr>
          <w:p>
            <w:pPr>
              <w:spacing w:line="240" w:lineRule="auto"/>
              <w:ind w:firstLine="0" w:firstLineChars="0"/>
              <w:jc w:val="center"/>
              <w:rPr>
                <w:sz w:val="21"/>
                <w:szCs w:val="21"/>
              </w:rPr>
            </w:pPr>
            <w:r>
              <w:rPr>
                <w:sz w:val="21"/>
                <w:szCs w:val="21"/>
              </w:rPr>
              <w:t>164.16</w:t>
            </w:r>
          </w:p>
        </w:tc>
        <w:tc>
          <w:tcPr>
            <w:tcW w:w="547" w:type="pct"/>
            <w:vAlign w:val="center"/>
          </w:tcPr>
          <w:p>
            <w:pPr>
              <w:spacing w:line="240" w:lineRule="auto"/>
              <w:ind w:firstLine="0" w:firstLineChars="0"/>
              <w:jc w:val="center"/>
              <w:rPr>
                <w:b/>
                <w:bCs/>
                <w:sz w:val="21"/>
                <w:szCs w:val="21"/>
              </w:rPr>
            </w:pPr>
            <w:r>
              <w:rPr>
                <w:b/>
                <w:bCs/>
                <w:sz w:val="21"/>
                <w:szCs w:val="21"/>
              </w:rPr>
              <w:t>820.80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3"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砌石拆除</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164.16</w:t>
            </w:r>
          </w:p>
        </w:tc>
        <w:tc>
          <w:tcPr>
            <w:tcW w:w="484" w:type="pct"/>
            <w:vAlign w:val="center"/>
          </w:tcPr>
          <w:p>
            <w:pPr>
              <w:spacing w:line="240" w:lineRule="auto"/>
              <w:ind w:firstLine="0" w:firstLineChars="0"/>
              <w:jc w:val="center"/>
              <w:rPr>
                <w:sz w:val="21"/>
                <w:szCs w:val="21"/>
              </w:rPr>
            </w:pPr>
            <w:r>
              <w:rPr>
                <w:sz w:val="21"/>
                <w:szCs w:val="21"/>
              </w:rPr>
              <w:t>164.16</w:t>
            </w:r>
          </w:p>
        </w:tc>
        <w:tc>
          <w:tcPr>
            <w:tcW w:w="484" w:type="pct"/>
            <w:vAlign w:val="center"/>
          </w:tcPr>
          <w:p>
            <w:pPr>
              <w:spacing w:line="240" w:lineRule="auto"/>
              <w:ind w:firstLine="0" w:firstLineChars="0"/>
              <w:jc w:val="center"/>
              <w:rPr>
                <w:sz w:val="21"/>
                <w:szCs w:val="21"/>
              </w:rPr>
            </w:pPr>
            <w:r>
              <w:rPr>
                <w:sz w:val="21"/>
                <w:szCs w:val="21"/>
              </w:rPr>
              <w:t>164.16</w:t>
            </w:r>
          </w:p>
        </w:tc>
        <w:tc>
          <w:tcPr>
            <w:tcW w:w="484" w:type="pct"/>
            <w:vAlign w:val="center"/>
          </w:tcPr>
          <w:p>
            <w:pPr>
              <w:spacing w:line="240" w:lineRule="auto"/>
              <w:ind w:firstLine="0" w:firstLineChars="0"/>
              <w:jc w:val="center"/>
              <w:rPr>
                <w:sz w:val="21"/>
                <w:szCs w:val="21"/>
              </w:rPr>
            </w:pPr>
            <w:r>
              <w:rPr>
                <w:sz w:val="21"/>
                <w:szCs w:val="21"/>
              </w:rPr>
              <w:t>164.16</w:t>
            </w:r>
          </w:p>
        </w:tc>
        <w:tc>
          <w:tcPr>
            <w:tcW w:w="480" w:type="pct"/>
            <w:vAlign w:val="center"/>
          </w:tcPr>
          <w:p>
            <w:pPr>
              <w:spacing w:line="240" w:lineRule="auto"/>
              <w:ind w:firstLine="0" w:firstLineChars="0"/>
              <w:jc w:val="center"/>
              <w:rPr>
                <w:sz w:val="21"/>
                <w:szCs w:val="21"/>
              </w:rPr>
            </w:pPr>
            <w:r>
              <w:rPr>
                <w:sz w:val="21"/>
                <w:szCs w:val="21"/>
              </w:rPr>
              <w:t>164.16</w:t>
            </w:r>
          </w:p>
        </w:tc>
        <w:tc>
          <w:tcPr>
            <w:tcW w:w="547" w:type="pct"/>
            <w:vAlign w:val="center"/>
          </w:tcPr>
          <w:p>
            <w:pPr>
              <w:spacing w:line="240" w:lineRule="auto"/>
              <w:ind w:firstLine="0" w:firstLineChars="0"/>
              <w:jc w:val="center"/>
              <w:rPr>
                <w:b/>
                <w:bCs/>
                <w:sz w:val="21"/>
                <w:szCs w:val="21"/>
              </w:rPr>
            </w:pPr>
            <w:r>
              <w:rPr>
                <w:b/>
                <w:bCs/>
                <w:sz w:val="21"/>
                <w:szCs w:val="21"/>
              </w:rPr>
              <w:t>820.80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6" w:hRule="atLeast"/>
        </w:trPr>
        <w:tc>
          <w:tcPr>
            <w:tcW w:w="355" w:type="pct"/>
            <w:vMerge w:val="continue"/>
            <w:vAlign w:val="center"/>
          </w:tcPr>
          <w:p>
            <w:pPr>
              <w:spacing w:line="240" w:lineRule="auto"/>
              <w:ind w:firstLine="0" w:firstLineChars="0"/>
              <w:jc w:val="center"/>
              <w:rPr>
                <w:sz w:val="21"/>
                <w:szCs w:val="21"/>
              </w:rPr>
            </w:pPr>
          </w:p>
        </w:tc>
        <w:tc>
          <w:tcPr>
            <w:tcW w:w="516" w:type="pct"/>
            <w:vMerge w:val="restart"/>
            <w:vAlign w:val="center"/>
          </w:tcPr>
          <w:p>
            <w:pPr>
              <w:spacing w:line="240" w:lineRule="auto"/>
              <w:ind w:firstLine="0" w:firstLineChars="0"/>
              <w:jc w:val="center"/>
              <w:rPr>
                <w:sz w:val="21"/>
                <w:szCs w:val="21"/>
              </w:rPr>
            </w:pPr>
            <w:r>
              <w:rPr>
                <w:sz w:val="21"/>
                <w:szCs w:val="21"/>
              </w:rPr>
              <w:t>沉沙池</w:t>
            </w:r>
          </w:p>
        </w:tc>
        <w:tc>
          <w:tcPr>
            <w:tcW w:w="709" w:type="pct"/>
            <w:vAlign w:val="center"/>
          </w:tcPr>
          <w:p>
            <w:pPr>
              <w:spacing w:line="240" w:lineRule="auto"/>
              <w:ind w:firstLine="0" w:firstLineChars="0"/>
              <w:jc w:val="center"/>
              <w:rPr>
                <w:sz w:val="21"/>
                <w:szCs w:val="21"/>
              </w:rPr>
            </w:pPr>
            <w:r>
              <w:rPr>
                <w:sz w:val="21"/>
                <w:szCs w:val="21"/>
              </w:rPr>
              <w:t>组成</w:t>
            </w:r>
          </w:p>
        </w:tc>
        <w:tc>
          <w:tcPr>
            <w:tcW w:w="454" w:type="pct"/>
            <w:vAlign w:val="center"/>
          </w:tcPr>
          <w:p>
            <w:pPr>
              <w:spacing w:line="240" w:lineRule="auto"/>
              <w:ind w:firstLine="0" w:firstLineChars="0"/>
              <w:jc w:val="center"/>
              <w:rPr>
                <w:sz w:val="21"/>
                <w:szCs w:val="21"/>
              </w:rPr>
            </w:pPr>
            <w:r>
              <w:rPr>
                <w:sz w:val="21"/>
                <w:szCs w:val="21"/>
              </w:rPr>
              <w:t>座</w:t>
            </w:r>
          </w:p>
        </w:tc>
        <w:tc>
          <w:tcPr>
            <w:tcW w:w="484" w:type="pct"/>
            <w:vAlign w:val="center"/>
          </w:tcPr>
          <w:p>
            <w:pPr>
              <w:spacing w:line="240" w:lineRule="auto"/>
              <w:ind w:firstLine="0" w:firstLineChars="0"/>
              <w:jc w:val="center"/>
              <w:rPr>
                <w:sz w:val="21"/>
                <w:szCs w:val="21"/>
              </w:rPr>
            </w:pPr>
            <w:r>
              <w:rPr>
                <w:sz w:val="21"/>
                <w:szCs w:val="21"/>
              </w:rPr>
              <w:t>2</w:t>
            </w:r>
          </w:p>
        </w:tc>
        <w:tc>
          <w:tcPr>
            <w:tcW w:w="484" w:type="pct"/>
            <w:vAlign w:val="center"/>
          </w:tcPr>
          <w:p>
            <w:pPr>
              <w:spacing w:line="240" w:lineRule="auto"/>
              <w:ind w:firstLine="0" w:firstLineChars="0"/>
              <w:jc w:val="center"/>
              <w:rPr>
                <w:sz w:val="21"/>
                <w:szCs w:val="21"/>
              </w:rPr>
            </w:pPr>
            <w:r>
              <w:rPr>
                <w:sz w:val="21"/>
                <w:szCs w:val="21"/>
              </w:rPr>
              <w:t>2</w:t>
            </w:r>
          </w:p>
        </w:tc>
        <w:tc>
          <w:tcPr>
            <w:tcW w:w="484" w:type="pct"/>
            <w:vAlign w:val="center"/>
          </w:tcPr>
          <w:p>
            <w:pPr>
              <w:spacing w:line="240" w:lineRule="auto"/>
              <w:ind w:firstLine="0" w:firstLineChars="0"/>
              <w:jc w:val="center"/>
              <w:rPr>
                <w:sz w:val="21"/>
                <w:szCs w:val="21"/>
              </w:rPr>
            </w:pPr>
            <w:r>
              <w:rPr>
                <w:sz w:val="21"/>
                <w:szCs w:val="21"/>
              </w:rPr>
              <w:t>2</w:t>
            </w:r>
          </w:p>
        </w:tc>
        <w:tc>
          <w:tcPr>
            <w:tcW w:w="484" w:type="pct"/>
            <w:vAlign w:val="center"/>
          </w:tcPr>
          <w:p>
            <w:pPr>
              <w:spacing w:line="240" w:lineRule="auto"/>
              <w:ind w:firstLine="0" w:firstLineChars="0"/>
              <w:jc w:val="center"/>
              <w:rPr>
                <w:sz w:val="21"/>
                <w:szCs w:val="21"/>
              </w:rPr>
            </w:pPr>
            <w:r>
              <w:rPr>
                <w:sz w:val="21"/>
                <w:szCs w:val="21"/>
              </w:rPr>
              <w:t>2</w:t>
            </w:r>
          </w:p>
        </w:tc>
        <w:tc>
          <w:tcPr>
            <w:tcW w:w="480" w:type="pct"/>
            <w:vAlign w:val="center"/>
          </w:tcPr>
          <w:p>
            <w:pPr>
              <w:spacing w:line="240" w:lineRule="auto"/>
              <w:ind w:firstLine="0" w:firstLineChars="0"/>
              <w:jc w:val="center"/>
              <w:rPr>
                <w:sz w:val="21"/>
                <w:szCs w:val="21"/>
              </w:rPr>
            </w:pPr>
            <w:r>
              <w:rPr>
                <w:sz w:val="21"/>
                <w:szCs w:val="21"/>
              </w:rPr>
              <w:t>2</w:t>
            </w:r>
          </w:p>
        </w:tc>
        <w:tc>
          <w:tcPr>
            <w:tcW w:w="547" w:type="pct"/>
            <w:vAlign w:val="center"/>
          </w:tcPr>
          <w:p>
            <w:pPr>
              <w:spacing w:line="240" w:lineRule="auto"/>
              <w:ind w:firstLine="0" w:firstLineChars="0"/>
              <w:jc w:val="center"/>
              <w:rPr>
                <w:b/>
                <w:bCs/>
                <w:sz w:val="21"/>
                <w:szCs w:val="21"/>
              </w:rPr>
            </w:pPr>
            <w:r>
              <w:rPr>
                <w:b/>
                <w:bCs/>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0"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sz w:val="21"/>
                <w:szCs w:val="21"/>
              </w:rPr>
              <w:t>土方开挖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6.89</w:t>
            </w:r>
          </w:p>
        </w:tc>
        <w:tc>
          <w:tcPr>
            <w:tcW w:w="484" w:type="pct"/>
            <w:vAlign w:val="center"/>
          </w:tcPr>
          <w:p>
            <w:pPr>
              <w:spacing w:line="240" w:lineRule="auto"/>
              <w:ind w:firstLine="0" w:firstLineChars="0"/>
              <w:jc w:val="center"/>
              <w:rPr>
                <w:sz w:val="21"/>
                <w:szCs w:val="21"/>
              </w:rPr>
            </w:pPr>
            <w:r>
              <w:rPr>
                <w:sz w:val="21"/>
                <w:szCs w:val="21"/>
              </w:rPr>
              <w:t>6.89</w:t>
            </w:r>
          </w:p>
        </w:tc>
        <w:tc>
          <w:tcPr>
            <w:tcW w:w="484" w:type="pct"/>
            <w:vAlign w:val="center"/>
          </w:tcPr>
          <w:p>
            <w:pPr>
              <w:spacing w:line="240" w:lineRule="auto"/>
              <w:ind w:firstLine="0" w:firstLineChars="0"/>
              <w:jc w:val="center"/>
              <w:rPr>
                <w:sz w:val="21"/>
                <w:szCs w:val="21"/>
              </w:rPr>
            </w:pPr>
            <w:r>
              <w:rPr>
                <w:sz w:val="21"/>
                <w:szCs w:val="21"/>
              </w:rPr>
              <w:t>6.89</w:t>
            </w:r>
          </w:p>
        </w:tc>
        <w:tc>
          <w:tcPr>
            <w:tcW w:w="484" w:type="pct"/>
            <w:vAlign w:val="center"/>
          </w:tcPr>
          <w:p>
            <w:pPr>
              <w:spacing w:line="240" w:lineRule="auto"/>
              <w:ind w:firstLine="0" w:firstLineChars="0"/>
              <w:jc w:val="center"/>
              <w:rPr>
                <w:sz w:val="21"/>
                <w:szCs w:val="21"/>
              </w:rPr>
            </w:pPr>
            <w:r>
              <w:rPr>
                <w:sz w:val="21"/>
                <w:szCs w:val="21"/>
              </w:rPr>
              <w:t>6.89</w:t>
            </w:r>
          </w:p>
        </w:tc>
        <w:tc>
          <w:tcPr>
            <w:tcW w:w="480" w:type="pct"/>
            <w:vAlign w:val="center"/>
          </w:tcPr>
          <w:p>
            <w:pPr>
              <w:spacing w:line="240" w:lineRule="auto"/>
              <w:ind w:firstLine="0" w:firstLineChars="0"/>
              <w:jc w:val="center"/>
              <w:rPr>
                <w:sz w:val="21"/>
                <w:szCs w:val="21"/>
              </w:rPr>
            </w:pPr>
            <w:r>
              <w:rPr>
                <w:sz w:val="21"/>
                <w:szCs w:val="21"/>
              </w:rPr>
              <w:t>6.89</w:t>
            </w:r>
          </w:p>
        </w:tc>
        <w:tc>
          <w:tcPr>
            <w:tcW w:w="547" w:type="pct"/>
            <w:vAlign w:val="center"/>
          </w:tcPr>
          <w:p>
            <w:pPr>
              <w:spacing w:line="240" w:lineRule="auto"/>
              <w:ind w:firstLine="0" w:firstLineChars="0"/>
              <w:jc w:val="center"/>
              <w:rPr>
                <w:b/>
                <w:bCs/>
                <w:sz w:val="21"/>
                <w:szCs w:val="21"/>
              </w:rPr>
            </w:pPr>
            <w:r>
              <w:rPr>
                <w:b/>
                <w:bCs/>
                <w:sz w:val="21"/>
                <w:szCs w:val="21"/>
              </w:rPr>
              <w:t>34.45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0"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kern w:val="0"/>
                <w:sz w:val="21"/>
                <w:szCs w:val="21"/>
              </w:rPr>
              <w:t>M7.5水泥砂浆砌砖</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2.98</w:t>
            </w:r>
          </w:p>
        </w:tc>
        <w:tc>
          <w:tcPr>
            <w:tcW w:w="484" w:type="pct"/>
            <w:vAlign w:val="center"/>
          </w:tcPr>
          <w:p>
            <w:pPr>
              <w:spacing w:line="240" w:lineRule="auto"/>
              <w:ind w:firstLine="0" w:firstLineChars="0"/>
              <w:jc w:val="center"/>
              <w:rPr>
                <w:sz w:val="21"/>
                <w:szCs w:val="21"/>
              </w:rPr>
            </w:pPr>
            <w:r>
              <w:rPr>
                <w:sz w:val="21"/>
                <w:szCs w:val="21"/>
              </w:rPr>
              <w:t>2.98</w:t>
            </w:r>
          </w:p>
        </w:tc>
        <w:tc>
          <w:tcPr>
            <w:tcW w:w="484" w:type="pct"/>
            <w:vAlign w:val="center"/>
          </w:tcPr>
          <w:p>
            <w:pPr>
              <w:spacing w:line="240" w:lineRule="auto"/>
              <w:ind w:firstLine="0" w:firstLineChars="0"/>
              <w:jc w:val="center"/>
              <w:rPr>
                <w:sz w:val="21"/>
                <w:szCs w:val="21"/>
              </w:rPr>
            </w:pPr>
            <w:r>
              <w:rPr>
                <w:sz w:val="21"/>
                <w:szCs w:val="21"/>
              </w:rPr>
              <w:t>2.98</w:t>
            </w:r>
          </w:p>
        </w:tc>
        <w:tc>
          <w:tcPr>
            <w:tcW w:w="484" w:type="pct"/>
            <w:vAlign w:val="center"/>
          </w:tcPr>
          <w:p>
            <w:pPr>
              <w:spacing w:line="240" w:lineRule="auto"/>
              <w:ind w:firstLine="0" w:firstLineChars="0"/>
              <w:jc w:val="center"/>
              <w:rPr>
                <w:sz w:val="21"/>
                <w:szCs w:val="21"/>
              </w:rPr>
            </w:pPr>
            <w:r>
              <w:rPr>
                <w:sz w:val="21"/>
                <w:szCs w:val="21"/>
              </w:rPr>
              <w:t>2.98</w:t>
            </w:r>
          </w:p>
        </w:tc>
        <w:tc>
          <w:tcPr>
            <w:tcW w:w="480" w:type="pct"/>
            <w:vAlign w:val="center"/>
          </w:tcPr>
          <w:p>
            <w:pPr>
              <w:spacing w:line="240" w:lineRule="auto"/>
              <w:ind w:firstLine="0" w:firstLineChars="0"/>
              <w:jc w:val="center"/>
              <w:rPr>
                <w:sz w:val="21"/>
                <w:szCs w:val="21"/>
              </w:rPr>
            </w:pPr>
            <w:r>
              <w:rPr>
                <w:sz w:val="21"/>
                <w:szCs w:val="21"/>
              </w:rPr>
              <w:t>2.98</w:t>
            </w:r>
          </w:p>
        </w:tc>
        <w:tc>
          <w:tcPr>
            <w:tcW w:w="547" w:type="pct"/>
            <w:vAlign w:val="center"/>
          </w:tcPr>
          <w:p>
            <w:pPr>
              <w:spacing w:line="240" w:lineRule="auto"/>
              <w:ind w:firstLine="0" w:firstLineChars="0"/>
              <w:jc w:val="center"/>
              <w:rPr>
                <w:b/>
                <w:bCs/>
                <w:sz w:val="21"/>
                <w:szCs w:val="21"/>
              </w:rPr>
            </w:pPr>
            <w:r>
              <w:rPr>
                <w:b/>
                <w:bCs/>
                <w:sz w:val="21"/>
                <w:szCs w:val="21"/>
              </w:rPr>
              <w:t>14.90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4"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sz w:val="21"/>
                <w:szCs w:val="21"/>
              </w:rPr>
            </w:pPr>
            <w:r>
              <w:rPr>
                <w:kern w:val="0"/>
                <w:sz w:val="21"/>
                <w:szCs w:val="21"/>
              </w:rPr>
              <w:t>M10水泥砂浆抹面</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2</w:t>
            </w:r>
          </w:p>
        </w:tc>
        <w:tc>
          <w:tcPr>
            <w:tcW w:w="484" w:type="pct"/>
            <w:vAlign w:val="center"/>
          </w:tcPr>
          <w:p>
            <w:pPr>
              <w:spacing w:line="240" w:lineRule="auto"/>
              <w:ind w:firstLine="0" w:firstLineChars="0"/>
              <w:jc w:val="center"/>
              <w:rPr>
                <w:sz w:val="21"/>
                <w:szCs w:val="21"/>
              </w:rPr>
            </w:pPr>
            <w:r>
              <w:rPr>
                <w:sz w:val="21"/>
                <w:szCs w:val="21"/>
              </w:rPr>
              <w:t>17.26</w:t>
            </w:r>
          </w:p>
        </w:tc>
        <w:tc>
          <w:tcPr>
            <w:tcW w:w="484" w:type="pct"/>
            <w:vAlign w:val="center"/>
          </w:tcPr>
          <w:p>
            <w:pPr>
              <w:spacing w:line="240" w:lineRule="auto"/>
              <w:ind w:firstLine="0" w:firstLineChars="0"/>
              <w:jc w:val="center"/>
              <w:rPr>
                <w:sz w:val="21"/>
                <w:szCs w:val="21"/>
              </w:rPr>
            </w:pPr>
            <w:r>
              <w:rPr>
                <w:sz w:val="21"/>
                <w:szCs w:val="21"/>
              </w:rPr>
              <w:t>17.26</w:t>
            </w:r>
          </w:p>
        </w:tc>
        <w:tc>
          <w:tcPr>
            <w:tcW w:w="484" w:type="pct"/>
            <w:vAlign w:val="center"/>
          </w:tcPr>
          <w:p>
            <w:pPr>
              <w:spacing w:line="240" w:lineRule="auto"/>
              <w:ind w:firstLine="0" w:firstLineChars="0"/>
              <w:jc w:val="center"/>
              <w:rPr>
                <w:sz w:val="21"/>
                <w:szCs w:val="21"/>
              </w:rPr>
            </w:pPr>
            <w:r>
              <w:rPr>
                <w:sz w:val="21"/>
                <w:szCs w:val="21"/>
              </w:rPr>
              <w:t>17.26</w:t>
            </w:r>
          </w:p>
        </w:tc>
        <w:tc>
          <w:tcPr>
            <w:tcW w:w="484" w:type="pct"/>
            <w:vAlign w:val="center"/>
          </w:tcPr>
          <w:p>
            <w:pPr>
              <w:spacing w:line="240" w:lineRule="auto"/>
              <w:ind w:firstLine="0" w:firstLineChars="0"/>
              <w:jc w:val="center"/>
              <w:rPr>
                <w:sz w:val="21"/>
                <w:szCs w:val="21"/>
              </w:rPr>
            </w:pPr>
            <w:r>
              <w:rPr>
                <w:sz w:val="21"/>
                <w:szCs w:val="21"/>
              </w:rPr>
              <w:t>17.26</w:t>
            </w:r>
          </w:p>
        </w:tc>
        <w:tc>
          <w:tcPr>
            <w:tcW w:w="480" w:type="pct"/>
            <w:vAlign w:val="center"/>
          </w:tcPr>
          <w:p>
            <w:pPr>
              <w:spacing w:line="240" w:lineRule="auto"/>
              <w:ind w:firstLine="0" w:firstLineChars="0"/>
              <w:jc w:val="center"/>
              <w:rPr>
                <w:sz w:val="21"/>
                <w:szCs w:val="21"/>
              </w:rPr>
            </w:pPr>
            <w:r>
              <w:rPr>
                <w:sz w:val="21"/>
                <w:szCs w:val="21"/>
              </w:rPr>
              <w:t>17.26</w:t>
            </w:r>
          </w:p>
        </w:tc>
        <w:tc>
          <w:tcPr>
            <w:tcW w:w="547" w:type="pct"/>
            <w:vAlign w:val="center"/>
          </w:tcPr>
          <w:p>
            <w:pPr>
              <w:spacing w:line="240" w:lineRule="auto"/>
              <w:ind w:firstLine="0" w:firstLineChars="0"/>
              <w:jc w:val="center"/>
              <w:rPr>
                <w:b/>
                <w:bCs/>
                <w:sz w:val="21"/>
                <w:szCs w:val="21"/>
              </w:rPr>
            </w:pPr>
            <w:r>
              <w:rPr>
                <w:b/>
                <w:bCs/>
                <w:sz w:val="21"/>
                <w:szCs w:val="21"/>
              </w:rPr>
              <w:t>86.30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3"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kern w:val="0"/>
                <w:sz w:val="21"/>
                <w:szCs w:val="21"/>
              </w:rPr>
            </w:pPr>
            <w:r>
              <w:rPr>
                <w:kern w:val="0"/>
                <w:sz w:val="21"/>
                <w:szCs w:val="21"/>
              </w:rPr>
              <w:t>C20砼底板</w:t>
            </w:r>
          </w:p>
        </w:tc>
        <w:tc>
          <w:tcPr>
            <w:tcW w:w="454" w:type="pct"/>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484" w:type="pct"/>
            <w:vAlign w:val="center"/>
          </w:tcPr>
          <w:p>
            <w:pPr>
              <w:spacing w:line="240" w:lineRule="auto"/>
              <w:ind w:firstLine="0" w:firstLineChars="0"/>
              <w:jc w:val="center"/>
              <w:rPr>
                <w:sz w:val="21"/>
                <w:szCs w:val="21"/>
              </w:rPr>
            </w:pPr>
            <w:r>
              <w:rPr>
                <w:sz w:val="21"/>
                <w:szCs w:val="21"/>
              </w:rPr>
              <w:t>1.44</w:t>
            </w:r>
          </w:p>
        </w:tc>
        <w:tc>
          <w:tcPr>
            <w:tcW w:w="484" w:type="pct"/>
            <w:vAlign w:val="center"/>
          </w:tcPr>
          <w:p>
            <w:pPr>
              <w:spacing w:line="240" w:lineRule="auto"/>
              <w:ind w:firstLine="0" w:firstLineChars="0"/>
              <w:jc w:val="center"/>
              <w:rPr>
                <w:sz w:val="21"/>
                <w:szCs w:val="21"/>
              </w:rPr>
            </w:pPr>
            <w:r>
              <w:rPr>
                <w:sz w:val="21"/>
                <w:szCs w:val="21"/>
              </w:rPr>
              <w:t>1.44</w:t>
            </w:r>
          </w:p>
        </w:tc>
        <w:tc>
          <w:tcPr>
            <w:tcW w:w="484" w:type="pct"/>
            <w:vAlign w:val="center"/>
          </w:tcPr>
          <w:p>
            <w:pPr>
              <w:spacing w:line="240" w:lineRule="auto"/>
              <w:ind w:firstLine="0" w:firstLineChars="0"/>
              <w:jc w:val="center"/>
              <w:rPr>
                <w:sz w:val="21"/>
                <w:szCs w:val="21"/>
              </w:rPr>
            </w:pPr>
            <w:r>
              <w:rPr>
                <w:sz w:val="21"/>
                <w:szCs w:val="21"/>
              </w:rPr>
              <w:t>1.44</w:t>
            </w:r>
          </w:p>
        </w:tc>
        <w:tc>
          <w:tcPr>
            <w:tcW w:w="484" w:type="pct"/>
            <w:vAlign w:val="center"/>
          </w:tcPr>
          <w:p>
            <w:pPr>
              <w:spacing w:line="240" w:lineRule="auto"/>
              <w:ind w:firstLine="0" w:firstLineChars="0"/>
              <w:jc w:val="center"/>
              <w:rPr>
                <w:sz w:val="21"/>
                <w:szCs w:val="21"/>
              </w:rPr>
            </w:pPr>
            <w:r>
              <w:rPr>
                <w:sz w:val="21"/>
                <w:szCs w:val="21"/>
              </w:rPr>
              <w:t>1.44</w:t>
            </w:r>
          </w:p>
        </w:tc>
        <w:tc>
          <w:tcPr>
            <w:tcW w:w="480" w:type="pct"/>
            <w:vAlign w:val="center"/>
          </w:tcPr>
          <w:p>
            <w:pPr>
              <w:spacing w:line="240" w:lineRule="auto"/>
              <w:ind w:firstLine="0" w:firstLineChars="0"/>
              <w:jc w:val="center"/>
              <w:rPr>
                <w:sz w:val="21"/>
                <w:szCs w:val="21"/>
              </w:rPr>
            </w:pPr>
            <w:r>
              <w:rPr>
                <w:sz w:val="21"/>
                <w:szCs w:val="21"/>
              </w:rPr>
              <w:t>1.44</w:t>
            </w:r>
          </w:p>
        </w:tc>
        <w:tc>
          <w:tcPr>
            <w:tcW w:w="547" w:type="pct"/>
            <w:vAlign w:val="center"/>
          </w:tcPr>
          <w:p>
            <w:pPr>
              <w:spacing w:line="240" w:lineRule="auto"/>
              <w:ind w:firstLine="0" w:firstLineChars="0"/>
              <w:jc w:val="center"/>
              <w:rPr>
                <w:b/>
                <w:bCs/>
                <w:sz w:val="21"/>
                <w:szCs w:val="21"/>
              </w:rPr>
            </w:pPr>
            <w:r>
              <w:rPr>
                <w:b/>
                <w:bCs/>
                <w:sz w:val="21"/>
                <w:szCs w:val="21"/>
              </w:rPr>
              <w:t>7.20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90"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709" w:type="pct"/>
            <w:vAlign w:val="center"/>
          </w:tcPr>
          <w:p>
            <w:pPr>
              <w:spacing w:line="240" w:lineRule="auto"/>
              <w:ind w:firstLine="0" w:firstLineChars="0"/>
              <w:jc w:val="center"/>
              <w:rPr>
                <w:kern w:val="0"/>
                <w:sz w:val="21"/>
                <w:szCs w:val="21"/>
              </w:rPr>
            </w:pPr>
            <w:r>
              <w:rPr>
                <w:kern w:val="0"/>
                <w:sz w:val="21"/>
                <w:szCs w:val="21"/>
              </w:rPr>
              <w:t>预制钢筋混凝土盖板</w:t>
            </w:r>
          </w:p>
        </w:tc>
        <w:tc>
          <w:tcPr>
            <w:tcW w:w="454" w:type="pct"/>
            <w:vAlign w:val="center"/>
          </w:tcPr>
          <w:p>
            <w:pPr>
              <w:spacing w:line="240" w:lineRule="auto"/>
              <w:ind w:firstLine="0" w:firstLineChars="0"/>
              <w:jc w:val="center"/>
              <w:rPr>
                <w:sz w:val="21"/>
                <w:szCs w:val="21"/>
              </w:rPr>
            </w:pPr>
            <w:r>
              <w:rPr>
                <w:sz w:val="21"/>
                <w:szCs w:val="21"/>
              </w:rPr>
              <w:t>块</w:t>
            </w:r>
          </w:p>
        </w:tc>
        <w:tc>
          <w:tcPr>
            <w:tcW w:w="484" w:type="pct"/>
            <w:vAlign w:val="center"/>
          </w:tcPr>
          <w:p>
            <w:pPr>
              <w:spacing w:line="240" w:lineRule="auto"/>
              <w:ind w:firstLine="0" w:firstLineChars="0"/>
              <w:jc w:val="center"/>
              <w:rPr>
                <w:sz w:val="21"/>
                <w:szCs w:val="21"/>
              </w:rPr>
            </w:pPr>
            <w:r>
              <w:rPr>
                <w:sz w:val="21"/>
                <w:szCs w:val="21"/>
              </w:rPr>
              <w:t>2.00</w:t>
            </w:r>
          </w:p>
        </w:tc>
        <w:tc>
          <w:tcPr>
            <w:tcW w:w="484" w:type="pct"/>
            <w:vAlign w:val="center"/>
          </w:tcPr>
          <w:p>
            <w:pPr>
              <w:spacing w:line="240" w:lineRule="auto"/>
              <w:ind w:firstLine="0" w:firstLineChars="0"/>
              <w:jc w:val="center"/>
              <w:rPr>
                <w:sz w:val="21"/>
                <w:szCs w:val="21"/>
              </w:rPr>
            </w:pPr>
            <w:r>
              <w:rPr>
                <w:sz w:val="21"/>
                <w:szCs w:val="21"/>
              </w:rPr>
              <w:t>2.00</w:t>
            </w:r>
          </w:p>
        </w:tc>
        <w:tc>
          <w:tcPr>
            <w:tcW w:w="484" w:type="pct"/>
            <w:vAlign w:val="center"/>
          </w:tcPr>
          <w:p>
            <w:pPr>
              <w:spacing w:line="240" w:lineRule="auto"/>
              <w:ind w:firstLine="0" w:firstLineChars="0"/>
              <w:jc w:val="center"/>
              <w:rPr>
                <w:sz w:val="21"/>
                <w:szCs w:val="21"/>
              </w:rPr>
            </w:pPr>
            <w:r>
              <w:rPr>
                <w:sz w:val="21"/>
                <w:szCs w:val="21"/>
              </w:rPr>
              <w:t>2.00</w:t>
            </w:r>
          </w:p>
        </w:tc>
        <w:tc>
          <w:tcPr>
            <w:tcW w:w="484" w:type="pct"/>
            <w:vAlign w:val="center"/>
          </w:tcPr>
          <w:p>
            <w:pPr>
              <w:spacing w:line="240" w:lineRule="auto"/>
              <w:ind w:firstLine="0" w:firstLineChars="0"/>
              <w:jc w:val="center"/>
              <w:rPr>
                <w:sz w:val="21"/>
                <w:szCs w:val="21"/>
              </w:rPr>
            </w:pPr>
            <w:r>
              <w:rPr>
                <w:sz w:val="21"/>
                <w:szCs w:val="21"/>
              </w:rPr>
              <w:t>2.00</w:t>
            </w:r>
          </w:p>
        </w:tc>
        <w:tc>
          <w:tcPr>
            <w:tcW w:w="480" w:type="pct"/>
            <w:vAlign w:val="center"/>
          </w:tcPr>
          <w:p>
            <w:pPr>
              <w:spacing w:line="240" w:lineRule="auto"/>
              <w:ind w:firstLine="0" w:firstLineChars="0"/>
              <w:jc w:val="center"/>
              <w:rPr>
                <w:sz w:val="21"/>
                <w:szCs w:val="21"/>
              </w:rPr>
            </w:pPr>
            <w:r>
              <w:rPr>
                <w:sz w:val="21"/>
                <w:szCs w:val="21"/>
              </w:rPr>
              <w:t>2.00</w:t>
            </w:r>
          </w:p>
        </w:tc>
        <w:tc>
          <w:tcPr>
            <w:tcW w:w="547" w:type="pct"/>
            <w:vAlign w:val="center"/>
          </w:tcPr>
          <w:p>
            <w:pPr>
              <w:spacing w:line="240" w:lineRule="auto"/>
              <w:ind w:firstLine="0" w:firstLineChars="0"/>
              <w:jc w:val="center"/>
              <w:rPr>
                <w:b/>
                <w:bCs/>
                <w:sz w:val="21"/>
                <w:szCs w:val="21"/>
              </w:rPr>
            </w:pPr>
            <w:r>
              <w:rPr>
                <w:b/>
                <w:bCs/>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4" w:hRule="atLeast"/>
        </w:trPr>
        <w:tc>
          <w:tcPr>
            <w:tcW w:w="355" w:type="pct"/>
            <w:vMerge w:val="continue"/>
            <w:vAlign w:val="center"/>
          </w:tcPr>
          <w:p>
            <w:pPr>
              <w:spacing w:line="240" w:lineRule="auto"/>
              <w:ind w:firstLine="0" w:firstLineChars="0"/>
              <w:jc w:val="center"/>
              <w:rPr>
                <w:sz w:val="21"/>
                <w:szCs w:val="21"/>
              </w:rPr>
            </w:pPr>
          </w:p>
        </w:tc>
        <w:tc>
          <w:tcPr>
            <w:tcW w:w="516" w:type="pct"/>
            <w:vMerge w:val="continue"/>
            <w:vAlign w:val="center"/>
          </w:tcPr>
          <w:p>
            <w:pPr>
              <w:spacing w:line="240" w:lineRule="auto"/>
              <w:ind w:firstLine="0" w:firstLineChars="0"/>
              <w:jc w:val="center"/>
              <w:rPr>
                <w:sz w:val="21"/>
                <w:szCs w:val="21"/>
              </w:rPr>
            </w:pPr>
          </w:p>
        </w:tc>
        <w:tc>
          <w:tcPr>
            <w:tcW w:w="1316" w:type="dxa"/>
            <w:vAlign w:val="center"/>
          </w:tcPr>
          <w:p>
            <w:pPr>
              <w:spacing w:line="240" w:lineRule="auto"/>
              <w:ind w:firstLine="0" w:firstLineChars="0"/>
              <w:jc w:val="center"/>
              <w:rPr>
                <w:kern w:val="0"/>
                <w:sz w:val="21"/>
                <w:szCs w:val="21"/>
              </w:rPr>
            </w:pPr>
            <w:r>
              <w:rPr>
                <w:sz w:val="21"/>
                <w:szCs w:val="21"/>
              </w:rPr>
              <w:t>砌砖拆除</w:t>
            </w:r>
          </w:p>
        </w:tc>
        <w:tc>
          <w:tcPr>
            <w:tcW w:w="843"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899" w:type="dxa"/>
            <w:vAlign w:val="center"/>
          </w:tcPr>
          <w:p>
            <w:pPr>
              <w:spacing w:line="240" w:lineRule="auto"/>
              <w:ind w:firstLine="0" w:firstLineChars="0"/>
              <w:jc w:val="center"/>
              <w:rPr>
                <w:sz w:val="21"/>
                <w:szCs w:val="21"/>
              </w:rPr>
            </w:pPr>
            <w:r>
              <w:rPr>
                <w:sz w:val="21"/>
                <w:szCs w:val="21"/>
              </w:rPr>
              <w:t>2.98</w:t>
            </w:r>
          </w:p>
        </w:tc>
        <w:tc>
          <w:tcPr>
            <w:tcW w:w="899" w:type="dxa"/>
            <w:vAlign w:val="center"/>
          </w:tcPr>
          <w:p>
            <w:pPr>
              <w:spacing w:line="240" w:lineRule="auto"/>
              <w:ind w:firstLine="0" w:firstLineChars="0"/>
              <w:jc w:val="center"/>
              <w:rPr>
                <w:sz w:val="21"/>
                <w:szCs w:val="21"/>
              </w:rPr>
            </w:pPr>
            <w:r>
              <w:rPr>
                <w:sz w:val="21"/>
                <w:szCs w:val="21"/>
              </w:rPr>
              <w:t>2.98</w:t>
            </w:r>
          </w:p>
        </w:tc>
        <w:tc>
          <w:tcPr>
            <w:tcW w:w="899" w:type="dxa"/>
            <w:vAlign w:val="center"/>
          </w:tcPr>
          <w:p>
            <w:pPr>
              <w:spacing w:line="240" w:lineRule="auto"/>
              <w:ind w:firstLine="0" w:firstLineChars="0"/>
              <w:jc w:val="center"/>
              <w:rPr>
                <w:sz w:val="21"/>
                <w:szCs w:val="21"/>
              </w:rPr>
            </w:pPr>
            <w:r>
              <w:rPr>
                <w:sz w:val="21"/>
                <w:szCs w:val="21"/>
              </w:rPr>
              <w:t>2.98</w:t>
            </w:r>
          </w:p>
        </w:tc>
        <w:tc>
          <w:tcPr>
            <w:tcW w:w="899" w:type="dxa"/>
            <w:vAlign w:val="center"/>
          </w:tcPr>
          <w:p>
            <w:pPr>
              <w:spacing w:line="240" w:lineRule="auto"/>
              <w:ind w:firstLine="0" w:firstLineChars="0"/>
              <w:jc w:val="center"/>
              <w:rPr>
                <w:sz w:val="21"/>
                <w:szCs w:val="21"/>
              </w:rPr>
            </w:pPr>
            <w:r>
              <w:rPr>
                <w:sz w:val="21"/>
                <w:szCs w:val="21"/>
              </w:rPr>
              <w:t>2.98</w:t>
            </w:r>
          </w:p>
        </w:tc>
        <w:tc>
          <w:tcPr>
            <w:tcW w:w="891" w:type="dxa"/>
            <w:vAlign w:val="center"/>
          </w:tcPr>
          <w:p>
            <w:pPr>
              <w:spacing w:line="240" w:lineRule="auto"/>
              <w:ind w:firstLine="0" w:firstLineChars="0"/>
              <w:jc w:val="center"/>
              <w:rPr>
                <w:sz w:val="21"/>
                <w:szCs w:val="21"/>
              </w:rPr>
            </w:pPr>
            <w:r>
              <w:rPr>
                <w:sz w:val="21"/>
                <w:szCs w:val="21"/>
              </w:rPr>
              <w:t>2.98</w:t>
            </w:r>
          </w:p>
        </w:tc>
        <w:tc>
          <w:tcPr>
            <w:tcW w:w="1018" w:type="dxa"/>
            <w:vAlign w:val="center"/>
          </w:tcPr>
          <w:p>
            <w:pPr>
              <w:spacing w:line="240" w:lineRule="auto"/>
              <w:ind w:firstLine="0" w:firstLineChars="0"/>
              <w:jc w:val="center"/>
              <w:rPr>
                <w:b/>
                <w:bCs/>
                <w:sz w:val="21"/>
                <w:szCs w:val="21"/>
              </w:rPr>
            </w:pPr>
            <w:r>
              <w:rPr>
                <w:b/>
                <w:bCs/>
                <w:sz w:val="21"/>
                <w:szCs w:val="21"/>
              </w:rPr>
              <w:t>14.90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55" w:type="pct"/>
            <w:vMerge w:val="continue"/>
            <w:vAlign w:val="center"/>
          </w:tcPr>
          <w:p>
            <w:pPr>
              <w:spacing w:line="240" w:lineRule="auto"/>
              <w:ind w:firstLine="0" w:firstLineChars="0"/>
              <w:jc w:val="center"/>
              <w:rPr>
                <w:sz w:val="21"/>
                <w:szCs w:val="21"/>
              </w:rPr>
            </w:pPr>
          </w:p>
        </w:tc>
        <w:tc>
          <w:tcPr>
            <w:tcW w:w="1225" w:type="pct"/>
            <w:gridSpan w:val="2"/>
            <w:vAlign w:val="center"/>
          </w:tcPr>
          <w:p>
            <w:pPr>
              <w:spacing w:line="240" w:lineRule="auto"/>
              <w:ind w:firstLine="0" w:firstLineChars="0"/>
              <w:jc w:val="center"/>
              <w:rPr>
                <w:sz w:val="21"/>
                <w:szCs w:val="21"/>
              </w:rPr>
            </w:pPr>
            <w:r>
              <w:rPr>
                <w:sz w:val="21"/>
                <w:szCs w:val="21"/>
              </w:rPr>
              <w:t>防雨布苫盖</w:t>
            </w:r>
          </w:p>
        </w:tc>
        <w:tc>
          <w:tcPr>
            <w:tcW w:w="454" w:type="pct"/>
            <w:vAlign w:val="center"/>
          </w:tcPr>
          <w:p>
            <w:pPr>
              <w:spacing w:line="240" w:lineRule="auto"/>
              <w:ind w:firstLine="0" w:firstLineChars="0"/>
              <w:jc w:val="center"/>
              <w:rPr>
                <w:sz w:val="21"/>
                <w:szCs w:val="21"/>
              </w:rPr>
            </w:pPr>
            <w:r>
              <w:rPr>
                <w:sz w:val="21"/>
                <w:szCs w:val="21"/>
              </w:rPr>
              <w:t>hm</w:t>
            </w:r>
            <w:r>
              <w:rPr>
                <w:sz w:val="21"/>
                <w:szCs w:val="21"/>
                <w:vertAlign w:val="superscript"/>
              </w:rPr>
              <w:t>2</w:t>
            </w:r>
          </w:p>
        </w:tc>
        <w:tc>
          <w:tcPr>
            <w:tcW w:w="484" w:type="pct"/>
            <w:vAlign w:val="center"/>
          </w:tcPr>
          <w:p>
            <w:pPr>
              <w:spacing w:line="240" w:lineRule="auto"/>
              <w:ind w:firstLine="0" w:firstLineChars="0"/>
              <w:jc w:val="center"/>
              <w:rPr>
                <w:sz w:val="21"/>
                <w:szCs w:val="21"/>
              </w:rPr>
            </w:pPr>
            <w:r>
              <w:rPr>
                <w:sz w:val="21"/>
                <w:szCs w:val="21"/>
              </w:rPr>
              <w:t>2.86</w:t>
            </w:r>
          </w:p>
        </w:tc>
        <w:tc>
          <w:tcPr>
            <w:tcW w:w="484" w:type="pct"/>
            <w:vAlign w:val="center"/>
          </w:tcPr>
          <w:p>
            <w:pPr>
              <w:spacing w:line="240" w:lineRule="auto"/>
              <w:ind w:firstLine="0" w:firstLineChars="0"/>
              <w:jc w:val="center"/>
              <w:rPr>
                <w:sz w:val="21"/>
                <w:szCs w:val="21"/>
              </w:rPr>
            </w:pPr>
            <w:r>
              <w:rPr>
                <w:sz w:val="21"/>
                <w:szCs w:val="21"/>
              </w:rPr>
              <w:t>1.85</w:t>
            </w:r>
          </w:p>
        </w:tc>
        <w:tc>
          <w:tcPr>
            <w:tcW w:w="484" w:type="pct"/>
            <w:vAlign w:val="center"/>
          </w:tcPr>
          <w:p>
            <w:pPr>
              <w:spacing w:line="240" w:lineRule="auto"/>
              <w:ind w:firstLine="0" w:firstLineChars="0"/>
              <w:jc w:val="center"/>
              <w:rPr>
                <w:sz w:val="21"/>
                <w:szCs w:val="21"/>
              </w:rPr>
            </w:pPr>
            <w:r>
              <w:rPr>
                <w:sz w:val="21"/>
                <w:szCs w:val="21"/>
              </w:rPr>
              <w:t>1.79</w:t>
            </w:r>
          </w:p>
        </w:tc>
        <w:tc>
          <w:tcPr>
            <w:tcW w:w="484" w:type="pct"/>
            <w:vAlign w:val="center"/>
          </w:tcPr>
          <w:p>
            <w:pPr>
              <w:spacing w:line="240" w:lineRule="auto"/>
              <w:ind w:firstLine="0" w:firstLineChars="0"/>
              <w:jc w:val="center"/>
              <w:rPr>
                <w:sz w:val="21"/>
                <w:szCs w:val="21"/>
              </w:rPr>
            </w:pPr>
            <w:r>
              <w:rPr>
                <w:sz w:val="21"/>
                <w:szCs w:val="21"/>
              </w:rPr>
              <w:t>3.36</w:t>
            </w:r>
          </w:p>
        </w:tc>
        <w:tc>
          <w:tcPr>
            <w:tcW w:w="480" w:type="pct"/>
            <w:vAlign w:val="center"/>
          </w:tcPr>
          <w:p>
            <w:pPr>
              <w:spacing w:line="240" w:lineRule="auto"/>
              <w:ind w:firstLine="0" w:firstLineChars="0"/>
              <w:jc w:val="center"/>
              <w:rPr>
                <w:sz w:val="21"/>
                <w:szCs w:val="21"/>
              </w:rPr>
            </w:pPr>
            <w:r>
              <w:rPr>
                <w:sz w:val="21"/>
                <w:szCs w:val="21"/>
              </w:rPr>
              <w:t>2.31</w:t>
            </w:r>
          </w:p>
        </w:tc>
        <w:tc>
          <w:tcPr>
            <w:tcW w:w="547" w:type="pct"/>
            <w:vAlign w:val="center"/>
          </w:tcPr>
          <w:p>
            <w:pPr>
              <w:spacing w:line="240" w:lineRule="auto"/>
              <w:ind w:firstLine="0" w:firstLineChars="0"/>
              <w:jc w:val="center"/>
              <w:rPr>
                <w:b/>
                <w:bCs/>
                <w:sz w:val="21"/>
                <w:szCs w:val="21"/>
              </w:rPr>
            </w:pPr>
            <w:r>
              <w:rPr>
                <w:b/>
                <w:bCs/>
                <w:sz w:val="21"/>
                <w:szCs w:val="21"/>
              </w:rPr>
              <w:t>12.17</w:t>
            </w:r>
          </w:p>
        </w:tc>
      </w:tr>
    </w:tbl>
    <w:p>
      <w:pPr>
        <w:pStyle w:val="6"/>
        <w:spacing w:beforeLines="50"/>
      </w:pPr>
      <w:r>
        <w:t>5.3.5施工生产生活区</w:t>
      </w:r>
    </w:p>
    <w:p>
      <w:pPr>
        <w:ind w:firstLine="480"/>
      </w:pPr>
      <w:r>
        <w:t>因园区施工生产生活区位于园区范围内。待使用完成后立即进行拆除后用于园区建设使用，故本报告不再考虑施工生产生活区的绿化恢复措施。仅补充施工生产生活区使用期间的临时排水、沉沙、苫盖、拦挡措施。</w:t>
      </w:r>
    </w:p>
    <w:p>
      <w:pPr>
        <w:ind w:firstLine="482"/>
        <w:rPr>
          <w:b/>
          <w:bCs/>
        </w:rPr>
      </w:pPr>
      <w:r>
        <w:rPr>
          <w:b/>
          <w:bCs/>
        </w:rPr>
        <w:t>1、临时措施</w:t>
      </w:r>
    </w:p>
    <w:p>
      <w:pPr>
        <w:ind w:firstLine="480"/>
      </w:pPr>
      <w:r>
        <w:t>（1）截排水沟（报告新增）</w:t>
      </w:r>
    </w:p>
    <w:p>
      <w:pPr>
        <w:widowControl/>
        <w:ind w:firstLine="480"/>
      </w:pPr>
      <w:r>
        <w:t>为汇集施工场地内及周边降雨汇流，防止降雨及周边汇流对裸露面造成水土流失，本报告在施工生产生活区四周新增布设截排水沟用于</w:t>
      </w:r>
      <w:r>
        <w:rPr>
          <w:kern w:val="0"/>
          <w:szCs w:val="24"/>
        </w:rPr>
        <w:t>施工期排水。</w:t>
      </w:r>
      <w:r>
        <w:t>截排水沟采用矩形断面，断面尺寸采用净宽×净深=0.50×0.50m，</w:t>
      </w:r>
      <w:r>
        <w:rPr>
          <w:szCs w:val="24"/>
        </w:rPr>
        <w:t>四周为0.24m厚M7.5水泥砂浆砌砖，表面用M10水泥砂浆砌抹面</w:t>
      </w:r>
      <w:r>
        <w:t>。经统计，本区将设置截排水沟3000m。后期对其进行拆除。</w:t>
      </w:r>
    </w:p>
    <w:p>
      <w:pPr>
        <w:ind w:firstLine="480"/>
      </w:pPr>
      <w:r>
        <w:t>（2）沉沙池（报告新增）</w:t>
      </w:r>
    </w:p>
    <w:p>
      <w:pPr>
        <w:ind w:firstLine="480"/>
      </w:pPr>
      <w:r>
        <w:t>本报告在排水沟末端及每间隔300m设置沉沙池。沉沙池设计参照《水土保持工程设计规范》（GB51018-2014），设计采用准静止泥沙沉降法。砌砖抹面形式，净长×净宽×净深=2.0×1.5×1.5m，</w:t>
      </w:r>
      <w:r>
        <w:rPr>
          <w:szCs w:val="24"/>
        </w:rPr>
        <w:t>四周为0.24m厚M7.5水泥砂浆砌砖，C20砼底板厚0.20m，表面用M10水泥砂浆砌抹面，顶部铺设C20混凝土钢筋预制板盖板。</w:t>
      </w:r>
      <w:r>
        <w:t>经统计，本区将设置沉沙池10座。后期对其进行拆除。</w:t>
      </w:r>
    </w:p>
    <w:p>
      <w:pPr>
        <w:pStyle w:val="46"/>
        <w:ind w:firstLine="480"/>
      </w:pPr>
      <w:r>
        <w:t>（3）防雨布苫盖（报告新增）</w:t>
      </w:r>
    </w:p>
    <w:p>
      <w:pPr>
        <w:widowControl/>
        <w:ind w:firstLine="480"/>
        <w:jc w:val="left"/>
      </w:pPr>
      <w:r>
        <w:rPr>
          <w:kern w:val="0"/>
          <w:szCs w:val="24"/>
        </w:rPr>
        <w:t>施工场地内堆放有砂砾石骨料，堆放期间，为防止降雨冲刷及风吹扬尘，需用防雨布进行临时苫盖。经统计，本区需防雨布苫盖约2.27hm</w:t>
      </w:r>
      <w:r>
        <w:rPr>
          <w:kern w:val="0"/>
          <w:szCs w:val="24"/>
          <w:vertAlign w:val="superscript"/>
        </w:rPr>
        <w:t>2</w:t>
      </w:r>
      <w:r>
        <w:t>。后期，防雨布应进行拆除。</w:t>
      </w:r>
    </w:p>
    <w:p>
      <w:pPr>
        <w:ind w:firstLine="480"/>
      </w:pPr>
      <w:r>
        <w:t>（4）编织袋装土拦挡及拆除（报告新增）</w:t>
      </w:r>
    </w:p>
    <w:p>
      <w:pPr>
        <w:ind w:firstLine="480"/>
      </w:pPr>
      <w:r>
        <w:rPr>
          <w:kern w:val="0"/>
          <w:szCs w:val="24"/>
        </w:rPr>
        <w:t>施工场地内堆放有砂砾石骨料，在堆放期间，材料堆场坡脚应采取土袋挡墙挡护</w:t>
      </w:r>
      <w:r>
        <w:t>。挡墙由土袋码砌形成，断面大致呈梯形，顶宽0.6m，底宽2.60m，高1.0m。施工临近结束时，应对土袋挡墙进行拆除。经统计，本区需布设土袋挡墙400m，后期拆除土袋挡墙400m。</w:t>
      </w:r>
    </w:p>
    <w:p>
      <w:pPr>
        <w:ind w:firstLine="0" w:firstLineChars="0"/>
        <w:jc w:val="center"/>
      </w:pPr>
      <w:r>
        <w:rPr>
          <w:b/>
          <w:bCs/>
        </w:rPr>
        <w:t>表5.3-9施工生产生活区水土保持措施工程量统计表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230"/>
        <w:gridCol w:w="1255"/>
        <w:gridCol w:w="2385"/>
        <w:gridCol w:w="1249"/>
        <w:gridCol w:w="316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2" w:hRule="atLeast"/>
        </w:trPr>
        <w:tc>
          <w:tcPr>
            <w:tcW w:w="663" w:type="pct"/>
            <w:vAlign w:val="center"/>
          </w:tcPr>
          <w:p>
            <w:pPr>
              <w:spacing w:line="240" w:lineRule="auto"/>
              <w:ind w:firstLine="0" w:firstLineChars="0"/>
              <w:jc w:val="center"/>
              <w:rPr>
                <w:b/>
                <w:bCs/>
                <w:sz w:val="21"/>
                <w:szCs w:val="21"/>
              </w:rPr>
            </w:pPr>
            <w:r>
              <w:rPr>
                <w:b/>
                <w:bCs/>
                <w:sz w:val="21"/>
                <w:szCs w:val="21"/>
              </w:rPr>
              <w:t>措施类型</w:t>
            </w:r>
          </w:p>
        </w:tc>
        <w:tc>
          <w:tcPr>
            <w:tcW w:w="1960" w:type="pct"/>
            <w:gridSpan w:val="2"/>
            <w:vAlign w:val="center"/>
          </w:tcPr>
          <w:p>
            <w:pPr>
              <w:spacing w:line="240" w:lineRule="auto"/>
              <w:ind w:firstLine="0" w:firstLineChars="0"/>
              <w:jc w:val="center"/>
              <w:rPr>
                <w:b/>
                <w:bCs/>
                <w:sz w:val="21"/>
                <w:szCs w:val="21"/>
              </w:rPr>
            </w:pPr>
            <w:r>
              <w:rPr>
                <w:b/>
                <w:bCs/>
                <w:sz w:val="21"/>
                <w:szCs w:val="21"/>
              </w:rPr>
              <w:t>措施名称</w:t>
            </w:r>
          </w:p>
        </w:tc>
        <w:tc>
          <w:tcPr>
            <w:tcW w:w="673" w:type="pct"/>
            <w:vAlign w:val="center"/>
          </w:tcPr>
          <w:p>
            <w:pPr>
              <w:spacing w:line="240" w:lineRule="auto"/>
              <w:ind w:firstLine="0" w:firstLineChars="0"/>
              <w:jc w:val="center"/>
              <w:rPr>
                <w:b/>
                <w:bCs/>
                <w:sz w:val="21"/>
                <w:szCs w:val="21"/>
              </w:rPr>
            </w:pPr>
            <w:r>
              <w:rPr>
                <w:b/>
                <w:bCs/>
                <w:sz w:val="21"/>
                <w:szCs w:val="21"/>
              </w:rPr>
              <w:t>单位</w:t>
            </w:r>
          </w:p>
        </w:tc>
        <w:tc>
          <w:tcPr>
            <w:tcW w:w="1702" w:type="pct"/>
            <w:vAlign w:val="center"/>
          </w:tcPr>
          <w:p>
            <w:pPr>
              <w:spacing w:line="240" w:lineRule="auto"/>
              <w:ind w:firstLine="0" w:firstLineChars="0"/>
              <w:jc w:val="center"/>
              <w:rPr>
                <w:b/>
                <w:bCs/>
                <w:sz w:val="21"/>
                <w:szCs w:val="21"/>
              </w:rPr>
            </w:pPr>
            <w:r>
              <w:rPr>
                <w:b/>
                <w:bCs/>
                <w:sz w:val="21"/>
                <w:szCs w:val="21"/>
              </w:rPr>
              <w:t>工程量</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663" w:type="pct"/>
            <w:vMerge w:val="restart"/>
            <w:vAlign w:val="center"/>
          </w:tcPr>
          <w:p>
            <w:pPr>
              <w:spacing w:line="240" w:lineRule="auto"/>
              <w:ind w:firstLine="0" w:firstLineChars="0"/>
              <w:jc w:val="center"/>
              <w:rPr>
                <w:sz w:val="21"/>
                <w:szCs w:val="21"/>
              </w:rPr>
            </w:pPr>
            <w:r>
              <w:rPr>
                <w:sz w:val="21"/>
                <w:szCs w:val="21"/>
              </w:rPr>
              <w:t>临时措施</w:t>
            </w:r>
          </w:p>
        </w:tc>
        <w:tc>
          <w:tcPr>
            <w:tcW w:w="676" w:type="pct"/>
            <w:vMerge w:val="restart"/>
            <w:vAlign w:val="center"/>
          </w:tcPr>
          <w:p>
            <w:pPr>
              <w:pStyle w:val="68"/>
              <w:adjustRightInd/>
              <w:snapToGrid/>
              <w:spacing w:afterLines="0"/>
              <w:jc w:val="center"/>
              <w:rPr>
                <w:b w:val="0"/>
                <w:sz w:val="21"/>
                <w:szCs w:val="21"/>
              </w:rPr>
            </w:pPr>
            <w:r>
              <w:rPr>
                <w:b w:val="0"/>
                <w:bCs/>
                <w:sz w:val="21"/>
                <w:szCs w:val="21"/>
              </w:rPr>
              <w:t>截排水沟</w:t>
            </w:r>
          </w:p>
        </w:tc>
        <w:tc>
          <w:tcPr>
            <w:tcW w:w="1283" w:type="pct"/>
            <w:vAlign w:val="center"/>
          </w:tcPr>
          <w:p>
            <w:pPr>
              <w:pStyle w:val="68"/>
              <w:adjustRightInd/>
              <w:snapToGrid/>
              <w:spacing w:afterLines="0"/>
              <w:jc w:val="center"/>
              <w:rPr>
                <w:b w:val="0"/>
                <w:bCs/>
                <w:sz w:val="21"/>
                <w:szCs w:val="21"/>
              </w:rPr>
            </w:pPr>
            <w:r>
              <w:rPr>
                <w:b w:val="0"/>
                <w:bCs/>
                <w:sz w:val="21"/>
                <w:szCs w:val="21"/>
              </w:rPr>
              <w:t>组成</w:t>
            </w:r>
          </w:p>
        </w:tc>
        <w:tc>
          <w:tcPr>
            <w:tcW w:w="673" w:type="pct"/>
            <w:vAlign w:val="center"/>
          </w:tcPr>
          <w:p>
            <w:pPr>
              <w:pStyle w:val="68"/>
              <w:adjustRightInd/>
              <w:snapToGrid/>
              <w:spacing w:afterLines="0"/>
              <w:jc w:val="center"/>
              <w:rPr>
                <w:b w:val="0"/>
                <w:sz w:val="21"/>
                <w:szCs w:val="21"/>
              </w:rPr>
            </w:pPr>
            <w:r>
              <w:rPr>
                <w:b w:val="0"/>
                <w:bCs/>
                <w:sz w:val="21"/>
                <w:szCs w:val="21"/>
              </w:rPr>
              <w:t>m</w:t>
            </w:r>
          </w:p>
        </w:tc>
        <w:tc>
          <w:tcPr>
            <w:tcW w:w="1702" w:type="pct"/>
            <w:vAlign w:val="center"/>
          </w:tcPr>
          <w:p>
            <w:pPr>
              <w:spacing w:line="240" w:lineRule="auto"/>
              <w:ind w:firstLine="0" w:firstLineChars="0"/>
              <w:jc w:val="center"/>
              <w:rPr>
                <w:sz w:val="21"/>
                <w:szCs w:val="21"/>
              </w:rPr>
            </w:pPr>
            <w:r>
              <w:rPr>
                <w:sz w:val="21"/>
                <w:szCs w:val="21"/>
              </w:rPr>
              <w:t>3000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5" w:hRule="atLeast"/>
        </w:trPr>
        <w:tc>
          <w:tcPr>
            <w:tcW w:w="663" w:type="pct"/>
            <w:vMerge w:val="continue"/>
            <w:vAlign w:val="center"/>
          </w:tcPr>
          <w:p>
            <w:pPr>
              <w:spacing w:line="240" w:lineRule="auto"/>
              <w:ind w:firstLine="0" w:firstLineChars="0"/>
              <w:jc w:val="cente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sz w:val="21"/>
                <w:szCs w:val="21"/>
              </w:rPr>
            </w:pPr>
            <w:r>
              <w:rPr>
                <w:sz w:val="21"/>
                <w:szCs w:val="21"/>
              </w:rPr>
              <w:t>土方开挖</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2175.6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5" w:hRule="atLeast"/>
        </w:trPr>
        <w:tc>
          <w:tcPr>
            <w:tcW w:w="663" w:type="pct"/>
            <w:vMerge w:val="continue"/>
            <w:vAlign w:val="center"/>
          </w:tcPr>
          <w:p>
            <w:pPr>
              <w:spacing w:line="240" w:lineRule="auto"/>
              <w:ind w:firstLine="0" w:firstLineChars="0"/>
              <w:jc w:val="cente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sz w:val="21"/>
                <w:szCs w:val="21"/>
              </w:rPr>
            </w:pPr>
            <w:r>
              <w:rPr>
                <w:sz w:val="21"/>
                <w:szCs w:val="21"/>
              </w:rPr>
              <w:t>M7.5水泥砂浆砌砖</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1425.6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kern w:val="0"/>
                <w:sz w:val="21"/>
                <w:szCs w:val="21"/>
              </w:rPr>
            </w:pPr>
            <w:r>
              <w:rPr>
                <w:kern w:val="0"/>
                <w:sz w:val="21"/>
                <w:szCs w:val="21"/>
              </w:rPr>
              <w:t>M10水泥砂浆抹面</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2</w:t>
            </w:r>
          </w:p>
        </w:tc>
        <w:tc>
          <w:tcPr>
            <w:tcW w:w="1702" w:type="pct"/>
            <w:vAlign w:val="center"/>
          </w:tcPr>
          <w:p>
            <w:pPr>
              <w:spacing w:line="240" w:lineRule="auto"/>
              <w:ind w:firstLine="0" w:firstLineChars="0"/>
              <w:jc w:val="center"/>
              <w:rPr>
                <w:sz w:val="21"/>
                <w:szCs w:val="21"/>
              </w:rPr>
            </w:pPr>
            <w:r>
              <w:rPr>
                <w:sz w:val="21"/>
                <w:szCs w:val="21"/>
              </w:rPr>
              <w:t>10380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sz w:val="21"/>
                <w:szCs w:val="21"/>
              </w:rPr>
            </w:pPr>
            <w:r>
              <w:rPr>
                <w:sz w:val="21"/>
                <w:szCs w:val="21"/>
              </w:rPr>
              <w:t>砌砖拆除</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1425.6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rPr>
                <w:sz w:val="21"/>
                <w:szCs w:val="21"/>
              </w:rPr>
            </w:pPr>
          </w:p>
        </w:tc>
        <w:tc>
          <w:tcPr>
            <w:tcW w:w="676" w:type="pct"/>
            <w:vMerge w:val="restart"/>
            <w:vAlign w:val="center"/>
          </w:tcPr>
          <w:p>
            <w:pPr>
              <w:pStyle w:val="68"/>
              <w:adjustRightInd/>
              <w:snapToGrid/>
              <w:spacing w:afterLines="0"/>
              <w:jc w:val="center"/>
              <w:rPr>
                <w:b w:val="0"/>
                <w:sz w:val="21"/>
                <w:szCs w:val="21"/>
              </w:rPr>
            </w:pPr>
            <w:r>
              <w:rPr>
                <w:b w:val="0"/>
                <w:bCs/>
                <w:sz w:val="21"/>
                <w:szCs w:val="21"/>
              </w:rPr>
              <w:t>沉沙池</w:t>
            </w:r>
          </w:p>
        </w:tc>
        <w:tc>
          <w:tcPr>
            <w:tcW w:w="1283" w:type="pct"/>
            <w:vAlign w:val="center"/>
          </w:tcPr>
          <w:p>
            <w:pPr>
              <w:pStyle w:val="68"/>
              <w:adjustRightInd/>
              <w:snapToGrid/>
              <w:spacing w:afterLines="0"/>
              <w:jc w:val="center"/>
              <w:rPr>
                <w:b w:val="0"/>
                <w:bCs/>
                <w:sz w:val="21"/>
                <w:szCs w:val="21"/>
              </w:rPr>
            </w:pPr>
            <w:r>
              <w:rPr>
                <w:b w:val="0"/>
                <w:bCs/>
                <w:sz w:val="21"/>
                <w:szCs w:val="21"/>
              </w:rPr>
              <w:t>组成</w:t>
            </w:r>
          </w:p>
        </w:tc>
        <w:tc>
          <w:tcPr>
            <w:tcW w:w="673" w:type="pct"/>
            <w:vAlign w:val="center"/>
          </w:tcPr>
          <w:p>
            <w:pPr>
              <w:pStyle w:val="68"/>
              <w:adjustRightInd/>
              <w:snapToGrid/>
              <w:spacing w:afterLines="0"/>
              <w:jc w:val="center"/>
              <w:rPr>
                <w:b w:val="0"/>
                <w:sz w:val="21"/>
                <w:szCs w:val="21"/>
              </w:rPr>
            </w:pPr>
            <w:r>
              <w:rPr>
                <w:b w:val="0"/>
                <w:bCs/>
                <w:sz w:val="21"/>
                <w:szCs w:val="21"/>
              </w:rPr>
              <w:t>座</w:t>
            </w:r>
          </w:p>
        </w:tc>
        <w:tc>
          <w:tcPr>
            <w:tcW w:w="1702" w:type="pct"/>
            <w:vAlign w:val="center"/>
          </w:tcPr>
          <w:p>
            <w:pPr>
              <w:spacing w:line="240" w:lineRule="auto"/>
              <w:ind w:firstLine="0" w:firstLineChars="0"/>
              <w:jc w:val="center"/>
              <w:rPr>
                <w:sz w:val="21"/>
                <w:szCs w:val="21"/>
              </w:rPr>
            </w:pPr>
            <w:r>
              <w:rPr>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sz w:val="21"/>
                <w:szCs w:val="21"/>
              </w:rPr>
            </w:pPr>
            <w:r>
              <w:rPr>
                <w:sz w:val="21"/>
                <w:szCs w:val="21"/>
              </w:rPr>
              <w:t>土方开挖</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34.45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kern w:val="0"/>
                <w:sz w:val="21"/>
                <w:szCs w:val="21"/>
              </w:rPr>
            </w:pPr>
            <w:r>
              <w:rPr>
                <w:kern w:val="0"/>
                <w:sz w:val="21"/>
                <w:szCs w:val="21"/>
              </w:rPr>
              <w:t>M7.5水泥砂浆砌砖</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14.9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kern w:val="0"/>
                <w:sz w:val="21"/>
                <w:szCs w:val="21"/>
              </w:rPr>
            </w:pPr>
            <w:r>
              <w:rPr>
                <w:kern w:val="0"/>
                <w:sz w:val="21"/>
                <w:szCs w:val="21"/>
              </w:rPr>
              <w:t>M10水泥砂浆抹面</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2</w:t>
            </w:r>
          </w:p>
        </w:tc>
        <w:tc>
          <w:tcPr>
            <w:tcW w:w="1702" w:type="pct"/>
            <w:vAlign w:val="center"/>
          </w:tcPr>
          <w:p>
            <w:pPr>
              <w:spacing w:line="240" w:lineRule="auto"/>
              <w:ind w:firstLine="0" w:firstLineChars="0"/>
              <w:jc w:val="center"/>
              <w:rPr>
                <w:sz w:val="21"/>
                <w:szCs w:val="21"/>
              </w:rPr>
            </w:pPr>
            <w:r>
              <w:rPr>
                <w:sz w:val="21"/>
                <w:szCs w:val="21"/>
              </w:rPr>
              <w:t>86.3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kern w:val="0"/>
                <w:sz w:val="21"/>
                <w:szCs w:val="21"/>
              </w:rPr>
            </w:pPr>
            <w:r>
              <w:rPr>
                <w:kern w:val="0"/>
                <w:sz w:val="21"/>
                <w:szCs w:val="21"/>
              </w:rPr>
              <w:t>C20砼底板</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kern w:val="0"/>
                <w:sz w:val="21"/>
                <w:szCs w:val="21"/>
              </w:rPr>
            </w:pPr>
            <w:r>
              <w:rPr>
                <w:kern w:val="0"/>
                <w:sz w:val="21"/>
                <w:szCs w:val="21"/>
              </w:rPr>
              <w:t>预制钢筋混凝土盖板</w:t>
            </w:r>
          </w:p>
        </w:tc>
        <w:tc>
          <w:tcPr>
            <w:tcW w:w="673" w:type="pct"/>
            <w:vAlign w:val="center"/>
          </w:tcPr>
          <w:p>
            <w:pPr>
              <w:spacing w:line="240" w:lineRule="auto"/>
              <w:ind w:firstLine="0" w:firstLineChars="0"/>
              <w:jc w:val="center"/>
              <w:rPr>
                <w:bCs/>
                <w:sz w:val="21"/>
                <w:szCs w:val="21"/>
              </w:rPr>
            </w:pPr>
            <w:r>
              <w:rPr>
                <w:sz w:val="21"/>
                <w:szCs w:val="21"/>
              </w:rPr>
              <w:t>块</w:t>
            </w:r>
          </w:p>
        </w:tc>
        <w:tc>
          <w:tcPr>
            <w:tcW w:w="1702" w:type="pct"/>
            <w:vAlign w:val="center"/>
          </w:tcPr>
          <w:p>
            <w:pPr>
              <w:spacing w:line="240" w:lineRule="auto"/>
              <w:ind w:firstLine="0" w:firstLineChars="0"/>
              <w:jc w:val="center"/>
              <w:rPr>
                <w:sz w:val="21"/>
                <w:szCs w:val="21"/>
              </w:rPr>
            </w:pPr>
            <w:r>
              <w:rPr>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663" w:type="pct"/>
            <w:vMerge w:val="continue"/>
            <w:vAlign w:val="center"/>
          </w:tcPr>
          <w:p>
            <w:pPr>
              <w:spacing w:line="240" w:lineRule="auto"/>
              <w:ind w:firstLine="0" w:firstLineChars="0"/>
              <w:jc w:val="center"/>
              <w:rPr>
                <w:bCs/>
                <w:sz w:val="21"/>
                <w:szCs w:val="21"/>
              </w:rPr>
            </w:pPr>
          </w:p>
        </w:tc>
        <w:tc>
          <w:tcPr>
            <w:tcW w:w="676" w:type="pct"/>
            <w:vMerge w:val="continue"/>
            <w:vAlign w:val="center"/>
          </w:tcPr>
          <w:p>
            <w:pPr>
              <w:spacing w:line="240" w:lineRule="auto"/>
              <w:ind w:firstLine="0" w:firstLineChars="0"/>
              <w:jc w:val="center"/>
              <w:rPr>
                <w:bCs/>
                <w:sz w:val="21"/>
                <w:szCs w:val="21"/>
              </w:rPr>
            </w:pPr>
          </w:p>
        </w:tc>
        <w:tc>
          <w:tcPr>
            <w:tcW w:w="1283" w:type="pct"/>
            <w:vAlign w:val="center"/>
          </w:tcPr>
          <w:p>
            <w:pPr>
              <w:spacing w:line="240" w:lineRule="auto"/>
              <w:ind w:firstLine="0" w:firstLineChars="0"/>
              <w:jc w:val="center"/>
              <w:rPr>
                <w:sz w:val="21"/>
                <w:szCs w:val="21"/>
              </w:rPr>
            </w:pPr>
            <w:r>
              <w:rPr>
                <w:sz w:val="21"/>
                <w:szCs w:val="21"/>
              </w:rPr>
              <w:t>砌砖及</w:t>
            </w:r>
            <w:r>
              <w:rPr>
                <w:kern w:val="0"/>
                <w:sz w:val="21"/>
                <w:szCs w:val="21"/>
              </w:rPr>
              <w:t>C20砼</w:t>
            </w:r>
            <w:r>
              <w:rPr>
                <w:sz w:val="21"/>
                <w:szCs w:val="21"/>
              </w:rPr>
              <w:t>拆除</w:t>
            </w:r>
          </w:p>
        </w:tc>
        <w:tc>
          <w:tcPr>
            <w:tcW w:w="673" w:type="pct"/>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22.1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7" w:hRule="atLeast"/>
        </w:trPr>
        <w:tc>
          <w:tcPr>
            <w:tcW w:w="663" w:type="pct"/>
            <w:vMerge w:val="continue"/>
            <w:vAlign w:val="center"/>
          </w:tcPr>
          <w:p>
            <w:pPr>
              <w:spacing w:line="240" w:lineRule="auto"/>
              <w:ind w:firstLine="0" w:firstLineChars="0"/>
              <w:jc w:val="center"/>
              <w:rPr>
                <w:sz w:val="21"/>
                <w:szCs w:val="21"/>
              </w:rPr>
            </w:pPr>
          </w:p>
        </w:tc>
        <w:tc>
          <w:tcPr>
            <w:tcW w:w="1960" w:type="pct"/>
            <w:gridSpan w:val="2"/>
            <w:vAlign w:val="center"/>
          </w:tcPr>
          <w:p>
            <w:pPr>
              <w:pStyle w:val="68"/>
              <w:adjustRightInd/>
              <w:snapToGrid/>
              <w:spacing w:afterLines="0"/>
              <w:jc w:val="center"/>
              <w:rPr>
                <w:b w:val="0"/>
                <w:sz w:val="21"/>
                <w:szCs w:val="21"/>
              </w:rPr>
            </w:pPr>
            <w:r>
              <w:rPr>
                <w:b w:val="0"/>
                <w:bCs/>
                <w:sz w:val="21"/>
                <w:szCs w:val="21"/>
              </w:rPr>
              <w:t>防雨布苫盖</w:t>
            </w:r>
          </w:p>
        </w:tc>
        <w:tc>
          <w:tcPr>
            <w:tcW w:w="673" w:type="pct"/>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1702" w:type="pct"/>
            <w:vAlign w:val="center"/>
          </w:tcPr>
          <w:p>
            <w:pPr>
              <w:spacing w:line="240" w:lineRule="auto"/>
              <w:ind w:firstLine="0" w:firstLineChars="0"/>
              <w:jc w:val="center"/>
              <w:rPr>
                <w:sz w:val="21"/>
                <w:szCs w:val="21"/>
              </w:rPr>
            </w:pPr>
            <w:r>
              <w:rPr>
                <w:sz w:val="21"/>
                <w:szCs w:val="21"/>
              </w:rPr>
              <w:t>2.27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5" w:hRule="atLeast"/>
        </w:trPr>
        <w:tc>
          <w:tcPr>
            <w:tcW w:w="663" w:type="pct"/>
            <w:vMerge w:val="continue"/>
            <w:vAlign w:val="center"/>
          </w:tcPr>
          <w:p>
            <w:pPr>
              <w:spacing w:line="240" w:lineRule="auto"/>
              <w:ind w:firstLine="0" w:firstLineChars="0"/>
              <w:jc w:val="center"/>
              <w:rPr>
                <w:sz w:val="21"/>
                <w:szCs w:val="21"/>
              </w:rPr>
            </w:pPr>
          </w:p>
        </w:tc>
        <w:tc>
          <w:tcPr>
            <w:tcW w:w="676" w:type="pct"/>
            <w:vMerge w:val="restart"/>
            <w:vAlign w:val="center"/>
          </w:tcPr>
          <w:p>
            <w:pPr>
              <w:pStyle w:val="68"/>
              <w:adjustRightInd/>
              <w:snapToGrid/>
              <w:spacing w:afterLines="0"/>
              <w:jc w:val="center"/>
              <w:rPr>
                <w:b w:val="0"/>
                <w:bCs/>
                <w:sz w:val="21"/>
                <w:szCs w:val="21"/>
              </w:rPr>
            </w:pPr>
            <w:r>
              <w:rPr>
                <w:b w:val="0"/>
                <w:bCs/>
                <w:sz w:val="21"/>
                <w:szCs w:val="21"/>
              </w:rPr>
              <w:t>编织袋装土拦挡</w:t>
            </w:r>
          </w:p>
        </w:tc>
        <w:tc>
          <w:tcPr>
            <w:tcW w:w="1283" w:type="pct"/>
            <w:vAlign w:val="center"/>
          </w:tcPr>
          <w:p>
            <w:pPr>
              <w:pStyle w:val="68"/>
              <w:adjustRightInd/>
              <w:snapToGrid/>
              <w:spacing w:afterLines="0"/>
              <w:jc w:val="center"/>
              <w:rPr>
                <w:b w:val="0"/>
                <w:bCs/>
                <w:sz w:val="21"/>
                <w:szCs w:val="21"/>
              </w:rPr>
            </w:pPr>
            <w:r>
              <w:rPr>
                <w:b w:val="0"/>
                <w:bCs/>
                <w:sz w:val="21"/>
                <w:szCs w:val="21"/>
              </w:rPr>
              <w:t>组成</w:t>
            </w:r>
          </w:p>
        </w:tc>
        <w:tc>
          <w:tcPr>
            <w:tcW w:w="673" w:type="pct"/>
            <w:vAlign w:val="center"/>
          </w:tcPr>
          <w:p>
            <w:pPr>
              <w:pStyle w:val="68"/>
              <w:adjustRightInd/>
              <w:snapToGrid/>
              <w:spacing w:afterLines="0"/>
              <w:jc w:val="center"/>
              <w:rPr>
                <w:b w:val="0"/>
                <w:bCs/>
                <w:sz w:val="21"/>
                <w:szCs w:val="21"/>
              </w:rPr>
            </w:pPr>
            <w:r>
              <w:rPr>
                <w:b w:val="0"/>
                <w:bCs/>
                <w:sz w:val="21"/>
                <w:szCs w:val="21"/>
              </w:rPr>
              <w:t>m</w:t>
            </w:r>
          </w:p>
        </w:tc>
        <w:tc>
          <w:tcPr>
            <w:tcW w:w="1702" w:type="pct"/>
            <w:vAlign w:val="center"/>
          </w:tcPr>
          <w:p>
            <w:pPr>
              <w:spacing w:line="240" w:lineRule="auto"/>
              <w:ind w:firstLine="0" w:firstLineChars="0"/>
              <w:jc w:val="center"/>
              <w:rPr>
                <w:sz w:val="21"/>
                <w:szCs w:val="21"/>
              </w:rPr>
            </w:pPr>
            <w:r>
              <w:rPr>
                <w:sz w:val="21"/>
                <w:szCs w:val="21"/>
              </w:rPr>
              <w:t>400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12" w:hRule="atLeast"/>
        </w:trPr>
        <w:tc>
          <w:tcPr>
            <w:tcW w:w="663" w:type="pct"/>
            <w:vMerge w:val="continue"/>
            <w:vAlign w:val="center"/>
          </w:tcPr>
          <w:p>
            <w:pPr>
              <w:spacing w:line="240" w:lineRule="auto"/>
              <w:ind w:firstLine="0" w:firstLineChars="0"/>
              <w:jc w:val="center"/>
              <w:rPr>
                <w:sz w:val="21"/>
                <w:szCs w:val="21"/>
              </w:rPr>
            </w:pPr>
          </w:p>
        </w:tc>
        <w:tc>
          <w:tcPr>
            <w:tcW w:w="676" w:type="pct"/>
            <w:vMerge w:val="continue"/>
            <w:vAlign w:val="center"/>
          </w:tcPr>
          <w:p>
            <w:pPr>
              <w:pStyle w:val="68"/>
              <w:adjustRightInd/>
              <w:snapToGrid/>
              <w:spacing w:afterLines="0"/>
              <w:jc w:val="center"/>
              <w:rPr>
                <w:b w:val="0"/>
                <w:bCs/>
                <w:sz w:val="21"/>
                <w:szCs w:val="21"/>
              </w:rPr>
            </w:pPr>
          </w:p>
        </w:tc>
        <w:tc>
          <w:tcPr>
            <w:tcW w:w="1283" w:type="pct"/>
            <w:vAlign w:val="center"/>
          </w:tcPr>
          <w:p>
            <w:pPr>
              <w:pStyle w:val="68"/>
              <w:adjustRightInd/>
              <w:snapToGrid/>
              <w:spacing w:afterLines="0"/>
              <w:jc w:val="center"/>
              <w:rPr>
                <w:b w:val="0"/>
                <w:bCs/>
                <w:sz w:val="21"/>
                <w:szCs w:val="21"/>
              </w:rPr>
            </w:pPr>
            <w:r>
              <w:rPr>
                <w:b w:val="0"/>
                <w:bCs/>
                <w:sz w:val="21"/>
                <w:szCs w:val="21"/>
              </w:rPr>
              <w:t>编织袋装土填筑</w:t>
            </w:r>
          </w:p>
        </w:tc>
        <w:tc>
          <w:tcPr>
            <w:tcW w:w="673" w:type="pct"/>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640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3" w:hRule="atLeast"/>
        </w:trPr>
        <w:tc>
          <w:tcPr>
            <w:tcW w:w="663" w:type="pct"/>
            <w:vMerge w:val="continue"/>
            <w:vAlign w:val="center"/>
          </w:tcPr>
          <w:p>
            <w:pPr>
              <w:spacing w:line="240" w:lineRule="auto"/>
              <w:ind w:firstLine="0" w:firstLineChars="0"/>
              <w:jc w:val="center"/>
              <w:rPr>
                <w:sz w:val="21"/>
                <w:szCs w:val="21"/>
              </w:rPr>
            </w:pPr>
          </w:p>
        </w:tc>
        <w:tc>
          <w:tcPr>
            <w:tcW w:w="676" w:type="pct"/>
            <w:vMerge w:val="continue"/>
            <w:vAlign w:val="center"/>
          </w:tcPr>
          <w:p>
            <w:pPr>
              <w:pStyle w:val="68"/>
              <w:adjustRightInd/>
              <w:snapToGrid/>
              <w:spacing w:afterLines="0"/>
              <w:jc w:val="center"/>
              <w:rPr>
                <w:b w:val="0"/>
                <w:bCs/>
                <w:sz w:val="21"/>
                <w:szCs w:val="21"/>
              </w:rPr>
            </w:pPr>
          </w:p>
        </w:tc>
        <w:tc>
          <w:tcPr>
            <w:tcW w:w="1283" w:type="pct"/>
            <w:vAlign w:val="center"/>
          </w:tcPr>
          <w:p>
            <w:pPr>
              <w:pStyle w:val="68"/>
              <w:adjustRightInd/>
              <w:snapToGrid/>
              <w:spacing w:afterLines="0"/>
              <w:jc w:val="center"/>
              <w:rPr>
                <w:b w:val="0"/>
                <w:bCs/>
                <w:sz w:val="21"/>
                <w:szCs w:val="21"/>
              </w:rPr>
            </w:pPr>
            <w:r>
              <w:rPr>
                <w:b w:val="0"/>
                <w:bCs/>
                <w:sz w:val="21"/>
                <w:szCs w:val="21"/>
              </w:rPr>
              <w:t>土袋拆除</w:t>
            </w:r>
          </w:p>
        </w:tc>
        <w:tc>
          <w:tcPr>
            <w:tcW w:w="673" w:type="pct"/>
            <w:vAlign w:val="center"/>
          </w:tcPr>
          <w:p>
            <w:pPr>
              <w:pStyle w:val="68"/>
              <w:adjustRightInd/>
              <w:snapToGrid/>
              <w:spacing w:afterLines="0"/>
              <w:jc w:val="center"/>
              <w:rPr>
                <w:b w:val="0"/>
                <w:sz w:val="21"/>
                <w:szCs w:val="21"/>
              </w:rPr>
            </w:pPr>
            <w:r>
              <w:rPr>
                <w:b w:val="0"/>
                <w:sz w:val="21"/>
                <w:szCs w:val="21"/>
              </w:rPr>
              <w:t>m</w:t>
            </w:r>
            <w:r>
              <w:rPr>
                <w:b w:val="0"/>
                <w:sz w:val="21"/>
                <w:szCs w:val="21"/>
                <w:vertAlign w:val="superscript"/>
              </w:rPr>
              <w:t>3</w:t>
            </w:r>
          </w:p>
        </w:tc>
        <w:tc>
          <w:tcPr>
            <w:tcW w:w="1702" w:type="pct"/>
            <w:vAlign w:val="center"/>
          </w:tcPr>
          <w:p>
            <w:pPr>
              <w:spacing w:line="240" w:lineRule="auto"/>
              <w:ind w:firstLine="0" w:firstLineChars="0"/>
              <w:jc w:val="center"/>
              <w:rPr>
                <w:sz w:val="21"/>
                <w:szCs w:val="21"/>
              </w:rPr>
            </w:pPr>
            <w:r>
              <w:rPr>
                <w:sz w:val="21"/>
                <w:szCs w:val="21"/>
              </w:rPr>
              <w:t>640</w:t>
            </w:r>
          </w:p>
        </w:tc>
      </w:tr>
    </w:tbl>
    <w:p>
      <w:pPr>
        <w:pStyle w:val="6"/>
        <w:spacing w:beforeLines="50"/>
      </w:pPr>
      <w:r>
        <w:t>5.3.6排水措施过水能力分析及挡墙稳定性分析</w:t>
      </w:r>
    </w:p>
    <w:p>
      <w:pPr>
        <w:pStyle w:val="7"/>
      </w:pPr>
      <w:r>
        <w:t>5.3.5.1排水沟过水能力计算</w:t>
      </w:r>
    </w:p>
    <w:p>
      <w:pPr>
        <w:ind w:firstLine="480"/>
      </w:pPr>
      <w:r>
        <w:t>暴雨强度公式采用2017乐山市暴雨强度公式：</w:t>
      </w:r>
    </w:p>
    <w:p>
      <w:pPr>
        <w:ind w:firstLine="0" w:firstLineChars="0"/>
        <w:jc w:val="center"/>
      </w:pPr>
      <w:r>
        <w:rPr>
          <w:position w:val="-28"/>
        </w:rPr>
        <w:object>
          <v:shape id="_x0000_i1032" o:spt="75" type="#_x0000_t75" style="height:33pt;width:105pt;" o:ole="t" filled="f" o:preferrelative="t" stroked="f" coordsize="21600,21600">
            <v:path/>
            <v:fill on="f" focussize="0,0"/>
            <v:stroke on="f" joinstyle="miter"/>
            <v:imagedata r:id="rId99" o:title=""/>
            <o:lock v:ext="edit" aspectratio="t"/>
            <w10:wrap type="none"/>
            <w10:anchorlock/>
          </v:shape>
          <o:OLEObject Type="Embed" ProgID="Equation.3" ShapeID="_x0000_i1032" DrawAspect="Content" ObjectID="_1468075732" r:id="rId187">
            <o:LockedField>false</o:LockedField>
          </o:OLEObject>
        </w:object>
      </w:r>
    </w:p>
    <w:p>
      <w:pPr>
        <w:ind w:firstLine="480"/>
        <w:rPr>
          <w:sz w:val="28"/>
          <w:szCs w:val="28"/>
        </w:rPr>
      </w:pPr>
      <w:r>
        <w:rPr>
          <w:szCs w:val="24"/>
        </w:rPr>
        <w:t>式中：</w:t>
      </w:r>
    </w:p>
    <w:p>
      <w:pPr>
        <w:ind w:firstLine="960" w:firstLineChars="400"/>
        <w:rPr>
          <w:szCs w:val="24"/>
        </w:rPr>
      </w:pPr>
      <w:r>
        <w:rPr>
          <w:szCs w:val="24"/>
        </w:rPr>
        <w:t>I——暴雨强度计算值（mm/min）；</w:t>
      </w:r>
    </w:p>
    <w:p>
      <w:pPr>
        <w:ind w:firstLine="960" w:firstLineChars="400"/>
        <w:rPr>
          <w:szCs w:val="24"/>
        </w:rPr>
      </w:pPr>
      <w:r>
        <w:rPr>
          <w:szCs w:val="24"/>
        </w:rPr>
        <w:t>t——降雨历时（min）；</w:t>
      </w:r>
    </w:p>
    <w:p>
      <w:pPr>
        <w:ind w:firstLine="960" w:firstLineChars="400"/>
        <w:rPr>
          <w:szCs w:val="24"/>
        </w:rPr>
      </w:pPr>
      <w:r>
        <w:rPr>
          <w:szCs w:val="24"/>
        </w:rPr>
        <w:t>P——重现期（a）。</w:t>
      </w:r>
    </w:p>
    <w:p>
      <w:pPr>
        <w:widowControl/>
        <w:ind w:firstLine="480"/>
        <w:rPr>
          <w:szCs w:val="24"/>
        </w:rPr>
      </w:pPr>
      <w:r>
        <w:rPr>
          <w:szCs w:val="24"/>
        </w:rPr>
        <w:t>降雨历时取10min；</w:t>
      </w:r>
      <w:r>
        <w:t>设计重现期P=5年；沥青路面径流系数取0.85。</w:t>
      </w:r>
    </w:p>
    <w:p>
      <w:pPr>
        <w:widowControl/>
        <w:ind w:firstLine="480"/>
        <w:rPr>
          <w:szCs w:val="24"/>
        </w:rPr>
      </w:pPr>
      <w:r>
        <w:rPr>
          <w:szCs w:val="24"/>
        </w:rPr>
        <w:t>根据《水土保持工程设计规范》</w:t>
      </w:r>
      <w:r>
        <w:t>（GB51018-2014）</w:t>
      </w:r>
      <w:r>
        <w:rPr>
          <w:szCs w:val="24"/>
        </w:rPr>
        <w:t>中设计排水流量公式：</w:t>
      </w:r>
    </w:p>
    <w:p>
      <w:pPr>
        <w:widowControl/>
        <w:ind w:firstLine="480"/>
        <w:jc w:val="center"/>
        <w:rPr>
          <w:szCs w:val="24"/>
        </w:rPr>
      </w:pPr>
      <w:r>
        <w:rPr>
          <w:szCs w:val="24"/>
        </w:rPr>
        <w:t>Q</w:t>
      </w:r>
      <w:r>
        <w:rPr>
          <w:szCs w:val="24"/>
          <w:vertAlign w:val="subscript"/>
        </w:rPr>
        <w:t>m</w:t>
      </w:r>
      <w:r>
        <w:rPr>
          <w:szCs w:val="24"/>
        </w:rPr>
        <w:t>=16.67φqF</w:t>
      </w:r>
    </w:p>
    <w:p>
      <w:pPr>
        <w:ind w:firstLine="480"/>
        <w:rPr>
          <w:szCs w:val="24"/>
        </w:rPr>
      </w:pPr>
      <w:r>
        <w:rPr>
          <w:szCs w:val="24"/>
        </w:rPr>
        <w:t>式中：Q</w:t>
      </w:r>
      <w:r>
        <w:rPr>
          <w:szCs w:val="24"/>
          <w:vertAlign w:val="subscript"/>
        </w:rPr>
        <w:t>m</w:t>
      </w:r>
      <w:r>
        <w:rPr>
          <w:szCs w:val="24"/>
        </w:rPr>
        <w:t>―设计重现期和降雨历时内的洪峰流量（m</w:t>
      </w:r>
      <w:r>
        <w:rPr>
          <w:szCs w:val="24"/>
          <w:vertAlign w:val="superscript"/>
        </w:rPr>
        <w:t>3</w:t>
      </w:r>
      <w:r>
        <w:rPr>
          <w:szCs w:val="24"/>
        </w:rPr>
        <w:t>/s）；</w:t>
      </w:r>
    </w:p>
    <w:p>
      <w:pPr>
        <w:ind w:firstLine="1200" w:firstLineChars="500"/>
        <w:rPr>
          <w:szCs w:val="24"/>
        </w:rPr>
      </w:pPr>
      <w:r>
        <w:rPr>
          <w:szCs w:val="24"/>
        </w:rPr>
        <w:t>q―设计重现期平均10分钟的平均降雨强度（mm/min），根据乐山地区暴雨强度公式计算，本项目取2.12mm/min；</w:t>
      </w:r>
    </w:p>
    <w:p>
      <w:pPr>
        <w:ind w:firstLine="1200" w:firstLineChars="500"/>
        <w:rPr>
          <w:szCs w:val="24"/>
        </w:rPr>
      </w:pPr>
      <w:r>
        <w:rPr>
          <w:szCs w:val="24"/>
        </w:rPr>
        <w:object>
          <v:shape id="_x0000_i1033" o:spt="75" type="#_x0000_t75" style="height:12pt;width:10.5pt;" o:ole="t" filled="f" o:preferrelative="t" stroked="f" coordsize="21600,21600">
            <v:path/>
            <v:fill on="f" focussize="0,0"/>
            <v:stroke on="f" joinstyle="miter"/>
            <v:imagedata r:id="rId163" embosscolor="#FFFFFF" o:title=""/>
            <o:lock v:ext="edit" aspectratio="t"/>
            <w10:wrap type="none"/>
            <w10:anchorlock/>
          </v:shape>
          <o:OLEObject Type="Embed" ProgID="Equation.3" ShapeID="_x0000_i1033" DrawAspect="Content" ObjectID="_1468075733" r:id="rId188">
            <o:LockedField>false</o:LockedField>
          </o:OLEObject>
        </w:object>
      </w:r>
      <w:r>
        <w:rPr>
          <w:szCs w:val="24"/>
        </w:rPr>
        <w:t>―径流系数，根据水土保持工程设计规范（GB51018-2014），场平期间地表种类为</w:t>
      </w:r>
      <w:r>
        <w:t>细粒土坡面，径流系数取0.65</w:t>
      </w:r>
      <w:r>
        <w:rPr>
          <w:szCs w:val="24"/>
        </w:rPr>
        <w:t>；土石方中转场周边地表种类为起伏山地，</w:t>
      </w:r>
      <w:r>
        <w:t>径流系数取0.70</w:t>
      </w:r>
      <w:r>
        <w:rPr>
          <w:szCs w:val="24"/>
        </w:rPr>
        <w:t>；</w:t>
      </w:r>
    </w:p>
    <w:p>
      <w:pPr>
        <w:ind w:firstLine="1200" w:firstLineChars="500"/>
        <w:rPr>
          <w:szCs w:val="24"/>
        </w:rPr>
      </w:pPr>
      <w:r>
        <w:rPr>
          <w:szCs w:val="24"/>
        </w:rPr>
        <w:object>
          <v:shape id="_x0000_i1034" o:spt="75" type="#_x0000_t75" style="height:12pt;width:12pt;" o:ole="t" filled="f" o:preferrelative="t" stroked="f" coordsize="21600,21600">
            <v:path/>
            <v:fill on="f" focussize="0,0"/>
            <v:stroke on="f" joinstyle="miter"/>
            <v:imagedata r:id="rId178" embosscolor="#FFFFFF" o:title=""/>
            <o:lock v:ext="edit" aspectratio="t"/>
            <w10:wrap type="none"/>
            <w10:anchorlock/>
          </v:shape>
          <o:OLEObject Type="Embed" ProgID="Equation.3" ShapeID="_x0000_i1034" DrawAspect="Content" ObjectID="_1468075734" r:id="rId189">
            <o:LockedField>false</o:LockedField>
          </o:OLEObject>
        </w:object>
      </w:r>
      <w:r>
        <w:rPr>
          <w:szCs w:val="24"/>
        </w:rPr>
        <w:t>―汇水面积，km</w:t>
      </w:r>
      <w:r>
        <w:rPr>
          <w:szCs w:val="24"/>
          <w:vertAlign w:val="superscript"/>
        </w:rPr>
        <w:t>2</w:t>
      </w:r>
      <w:r>
        <w:rPr>
          <w:szCs w:val="24"/>
        </w:rPr>
        <w:t>，</w:t>
      </w:r>
      <w:r>
        <w:t>结合实地调查和地形图勾勒每个分区的最大汇水面积</w:t>
      </w:r>
      <w:r>
        <w:rPr>
          <w:szCs w:val="24"/>
        </w:rPr>
        <w:t>。</w:t>
      </w:r>
    </w:p>
    <w:p>
      <w:pPr>
        <w:ind w:firstLine="480"/>
      </w:pPr>
      <w:r>
        <w:t>经计算，雨水洪峰流量计算结果详见下表。</w:t>
      </w:r>
    </w:p>
    <w:p>
      <w:pPr>
        <w:ind w:firstLine="0" w:firstLineChars="0"/>
        <w:jc w:val="center"/>
        <w:rPr>
          <w:b/>
          <w:bCs/>
        </w:rPr>
      </w:pPr>
      <w:r>
        <w:rPr>
          <w:b/>
          <w:bCs/>
        </w:rPr>
        <w:t>表5.3-10项目雨水洪峰流量计算表</w:t>
      </w:r>
    </w:p>
    <w:tbl>
      <w:tblPr>
        <w:tblStyle w:val="37"/>
        <w:tblW w:w="4996" w:type="pct"/>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autofit"/>
        <w:tblCellMar>
          <w:top w:w="0" w:type="dxa"/>
          <w:left w:w="108" w:type="dxa"/>
          <w:bottom w:w="0" w:type="dxa"/>
          <w:right w:w="108" w:type="dxa"/>
        </w:tblCellMar>
      </w:tblPr>
      <w:tblGrid>
        <w:gridCol w:w="685"/>
        <w:gridCol w:w="1235"/>
        <w:gridCol w:w="1428"/>
        <w:gridCol w:w="1472"/>
        <w:gridCol w:w="1511"/>
        <w:gridCol w:w="1474"/>
        <w:gridCol w:w="1475"/>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1034" w:type="pct"/>
            <w:gridSpan w:val="2"/>
            <w:tcBorders>
              <w:tl2br w:val="nil"/>
              <w:tr2bl w:val="nil"/>
            </w:tcBorders>
            <w:vAlign w:val="center"/>
          </w:tcPr>
          <w:p>
            <w:pPr>
              <w:spacing w:line="240" w:lineRule="auto"/>
              <w:ind w:firstLine="0" w:firstLineChars="0"/>
              <w:jc w:val="center"/>
              <w:rPr>
                <w:b/>
                <w:bCs/>
                <w:sz w:val="21"/>
                <w:szCs w:val="21"/>
              </w:rPr>
            </w:pPr>
            <w:r>
              <w:rPr>
                <w:b/>
                <w:bCs/>
                <w:sz w:val="21"/>
                <w:szCs w:val="21"/>
              </w:rPr>
              <w:t>区域</w:t>
            </w:r>
          </w:p>
        </w:tc>
        <w:tc>
          <w:tcPr>
            <w:tcW w:w="769" w:type="pct"/>
            <w:tcBorders>
              <w:tl2br w:val="nil"/>
              <w:tr2bl w:val="nil"/>
            </w:tcBorders>
            <w:vAlign w:val="center"/>
          </w:tcPr>
          <w:p>
            <w:pPr>
              <w:spacing w:line="240" w:lineRule="auto"/>
              <w:ind w:firstLine="0" w:firstLineChars="0"/>
              <w:jc w:val="center"/>
              <w:rPr>
                <w:b/>
                <w:bCs/>
                <w:sz w:val="21"/>
                <w:szCs w:val="21"/>
              </w:rPr>
            </w:pPr>
            <w:r>
              <w:rPr>
                <w:b/>
                <w:bCs/>
                <w:sz w:val="21"/>
                <w:szCs w:val="21"/>
              </w:rPr>
              <w:t>地表综合径流系数</w:t>
            </w:r>
            <w:r>
              <w:rPr>
                <w:szCs w:val="24"/>
              </w:rPr>
              <w:t>φ</w:t>
            </w:r>
          </w:p>
        </w:tc>
        <w:tc>
          <w:tcPr>
            <w:tcW w:w="793" w:type="pct"/>
            <w:tcBorders>
              <w:tl2br w:val="nil"/>
              <w:tr2bl w:val="nil"/>
            </w:tcBorders>
            <w:vAlign w:val="center"/>
          </w:tcPr>
          <w:p>
            <w:pPr>
              <w:spacing w:line="240" w:lineRule="auto"/>
              <w:ind w:firstLine="0" w:firstLineChars="0"/>
              <w:jc w:val="center"/>
              <w:rPr>
                <w:b/>
                <w:bCs/>
                <w:sz w:val="21"/>
                <w:szCs w:val="21"/>
              </w:rPr>
            </w:pPr>
            <w:r>
              <w:rPr>
                <w:b/>
                <w:bCs/>
                <w:sz w:val="21"/>
                <w:szCs w:val="21"/>
              </w:rPr>
              <w:t>设计</w:t>
            </w:r>
          </w:p>
          <w:p>
            <w:pPr>
              <w:spacing w:line="240" w:lineRule="auto"/>
              <w:ind w:firstLine="0" w:firstLineChars="0"/>
              <w:jc w:val="center"/>
              <w:rPr>
                <w:b/>
                <w:bCs/>
                <w:sz w:val="21"/>
                <w:szCs w:val="21"/>
              </w:rPr>
            </w:pPr>
            <w:r>
              <w:rPr>
                <w:b/>
                <w:bCs/>
                <w:sz w:val="21"/>
                <w:szCs w:val="21"/>
              </w:rPr>
              <w:t>暴雨强度I</w:t>
            </w:r>
          </w:p>
          <w:p>
            <w:pPr>
              <w:spacing w:line="240" w:lineRule="auto"/>
              <w:ind w:firstLine="0" w:firstLineChars="0"/>
              <w:jc w:val="center"/>
              <w:rPr>
                <w:b/>
                <w:bCs/>
                <w:sz w:val="21"/>
                <w:szCs w:val="21"/>
              </w:rPr>
            </w:pPr>
            <w:r>
              <w:rPr>
                <w:b/>
                <w:bCs/>
                <w:sz w:val="21"/>
                <w:szCs w:val="21"/>
              </w:rPr>
              <w:t>（mm/min）</w:t>
            </w:r>
          </w:p>
        </w:tc>
        <w:tc>
          <w:tcPr>
            <w:tcW w:w="814" w:type="pct"/>
            <w:tcBorders>
              <w:tl2br w:val="nil"/>
              <w:tr2bl w:val="nil"/>
            </w:tcBorders>
            <w:vAlign w:val="center"/>
          </w:tcPr>
          <w:p>
            <w:pPr>
              <w:spacing w:line="240" w:lineRule="auto"/>
              <w:ind w:firstLine="0" w:firstLineChars="0"/>
              <w:jc w:val="center"/>
              <w:rPr>
                <w:b/>
                <w:bCs/>
                <w:sz w:val="21"/>
                <w:szCs w:val="21"/>
              </w:rPr>
            </w:pPr>
            <w:r>
              <w:rPr>
                <w:b/>
                <w:bCs/>
                <w:sz w:val="21"/>
                <w:szCs w:val="21"/>
              </w:rPr>
              <w:t>汇水面积F（km</w:t>
            </w:r>
            <w:r>
              <w:rPr>
                <w:b/>
                <w:bCs/>
                <w:sz w:val="21"/>
                <w:szCs w:val="21"/>
                <w:vertAlign w:val="superscript"/>
              </w:rPr>
              <w:t>2</w:t>
            </w:r>
            <w:r>
              <w:rPr>
                <w:b/>
                <w:bCs/>
                <w:sz w:val="21"/>
                <w:szCs w:val="21"/>
              </w:rPr>
              <w:t>）</w:t>
            </w:r>
          </w:p>
        </w:tc>
        <w:tc>
          <w:tcPr>
            <w:tcW w:w="794" w:type="pct"/>
            <w:tcBorders>
              <w:tl2br w:val="nil"/>
              <w:tr2bl w:val="nil"/>
            </w:tcBorders>
            <w:vAlign w:val="center"/>
          </w:tcPr>
          <w:p>
            <w:pPr>
              <w:spacing w:line="240" w:lineRule="auto"/>
              <w:ind w:firstLine="0" w:firstLineChars="0"/>
              <w:jc w:val="center"/>
              <w:rPr>
                <w:b/>
                <w:bCs/>
                <w:sz w:val="21"/>
                <w:szCs w:val="21"/>
              </w:rPr>
            </w:pPr>
            <w:r>
              <w:rPr>
                <w:b/>
                <w:bCs/>
                <w:sz w:val="21"/>
                <w:szCs w:val="21"/>
              </w:rPr>
              <w:t>设计重现期P（年）</w:t>
            </w:r>
          </w:p>
        </w:tc>
        <w:tc>
          <w:tcPr>
            <w:tcW w:w="794" w:type="pct"/>
            <w:tcBorders>
              <w:tl2br w:val="nil"/>
              <w:tr2bl w:val="nil"/>
            </w:tcBorders>
            <w:vAlign w:val="center"/>
          </w:tcPr>
          <w:p>
            <w:pPr>
              <w:spacing w:line="240" w:lineRule="auto"/>
              <w:ind w:firstLine="0" w:firstLineChars="0"/>
              <w:jc w:val="center"/>
              <w:rPr>
                <w:b/>
                <w:bCs/>
                <w:sz w:val="21"/>
                <w:szCs w:val="21"/>
              </w:rPr>
            </w:pPr>
            <w:r>
              <w:rPr>
                <w:b/>
                <w:bCs/>
                <w:sz w:val="21"/>
                <w:szCs w:val="21"/>
              </w:rPr>
              <w:t>雨水洪峰流量Qm（m</w:t>
            </w:r>
            <w:r>
              <w:rPr>
                <w:b/>
                <w:bCs/>
                <w:sz w:val="21"/>
                <w:szCs w:val="21"/>
                <w:vertAlign w:val="superscript"/>
              </w:rPr>
              <w:t>3</w:t>
            </w:r>
            <w:r>
              <w:rPr>
                <w:b/>
                <w:bCs/>
                <w:sz w:val="21"/>
                <w:szCs w:val="21"/>
              </w:rPr>
              <w:t>/s）</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Merge w:val="restart"/>
            <w:tcBorders>
              <w:tl2br w:val="nil"/>
              <w:tr2bl w:val="nil"/>
            </w:tcBorders>
            <w:vAlign w:val="center"/>
          </w:tcPr>
          <w:p>
            <w:pPr>
              <w:spacing w:line="240" w:lineRule="auto"/>
              <w:ind w:firstLine="0" w:firstLineChars="0"/>
              <w:jc w:val="center"/>
              <w:rPr>
                <w:sz w:val="21"/>
                <w:szCs w:val="21"/>
              </w:rPr>
            </w:pPr>
            <w:r>
              <w:rPr>
                <w:sz w:val="21"/>
                <w:szCs w:val="21"/>
              </w:rPr>
              <w:t>近期建设区</w:t>
            </w:r>
          </w:p>
        </w:tc>
        <w:tc>
          <w:tcPr>
            <w:tcW w:w="665" w:type="pct"/>
            <w:tcBorders>
              <w:tl2br w:val="nil"/>
              <w:tr2bl w:val="nil"/>
            </w:tcBorders>
            <w:vAlign w:val="center"/>
          </w:tcPr>
          <w:p>
            <w:pPr>
              <w:pStyle w:val="53"/>
              <w:rPr>
                <w:rFonts w:eastAsia="仿宋_GB2312"/>
              </w:rPr>
            </w:pPr>
            <w:r>
              <w:rPr>
                <w:rFonts w:eastAsia="仿宋_GB2312"/>
              </w:rPr>
              <w:t>工业</w:t>
            </w:r>
          </w:p>
          <w:p>
            <w:pPr>
              <w:pStyle w:val="53"/>
              <w:rPr>
                <w:rFonts w:eastAsia="仿宋_GB2312"/>
              </w:rPr>
            </w:pPr>
            <w:r>
              <w:rPr>
                <w:rFonts w:eastAsia="仿宋_GB2312"/>
              </w:rPr>
              <w:t>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0.035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0.80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Merge w:val="continue"/>
            <w:tcBorders>
              <w:tl2br w:val="nil"/>
              <w:tr2bl w:val="nil"/>
            </w:tcBorders>
            <w:vAlign w:val="center"/>
          </w:tcPr>
          <w:p>
            <w:pPr>
              <w:spacing w:line="240" w:lineRule="auto"/>
              <w:ind w:firstLine="0" w:firstLineChars="0"/>
              <w:jc w:val="center"/>
              <w:rPr>
                <w:sz w:val="21"/>
                <w:szCs w:val="21"/>
              </w:rPr>
            </w:pPr>
          </w:p>
        </w:tc>
        <w:tc>
          <w:tcPr>
            <w:tcW w:w="665" w:type="pct"/>
            <w:tcBorders>
              <w:tl2br w:val="nil"/>
              <w:tr2bl w:val="nil"/>
            </w:tcBorders>
            <w:vAlign w:val="center"/>
          </w:tcPr>
          <w:p>
            <w:pPr>
              <w:pStyle w:val="53"/>
              <w:rPr>
                <w:rFonts w:eastAsia="仿宋_GB2312"/>
              </w:rPr>
            </w:pPr>
            <w:r>
              <w:rPr>
                <w:rFonts w:eastAsia="仿宋_GB2312"/>
              </w:rPr>
              <w:t>道路与交通设施</w:t>
            </w:r>
          </w:p>
          <w:p>
            <w:pPr>
              <w:pStyle w:val="53"/>
              <w:rPr>
                <w:rFonts w:eastAsia="仿宋_GB2312"/>
              </w:rPr>
            </w:pPr>
            <w:r>
              <w:rPr>
                <w:rFonts w:eastAsia="仿宋_GB2312"/>
              </w:rPr>
              <w:t>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0.03</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0.69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Merge w:val="continue"/>
            <w:tcBorders>
              <w:tl2br w:val="nil"/>
              <w:tr2bl w:val="nil"/>
            </w:tcBorders>
            <w:vAlign w:val="center"/>
          </w:tcPr>
          <w:p>
            <w:pPr>
              <w:spacing w:line="240" w:lineRule="auto"/>
              <w:ind w:firstLine="0" w:firstLineChars="0"/>
              <w:jc w:val="center"/>
              <w:rPr>
                <w:sz w:val="21"/>
                <w:szCs w:val="21"/>
              </w:rPr>
            </w:pPr>
          </w:p>
        </w:tc>
        <w:tc>
          <w:tcPr>
            <w:tcW w:w="665" w:type="pct"/>
            <w:tcBorders>
              <w:tl2br w:val="nil"/>
              <w:tr2bl w:val="nil"/>
            </w:tcBorders>
            <w:vAlign w:val="center"/>
          </w:tcPr>
          <w:p>
            <w:pPr>
              <w:tabs>
                <w:tab w:val="left" w:pos="1050"/>
              </w:tabs>
              <w:spacing w:line="240" w:lineRule="auto"/>
              <w:ind w:firstLine="0" w:firstLineChars="0"/>
              <w:jc w:val="center"/>
              <w:rPr>
                <w:sz w:val="21"/>
                <w:szCs w:val="21"/>
              </w:rPr>
            </w:pPr>
            <w:r>
              <w:rPr>
                <w:sz w:val="21"/>
                <w:szCs w:val="21"/>
              </w:rPr>
              <w:t>公用设施用地区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0.02</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0.46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jc w:val="center"/>
        </w:trPr>
        <w:tc>
          <w:tcPr>
            <w:tcW w:w="369" w:type="pct"/>
            <w:vMerge w:val="continue"/>
            <w:tcBorders>
              <w:tl2br w:val="nil"/>
              <w:tr2bl w:val="nil"/>
            </w:tcBorders>
            <w:vAlign w:val="center"/>
          </w:tcPr>
          <w:p>
            <w:pPr>
              <w:spacing w:line="240" w:lineRule="auto"/>
              <w:ind w:firstLine="0" w:firstLineChars="0"/>
              <w:jc w:val="center"/>
              <w:rPr>
                <w:sz w:val="21"/>
                <w:szCs w:val="21"/>
              </w:rPr>
            </w:pPr>
          </w:p>
        </w:tc>
        <w:tc>
          <w:tcPr>
            <w:tcW w:w="665" w:type="pct"/>
            <w:tcBorders>
              <w:tl2br w:val="nil"/>
              <w:tr2bl w:val="nil"/>
            </w:tcBorders>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0.025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0.57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369" w:type="pct"/>
            <w:vMerge w:val="restart"/>
            <w:tcBorders>
              <w:tl2br w:val="nil"/>
              <w:tr2bl w:val="nil"/>
            </w:tcBorders>
            <w:vAlign w:val="center"/>
          </w:tcPr>
          <w:p>
            <w:pPr>
              <w:spacing w:line="240" w:lineRule="auto"/>
              <w:ind w:firstLine="0" w:firstLineChars="0"/>
              <w:jc w:val="center"/>
              <w:rPr>
                <w:sz w:val="21"/>
                <w:szCs w:val="21"/>
              </w:rPr>
            </w:pPr>
            <w:r>
              <w:rPr>
                <w:sz w:val="21"/>
                <w:szCs w:val="21"/>
              </w:rPr>
              <w:t>远期建设区</w:t>
            </w:r>
          </w:p>
        </w:tc>
        <w:tc>
          <w:tcPr>
            <w:tcW w:w="665" w:type="pct"/>
            <w:tcBorders>
              <w:tl2br w:val="nil"/>
              <w:tr2bl w:val="nil"/>
            </w:tcBorders>
            <w:vAlign w:val="center"/>
          </w:tcPr>
          <w:p>
            <w:pPr>
              <w:pStyle w:val="53"/>
              <w:rPr>
                <w:rFonts w:eastAsia="仿宋_GB2312"/>
              </w:rPr>
            </w:pPr>
            <w:r>
              <w:rPr>
                <w:rFonts w:eastAsia="仿宋_GB2312"/>
              </w:rPr>
              <w:t>工业</w:t>
            </w:r>
          </w:p>
          <w:p>
            <w:pPr>
              <w:pStyle w:val="53"/>
              <w:rPr>
                <w:rFonts w:eastAsia="仿宋_GB2312"/>
              </w:rPr>
            </w:pPr>
            <w:r>
              <w:rPr>
                <w:rFonts w:eastAsia="仿宋_GB2312"/>
              </w:rPr>
              <w:t>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0.035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0.80</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369" w:type="pct"/>
            <w:vMerge w:val="continue"/>
            <w:tcBorders>
              <w:tl2br w:val="nil"/>
              <w:tr2bl w:val="nil"/>
            </w:tcBorders>
            <w:vAlign w:val="center"/>
          </w:tcPr>
          <w:p>
            <w:pPr>
              <w:spacing w:line="240" w:lineRule="auto"/>
              <w:ind w:firstLine="0" w:firstLineChars="0"/>
              <w:jc w:val="center"/>
            </w:pPr>
          </w:p>
        </w:tc>
        <w:tc>
          <w:tcPr>
            <w:tcW w:w="665" w:type="pct"/>
            <w:tcBorders>
              <w:tl2br w:val="nil"/>
              <w:tr2bl w:val="nil"/>
            </w:tcBorders>
            <w:vAlign w:val="center"/>
          </w:tcPr>
          <w:p>
            <w:pPr>
              <w:pStyle w:val="53"/>
              <w:rPr>
                <w:rFonts w:eastAsia="仿宋_GB2312"/>
              </w:rPr>
            </w:pPr>
            <w:r>
              <w:rPr>
                <w:rFonts w:eastAsia="仿宋_GB2312"/>
              </w:rPr>
              <w:t>道路与交通设施用地区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0.03</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0.69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369" w:type="pct"/>
            <w:vMerge w:val="continue"/>
            <w:tcBorders>
              <w:tl2br w:val="nil"/>
              <w:tr2bl w:val="nil"/>
            </w:tcBorders>
            <w:vAlign w:val="center"/>
          </w:tcPr>
          <w:p>
            <w:pPr>
              <w:spacing w:line="240" w:lineRule="auto"/>
              <w:ind w:firstLine="0" w:firstLineChars="0"/>
              <w:jc w:val="center"/>
              <w:rPr>
                <w:sz w:val="21"/>
                <w:szCs w:val="21"/>
              </w:rPr>
            </w:pPr>
          </w:p>
        </w:tc>
        <w:tc>
          <w:tcPr>
            <w:tcW w:w="665" w:type="pct"/>
            <w:tcBorders>
              <w:tl2br w:val="nil"/>
              <w:tr2bl w:val="nil"/>
            </w:tcBorders>
            <w:vAlign w:val="center"/>
          </w:tcPr>
          <w:p>
            <w:pPr>
              <w:tabs>
                <w:tab w:val="left" w:pos="1050"/>
              </w:tabs>
              <w:spacing w:line="240" w:lineRule="auto"/>
              <w:ind w:firstLine="0" w:firstLineChars="0"/>
              <w:jc w:val="center"/>
              <w:rPr>
                <w:sz w:val="21"/>
                <w:szCs w:val="21"/>
              </w:rPr>
            </w:pPr>
            <w:r>
              <w:rPr>
                <w:sz w:val="21"/>
                <w:szCs w:val="21"/>
              </w:rPr>
              <w:t>公用设施用地区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0.02</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0.46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56" w:hRule="atLeast"/>
          <w:jc w:val="center"/>
        </w:trPr>
        <w:tc>
          <w:tcPr>
            <w:tcW w:w="369" w:type="pct"/>
            <w:vMerge w:val="continue"/>
            <w:tcBorders>
              <w:tl2br w:val="nil"/>
              <w:tr2bl w:val="nil"/>
            </w:tcBorders>
            <w:vAlign w:val="center"/>
          </w:tcPr>
          <w:p>
            <w:pPr>
              <w:spacing w:line="240" w:lineRule="auto"/>
              <w:ind w:firstLine="0" w:firstLineChars="0"/>
              <w:jc w:val="center"/>
              <w:rPr>
                <w:sz w:val="21"/>
                <w:szCs w:val="21"/>
              </w:rPr>
            </w:pPr>
          </w:p>
        </w:tc>
        <w:tc>
          <w:tcPr>
            <w:tcW w:w="665" w:type="pct"/>
            <w:tcBorders>
              <w:tl2br w:val="nil"/>
              <w:tr2bl w:val="nil"/>
            </w:tcBorders>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0.025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0.57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369" w:type="pct"/>
            <w:vMerge w:val="restart"/>
            <w:tcBorders>
              <w:tl2br w:val="nil"/>
              <w:tr2bl w:val="nil"/>
            </w:tcBorders>
            <w:vAlign w:val="center"/>
          </w:tcPr>
          <w:p>
            <w:pPr>
              <w:spacing w:line="240" w:lineRule="auto"/>
              <w:ind w:firstLine="0" w:firstLineChars="0"/>
              <w:jc w:val="center"/>
              <w:rPr>
                <w:sz w:val="21"/>
                <w:szCs w:val="21"/>
              </w:rPr>
            </w:pPr>
            <w:r>
              <w:rPr>
                <w:sz w:val="21"/>
                <w:szCs w:val="21"/>
              </w:rPr>
              <w:t>临时堆场场区</w:t>
            </w:r>
          </w:p>
        </w:tc>
        <w:tc>
          <w:tcPr>
            <w:tcW w:w="665" w:type="pct"/>
            <w:tcBorders>
              <w:tl2br w:val="nil"/>
              <w:tr2bl w:val="nil"/>
            </w:tcBorders>
            <w:vAlign w:val="center"/>
          </w:tcPr>
          <w:p>
            <w:pPr>
              <w:pStyle w:val="53"/>
              <w:rPr>
                <w:rFonts w:eastAsia="仿宋_GB2312"/>
              </w:rPr>
            </w:pPr>
            <w:r>
              <w:rPr>
                <w:rFonts w:eastAsia="仿宋_GB2312"/>
              </w:rPr>
              <w:t>表土</w:t>
            </w:r>
          </w:p>
          <w:p>
            <w:pPr>
              <w:pStyle w:val="53"/>
              <w:rPr>
                <w:rFonts w:eastAsia="仿宋_GB2312"/>
              </w:rPr>
            </w:pPr>
            <w:r>
              <w:rPr>
                <w:rFonts w:eastAsia="仿宋_GB2312"/>
              </w:rPr>
              <w:t>中转场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0.02</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0.46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3" w:hRule="atLeast"/>
          <w:jc w:val="center"/>
        </w:trPr>
        <w:tc>
          <w:tcPr>
            <w:tcW w:w="369" w:type="pct"/>
            <w:vMerge w:val="continue"/>
            <w:tcBorders>
              <w:tl2br w:val="nil"/>
              <w:tr2bl w:val="nil"/>
            </w:tcBorders>
            <w:vAlign w:val="center"/>
          </w:tcPr>
          <w:p>
            <w:pPr>
              <w:spacing w:line="240" w:lineRule="auto"/>
              <w:ind w:firstLine="0" w:firstLineChars="0"/>
              <w:jc w:val="center"/>
              <w:rPr>
                <w:sz w:val="21"/>
                <w:szCs w:val="21"/>
              </w:rPr>
            </w:pPr>
          </w:p>
        </w:tc>
        <w:tc>
          <w:tcPr>
            <w:tcW w:w="665" w:type="pct"/>
            <w:tcBorders>
              <w:tl2br w:val="nil"/>
              <w:tr2bl w:val="nil"/>
            </w:tcBorders>
            <w:vAlign w:val="center"/>
          </w:tcPr>
          <w:p>
            <w:pPr>
              <w:pStyle w:val="53"/>
              <w:rPr>
                <w:rFonts w:eastAsia="仿宋_GB2312"/>
              </w:rPr>
            </w:pPr>
            <w:r>
              <w:rPr>
                <w:rFonts w:eastAsia="仿宋_GB2312"/>
              </w:rPr>
              <w:t>土石方</w:t>
            </w:r>
          </w:p>
          <w:p>
            <w:pPr>
              <w:pStyle w:val="53"/>
              <w:rPr>
                <w:rFonts w:eastAsia="仿宋_GB2312"/>
              </w:rPr>
            </w:pPr>
            <w:r>
              <w:rPr>
                <w:rFonts w:eastAsia="仿宋_GB2312"/>
              </w:rPr>
              <w:t>中转场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0.70</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0.04</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0.99</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261" w:hRule="atLeast"/>
          <w:jc w:val="center"/>
        </w:trPr>
        <w:tc>
          <w:tcPr>
            <w:tcW w:w="1034" w:type="pct"/>
            <w:gridSpan w:val="2"/>
            <w:tcBorders>
              <w:tl2br w:val="nil"/>
              <w:tr2bl w:val="nil"/>
            </w:tcBorders>
            <w:vAlign w:val="center"/>
          </w:tcPr>
          <w:p>
            <w:pPr>
              <w:pStyle w:val="53"/>
              <w:rPr>
                <w:rFonts w:eastAsia="仿宋_GB2312"/>
              </w:rPr>
            </w:pPr>
            <w:r>
              <w:rPr>
                <w:rFonts w:eastAsia="仿宋_GB2312"/>
              </w:rPr>
              <w:t>施工生产生活区</w:t>
            </w:r>
          </w:p>
        </w:tc>
        <w:tc>
          <w:tcPr>
            <w:tcW w:w="769" w:type="pct"/>
            <w:tcBorders>
              <w:tl2br w:val="nil"/>
              <w:tr2bl w:val="nil"/>
            </w:tcBorders>
            <w:vAlign w:val="center"/>
          </w:tcPr>
          <w:p>
            <w:pPr>
              <w:spacing w:line="240" w:lineRule="auto"/>
              <w:ind w:firstLine="0" w:firstLineChars="0"/>
              <w:jc w:val="center"/>
              <w:rPr>
                <w:sz w:val="21"/>
                <w:szCs w:val="21"/>
              </w:rPr>
            </w:pPr>
            <w:r>
              <w:rPr>
                <w:sz w:val="21"/>
                <w:szCs w:val="21"/>
              </w:rPr>
              <w:t>0.65</w:t>
            </w:r>
          </w:p>
        </w:tc>
        <w:tc>
          <w:tcPr>
            <w:tcW w:w="793" w:type="pct"/>
            <w:tcBorders>
              <w:tl2br w:val="nil"/>
              <w:tr2bl w:val="nil"/>
            </w:tcBorders>
            <w:vAlign w:val="center"/>
          </w:tcPr>
          <w:p>
            <w:pPr>
              <w:spacing w:line="240" w:lineRule="auto"/>
              <w:ind w:firstLine="0" w:firstLineChars="0"/>
              <w:jc w:val="center"/>
              <w:rPr>
                <w:sz w:val="21"/>
                <w:szCs w:val="21"/>
              </w:rPr>
            </w:pPr>
            <w:r>
              <w:rPr>
                <w:sz w:val="21"/>
                <w:szCs w:val="21"/>
              </w:rPr>
              <w:t>2.12</w:t>
            </w:r>
          </w:p>
        </w:tc>
        <w:tc>
          <w:tcPr>
            <w:tcW w:w="814" w:type="pct"/>
            <w:tcBorders>
              <w:tl2br w:val="nil"/>
              <w:tr2bl w:val="nil"/>
            </w:tcBorders>
            <w:vAlign w:val="center"/>
          </w:tcPr>
          <w:p>
            <w:pPr>
              <w:spacing w:line="240" w:lineRule="auto"/>
              <w:ind w:firstLine="0" w:firstLineChars="0"/>
              <w:jc w:val="center"/>
              <w:rPr>
                <w:sz w:val="21"/>
                <w:szCs w:val="21"/>
              </w:rPr>
            </w:pPr>
            <w:r>
              <w:rPr>
                <w:sz w:val="21"/>
                <w:szCs w:val="21"/>
              </w:rPr>
              <w:t>0.02</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5</w:t>
            </w:r>
          </w:p>
        </w:tc>
        <w:tc>
          <w:tcPr>
            <w:tcW w:w="794" w:type="pct"/>
            <w:tcBorders>
              <w:tl2br w:val="nil"/>
              <w:tr2bl w:val="nil"/>
            </w:tcBorders>
            <w:vAlign w:val="center"/>
          </w:tcPr>
          <w:p>
            <w:pPr>
              <w:spacing w:line="240" w:lineRule="auto"/>
              <w:ind w:firstLine="0" w:firstLineChars="0"/>
              <w:jc w:val="center"/>
              <w:rPr>
                <w:sz w:val="21"/>
                <w:szCs w:val="21"/>
              </w:rPr>
            </w:pPr>
            <w:r>
              <w:rPr>
                <w:sz w:val="21"/>
                <w:szCs w:val="21"/>
              </w:rPr>
              <w:t>0.46</w:t>
            </w:r>
          </w:p>
        </w:tc>
      </w:tr>
    </w:tbl>
    <w:p>
      <w:pPr>
        <w:adjustRightInd w:val="0"/>
        <w:snapToGrid w:val="0"/>
        <w:spacing w:beforeLines="50"/>
        <w:ind w:firstLine="480"/>
      </w:pPr>
      <w:r>
        <w:t>截排水沟排水能力按明渠均匀流公式计算：</w:t>
      </w:r>
    </w:p>
    <w:p>
      <w:pPr>
        <w:widowControl/>
        <w:adjustRightInd w:val="0"/>
        <w:snapToGrid w:val="0"/>
        <w:ind w:firstLine="480"/>
        <w:jc w:val="center"/>
        <w:rPr>
          <w:kern w:val="0"/>
        </w:rPr>
      </w:pPr>
      <w:r>
        <w:rPr>
          <w:kern w:val="0"/>
        </w:rPr>
        <w:drawing>
          <wp:inline distT="0" distB="0" distL="114300" distR="114300">
            <wp:extent cx="857250" cy="495300"/>
            <wp:effectExtent l="0" t="0" r="0" b="0"/>
            <wp:docPr id="81"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69"/>
                    <pic:cNvPicPr>
                      <a:picLocks noChangeAspect="1"/>
                    </pic:cNvPicPr>
                  </pic:nvPicPr>
                  <pic:blipFill>
                    <a:blip r:embed="rId166"/>
                    <a:stretch>
                      <a:fillRect/>
                    </a:stretch>
                  </pic:blipFill>
                  <pic:spPr>
                    <a:xfrm>
                      <a:off x="0" y="0"/>
                      <a:ext cx="857250" cy="495300"/>
                    </a:xfrm>
                    <a:prstGeom prst="rect">
                      <a:avLst/>
                    </a:prstGeom>
                    <a:noFill/>
                    <a:ln>
                      <a:noFill/>
                    </a:ln>
                  </pic:spPr>
                </pic:pic>
              </a:graphicData>
            </a:graphic>
          </wp:inline>
        </w:drawing>
      </w:r>
    </w:p>
    <w:p>
      <w:pPr>
        <w:widowControl/>
        <w:adjustRightInd w:val="0"/>
        <w:snapToGrid w:val="0"/>
        <w:ind w:firstLine="480"/>
        <w:rPr>
          <w:kern w:val="0"/>
        </w:rPr>
      </w:pPr>
      <w:r>
        <w:rPr>
          <w:kern w:val="0"/>
        </w:rPr>
        <w:t>式中：</w:t>
      </w:r>
      <w:r>
        <w:rPr>
          <w:kern w:val="0"/>
        </w:rPr>
        <w:drawing>
          <wp:inline distT="0" distB="0" distL="114300" distR="114300">
            <wp:extent cx="142875" cy="180975"/>
            <wp:effectExtent l="0" t="0" r="9525" b="8890"/>
            <wp:docPr id="133"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70"/>
                    <pic:cNvPicPr>
                      <a:picLocks noChangeAspect="1"/>
                    </pic:cNvPicPr>
                  </pic:nvPicPr>
                  <pic:blipFill>
                    <a:blip r:embed="rId167"/>
                    <a:stretch>
                      <a:fillRect/>
                    </a:stretch>
                  </pic:blipFill>
                  <pic:spPr>
                    <a:xfrm>
                      <a:off x="0" y="0"/>
                      <a:ext cx="142875" cy="180975"/>
                    </a:xfrm>
                    <a:prstGeom prst="rect">
                      <a:avLst/>
                    </a:prstGeom>
                    <a:noFill/>
                    <a:ln>
                      <a:noFill/>
                    </a:ln>
                  </pic:spPr>
                </pic:pic>
              </a:graphicData>
            </a:graphic>
          </wp:inline>
        </w:drawing>
      </w:r>
      <w:r>
        <w:rPr>
          <w:kern w:val="0"/>
        </w:rPr>
        <w:t>—截、排水沟过流面积，m</w:t>
      </w:r>
      <w:r>
        <w:rPr>
          <w:kern w:val="0"/>
          <w:vertAlign w:val="superscript"/>
        </w:rPr>
        <w:t>2</w:t>
      </w:r>
      <w:r>
        <w:rPr>
          <w:kern w:val="0"/>
        </w:rPr>
        <w:t>；</w:t>
      </w:r>
    </w:p>
    <w:p>
      <w:pPr>
        <w:widowControl/>
        <w:adjustRightInd w:val="0"/>
        <w:snapToGrid w:val="0"/>
        <w:ind w:firstLine="1200" w:firstLineChars="500"/>
        <w:rPr>
          <w:kern w:val="0"/>
        </w:rPr>
      </w:pPr>
      <w:r>
        <w:rPr>
          <w:kern w:val="0"/>
        </w:rPr>
        <w:drawing>
          <wp:inline distT="0" distB="0" distL="114300" distR="114300">
            <wp:extent cx="142875" cy="180975"/>
            <wp:effectExtent l="0" t="0" r="8255" b="8890"/>
            <wp:docPr id="13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71"/>
                    <pic:cNvPicPr>
                      <a:picLocks noChangeAspect="1"/>
                    </pic:cNvPicPr>
                  </pic:nvPicPr>
                  <pic:blipFill>
                    <a:blip r:embed="rId168"/>
                    <a:stretch>
                      <a:fillRect/>
                    </a:stretch>
                  </pic:blipFill>
                  <pic:spPr>
                    <a:xfrm>
                      <a:off x="0" y="0"/>
                      <a:ext cx="142875" cy="180975"/>
                    </a:xfrm>
                    <a:prstGeom prst="rect">
                      <a:avLst/>
                    </a:prstGeom>
                    <a:noFill/>
                    <a:ln>
                      <a:noFill/>
                    </a:ln>
                  </pic:spPr>
                </pic:pic>
              </a:graphicData>
            </a:graphic>
          </wp:inline>
        </w:drawing>
      </w:r>
      <w:r>
        <w:rPr>
          <w:kern w:val="0"/>
        </w:rPr>
        <w:t>—谢才系数；</w:t>
      </w:r>
    </w:p>
    <w:p>
      <w:pPr>
        <w:widowControl/>
        <w:adjustRightInd w:val="0"/>
        <w:snapToGrid w:val="0"/>
        <w:ind w:firstLine="1200" w:firstLineChars="500"/>
        <w:rPr>
          <w:kern w:val="0"/>
        </w:rPr>
      </w:pPr>
      <w:r>
        <w:rPr>
          <w:kern w:val="0"/>
        </w:rPr>
        <w:drawing>
          <wp:inline distT="0" distB="0" distL="114300" distR="114300">
            <wp:extent cx="142875" cy="142875"/>
            <wp:effectExtent l="0" t="0" r="0" b="6985"/>
            <wp:docPr id="135"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72"/>
                    <pic:cNvPicPr>
                      <a:picLocks noChangeAspect="1"/>
                    </pic:cNvPicPr>
                  </pic:nvPicPr>
                  <pic:blipFill>
                    <a:blip r:embed="rId169"/>
                    <a:stretch>
                      <a:fillRect/>
                    </a:stretch>
                  </pic:blipFill>
                  <pic:spPr>
                    <a:xfrm>
                      <a:off x="0" y="0"/>
                      <a:ext cx="142875" cy="142875"/>
                    </a:xfrm>
                    <a:prstGeom prst="rect">
                      <a:avLst/>
                    </a:prstGeom>
                    <a:noFill/>
                    <a:ln>
                      <a:noFill/>
                    </a:ln>
                  </pic:spPr>
                </pic:pic>
              </a:graphicData>
            </a:graphic>
          </wp:inline>
        </w:drawing>
      </w:r>
      <w:r>
        <w:rPr>
          <w:kern w:val="0"/>
        </w:rPr>
        <w:t>—水力半径，</w:t>
      </w:r>
      <w:r>
        <w:rPr>
          <w:i/>
          <w:kern w:val="0"/>
        </w:rPr>
        <w:t>R=A/X</w:t>
      </w:r>
      <w:r>
        <w:rPr>
          <w:kern w:val="0"/>
        </w:rPr>
        <w:t>，m；</w:t>
      </w:r>
    </w:p>
    <w:p>
      <w:pPr>
        <w:widowControl/>
        <w:adjustRightInd w:val="0"/>
        <w:snapToGrid w:val="0"/>
        <w:ind w:firstLine="1200" w:firstLineChars="500"/>
        <w:rPr>
          <w:kern w:val="0"/>
        </w:rPr>
      </w:pPr>
      <w:r>
        <w:rPr>
          <w:kern w:val="0"/>
        </w:rPr>
        <w:drawing>
          <wp:inline distT="0" distB="0" distL="114300" distR="114300">
            <wp:extent cx="66675" cy="142875"/>
            <wp:effectExtent l="0" t="0" r="9525" b="5715"/>
            <wp:docPr id="136"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73"/>
                    <pic:cNvPicPr>
                      <a:picLocks noChangeAspect="1"/>
                    </pic:cNvPicPr>
                  </pic:nvPicPr>
                  <pic:blipFill>
                    <a:blip r:embed="rId170"/>
                    <a:stretch>
                      <a:fillRect/>
                    </a:stretch>
                  </pic:blipFill>
                  <pic:spPr>
                    <a:xfrm>
                      <a:off x="0" y="0"/>
                      <a:ext cx="66675" cy="142875"/>
                    </a:xfrm>
                    <a:prstGeom prst="rect">
                      <a:avLst/>
                    </a:prstGeom>
                    <a:noFill/>
                    <a:ln>
                      <a:noFill/>
                    </a:ln>
                  </pic:spPr>
                </pic:pic>
              </a:graphicData>
            </a:graphic>
          </wp:inline>
        </w:drawing>
      </w:r>
      <w:r>
        <w:rPr>
          <w:kern w:val="0"/>
        </w:rPr>
        <w:t>—排水沟比降</w:t>
      </w:r>
    </w:p>
    <w:p>
      <w:pPr>
        <w:widowControl/>
        <w:adjustRightInd w:val="0"/>
        <w:snapToGrid w:val="0"/>
        <w:ind w:firstLine="1200" w:firstLineChars="500"/>
        <w:rPr>
          <w:kern w:val="0"/>
        </w:rPr>
      </w:pPr>
      <w:r>
        <w:rPr>
          <w:i/>
          <w:kern w:val="0"/>
        </w:rPr>
        <w:t>X</w:t>
      </w:r>
      <w:r>
        <w:rPr>
          <w:kern w:val="0"/>
        </w:rPr>
        <w:t>—水沟湿周，m；</w:t>
      </w:r>
    </w:p>
    <w:p>
      <w:pPr>
        <w:widowControl/>
        <w:adjustRightInd w:val="0"/>
        <w:snapToGrid w:val="0"/>
        <w:ind w:firstLine="480"/>
        <w:jc w:val="center"/>
        <w:rPr>
          <w:kern w:val="0"/>
        </w:rPr>
      </w:pPr>
      <w:r>
        <w:rPr>
          <w:kern w:val="0"/>
        </w:rPr>
        <w:drawing>
          <wp:inline distT="0" distB="0" distL="114300" distR="114300">
            <wp:extent cx="2219325" cy="524510"/>
            <wp:effectExtent l="0" t="0" r="9525" b="8255"/>
            <wp:docPr id="137"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74"/>
                    <pic:cNvPicPr>
                      <a:picLocks noChangeAspect="1"/>
                    </pic:cNvPicPr>
                  </pic:nvPicPr>
                  <pic:blipFill>
                    <a:blip r:embed="rId171"/>
                    <a:stretch>
                      <a:fillRect/>
                    </a:stretch>
                  </pic:blipFill>
                  <pic:spPr>
                    <a:xfrm>
                      <a:off x="0" y="0"/>
                      <a:ext cx="2219325" cy="524510"/>
                    </a:xfrm>
                    <a:prstGeom prst="rect">
                      <a:avLst/>
                    </a:prstGeom>
                    <a:noFill/>
                    <a:ln>
                      <a:noFill/>
                    </a:ln>
                  </pic:spPr>
                </pic:pic>
              </a:graphicData>
            </a:graphic>
          </wp:inline>
        </w:drawing>
      </w:r>
    </w:p>
    <w:p>
      <w:pPr>
        <w:widowControl/>
        <w:adjustRightInd w:val="0"/>
        <w:snapToGrid w:val="0"/>
        <w:ind w:firstLine="1200" w:firstLineChars="500"/>
        <w:rPr>
          <w:kern w:val="0"/>
        </w:rPr>
      </w:pPr>
      <w:r>
        <w:rPr>
          <w:kern w:val="0"/>
        </w:rPr>
        <w:drawing>
          <wp:inline distT="0" distB="0" distL="114300" distR="114300">
            <wp:extent cx="142875" cy="142875"/>
            <wp:effectExtent l="0" t="0" r="0" b="8255"/>
            <wp:docPr id="138"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75"/>
                    <pic:cNvPicPr>
                      <a:picLocks noChangeAspect="1"/>
                    </pic:cNvPicPr>
                  </pic:nvPicPr>
                  <pic:blipFill>
                    <a:blip r:embed="rId172"/>
                    <a:stretch>
                      <a:fillRect/>
                    </a:stretch>
                  </pic:blipFill>
                  <pic:spPr>
                    <a:xfrm>
                      <a:off x="0" y="0"/>
                      <a:ext cx="142875" cy="142875"/>
                    </a:xfrm>
                    <a:prstGeom prst="rect">
                      <a:avLst/>
                    </a:prstGeom>
                    <a:noFill/>
                    <a:ln>
                      <a:noFill/>
                    </a:ln>
                  </pic:spPr>
                </pic:pic>
              </a:graphicData>
            </a:graphic>
          </wp:inline>
        </w:drawing>
      </w:r>
      <w:r>
        <w:rPr>
          <w:kern w:val="0"/>
        </w:rPr>
        <w:t>—排水沟面糙率，</w:t>
      </w:r>
      <w:r>
        <w:rPr>
          <w:szCs w:val="24"/>
        </w:rPr>
        <w:t>根据水土保持工程设计规范（GB51018-2014），抹面排水沟</w:t>
      </w:r>
      <w:r>
        <w:rPr>
          <w:kern w:val="0"/>
        </w:rPr>
        <w:t>此处取0.015；</w:t>
      </w:r>
    </w:p>
    <w:p>
      <w:pPr>
        <w:widowControl/>
        <w:adjustRightInd w:val="0"/>
        <w:snapToGrid w:val="0"/>
        <w:ind w:firstLine="1200" w:firstLineChars="500"/>
        <w:rPr>
          <w:kern w:val="0"/>
        </w:rPr>
      </w:pPr>
      <w:r>
        <w:rPr>
          <w:kern w:val="0"/>
        </w:rPr>
        <w:drawing>
          <wp:inline distT="0" distB="0" distL="114300" distR="114300">
            <wp:extent cx="66675" cy="142875"/>
            <wp:effectExtent l="0" t="0" r="9525" b="5715"/>
            <wp:docPr id="139"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76"/>
                    <pic:cNvPicPr>
                      <a:picLocks noChangeAspect="1"/>
                    </pic:cNvPicPr>
                  </pic:nvPicPr>
                  <pic:blipFill>
                    <a:blip r:embed="rId170"/>
                    <a:stretch>
                      <a:fillRect/>
                    </a:stretch>
                  </pic:blipFill>
                  <pic:spPr>
                    <a:xfrm>
                      <a:off x="0" y="0"/>
                      <a:ext cx="66675" cy="142875"/>
                    </a:xfrm>
                    <a:prstGeom prst="rect">
                      <a:avLst/>
                    </a:prstGeom>
                    <a:noFill/>
                    <a:ln>
                      <a:noFill/>
                    </a:ln>
                  </pic:spPr>
                </pic:pic>
              </a:graphicData>
            </a:graphic>
          </wp:inline>
        </w:drawing>
      </w:r>
      <w:r>
        <w:rPr>
          <w:kern w:val="0"/>
        </w:rPr>
        <w:t>—为排水沟比降，</w:t>
      </w:r>
      <w:r>
        <w:t>i=1%-5%，土石方中转场取0.05，其他区域取0.03</w:t>
      </w:r>
      <w:r>
        <w:rPr>
          <w:kern w:val="0"/>
        </w:rPr>
        <w:t>。</w:t>
      </w:r>
    </w:p>
    <w:p>
      <w:pPr>
        <w:ind w:firstLine="480"/>
      </w:pPr>
      <w:r>
        <w:t>截排水沟断面尺寸根据明渠均匀流公式进行试算验证。坡面截排水工程安全超高取0.2m。各分区截排水沟设计参数具体详见下表。</w:t>
      </w:r>
    </w:p>
    <w:p>
      <w:pPr>
        <w:ind w:firstLine="0" w:firstLineChars="0"/>
        <w:jc w:val="center"/>
        <w:rPr>
          <w:b/>
          <w:bCs/>
        </w:rPr>
      </w:pPr>
      <w:r>
        <w:rPr>
          <w:b/>
          <w:bCs/>
        </w:rPr>
        <w:t>表5.3-11各分区截排水沟过流能力计算表</w:t>
      </w:r>
    </w:p>
    <w:tbl>
      <w:tblPr>
        <w:tblStyle w:val="110"/>
        <w:tblW w:w="514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601"/>
        <w:gridCol w:w="1413"/>
        <w:gridCol w:w="813"/>
        <w:gridCol w:w="813"/>
        <w:gridCol w:w="888"/>
        <w:gridCol w:w="888"/>
        <w:gridCol w:w="888"/>
        <w:gridCol w:w="1052"/>
        <w:gridCol w:w="1022"/>
        <w:gridCol w:w="118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080" w:type="pct"/>
            <w:gridSpan w:val="2"/>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排水设施</w:t>
            </w:r>
          </w:p>
        </w:tc>
        <w:tc>
          <w:tcPr>
            <w:tcW w:w="392"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沟底宽</w:t>
            </w:r>
          </w:p>
          <w:p>
            <w:pPr>
              <w:adjustRightInd w:val="0"/>
              <w:snapToGrid w:val="0"/>
              <w:spacing w:line="240" w:lineRule="auto"/>
              <w:ind w:firstLine="0" w:firstLineChars="0"/>
              <w:jc w:val="center"/>
              <w:textAlignment w:val="center"/>
              <w:rPr>
                <w:b/>
                <w:bCs/>
                <w:kern w:val="0"/>
                <w:sz w:val="21"/>
                <w:szCs w:val="21"/>
              </w:rPr>
            </w:pPr>
            <w:r>
              <w:rPr>
                <w:b/>
                <w:bCs/>
                <w:kern w:val="0"/>
                <w:sz w:val="21"/>
                <w:szCs w:val="21"/>
              </w:rPr>
              <w:t>（m）</w:t>
            </w:r>
          </w:p>
        </w:tc>
        <w:tc>
          <w:tcPr>
            <w:tcW w:w="392"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断面深</w:t>
            </w:r>
          </w:p>
          <w:p>
            <w:pPr>
              <w:adjustRightInd w:val="0"/>
              <w:snapToGrid w:val="0"/>
              <w:spacing w:line="240" w:lineRule="auto"/>
              <w:ind w:firstLine="0" w:firstLineChars="0"/>
              <w:jc w:val="center"/>
              <w:textAlignment w:val="center"/>
              <w:rPr>
                <w:b/>
                <w:bCs/>
                <w:kern w:val="0"/>
                <w:sz w:val="21"/>
                <w:szCs w:val="21"/>
              </w:rPr>
            </w:pPr>
            <w:r>
              <w:rPr>
                <w:b/>
                <w:bCs/>
                <w:kern w:val="0"/>
                <w:sz w:val="21"/>
                <w:szCs w:val="21"/>
              </w:rPr>
              <w:t>（m）</w:t>
            </w:r>
          </w:p>
        </w:tc>
        <w:tc>
          <w:tcPr>
            <w:tcW w:w="478"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安全超高（m）</w:t>
            </w:r>
          </w:p>
        </w:tc>
        <w:tc>
          <w:tcPr>
            <w:tcW w:w="478"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糙率</w:t>
            </w:r>
          </w:p>
          <w:p>
            <w:pPr>
              <w:adjustRightInd w:val="0"/>
              <w:snapToGrid w:val="0"/>
              <w:spacing w:line="240" w:lineRule="auto"/>
              <w:ind w:firstLine="0" w:firstLineChars="0"/>
              <w:jc w:val="center"/>
              <w:textAlignment w:val="center"/>
              <w:rPr>
                <w:b/>
                <w:bCs/>
                <w:kern w:val="0"/>
                <w:sz w:val="21"/>
                <w:szCs w:val="21"/>
              </w:rPr>
            </w:pPr>
            <w:r>
              <w:rPr>
                <w:b/>
                <w:bCs/>
                <w:kern w:val="0"/>
                <w:sz w:val="21"/>
                <w:szCs w:val="21"/>
              </w:rPr>
              <w:t>（n）</w:t>
            </w:r>
          </w:p>
        </w:tc>
        <w:tc>
          <w:tcPr>
            <w:tcW w:w="478"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沟纵坡比降（i）</w:t>
            </w:r>
          </w:p>
        </w:tc>
        <w:tc>
          <w:tcPr>
            <w:tcW w:w="563"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过水断面（m</w:t>
            </w:r>
            <w:r>
              <w:rPr>
                <w:b/>
                <w:bCs/>
                <w:kern w:val="0"/>
                <w:sz w:val="21"/>
                <w:szCs w:val="21"/>
                <w:vertAlign w:val="superscript"/>
              </w:rPr>
              <w:t>2</w:t>
            </w:r>
            <w:r>
              <w:rPr>
                <w:b/>
                <w:bCs/>
                <w:kern w:val="0"/>
                <w:sz w:val="21"/>
                <w:szCs w:val="21"/>
              </w:rPr>
              <w:t>）</w:t>
            </w:r>
          </w:p>
        </w:tc>
        <w:tc>
          <w:tcPr>
            <w:tcW w:w="502" w:type="pct"/>
            <w:vAlign w:val="center"/>
          </w:tcPr>
          <w:p>
            <w:pPr>
              <w:adjustRightInd w:val="0"/>
              <w:snapToGrid w:val="0"/>
              <w:spacing w:line="240" w:lineRule="auto"/>
              <w:ind w:firstLine="0" w:firstLineChars="0"/>
              <w:jc w:val="center"/>
              <w:textAlignment w:val="center"/>
              <w:rPr>
                <w:b/>
                <w:bCs/>
                <w:kern w:val="0"/>
                <w:sz w:val="21"/>
                <w:szCs w:val="21"/>
              </w:rPr>
            </w:pPr>
            <w:r>
              <w:rPr>
                <w:b/>
                <w:bCs/>
                <w:kern w:val="0"/>
                <w:sz w:val="21"/>
                <w:szCs w:val="21"/>
              </w:rPr>
              <w:t>设计过流量（m</w:t>
            </w:r>
            <w:r>
              <w:rPr>
                <w:b/>
                <w:bCs/>
                <w:kern w:val="0"/>
                <w:sz w:val="21"/>
                <w:szCs w:val="21"/>
                <w:vertAlign w:val="superscript"/>
              </w:rPr>
              <w:t>3</w:t>
            </w:r>
            <w:r>
              <w:rPr>
                <w:b/>
                <w:bCs/>
                <w:kern w:val="0"/>
                <w:sz w:val="21"/>
                <w:szCs w:val="21"/>
              </w:rPr>
              <w:t>/s）</w:t>
            </w:r>
          </w:p>
        </w:tc>
        <w:tc>
          <w:tcPr>
            <w:tcW w:w="633" w:type="pct"/>
            <w:vAlign w:val="center"/>
          </w:tcPr>
          <w:p>
            <w:pPr>
              <w:adjustRightInd w:val="0"/>
              <w:snapToGrid w:val="0"/>
              <w:spacing w:line="240" w:lineRule="auto"/>
              <w:ind w:firstLine="0" w:firstLineChars="0"/>
              <w:jc w:val="center"/>
              <w:textAlignment w:val="center"/>
              <w:rPr>
                <w:b/>
                <w:bCs/>
                <w:kern w:val="0"/>
                <w:sz w:val="21"/>
                <w:szCs w:val="21"/>
              </w:rPr>
            </w:pPr>
            <w:r>
              <w:rPr>
                <w:b/>
                <w:bCs/>
                <w:sz w:val="21"/>
                <w:szCs w:val="21"/>
              </w:rPr>
              <w:t>雨水洪峰流量Qm（m</w:t>
            </w:r>
            <w:r>
              <w:rPr>
                <w:b/>
                <w:bCs/>
                <w:sz w:val="21"/>
                <w:szCs w:val="21"/>
                <w:vertAlign w:val="superscript"/>
              </w:rPr>
              <w:t>3</w:t>
            </w:r>
            <w:r>
              <w:rPr>
                <w:b/>
                <w:bCs/>
                <w:sz w:val="21"/>
                <w:szCs w:val="21"/>
              </w:rPr>
              <w:t>/s）</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 w:hRule="atLeast"/>
        </w:trPr>
        <w:tc>
          <w:tcPr>
            <w:tcW w:w="328" w:type="pct"/>
            <w:vMerge w:val="restart"/>
            <w:vAlign w:val="center"/>
          </w:tcPr>
          <w:p>
            <w:pPr>
              <w:spacing w:line="240" w:lineRule="auto"/>
              <w:ind w:firstLine="0" w:firstLineChars="0"/>
              <w:jc w:val="center"/>
              <w:rPr>
                <w:kern w:val="0"/>
                <w:sz w:val="21"/>
                <w:szCs w:val="21"/>
              </w:rPr>
            </w:pPr>
            <w:r>
              <w:rPr>
                <w:sz w:val="21"/>
                <w:szCs w:val="21"/>
              </w:rPr>
              <w:t>近期建设区</w:t>
            </w:r>
          </w:p>
        </w:tc>
        <w:tc>
          <w:tcPr>
            <w:tcW w:w="751" w:type="pct"/>
            <w:vAlign w:val="center"/>
          </w:tcPr>
          <w:p>
            <w:pPr>
              <w:pStyle w:val="53"/>
              <w:jc w:val="center"/>
              <w:rPr>
                <w:rFonts w:eastAsia="仿宋_GB2312"/>
                <w:kern w:val="0"/>
              </w:rPr>
            </w:pPr>
            <w:r>
              <w:rPr>
                <w:rFonts w:eastAsia="仿宋_GB2312"/>
              </w:rPr>
              <w:t>工业用地区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 w:hRule="atLeast"/>
        </w:trPr>
        <w:tc>
          <w:tcPr>
            <w:tcW w:w="328" w:type="pct"/>
            <w:vMerge w:val="continue"/>
            <w:vAlign w:val="center"/>
          </w:tcPr>
          <w:p>
            <w:pPr>
              <w:adjustRightInd w:val="0"/>
              <w:snapToGrid w:val="0"/>
              <w:spacing w:line="240" w:lineRule="auto"/>
              <w:ind w:firstLine="0" w:firstLineChars="0"/>
              <w:jc w:val="center"/>
              <w:textAlignment w:val="center"/>
              <w:rPr>
                <w:kern w:val="0"/>
                <w:sz w:val="21"/>
                <w:szCs w:val="21"/>
              </w:rPr>
            </w:pPr>
          </w:p>
        </w:tc>
        <w:tc>
          <w:tcPr>
            <w:tcW w:w="751" w:type="pct"/>
            <w:vAlign w:val="center"/>
          </w:tcPr>
          <w:p>
            <w:pPr>
              <w:pStyle w:val="53"/>
              <w:jc w:val="center"/>
              <w:rPr>
                <w:rFonts w:eastAsia="仿宋_GB2312"/>
                <w:kern w:val="0"/>
              </w:rPr>
            </w:pPr>
            <w:r>
              <w:rPr>
                <w:rFonts w:eastAsia="仿宋_GB2312"/>
              </w:rPr>
              <w:t>道路与交通设施用地区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0.69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 w:hRule="atLeast"/>
        </w:trPr>
        <w:tc>
          <w:tcPr>
            <w:tcW w:w="328" w:type="pct"/>
            <w:vMerge w:val="continue"/>
            <w:vAlign w:val="center"/>
          </w:tcPr>
          <w:p>
            <w:pPr>
              <w:adjustRightInd w:val="0"/>
              <w:snapToGrid w:val="0"/>
              <w:spacing w:line="240" w:lineRule="auto"/>
              <w:ind w:firstLine="0" w:firstLineChars="0"/>
              <w:jc w:val="center"/>
              <w:textAlignment w:val="center"/>
              <w:rPr>
                <w:kern w:val="0"/>
                <w:sz w:val="21"/>
                <w:szCs w:val="21"/>
              </w:rPr>
            </w:pPr>
          </w:p>
        </w:tc>
        <w:tc>
          <w:tcPr>
            <w:tcW w:w="751" w:type="pct"/>
            <w:vAlign w:val="center"/>
          </w:tcPr>
          <w:p>
            <w:pPr>
              <w:tabs>
                <w:tab w:val="left" w:pos="1050"/>
              </w:tabs>
              <w:spacing w:line="240" w:lineRule="auto"/>
              <w:ind w:firstLine="0" w:firstLineChars="0"/>
              <w:jc w:val="center"/>
              <w:rPr>
                <w:sz w:val="21"/>
                <w:szCs w:val="21"/>
              </w:rPr>
            </w:pPr>
            <w:r>
              <w:rPr>
                <w:sz w:val="21"/>
                <w:szCs w:val="21"/>
              </w:rPr>
              <w:t>公用设施</w:t>
            </w:r>
          </w:p>
          <w:p>
            <w:pPr>
              <w:tabs>
                <w:tab w:val="left" w:pos="1050"/>
              </w:tabs>
              <w:spacing w:line="240" w:lineRule="auto"/>
              <w:ind w:firstLine="0" w:firstLineChars="0"/>
              <w:jc w:val="center"/>
              <w:rPr>
                <w:kern w:val="0"/>
                <w:sz w:val="21"/>
                <w:szCs w:val="21"/>
              </w:rPr>
            </w:pPr>
            <w:r>
              <w:rPr>
                <w:sz w:val="21"/>
                <w:szCs w:val="21"/>
              </w:rPr>
              <w:t>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 w:hRule="atLeast"/>
        </w:trPr>
        <w:tc>
          <w:tcPr>
            <w:tcW w:w="328" w:type="pct"/>
            <w:vMerge w:val="continue"/>
            <w:vAlign w:val="center"/>
          </w:tcPr>
          <w:p>
            <w:pPr>
              <w:adjustRightInd w:val="0"/>
              <w:snapToGrid w:val="0"/>
              <w:spacing w:line="240" w:lineRule="auto"/>
              <w:ind w:firstLine="0" w:firstLineChars="0"/>
              <w:jc w:val="center"/>
              <w:textAlignment w:val="center"/>
              <w:rPr>
                <w:kern w:val="0"/>
                <w:sz w:val="21"/>
                <w:szCs w:val="21"/>
              </w:rPr>
            </w:pPr>
          </w:p>
        </w:tc>
        <w:tc>
          <w:tcPr>
            <w:tcW w:w="751" w:type="pct"/>
            <w:vAlign w:val="center"/>
          </w:tcPr>
          <w:p>
            <w:pPr>
              <w:tabs>
                <w:tab w:val="left" w:pos="1050"/>
              </w:tabs>
              <w:spacing w:line="240" w:lineRule="auto"/>
              <w:ind w:firstLine="0" w:firstLineChars="0"/>
              <w:jc w:val="center"/>
              <w:rPr>
                <w:sz w:val="21"/>
                <w:szCs w:val="21"/>
              </w:rPr>
            </w:pPr>
            <w:r>
              <w:rPr>
                <w:sz w:val="21"/>
                <w:szCs w:val="21"/>
              </w:rPr>
              <w:t>绿地与广场</w:t>
            </w:r>
          </w:p>
          <w:p>
            <w:pPr>
              <w:tabs>
                <w:tab w:val="left" w:pos="1050"/>
              </w:tabs>
              <w:spacing w:line="240" w:lineRule="auto"/>
              <w:ind w:firstLine="0" w:firstLineChars="0"/>
              <w:jc w:val="center"/>
              <w:rPr>
                <w:kern w:val="0"/>
                <w:sz w:val="21"/>
                <w:szCs w:val="21"/>
              </w:rPr>
            </w:pPr>
            <w:r>
              <w:rPr>
                <w:sz w:val="21"/>
                <w:szCs w:val="21"/>
              </w:rPr>
              <w:t>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0.57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 w:hRule="atLeast"/>
        </w:trPr>
        <w:tc>
          <w:tcPr>
            <w:tcW w:w="328" w:type="pct"/>
            <w:vMerge w:val="restart"/>
            <w:vAlign w:val="center"/>
          </w:tcPr>
          <w:p>
            <w:pPr>
              <w:spacing w:line="240" w:lineRule="auto"/>
              <w:ind w:firstLine="0" w:firstLineChars="0"/>
              <w:jc w:val="center"/>
              <w:rPr>
                <w:kern w:val="0"/>
                <w:sz w:val="21"/>
                <w:szCs w:val="21"/>
              </w:rPr>
            </w:pPr>
            <w:r>
              <w:rPr>
                <w:sz w:val="21"/>
                <w:szCs w:val="21"/>
              </w:rPr>
              <w:t>远期建设区</w:t>
            </w:r>
          </w:p>
        </w:tc>
        <w:tc>
          <w:tcPr>
            <w:tcW w:w="751" w:type="pct"/>
            <w:vAlign w:val="center"/>
          </w:tcPr>
          <w:p>
            <w:pPr>
              <w:pStyle w:val="53"/>
              <w:jc w:val="center"/>
              <w:rPr>
                <w:rFonts w:eastAsia="仿宋_GB2312"/>
                <w:kern w:val="0"/>
              </w:rPr>
            </w:pPr>
            <w:r>
              <w:rPr>
                <w:rFonts w:eastAsia="仿宋_GB2312"/>
              </w:rPr>
              <w:t>工业用地区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 w:hRule="atLeast"/>
        </w:trPr>
        <w:tc>
          <w:tcPr>
            <w:tcW w:w="328" w:type="pct"/>
            <w:vMerge w:val="continue"/>
            <w:vAlign w:val="center"/>
          </w:tcPr>
          <w:p>
            <w:pPr>
              <w:adjustRightInd w:val="0"/>
              <w:snapToGrid w:val="0"/>
              <w:spacing w:line="240" w:lineRule="auto"/>
              <w:ind w:firstLine="0" w:firstLineChars="0"/>
              <w:jc w:val="center"/>
              <w:textAlignment w:val="center"/>
              <w:rPr>
                <w:kern w:val="0"/>
                <w:sz w:val="21"/>
                <w:szCs w:val="21"/>
              </w:rPr>
            </w:pPr>
          </w:p>
        </w:tc>
        <w:tc>
          <w:tcPr>
            <w:tcW w:w="751" w:type="pct"/>
            <w:vAlign w:val="center"/>
          </w:tcPr>
          <w:p>
            <w:pPr>
              <w:pStyle w:val="53"/>
              <w:jc w:val="center"/>
              <w:rPr>
                <w:rFonts w:eastAsia="仿宋_GB2312"/>
                <w:kern w:val="0"/>
              </w:rPr>
            </w:pPr>
            <w:r>
              <w:rPr>
                <w:rFonts w:eastAsia="仿宋_GB2312"/>
              </w:rPr>
              <w:t>道路与交通设施用地区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0.69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8" w:hRule="atLeast"/>
        </w:trPr>
        <w:tc>
          <w:tcPr>
            <w:tcW w:w="328" w:type="pct"/>
            <w:vMerge w:val="continue"/>
            <w:vAlign w:val="center"/>
          </w:tcPr>
          <w:p>
            <w:pPr>
              <w:adjustRightInd w:val="0"/>
              <w:snapToGrid w:val="0"/>
              <w:spacing w:line="240" w:lineRule="auto"/>
              <w:ind w:firstLine="0" w:firstLineChars="0"/>
              <w:jc w:val="center"/>
              <w:textAlignment w:val="center"/>
              <w:rPr>
                <w:kern w:val="0"/>
                <w:sz w:val="21"/>
                <w:szCs w:val="21"/>
              </w:rPr>
            </w:pPr>
          </w:p>
        </w:tc>
        <w:tc>
          <w:tcPr>
            <w:tcW w:w="751" w:type="pct"/>
            <w:vAlign w:val="center"/>
          </w:tcPr>
          <w:p>
            <w:pPr>
              <w:tabs>
                <w:tab w:val="left" w:pos="1050"/>
              </w:tabs>
              <w:spacing w:line="240" w:lineRule="auto"/>
              <w:ind w:firstLine="0" w:firstLineChars="0"/>
              <w:jc w:val="center"/>
              <w:rPr>
                <w:sz w:val="21"/>
                <w:szCs w:val="21"/>
              </w:rPr>
            </w:pPr>
            <w:r>
              <w:rPr>
                <w:sz w:val="21"/>
                <w:szCs w:val="21"/>
              </w:rPr>
              <w:t>公用设施</w:t>
            </w:r>
          </w:p>
          <w:p>
            <w:pPr>
              <w:tabs>
                <w:tab w:val="left" w:pos="1050"/>
              </w:tabs>
              <w:spacing w:line="240" w:lineRule="auto"/>
              <w:ind w:firstLine="0" w:firstLineChars="0"/>
              <w:jc w:val="center"/>
              <w:rPr>
                <w:kern w:val="0"/>
                <w:sz w:val="21"/>
                <w:szCs w:val="21"/>
              </w:rPr>
            </w:pPr>
            <w:r>
              <w:rPr>
                <w:sz w:val="21"/>
                <w:szCs w:val="21"/>
              </w:rPr>
              <w:t>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46" w:hRule="atLeast"/>
        </w:trPr>
        <w:tc>
          <w:tcPr>
            <w:tcW w:w="328" w:type="pct"/>
            <w:vMerge w:val="continue"/>
            <w:vAlign w:val="center"/>
          </w:tcPr>
          <w:p>
            <w:pPr>
              <w:adjustRightInd w:val="0"/>
              <w:snapToGrid w:val="0"/>
              <w:spacing w:line="240" w:lineRule="auto"/>
              <w:ind w:firstLine="0" w:firstLineChars="0"/>
              <w:jc w:val="center"/>
              <w:textAlignment w:val="center"/>
              <w:rPr>
                <w:kern w:val="0"/>
                <w:sz w:val="21"/>
                <w:szCs w:val="21"/>
              </w:rPr>
            </w:pPr>
          </w:p>
        </w:tc>
        <w:tc>
          <w:tcPr>
            <w:tcW w:w="751" w:type="pct"/>
            <w:vAlign w:val="center"/>
          </w:tcPr>
          <w:p>
            <w:pPr>
              <w:tabs>
                <w:tab w:val="left" w:pos="1050"/>
              </w:tabs>
              <w:spacing w:line="240" w:lineRule="auto"/>
              <w:ind w:firstLine="0" w:firstLineChars="0"/>
              <w:jc w:val="center"/>
              <w:rPr>
                <w:sz w:val="21"/>
                <w:szCs w:val="21"/>
              </w:rPr>
            </w:pPr>
            <w:r>
              <w:rPr>
                <w:sz w:val="21"/>
                <w:szCs w:val="21"/>
              </w:rPr>
              <w:t>绿地与广场</w:t>
            </w:r>
          </w:p>
          <w:p>
            <w:pPr>
              <w:tabs>
                <w:tab w:val="left" w:pos="1050"/>
              </w:tabs>
              <w:spacing w:line="240" w:lineRule="auto"/>
              <w:ind w:firstLine="0" w:firstLineChars="0"/>
              <w:jc w:val="center"/>
              <w:rPr>
                <w:sz w:val="21"/>
                <w:szCs w:val="21"/>
              </w:rPr>
            </w:pPr>
            <w:r>
              <w:rPr>
                <w:sz w:val="21"/>
                <w:szCs w:val="21"/>
              </w:rPr>
              <w:t>用地区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0.57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2" w:hRule="atLeast"/>
        </w:trPr>
        <w:tc>
          <w:tcPr>
            <w:tcW w:w="328" w:type="pct"/>
            <w:vMerge w:val="restart"/>
            <w:vAlign w:val="center"/>
          </w:tcPr>
          <w:p>
            <w:pPr>
              <w:pStyle w:val="53"/>
              <w:jc w:val="center"/>
              <w:rPr>
                <w:rFonts w:eastAsia="仿宋_GB2312"/>
                <w:kern w:val="0"/>
              </w:rPr>
            </w:pPr>
            <w:r>
              <w:rPr>
                <w:rFonts w:eastAsia="仿宋_GB2312"/>
                <w:kern w:val="0"/>
              </w:rPr>
              <w:t>临时堆场区</w:t>
            </w:r>
          </w:p>
        </w:tc>
        <w:tc>
          <w:tcPr>
            <w:tcW w:w="751" w:type="pct"/>
            <w:vAlign w:val="center"/>
          </w:tcPr>
          <w:p>
            <w:pPr>
              <w:pStyle w:val="53"/>
              <w:jc w:val="center"/>
              <w:rPr>
                <w:rFonts w:eastAsia="仿宋_GB2312"/>
              </w:rPr>
            </w:pPr>
            <w:r>
              <w:rPr>
                <w:rFonts w:eastAsia="仿宋_GB2312"/>
              </w:rPr>
              <w:t>土石方中转场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0.6</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0.6</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0.05</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0.24</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1.10</w:t>
            </w:r>
          </w:p>
        </w:tc>
        <w:tc>
          <w:tcPr>
            <w:tcW w:w="63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0.99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2" w:hRule="atLeast"/>
        </w:trPr>
        <w:tc>
          <w:tcPr>
            <w:tcW w:w="328" w:type="pct"/>
            <w:vMerge w:val="continue"/>
            <w:vAlign w:val="center"/>
          </w:tcPr>
          <w:p>
            <w:pPr>
              <w:pStyle w:val="53"/>
              <w:jc w:val="center"/>
              <w:rPr>
                <w:rFonts w:eastAsia="仿宋_GB2312"/>
              </w:rPr>
            </w:pPr>
          </w:p>
        </w:tc>
        <w:tc>
          <w:tcPr>
            <w:tcW w:w="751" w:type="pct"/>
            <w:vAlign w:val="center"/>
          </w:tcPr>
          <w:p>
            <w:pPr>
              <w:pStyle w:val="53"/>
              <w:jc w:val="center"/>
              <w:rPr>
                <w:rFonts w:eastAsia="仿宋_GB2312"/>
              </w:rPr>
            </w:pPr>
            <w:r>
              <w:rPr>
                <w:rFonts w:eastAsia="仿宋_GB2312"/>
              </w:rPr>
              <w:t>表土中转场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0" w:hRule="atLeast"/>
        </w:trPr>
        <w:tc>
          <w:tcPr>
            <w:tcW w:w="1080" w:type="pct"/>
            <w:gridSpan w:val="2"/>
            <w:vAlign w:val="center"/>
          </w:tcPr>
          <w:p>
            <w:pPr>
              <w:pStyle w:val="53"/>
              <w:jc w:val="center"/>
              <w:rPr>
                <w:rFonts w:eastAsia="仿宋_GB2312"/>
              </w:rPr>
            </w:pPr>
            <w:r>
              <w:rPr>
                <w:rFonts w:eastAsia="仿宋_GB2312"/>
              </w:rPr>
              <w:t>施工生产生活区</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39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0.015</w:t>
            </w:r>
          </w:p>
        </w:tc>
        <w:tc>
          <w:tcPr>
            <w:tcW w:w="478" w:type="pct"/>
            <w:vAlign w:val="center"/>
          </w:tcPr>
          <w:p>
            <w:pPr>
              <w:adjustRightInd w:val="0"/>
              <w:snapToGrid w:val="0"/>
              <w:spacing w:line="240" w:lineRule="auto"/>
              <w:ind w:firstLine="0" w:firstLineChars="0"/>
              <w:jc w:val="center"/>
              <w:textAlignment w:val="center"/>
              <w:rPr>
                <w:kern w:val="0"/>
                <w:sz w:val="21"/>
                <w:szCs w:val="21"/>
              </w:rPr>
            </w:pPr>
            <w:r>
              <w:rPr>
                <w:sz w:val="21"/>
                <w:szCs w:val="21"/>
              </w:rPr>
              <w:t>0.03</w:t>
            </w:r>
          </w:p>
        </w:tc>
        <w:tc>
          <w:tcPr>
            <w:tcW w:w="563"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0.25</w:t>
            </w:r>
          </w:p>
        </w:tc>
        <w:tc>
          <w:tcPr>
            <w:tcW w:w="502" w:type="pct"/>
            <w:vAlign w:val="center"/>
          </w:tcPr>
          <w:p>
            <w:pPr>
              <w:adjustRightInd w:val="0"/>
              <w:snapToGrid w:val="0"/>
              <w:spacing w:line="240" w:lineRule="auto"/>
              <w:ind w:firstLine="0" w:firstLineChars="0"/>
              <w:jc w:val="center"/>
              <w:textAlignment w:val="center"/>
              <w:rPr>
                <w:kern w:val="0"/>
                <w:sz w:val="21"/>
                <w:szCs w:val="21"/>
              </w:rPr>
            </w:pPr>
            <w:r>
              <w:rPr>
                <w:kern w:val="0"/>
                <w:sz w:val="21"/>
                <w:szCs w:val="21"/>
              </w:rPr>
              <w:t>0.89</w:t>
            </w:r>
          </w:p>
        </w:tc>
        <w:tc>
          <w:tcPr>
            <w:tcW w:w="633" w:type="pct"/>
            <w:vAlign w:val="center"/>
          </w:tcPr>
          <w:p>
            <w:pPr>
              <w:spacing w:line="240" w:lineRule="auto"/>
              <w:ind w:firstLine="0" w:firstLineChars="0"/>
              <w:jc w:val="center"/>
              <w:rPr>
                <w:kern w:val="0"/>
                <w:sz w:val="21"/>
                <w:szCs w:val="21"/>
              </w:rPr>
            </w:pPr>
            <w:r>
              <w:rPr>
                <w:sz w:val="21"/>
                <w:szCs w:val="21"/>
              </w:rPr>
              <w:t>0.46</w:t>
            </w:r>
          </w:p>
        </w:tc>
      </w:tr>
    </w:tbl>
    <w:p>
      <w:pPr>
        <w:spacing w:beforeLines="50"/>
        <w:ind w:firstLine="480"/>
      </w:pPr>
      <w:r>
        <w:t>经以上验算分析，各区截排水沟设计过水能力达到相应的排水标准要求。同时，排水沟可有效减轻汇水径流对地表、坡面的冲刷，减轻水土流失，水土保持功能显著。</w:t>
      </w:r>
    </w:p>
    <w:p>
      <w:pPr>
        <w:pStyle w:val="7"/>
      </w:pPr>
      <w:r>
        <w:t>5.3.5.2土石方中转场堆积体及拦挡措施的稳定性计算</w:t>
      </w:r>
    </w:p>
    <w:p>
      <w:pPr>
        <w:ind w:firstLine="482"/>
        <w:rPr>
          <w:b/>
          <w:bCs/>
        </w:rPr>
      </w:pPr>
      <w:r>
        <w:rPr>
          <w:b/>
          <w:bCs/>
        </w:rPr>
        <w:t>（一）土石方中转场堆积体稳定性计算</w:t>
      </w:r>
      <w:r>
        <w:rPr>
          <w:b/>
          <w:bCs/>
          <w:szCs w:val="24"/>
        </w:rPr>
        <w:t>标准与方法</w:t>
      </w:r>
    </w:p>
    <w:p>
      <w:pPr>
        <w:ind w:firstLine="480"/>
        <w:rPr>
          <w:szCs w:val="24"/>
        </w:rPr>
      </w:pPr>
      <w:r>
        <w:rPr>
          <w:szCs w:val="24"/>
        </w:rPr>
        <w:t>（1）计算标准</w:t>
      </w:r>
    </w:p>
    <w:p>
      <w:pPr>
        <w:ind w:firstLine="480"/>
        <w:rPr>
          <w:szCs w:val="24"/>
        </w:rPr>
      </w:pPr>
      <w:r>
        <w:rPr>
          <w:szCs w:val="24"/>
        </w:rPr>
        <w:t>土石方中转场抗滑稳定安全系数评价方法及标准</w:t>
      </w:r>
    </w:p>
    <w:p>
      <w:pPr>
        <w:ind w:firstLine="480"/>
        <w:rPr>
          <w:szCs w:val="24"/>
        </w:rPr>
      </w:pPr>
      <w:r>
        <w:rPr>
          <w:szCs w:val="24"/>
        </w:rPr>
        <w:t>根据《水土保持工程设计规范》（GB51018-2018），土石方中转场抗滑稳定安全系数应符合下列规定：</w:t>
      </w:r>
    </w:p>
    <w:p>
      <w:pPr>
        <w:ind w:firstLine="480"/>
        <w:rPr>
          <w:szCs w:val="24"/>
        </w:rPr>
      </w:pPr>
      <w:r>
        <w:rPr>
          <w:szCs w:val="24"/>
        </w:rPr>
        <w:t>①采用简化毕肖普法、摩根斯顿-普赖斯法计算时，抗滑稳定安全系数不应小于下表中规定的数值。</w:t>
      </w:r>
    </w:p>
    <w:p>
      <w:pPr>
        <w:ind w:firstLine="0" w:firstLineChars="0"/>
        <w:jc w:val="center"/>
        <w:rPr>
          <w:b/>
          <w:bCs/>
          <w:szCs w:val="24"/>
        </w:rPr>
      </w:pPr>
      <w:r>
        <w:rPr>
          <w:b/>
          <w:bCs/>
        </w:rPr>
        <w:t>表5.3-12</w:t>
      </w:r>
      <w:r>
        <w:rPr>
          <w:b/>
          <w:bCs/>
          <w:szCs w:val="24"/>
        </w:rPr>
        <w:t>土石方中转场抗滑稳定性安全系数</w:t>
      </w:r>
    </w:p>
    <w:tbl>
      <w:tblPr>
        <w:tblStyle w:val="110"/>
        <w:tblW w:w="499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852"/>
        <w:gridCol w:w="1857"/>
        <w:gridCol w:w="1857"/>
        <w:gridCol w:w="1857"/>
        <w:gridCol w:w="186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Merge w:val="restart"/>
            <w:vAlign w:val="center"/>
          </w:tcPr>
          <w:p>
            <w:pPr>
              <w:pStyle w:val="48"/>
              <w:spacing w:line="240" w:lineRule="exact"/>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应用情况</w:t>
            </w:r>
          </w:p>
        </w:tc>
        <w:tc>
          <w:tcPr>
            <w:tcW w:w="4002" w:type="pct"/>
            <w:gridSpan w:val="4"/>
            <w:vAlign w:val="center"/>
          </w:tcPr>
          <w:p>
            <w:pPr>
              <w:pStyle w:val="48"/>
              <w:spacing w:line="240" w:lineRule="exact"/>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土石方中转场级别</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Merge w:val="continue"/>
            <w:vAlign w:val="center"/>
          </w:tcPr>
          <w:p>
            <w:pPr>
              <w:pStyle w:val="48"/>
              <w:spacing w:line="240" w:lineRule="exact"/>
              <w:ind w:firstLine="0" w:firstLineChars="0"/>
              <w:rPr>
                <w:rFonts w:ascii="Times New Roman" w:hAnsi="Times New Roman" w:eastAsia="仿宋_GB2312" w:cs="Times New Roman"/>
                <w:b/>
                <w:bCs/>
                <w:sz w:val="21"/>
                <w:szCs w:val="21"/>
              </w:rPr>
            </w:pPr>
          </w:p>
        </w:tc>
        <w:tc>
          <w:tcPr>
            <w:tcW w:w="1000" w:type="pct"/>
            <w:vAlign w:val="center"/>
          </w:tcPr>
          <w:p>
            <w:pPr>
              <w:pStyle w:val="48"/>
              <w:spacing w:line="240" w:lineRule="exact"/>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1</w:t>
            </w:r>
          </w:p>
        </w:tc>
        <w:tc>
          <w:tcPr>
            <w:tcW w:w="1000" w:type="pct"/>
            <w:vAlign w:val="center"/>
          </w:tcPr>
          <w:p>
            <w:pPr>
              <w:pStyle w:val="48"/>
              <w:spacing w:line="240" w:lineRule="exact"/>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2</w:t>
            </w:r>
          </w:p>
        </w:tc>
        <w:tc>
          <w:tcPr>
            <w:tcW w:w="1000" w:type="pct"/>
            <w:vAlign w:val="center"/>
          </w:tcPr>
          <w:p>
            <w:pPr>
              <w:pStyle w:val="48"/>
              <w:spacing w:line="240" w:lineRule="exact"/>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3</w:t>
            </w:r>
          </w:p>
        </w:tc>
        <w:tc>
          <w:tcPr>
            <w:tcW w:w="1000" w:type="pct"/>
            <w:vAlign w:val="center"/>
          </w:tcPr>
          <w:p>
            <w:pPr>
              <w:pStyle w:val="48"/>
              <w:spacing w:line="240" w:lineRule="exact"/>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正常运用</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1.35</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1.30</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1.25</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非常运用</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1.15</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1.15</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1.10</w:t>
            </w:r>
          </w:p>
        </w:tc>
        <w:tc>
          <w:tcPr>
            <w:tcW w:w="1000" w:type="pct"/>
            <w:vAlign w:val="center"/>
          </w:tcPr>
          <w:p>
            <w:pPr>
              <w:pStyle w:val="48"/>
              <w:spacing w:line="240" w:lineRule="exact"/>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1.05</w:t>
            </w:r>
          </w:p>
        </w:tc>
      </w:tr>
    </w:tbl>
    <w:p>
      <w:pPr>
        <w:spacing w:beforeLines="50"/>
        <w:ind w:firstLine="480"/>
        <w:rPr>
          <w:szCs w:val="24"/>
        </w:rPr>
      </w:pPr>
      <w:r>
        <w:rPr>
          <w:szCs w:val="24"/>
        </w:rPr>
        <w:t>②采用瑞典圆弧法、改良圆弧法计算时，抗滑稳定安全系数不应小于下表中规定的数值。</w:t>
      </w:r>
    </w:p>
    <w:p>
      <w:pPr>
        <w:ind w:firstLine="0" w:firstLineChars="0"/>
        <w:jc w:val="center"/>
        <w:rPr>
          <w:b/>
          <w:bCs/>
          <w:szCs w:val="24"/>
        </w:rPr>
      </w:pPr>
      <w:r>
        <w:rPr>
          <w:b/>
          <w:bCs/>
        </w:rPr>
        <w:t>表5.3-13</w:t>
      </w:r>
      <w:r>
        <w:rPr>
          <w:b/>
          <w:bCs/>
          <w:szCs w:val="24"/>
        </w:rPr>
        <w:t>土石方中转场抗滑稳定性安全系数</w:t>
      </w:r>
    </w:p>
    <w:tbl>
      <w:tblPr>
        <w:tblStyle w:val="110"/>
        <w:tblW w:w="9259"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851"/>
        <w:gridCol w:w="1851"/>
        <w:gridCol w:w="1853"/>
        <w:gridCol w:w="1853"/>
        <w:gridCol w:w="1851"/>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51" w:type="dxa"/>
            <w:vMerge w:val="restart"/>
            <w:vAlign w:val="center"/>
          </w:tcPr>
          <w:p>
            <w:pPr>
              <w:pStyle w:val="48"/>
              <w:spacing w:line="240" w:lineRule="auto"/>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应用情况</w:t>
            </w:r>
          </w:p>
        </w:tc>
        <w:tc>
          <w:tcPr>
            <w:tcW w:w="7408" w:type="dxa"/>
            <w:gridSpan w:val="4"/>
            <w:vAlign w:val="center"/>
          </w:tcPr>
          <w:p>
            <w:pPr>
              <w:pStyle w:val="48"/>
              <w:spacing w:line="240" w:lineRule="auto"/>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土石方中转场级别</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51" w:type="dxa"/>
            <w:vMerge w:val="continue"/>
            <w:vAlign w:val="center"/>
          </w:tcPr>
          <w:p>
            <w:pPr>
              <w:pStyle w:val="48"/>
              <w:spacing w:line="240" w:lineRule="auto"/>
              <w:ind w:firstLine="0" w:firstLineChars="0"/>
              <w:rPr>
                <w:rFonts w:ascii="Times New Roman" w:hAnsi="Times New Roman" w:eastAsia="仿宋_GB2312" w:cs="Times New Roman"/>
                <w:b/>
                <w:bCs/>
                <w:sz w:val="21"/>
                <w:szCs w:val="21"/>
              </w:rPr>
            </w:pPr>
          </w:p>
        </w:tc>
        <w:tc>
          <w:tcPr>
            <w:tcW w:w="1851" w:type="dxa"/>
            <w:vAlign w:val="center"/>
          </w:tcPr>
          <w:p>
            <w:pPr>
              <w:pStyle w:val="48"/>
              <w:spacing w:line="240" w:lineRule="auto"/>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1</w:t>
            </w:r>
          </w:p>
        </w:tc>
        <w:tc>
          <w:tcPr>
            <w:tcW w:w="1853" w:type="dxa"/>
            <w:vAlign w:val="center"/>
          </w:tcPr>
          <w:p>
            <w:pPr>
              <w:pStyle w:val="48"/>
              <w:spacing w:line="240" w:lineRule="auto"/>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2</w:t>
            </w:r>
          </w:p>
        </w:tc>
        <w:tc>
          <w:tcPr>
            <w:tcW w:w="1853" w:type="dxa"/>
            <w:vAlign w:val="center"/>
          </w:tcPr>
          <w:p>
            <w:pPr>
              <w:pStyle w:val="48"/>
              <w:spacing w:line="240" w:lineRule="auto"/>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3</w:t>
            </w:r>
          </w:p>
        </w:tc>
        <w:tc>
          <w:tcPr>
            <w:tcW w:w="1851" w:type="dxa"/>
            <w:vAlign w:val="center"/>
          </w:tcPr>
          <w:p>
            <w:pPr>
              <w:pStyle w:val="48"/>
              <w:spacing w:line="240" w:lineRule="auto"/>
              <w:ind w:firstLine="0" w:firstLineChars="0"/>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51"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正常运用</w:t>
            </w:r>
          </w:p>
        </w:tc>
        <w:tc>
          <w:tcPr>
            <w:tcW w:w="1851"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1.25</w:t>
            </w:r>
          </w:p>
        </w:tc>
        <w:tc>
          <w:tcPr>
            <w:tcW w:w="1853"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1.20</w:t>
            </w:r>
          </w:p>
        </w:tc>
        <w:tc>
          <w:tcPr>
            <w:tcW w:w="1853"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1.20</w:t>
            </w:r>
          </w:p>
        </w:tc>
        <w:tc>
          <w:tcPr>
            <w:tcW w:w="1851"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51"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非常运用</w:t>
            </w:r>
          </w:p>
        </w:tc>
        <w:tc>
          <w:tcPr>
            <w:tcW w:w="1851"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1.10</w:t>
            </w:r>
          </w:p>
        </w:tc>
        <w:tc>
          <w:tcPr>
            <w:tcW w:w="1853"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1.10</w:t>
            </w:r>
          </w:p>
        </w:tc>
        <w:tc>
          <w:tcPr>
            <w:tcW w:w="1853"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1.05</w:t>
            </w:r>
          </w:p>
        </w:tc>
        <w:tc>
          <w:tcPr>
            <w:tcW w:w="1851" w:type="dxa"/>
            <w:vAlign w:val="center"/>
          </w:tcPr>
          <w:p>
            <w:pPr>
              <w:pStyle w:val="48"/>
              <w:spacing w:line="240" w:lineRule="auto"/>
              <w:ind w:firstLine="0" w:firstLineChars="0"/>
              <w:rPr>
                <w:rFonts w:ascii="Times New Roman" w:hAnsi="Times New Roman" w:eastAsia="仿宋_GB2312" w:cs="Times New Roman"/>
                <w:sz w:val="21"/>
                <w:szCs w:val="21"/>
              </w:rPr>
            </w:pPr>
            <w:r>
              <w:rPr>
                <w:rFonts w:ascii="Times New Roman" w:hAnsi="Times New Roman" w:eastAsia="仿宋_GB2312" w:cs="Times New Roman"/>
                <w:sz w:val="21"/>
                <w:szCs w:val="21"/>
              </w:rPr>
              <w:t>1.05</w:t>
            </w:r>
          </w:p>
        </w:tc>
      </w:tr>
    </w:tbl>
    <w:p>
      <w:pPr>
        <w:spacing w:beforeLines="50"/>
        <w:ind w:firstLine="480"/>
        <w:rPr>
          <w:szCs w:val="24"/>
        </w:rPr>
      </w:pPr>
      <w:r>
        <w:rPr>
          <w:szCs w:val="24"/>
        </w:rPr>
        <w:t>（2）计算方法</w:t>
      </w:r>
    </w:p>
    <w:p>
      <w:pPr>
        <w:ind w:firstLine="480"/>
        <w:rPr>
          <w:szCs w:val="24"/>
        </w:rPr>
      </w:pPr>
      <w:r>
        <w:rPr>
          <w:szCs w:val="24"/>
        </w:rPr>
        <w:t>土石方中转场稳定计算包括渣场边坡及其地基的抗滑稳定计算。抗滑稳定应根据土石方中转场级别、地形、地质条件，并应结合弃渣堆置形式、堆置高度、弃渣组成、弃渣物理力学参数等选择有代表行的断面进行计算。</w:t>
      </w:r>
    </w:p>
    <w:p>
      <w:pPr>
        <w:ind w:firstLine="480"/>
        <w:rPr>
          <w:szCs w:val="24"/>
        </w:rPr>
      </w:pPr>
      <w:r>
        <w:rPr>
          <w:szCs w:val="24"/>
        </w:rPr>
        <w:t>土石方中转场抗滑稳定计算应分为正常运用工况和非常运用工况：</w:t>
      </w:r>
    </w:p>
    <w:p>
      <w:pPr>
        <w:ind w:firstLine="480"/>
        <w:rPr>
          <w:szCs w:val="24"/>
        </w:rPr>
      </w:pPr>
      <w:r>
        <w:rPr>
          <w:szCs w:val="24"/>
        </w:rPr>
        <w:t>正常运用工况：土石方中转场在正常和持久的条件下运用，土石方中转场处于在最终弃渣状态时，土石方堆积体无渗流或稳定渗流。</w:t>
      </w:r>
    </w:p>
    <w:p>
      <w:pPr>
        <w:ind w:firstLine="480"/>
        <w:rPr>
          <w:szCs w:val="24"/>
        </w:rPr>
      </w:pPr>
      <w:r>
        <w:rPr>
          <w:szCs w:val="24"/>
        </w:rPr>
        <w:t>非常运用工况：土石方中转场在正常工况下遭遇Ⅶ度以上（含Ⅶ度）地震。</w:t>
      </w:r>
    </w:p>
    <w:p>
      <w:pPr>
        <w:ind w:firstLine="480"/>
        <w:rPr>
          <w:szCs w:val="24"/>
        </w:rPr>
      </w:pPr>
      <w:r>
        <w:rPr>
          <w:szCs w:val="24"/>
        </w:rPr>
        <w:t>多雨地区的土石方中转场还应核算连续降雨期边坡的抗滑稳定，其安全系数按非常运用工况采用。</w:t>
      </w:r>
    </w:p>
    <w:p>
      <w:pPr>
        <w:ind w:firstLine="480"/>
        <w:rPr>
          <w:szCs w:val="24"/>
        </w:rPr>
      </w:pPr>
      <w:r>
        <w:rPr>
          <w:szCs w:val="24"/>
        </w:rPr>
        <w:t>土石方中转场抗滑稳定计算可采用不计条块间作用力的瑞典圆弧滑动法；对均质土石方堆积体，宜采用计及条块间作用力的简化毕肖普法；对有软弱夹层的土石方中转场，宜采用满足力和力矩平衡的摩根斯顿-普赖斯法进行抗滑稳定计算；对于存在软基的土石方中转场，宜采用改良圆弧法进行抗滑稳定计算。</w:t>
      </w:r>
    </w:p>
    <w:p>
      <w:pPr>
        <w:ind w:firstLine="480"/>
        <w:rPr>
          <w:szCs w:val="24"/>
        </w:rPr>
      </w:pPr>
      <w:r>
        <w:rPr>
          <w:szCs w:val="24"/>
        </w:rPr>
        <w:t>抗滑稳定计算应符合《水土保持工程设计规范》（GB51018-2014）附录B的规定。</w:t>
      </w:r>
    </w:p>
    <w:p>
      <w:pPr>
        <w:ind w:firstLine="480"/>
        <w:rPr>
          <w:szCs w:val="24"/>
        </w:rPr>
      </w:pPr>
      <w:r>
        <w:rPr>
          <w:szCs w:val="24"/>
        </w:rPr>
        <w:t>根据规范的相关要求，土石方中转场抗滑稳定安全系数计算采用摩根斯顿-普赖斯法，计算公式如下：</w:t>
      </w:r>
    </w:p>
    <w:p>
      <w:pPr>
        <w:ind w:firstLine="0" w:firstLineChars="0"/>
        <w:jc w:val="center"/>
      </w:pPr>
      <w:r>
        <w:rPr>
          <w:position w:val="-18"/>
        </w:rPr>
        <w:object>
          <v:shape id="_x0000_i1035" o:spt="75" type="#_x0000_t75" style="height:42.75pt;width:149.25pt;" o:ole="t" filled="f" o:preferrelative="t" stroked="f" coordsize="21600,21600">
            <v:path/>
            <v:fill on="f" focussize="0,0"/>
            <v:stroke on="f" joinstyle="miter"/>
            <v:imagedata r:id="rId191" o:title=""/>
            <o:lock v:ext="edit" aspectratio="t"/>
            <w10:wrap type="none"/>
            <w10:anchorlock/>
          </v:shape>
          <o:OLEObject Type="Embed" ProgID="Equation.3" ShapeID="_x0000_i1035" DrawAspect="Content" ObjectID="_1468075735" r:id="rId190">
            <o:LockedField>false</o:LockedField>
          </o:OLEObject>
        </w:object>
      </w:r>
    </w:p>
    <w:p>
      <w:pPr>
        <w:ind w:firstLine="0" w:firstLineChars="0"/>
        <w:jc w:val="center"/>
      </w:pPr>
      <w:r>
        <w:rPr>
          <w:position w:val="-18"/>
        </w:rPr>
        <w:object>
          <v:shape id="_x0000_i1036" o:spt="75" type="#_x0000_t75" style="height:42.75pt;width:226.5pt;" o:ole="t" filled="f" o:preferrelative="t" stroked="f" coordsize="21600,21600">
            <v:path/>
            <v:fill on="f" focussize="0,0"/>
            <v:stroke on="f" joinstyle="miter"/>
            <v:imagedata r:id="rId193" o:title=""/>
            <o:lock v:ext="edit" aspectratio="t"/>
            <w10:wrap type="none"/>
            <w10:anchorlock/>
          </v:shape>
          <o:OLEObject Type="Embed" ProgID="Equation.3" ShapeID="_x0000_i1036" DrawAspect="Content" ObjectID="_1468075736" r:id="rId192">
            <o:LockedField>false</o:LockedField>
          </o:OLEObject>
        </w:object>
      </w:r>
    </w:p>
    <w:p>
      <w:pPr>
        <w:ind w:firstLine="0" w:firstLineChars="0"/>
        <w:jc w:val="center"/>
      </w:pPr>
      <w:r>
        <w:rPr>
          <w:position w:val="-60"/>
        </w:rPr>
        <w:object>
          <v:shape id="_x0000_i1037" o:spt="75" type="#_x0000_t75" style="height:83.25pt;width:368.25pt;" o:ole="t" filled="f" o:preferrelative="t" stroked="f" coordsize="21600,21600">
            <v:path/>
            <v:fill on="f" focussize="0,0"/>
            <v:stroke on="f" joinstyle="miter"/>
            <v:imagedata r:id="rId195" o:title=""/>
            <o:lock v:ext="edit" aspectratio="t"/>
            <w10:wrap type="none"/>
            <w10:anchorlock/>
          </v:shape>
          <o:OLEObject Type="Embed" ProgID="Equation.3" ShapeID="_x0000_i1037" DrawAspect="Content" ObjectID="_1468075737" r:id="rId194">
            <o:LockedField>false</o:LockedField>
          </o:OLEObject>
        </w:object>
      </w:r>
    </w:p>
    <w:p>
      <w:pPr>
        <w:ind w:firstLine="0" w:firstLineChars="0"/>
        <w:jc w:val="center"/>
      </w:pPr>
      <w:r>
        <w:rPr>
          <w:position w:val="-30"/>
        </w:rPr>
        <w:object>
          <v:shape id="_x0000_i1038" o:spt="75" type="#_x0000_t75" style="height:45pt;width:383.25pt;" o:ole="t" filled="f" o:preferrelative="t" stroked="f" coordsize="21600,21600">
            <v:path/>
            <v:fill on="f" focussize="0,0"/>
            <v:stroke on="f" joinstyle="miter"/>
            <v:imagedata r:id="rId197" o:title=""/>
            <o:lock v:ext="edit" aspectratio="t"/>
            <w10:wrap type="none"/>
            <w10:anchorlock/>
          </v:shape>
          <o:OLEObject Type="Embed" ProgID="Equation.3" ShapeID="_x0000_i1038" DrawAspect="Content" ObjectID="_1468075738" r:id="rId196">
            <o:LockedField>false</o:LockedField>
          </o:OLEObject>
        </w:object>
      </w:r>
    </w:p>
    <w:p>
      <w:pPr>
        <w:ind w:firstLine="0" w:firstLineChars="0"/>
        <w:jc w:val="center"/>
      </w:pPr>
      <w:r>
        <w:rPr>
          <w:position w:val="-30"/>
        </w:rPr>
        <w:object>
          <v:shape id="_x0000_i1039" o:spt="75" type="#_x0000_t75" style="height:45pt;width:412.5pt;" o:ole="t" filled="f" o:preferrelative="t" stroked="f" coordsize="21600,21600">
            <v:path/>
            <v:fill on="f" focussize="0,0"/>
            <v:stroke on="f" joinstyle="miter"/>
            <v:imagedata r:id="rId199" o:title=""/>
            <o:lock v:ext="edit" aspectratio="t"/>
            <w10:wrap type="none"/>
            <w10:anchorlock/>
          </v:shape>
          <o:OLEObject Type="Embed" ProgID="Equation.3" ShapeID="_x0000_i1039" DrawAspect="Content" ObjectID="_1468075739" r:id="rId198">
            <o:LockedField>false</o:LockedField>
          </o:OLEObject>
        </w:object>
      </w:r>
    </w:p>
    <w:p>
      <w:pPr>
        <w:ind w:firstLine="0" w:firstLineChars="0"/>
        <w:jc w:val="center"/>
      </w:pPr>
      <w:r>
        <w:rPr>
          <w:position w:val="-24"/>
        </w:rPr>
        <w:object>
          <v:shape id="_x0000_i1040" o:spt="75" type="#_x0000_t75" style="height:39pt;width:117pt;" o:ole="t" filled="f" o:preferrelative="t" stroked="f" coordsize="21600,21600">
            <v:path/>
            <v:fill on="f" focussize="0,0"/>
            <v:stroke on="f" joinstyle="miter"/>
            <v:imagedata r:id="rId201" o:title=""/>
            <o:lock v:ext="edit" aspectratio="t"/>
            <w10:wrap type="none"/>
            <w10:anchorlock/>
          </v:shape>
          <o:OLEObject Type="Embed" ProgID="Equation.3" ShapeID="_x0000_i1040" DrawAspect="Content" ObjectID="_1468075740" r:id="rId200">
            <o:LockedField>false</o:LockedField>
          </o:OLEObject>
        </w:object>
      </w:r>
    </w:p>
    <w:p>
      <w:pPr>
        <w:ind w:firstLine="0" w:firstLineChars="0"/>
        <w:jc w:val="center"/>
      </w:pPr>
      <w:r>
        <w:rPr>
          <w:position w:val="-24"/>
        </w:rPr>
        <w:object>
          <v:shape id="_x0000_i1041" o:spt="75" type="#_x0000_t75" style="height:41.25pt;width:57pt;" o:ole="t" filled="f" o:preferrelative="t" stroked="f" coordsize="21600,21600">
            <v:path/>
            <v:fill on="f" focussize="0,0"/>
            <v:stroke on="f" joinstyle="miter"/>
            <v:imagedata r:id="rId203" o:title=""/>
            <o:lock v:ext="edit" aspectratio="t"/>
            <w10:wrap type="none"/>
            <w10:anchorlock/>
          </v:shape>
          <o:OLEObject Type="Embed" ProgID="Equation.3" ShapeID="_x0000_i1041" DrawAspect="Content" ObjectID="_1468075741" r:id="rId202">
            <o:LockedField>false</o:LockedField>
          </o:OLEObject>
        </w:object>
      </w:r>
    </w:p>
    <w:p>
      <w:pPr>
        <w:ind w:firstLine="0" w:firstLineChars="0"/>
        <w:jc w:val="center"/>
      </w:pPr>
      <w:r>
        <w:rPr>
          <w:position w:val="-24"/>
        </w:rPr>
        <w:object>
          <v:shape id="_x0000_i1042" o:spt="75" type="#_x0000_t75" style="height:41.25pt;width:109.5pt;" o:ole="t" filled="f" o:preferrelative="t" stroked="f" coordsize="21600,21600">
            <v:path/>
            <v:fill on="f" focussize="0,0"/>
            <v:stroke on="f" joinstyle="miter"/>
            <v:imagedata r:id="rId205" o:title=""/>
            <o:lock v:ext="edit" aspectratio="t"/>
            <w10:wrap type="none"/>
            <w10:anchorlock/>
          </v:shape>
          <o:OLEObject Type="Embed" ProgID="Equation.3" ShapeID="_x0000_i1042" DrawAspect="Content" ObjectID="_1468075742" r:id="rId204">
            <o:LockedField>false</o:LockedField>
          </o:OLEObject>
        </w:object>
      </w:r>
    </w:p>
    <w:p>
      <w:pPr>
        <w:ind w:firstLine="480"/>
      </w:pPr>
      <w:r>
        <w:t>式中：</w:t>
      </w:r>
    </w:p>
    <w:p>
      <w:pPr>
        <w:ind w:firstLine="480"/>
      </w:pPr>
      <w:r>
        <w:rPr>
          <w:position w:val="-6"/>
        </w:rPr>
        <w:object>
          <v:shape id="_x0000_i1043" o:spt="75" type="#_x0000_t75" style="height:19.5pt;width:21.75pt;" o:ole="t" filled="f" o:preferrelative="t" stroked="f" coordsize="21600,21600">
            <v:path/>
            <v:fill on="f" focussize="0,0"/>
            <v:stroke on="f" joinstyle="miter"/>
            <v:imagedata r:id="rId207" o:title=""/>
            <o:lock v:ext="edit" aspectratio="t"/>
            <w10:wrap type="none"/>
            <w10:anchorlock/>
          </v:shape>
          <o:OLEObject Type="Embed" ProgID="Equation.3" ShapeID="_x0000_i1043" DrawAspect="Content" ObjectID="_1468075743" r:id="rId206">
            <o:LockedField>false</o:LockedField>
          </o:OLEObject>
        </w:object>
      </w:r>
      <w:r>
        <w:t>——土条宽度；</w:t>
      </w:r>
    </w:p>
    <w:p>
      <w:pPr>
        <w:ind w:firstLine="480"/>
      </w:pPr>
      <w:r>
        <w:rPr>
          <w:position w:val="-6"/>
        </w:rPr>
        <w:object>
          <v:shape id="_x0000_i1044" o:spt="75" type="#_x0000_t75" style="height:19.5pt;width:37.5pt;" o:ole="t" filled="f" o:preferrelative="f" stroked="f" coordsize="21600,21600">
            <v:path/>
            <v:fill on="f" focussize="0,0"/>
            <v:stroke on="f" joinstyle="miter"/>
            <v:imagedata r:id="rId209" o:title=""/>
            <o:lock v:ext="edit" aspectratio="f"/>
            <w10:wrap type="none"/>
            <w10:anchorlock/>
          </v:shape>
          <o:OLEObject Type="Embed" ProgID="Equation.3" ShapeID="_x0000_i1044" DrawAspect="Content" ObjectID="_1468075744" r:id="rId208">
            <o:LockedField>false</o:LockedField>
          </o:OLEObject>
        </w:object>
      </w:r>
      <w:r>
        <w:t>——土条重量；</w:t>
      </w:r>
    </w:p>
    <w:p>
      <w:pPr>
        <w:ind w:firstLine="480"/>
      </w:pPr>
      <w:r>
        <w:rPr>
          <w:position w:val="-10"/>
        </w:rPr>
        <w:object>
          <v:shape id="_x0000_i1045" o:spt="75" type="#_x0000_t75" style="height:18.75pt;width:14.25pt;" o:ole="t" filled="f" o:preferrelative="t" stroked="f" coordsize="21600,21600">
            <v:path/>
            <v:fill on="f" focussize="0,0"/>
            <v:stroke on="f" joinstyle="miter"/>
            <v:imagedata r:id="rId211" o:title=""/>
            <o:lock v:ext="edit" aspectratio="t"/>
            <w10:wrap type="none"/>
            <w10:anchorlock/>
          </v:shape>
          <o:OLEObject Type="Embed" ProgID="Equation.3" ShapeID="_x0000_i1045" DrawAspect="Content" ObjectID="_1468075745" r:id="rId210">
            <o:LockedField>false</o:LockedField>
          </o:OLEObject>
        </w:object>
      </w:r>
      <w:r>
        <w:t>——坡顶外部的垂直荷载；</w:t>
      </w:r>
    </w:p>
    <w:p>
      <w:pPr>
        <w:ind w:firstLine="480"/>
      </w:pPr>
      <w:r>
        <w:rPr>
          <w:position w:val="-12"/>
        </w:rPr>
        <w:object>
          <v:shape id="_x0000_i1046" o:spt="75" type="#_x0000_t75" style="height:25.5pt;width:27.75pt;" o:ole="t" filled="f" o:preferrelative="t" stroked="f" coordsize="21600,21600">
            <v:path/>
            <v:fill on="f" focussize="0,0"/>
            <v:stroke on="f" joinstyle="miter"/>
            <v:imagedata r:id="rId213" o:title=""/>
            <o:lock v:ext="edit" aspectratio="t"/>
            <w10:wrap type="none"/>
            <w10:anchorlock/>
          </v:shape>
          <o:OLEObject Type="Embed" ProgID="Equation.3" ShapeID="_x0000_i1046" DrawAspect="Content" ObjectID="_1468075746" r:id="rId212">
            <o:LockedField>false</o:LockedField>
          </o:OLEObject>
        </w:object>
      </w:r>
      <w:r>
        <w:t>——水平地质惯性力对土条底部中点的力矩；</w:t>
      </w:r>
    </w:p>
    <w:p>
      <w:pPr>
        <w:ind w:firstLine="560"/>
      </w:pPr>
      <w:r>
        <w:rPr>
          <w:sz w:val="28"/>
          <w:szCs w:val="28"/>
        </w:rPr>
        <w:t>dQ、dV</w:t>
      </w:r>
      <w:r>
        <w:t>——土条的水平和垂直地震惯性力（向上为负，向下为正）；</w:t>
      </w:r>
    </w:p>
    <w:p>
      <w:pPr>
        <w:ind w:firstLine="480"/>
      </w:pPr>
      <w:r>
        <w:rPr>
          <w:position w:val="-6"/>
        </w:rPr>
        <w:object>
          <v:shape id="_x0000_i1047" o:spt="75" type="#_x0000_t75" style="height:15.75pt;width:15.75pt;" o:ole="t" filled="f" o:preferrelative="t" stroked="f" coordsize="21600,21600">
            <v:path/>
            <v:fill on="f" focussize="0,0"/>
            <v:stroke on="f" joinstyle="miter"/>
            <v:imagedata r:id="rId215" o:title=""/>
            <o:lock v:ext="edit" aspectratio="t"/>
            <w10:wrap type="none"/>
            <w10:anchorlock/>
          </v:shape>
          <o:OLEObject Type="Embed" ProgID="Equation.3" ShapeID="_x0000_i1047" DrawAspect="Content" ObjectID="_1468075747" r:id="rId214">
            <o:LockedField>false</o:LockedField>
          </o:OLEObject>
        </w:object>
      </w:r>
      <w:r>
        <w:t>——条块底面与水平面的夹角；</w:t>
      </w:r>
    </w:p>
    <w:p>
      <w:pPr>
        <w:ind w:firstLine="480"/>
      </w:pPr>
      <w:r>
        <w:rPr>
          <w:position w:val="-10"/>
        </w:rPr>
        <w:object>
          <v:shape id="_x0000_i1048" o:spt="75" type="#_x0000_t75" style="height:23.25pt;width:14.25pt;" o:ole="t" filled="f" o:preferrelative="t" stroked="f" coordsize="21600,21600">
            <v:path/>
            <v:fill on="f" focussize="0,0"/>
            <v:stroke on="f" joinstyle="miter"/>
            <v:imagedata r:id="rId217" o:title=""/>
            <o:lock v:ext="edit" aspectratio="t"/>
            <w10:wrap type="none"/>
            <w10:anchorlock/>
          </v:shape>
          <o:OLEObject Type="Embed" ProgID="Equation.3" ShapeID="_x0000_i1048" DrawAspect="Content" ObjectID="_1468075748" r:id="rId216">
            <o:LockedField>false</o:LockedField>
          </o:OLEObject>
        </w:object>
      </w:r>
      <w:r>
        <w:t>——土条侧面的合力与水平方向的夹角；</w:t>
      </w:r>
    </w:p>
    <w:p>
      <w:pPr>
        <w:ind w:firstLine="480"/>
      </w:pPr>
      <w:r>
        <w:rPr>
          <w:position w:val="-12"/>
        </w:rPr>
        <w:object>
          <v:shape id="_x0000_i1049" o:spt="75" type="#_x0000_t75" style="height:25.5pt;width:18.75pt;" o:ole="t" filled="f" o:preferrelative="t" stroked="f" coordsize="21600,21600">
            <v:path/>
            <v:fill on="f" focussize="0,0"/>
            <v:stroke on="f" joinstyle="miter"/>
            <v:imagedata r:id="rId219" o:title=""/>
            <o:lock v:ext="edit" aspectratio="t"/>
            <w10:wrap type="none"/>
            <w10:anchorlock/>
          </v:shape>
          <o:OLEObject Type="Embed" ProgID="Equation.3" ShapeID="_x0000_i1049" DrawAspect="Content" ObjectID="_1468075749" r:id="rId218">
            <o:LockedField>false</o:LockedField>
          </o:OLEObject>
        </w:object>
      </w:r>
      <w:r>
        <w:t>——水平地震惯性力到土条底面中点的垂直距离；</w:t>
      </w:r>
    </w:p>
    <w:tbl>
      <w:tblPr>
        <w:tblStyle w:val="3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87"/>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287" w:type="dxa"/>
          </w:tcPr>
          <w:p>
            <w:pPr>
              <w:spacing w:line="240" w:lineRule="auto"/>
              <w:ind w:firstLine="0" w:firstLineChars="0"/>
              <w:jc w:val="center"/>
              <w:rPr>
                <w:b/>
                <w:bCs/>
                <w:sz w:val="21"/>
                <w:szCs w:val="21"/>
              </w:rPr>
            </w:pPr>
            <w:r>
              <w:rPr>
                <w:b/>
                <w:bCs/>
                <w:sz w:val="21"/>
                <w:szCs w:val="21"/>
              </w:rPr>
              <w:drawing>
                <wp:inline distT="0" distB="0" distL="114300" distR="114300">
                  <wp:extent cx="5724525" cy="2621280"/>
                  <wp:effectExtent l="0" t="0" r="9525" b="7620"/>
                  <wp:docPr id="1" name="图片 1" descr="S((2}EZ~T(X~`[9}YM$S9]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2}EZ~T(X~`[9}YM$S9]W"/>
                          <pic:cNvPicPr>
                            <a:picLocks noChangeAspect="1"/>
                          </pic:cNvPicPr>
                        </pic:nvPicPr>
                        <pic:blipFill>
                          <a:blip r:embed="rId220"/>
                          <a:stretch>
                            <a:fillRect/>
                          </a:stretch>
                        </pic:blipFill>
                        <pic:spPr>
                          <a:xfrm>
                            <a:off x="0" y="0"/>
                            <a:ext cx="5724525" cy="2621280"/>
                          </a:xfrm>
                          <a:prstGeom prst="rect">
                            <a:avLst/>
                          </a:prstGeom>
                        </pic:spPr>
                      </pic:pic>
                    </a:graphicData>
                  </a:graphic>
                </wp:inline>
              </w:drawing>
            </w:r>
          </w:p>
        </w:tc>
      </w:tr>
    </w:tbl>
    <w:p>
      <w:pPr>
        <w:ind w:firstLine="482"/>
        <w:jc w:val="center"/>
        <w:rPr>
          <w:b/>
          <w:bCs/>
        </w:rPr>
      </w:pPr>
      <w:r>
        <w:rPr>
          <w:b/>
          <w:bCs/>
        </w:rPr>
        <w:t>图5.3-1摩根斯顿-普赖斯法（改进方法）计算简图</w:t>
      </w:r>
    </w:p>
    <w:p>
      <w:pPr>
        <w:ind w:firstLine="482"/>
        <w:rPr>
          <w:b/>
          <w:bCs/>
        </w:rPr>
      </w:pPr>
      <w:r>
        <w:rPr>
          <w:b/>
          <w:bCs/>
        </w:rPr>
        <w:t>（二）拦挡工程稳定性分析计算标准及方法</w:t>
      </w:r>
    </w:p>
    <w:p>
      <w:pPr>
        <w:ind w:firstLine="480"/>
      </w:pPr>
      <w:r>
        <w:t>（1）计算标准</w:t>
      </w:r>
    </w:p>
    <w:p>
      <w:pPr>
        <w:ind w:firstLine="480"/>
      </w:pPr>
      <w:r>
        <w:t>土石方中转场拦渣工程安全稳定性评价方法及标准土石方中转场拦挡工程安全稳定性应符合下列要求：</w:t>
      </w:r>
    </w:p>
    <w:p>
      <w:pPr>
        <w:ind w:firstLine="480"/>
      </w:pPr>
      <w:r>
        <w:t>①挡土墙（浆砌石、混凝土、钢筋混凝土）基底抗滑稳定安全系数不应小于下表中规定的允许值。</w:t>
      </w:r>
    </w:p>
    <w:p>
      <w:pPr>
        <w:ind w:firstLine="0" w:firstLineChars="0"/>
        <w:jc w:val="center"/>
      </w:pPr>
      <w:r>
        <w:rPr>
          <w:b/>
          <w:bCs/>
        </w:rPr>
        <w:t>表5.3-14挡土墙基底抗滑稳定安全系数</w:t>
      </w:r>
    </w:p>
    <w:tbl>
      <w:tblPr>
        <w:tblStyle w:val="110"/>
        <w:tblW w:w="499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246"/>
        <w:gridCol w:w="672"/>
        <w:gridCol w:w="671"/>
        <w:gridCol w:w="676"/>
        <w:gridCol w:w="671"/>
        <w:gridCol w:w="609"/>
        <w:gridCol w:w="641"/>
        <w:gridCol w:w="542"/>
        <w:gridCol w:w="533"/>
        <w:gridCol w:w="663"/>
        <w:gridCol w:w="671"/>
        <w:gridCol w:w="169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71" w:type="pct"/>
            <w:vMerge w:val="restart"/>
            <w:vAlign w:val="center"/>
          </w:tcPr>
          <w:p>
            <w:pPr>
              <w:adjustRightInd w:val="0"/>
              <w:spacing w:line="240" w:lineRule="auto"/>
              <w:ind w:firstLine="0" w:firstLineChars="0"/>
              <w:jc w:val="center"/>
              <w:rPr>
                <w:b/>
                <w:bCs/>
                <w:sz w:val="21"/>
                <w:szCs w:val="21"/>
              </w:rPr>
            </w:pPr>
            <w:r>
              <w:rPr>
                <w:b/>
                <w:bCs/>
                <w:sz w:val="21"/>
                <w:szCs w:val="21"/>
              </w:rPr>
              <w:t>计算工况</w:t>
            </w:r>
          </w:p>
        </w:tc>
        <w:tc>
          <w:tcPr>
            <w:tcW w:w="1776" w:type="pct"/>
            <w:gridSpan w:val="5"/>
            <w:vAlign w:val="center"/>
          </w:tcPr>
          <w:p>
            <w:pPr>
              <w:adjustRightInd w:val="0"/>
              <w:spacing w:line="240" w:lineRule="auto"/>
              <w:ind w:firstLine="0" w:firstLineChars="0"/>
              <w:jc w:val="center"/>
              <w:rPr>
                <w:b/>
                <w:bCs/>
                <w:sz w:val="21"/>
                <w:szCs w:val="21"/>
              </w:rPr>
            </w:pPr>
            <w:r>
              <w:rPr>
                <w:b/>
                <w:bCs/>
                <w:sz w:val="21"/>
                <w:szCs w:val="21"/>
              </w:rPr>
              <w:t>土质地基</w:t>
            </w:r>
          </w:p>
        </w:tc>
        <w:tc>
          <w:tcPr>
            <w:tcW w:w="2551" w:type="pct"/>
            <w:gridSpan w:val="6"/>
            <w:vAlign w:val="center"/>
          </w:tcPr>
          <w:p>
            <w:pPr>
              <w:adjustRightInd w:val="0"/>
              <w:spacing w:line="240" w:lineRule="auto"/>
              <w:ind w:firstLine="0" w:firstLineChars="0"/>
              <w:jc w:val="center"/>
              <w:rPr>
                <w:b/>
                <w:bCs/>
                <w:sz w:val="21"/>
                <w:szCs w:val="21"/>
              </w:rPr>
            </w:pPr>
            <w:r>
              <w:rPr>
                <w:b/>
                <w:bCs/>
                <w:sz w:val="21"/>
                <w:szCs w:val="21"/>
              </w:rPr>
              <w:t>岩石地基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71" w:type="pct"/>
            <w:vMerge w:val="continue"/>
            <w:vAlign w:val="center"/>
          </w:tcPr>
          <w:p>
            <w:pPr>
              <w:adjustRightInd w:val="0"/>
              <w:spacing w:line="240" w:lineRule="auto"/>
              <w:ind w:firstLine="0" w:firstLineChars="0"/>
              <w:jc w:val="center"/>
              <w:rPr>
                <w:b/>
                <w:bCs/>
                <w:sz w:val="21"/>
                <w:szCs w:val="21"/>
              </w:rPr>
            </w:pPr>
          </w:p>
        </w:tc>
        <w:tc>
          <w:tcPr>
            <w:tcW w:w="1776" w:type="pct"/>
            <w:gridSpan w:val="5"/>
            <w:vAlign w:val="center"/>
          </w:tcPr>
          <w:p>
            <w:pPr>
              <w:adjustRightInd w:val="0"/>
              <w:spacing w:line="240" w:lineRule="auto"/>
              <w:ind w:firstLine="0" w:firstLineChars="0"/>
              <w:jc w:val="center"/>
              <w:rPr>
                <w:b/>
                <w:bCs/>
                <w:sz w:val="21"/>
                <w:szCs w:val="21"/>
              </w:rPr>
            </w:pPr>
            <w:r>
              <w:rPr>
                <w:b/>
                <w:bCs/>
                <w:sz w:val="21"/>
                <w:szCs w:val="21"/>
              </w:rPr>
              <w:t>挡土墙级别</w:t>
            </w:r>
          </w:p>
        </w:tc>
        <w:tc>
          <w:tcPr>
            <w:tcW w:w="1641" w:type="pct"/>
            <w:gridSpan w:val="5"/>
            <w:vAlign w:val="center"/>
          </w:tcPr>
          <w:p>
            <w:pPr>
              <w:adjustRightInd w:val="0"/>
              <w:spacing w:line="240" w:lineRule="auto"/>
              <w:ind w:firstLine="0" w:firstLineChars="0"/>
              <w:jc w:val="center"/>
              <w:rPr>
                <w:b/>
                <w:bCs/>
                <w:sz w:val="21"/>
                <w:szCs w:val="21"/>
              </w:rPr>
            </w:pPr>
            <w:r>
              <w:rPr>
                <w:b/>
                <w:bCs/>
                <w:sz w:val="21"/>
                <w:szCs w:val="21"/>
              </w:rPr>
              <w:t>挡土墙级别</w:t>
            </w:r>
          </w:p>
        </w:tc>
        <w:tc>
          <w:tcPr>
            <w:tcW w:w="910" w:type="pct"/>
            <w:vMerge w:val="restart"/>
            <w:vAlign w:val="center"/>
          </w:tcPr>
          <w:p>
            <w:pPr>
              <w:adjustRightInd w:val="0"/>
              <w:spacing w:line="240" w:lineRule="auto"/>
              <w:ind w:firstLine="0" w:firstLineChars="0"/>
              <w:jc w:val="center"/>
              <w:rPr>
                <w:b/>
                <w:bCs/>
                <w:sz w:val="21"/>
                <w:szCs w:val="21"/>
              </w:rPr>
            </w:pPr>
            <w:r>
              <w:rPr>
                <w:b/>
                <w:bCs/>
                <w:sz w:val="21"/>
                <w:szCs w:val="21"/>
              </w:rPr>
              <w:t>按抗剪断公式计算时</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71" w:type="pct"/>
            <w:vMerge w:val="continue"/>
            <w:vAlign w:val="center"/>
          </w:tcPr>
          <w:p>
            <w:pPr>
              <w:adjustRightInd w:val="0"/>
              <w:spacing w:line="240" w:lineRule="auto"/>
              <w:ind w:firstLine="0" w:firstLineChars="0"/>
              <w:jc w:val="center"/>
              <w:rPr>
                <w:b/>
                <w:bCs/>
                <w:sz w:val="21"/>
                <w:szCs w:val="21"/>
              </w:rPr>
            </w:pPr>
          </w:p>
        </w:tc>
        <w:tc>
          <w:tcPr>
            <w:tcW w:w="362" w:type="pct"/>
            <w:vAlign w:val="center"/>
          </w:tcPr>
          <w:p>
            <w:pPr>
              <w:adjustRightInd w:val="0"/>
              <w:spacing w:line="240" w:lineRule="auto"/>
              <w:ind w:firstLine="0" w:firstLineChars="0"/>
              <w:jc w:val="center"/>
              <w:rPr>
                <w:b/>
                <w:bCs/>
                <w:sz w:val="21"/>
                <w:szCs w:val="21"/>
              </w:rPr>
            </w:pPr>
            <w:r>
              <w:rPr>
                <w:b/>
                <w:bCs/>
                <w:sz w:val="21"/>
                <w:szCs w:val="21"/>
              </w:rPr>
              <w:t>1</w:t>
            </w:r>
          </w:p>
        </w:tc>
        <w:tc>
          <w:tcPr>
            <w:tcW w:w="361" w:type="pct"/>
            <w:vAlign w:val="center"/>
          </w:tcPr>
          <w:p>
            <w:pPr>
              <w:adjustRightInd w:val="0"/>
              <w:spacing w:line="240" w:lineRule="auto"/>
              <w:ind w:firstLine="0" w:firstLineChars="0"/>
              <w:jc w:val="center"/>
              <w:rPr>
                <w:b/>
                <w:bCs/>
                <w:sz w:val="21"/>
                <w:szCs w:val="21"/>
              </w:rPr>
            </w:pPr>
            <w:r>
              <w:rPr>
                <w:b/>
                <w:bCs/>
                <w:sz w:val="21"/>
                <w:szCs w:val="21"/>
              </w:rPr>
              <w:t>2</w:t>
            </w:r>
          </w:p>
        </w:tc>
        <w:tc>
          <w:tcPr>
            <w:tcW w:w="364" w:type="pct"/>
            <w:vAlign w:val="center"/>
          </w:tcPr>
          <w:p>
            <w:pPr>
              <w:adjustRightInd w:val="0"/>
              <w:spacing w:line="240" w:lineRule="auto"/>
              <w:ind w:firstLine="0" w:firstLineChars="0"/>
              <w:jc w:val="center"/>
              <w:rPr>
                <w:b/>
                <w:bCs/>
                <w:sz w:val="21"/>
                <w:szCs w:val="21"/>
              </w:rPr>
            </w:pPr>
            <w:r>
              <w:rPr>
                <w:b/>
                <w:bCs/>
                <w:sz w:val="21"/>
                <w:szCs w:val="21"/>
              </w:rPr>
              <w:t>3</w:t>
            </w:r>
          </w:p>
        </w:tc>
        <w:tc>
          <w:tcPr>
            <w:tcW w:w="361" w:type="pct"/>
            <w:vAlign w:val="center"/>
          </w:tcPr>
          <w:p>
            <w:pPr>
              <w:adjustRightInd w:val="0"/>
              <w:spacing w:line="240" w:lineRule="auto"/>
              <w:ind w:firstLine="0" w:firstLineChars="0"/>
              <w:jc w:val="center"/>
              <w:rPr>
                <w:b/>
                <w:bCs/>
                <w:sz w:val="21"/>
                <w:szCs w:val="21"/>
              </w:rPr>
            </w:pPr>
            <w:r>
              <w:rPr>
                <w:b/>
                <w:bCs/>
                <w:sz w:val="21"/>
                <w:szCs w:val="21"/>
              </w:rPr>
              <w:t>4</w:t>
            </w:r>
          </w:p>
        </w:tc>
        <w:tc>
          <w:tcPr>
            <w:tcW w:w="327" w:type="pct"/>
            <w:vAlign w:val="center"/>
          </w:tcPr>
          <w:p>
            <w:pPr>
              <w:adjustRightInd w:val="0"/>
              <w:spacing w:line="240" w:lineRule="auto"/>
              <w:ind w:firstLine="0" w:firstLineChars="0"/>
              <w:jc w:val="center"/>
              <w:rPr>
                <w:b/>
                <w:bCs/>
                <w:sz w:val="21"/>
                <w:szCs w:val="21"/>
              </w:rPr>
            </w:pPr>
            <w:r>
              <w:rPr>
                <w:b/>
                <w:bCs/>
                <w:sz w:val="21"/>
                <w:szCs w:val="21"/>
              </w:rPr>
              <w:t>5</w:t>
            </w:r>
          </w:p>
        </w:tc>
        <w:tc>
          <w:tcPr>
            <w:tcW w:w="345" w:type="pct"/>
            <w:vAlign w:val="center"/>
          </w:tcPr>
          <w:p>
            <w:pPr>
              <w:adjustRightInd w:val="0"/>
              <w:spacing w:line="240" w:lineRule="auto"/>
              <w:ind w:firstLine="0" w:firstLineChars="0"/>
              <w:jc w:val="center"/>
              <w:rPr>
                <w:b/>
                <w:bCs/>
                <w:sz w:val="21"/>
                <w:szCs w:val="21"/>
              </w:rPr>
            </w:pPr>
            <w:r>
              <w:rPr>
                <w:b/>
                <w:bCs/>
                <w:sz w:val="21"/>
                <w:szCs w:val="21"/>
              </w:rPr>
              <w:t>1</w:t>
            </w:r>
          </w:p>
        </w:tc>
        <w:tc>
          <w:tcPr>
            <w:tcW w:w="292" w:type="pct"/>
            <w:vAlign w:val="center"/>
          </w:tcPr>
          <w:p>
            <w:pPr>
              <w:adjustRightInd w:val="0"/>
              <w:spacing w:line="240" w:lineRule="auto"/>
              <w:ind w:firstLine="0" w:firstLineChars="0"/>
              <w:jc w:val="center"/>
              <w:rPr>
                <w:b/>
                <w:bCs/>
                <w:sz w:val="21"/>
                <w:szCs w:val="21"/>
              </w:rPr>
            </w:pPr>
            <w:r>
              <w:rPr>
                <w:b/>
                <w:bCs/>
                <w:sz w:val="21"/>
                <w:szCs w:val="21"/>
              </w:rPr>
              <w:t>2</w:t>
            </w:r>
          </w:p>
        </w:tc>
        <w:tc>
          <w:tcPr>
            <w:tcW w:w="286" w:type="pct"/>
            <w:vAlign w:val="center"/>
          </w:tcPr>
          <w:p>
            <w:pPr>
              <w:adjustRightInd w:val="0"/>
              <w:spacing w:line="240" w:lineRule="auto"/>
              <w:ind w:firstLine="0" w:firstLineChars="0"/>
              <w:jc w:val="center"/>
              <w:rPr>
                <w:b/>
                <w:bCs/>
                <w:sz w:val="21"/>
                <w:szCs w:val="21"/>
              </w:rPr>
            </w:pPr>
            <w:r>
              <w:rPr>
                <w:b/>
                <w:bCs/>
                <w:sz w:val="21"/>
                <w:szCs w:val="21"/>
              </w:rPr>
              <w:t>3</w:t>
            </w:r>
          </w:p>
        </w:tc>
        <w:tc>
          <w:tcPr>
            <w:tcW w:w="357" w:type="pct"/>
            <w:vAlign w:val="center"/>
          </w:tcPr>
          <w:p>
            <w:pPr>
              <w:adjustRightInd w:val="0"/>
              <w:spacing w:line="240" w:lineRule="auto"/>
              <w:ind w:firstLine="0" w:firstLineChars="0"/>
              <w:jc w:val="center"/>
              <w:rPr>
                <w:b/>
                <w:bCs/>
                <w:sz w:val="21"/>
                <w:szCs w:val="21"/>
              </w:rPr>
            </w:pPr>
            <w:r>
              <w:rPr>
                <w:b/>
                <w:bCs/>
                <w:sz w:val="21"/>
                <w:szCs w:val="21"/>
              </w:rPr>
              <w:t>4</w:t>
            </w:r>
          </w:p>
        </w:tc>
        <w:tc>
          <w:tcPr>
            <w:tcW w:w="358" w:type="pct"/>
            <w:vAlign w:val="center"/>
          </w:tcPr>
          <w:p>
            <w:pPr>
              <w:adjustRightInd w:val="0"/>
              <w:spacing w:line="240" w:lineRule="auto"/>
              <w:ind w:firstLine="0" w:firstLineChars="0"/>
              <w:jc w:val="center"/>
              <w:rPr>
                <w:b/>
                <w:bCs/>
                <w:sz w:val="21"/>
                <w:szCs w:val="21"/>
              </w:rPr>
            </w:pPr>
            <w:r>
              <w:rPr>
                <w:b/>
                <w:bCs/>
                <w:sz w:val="21"/>
                <w:szCs w:val="21"/>
              </w:rPr>
              <w:t>5</w:t>
            </w:r>
          </w:p>
        </w:tc>
        <w:tc>
          <w:tcPr>
            <w:tcW w:w="910" w:type="pct"/>
            <w:vMerge w:val="continue"/>
            <w:vAlign w:val="center"/>
          </w:tcPr>
          <w:p>
            <w:pPr>
              <w:adjustRightInd w:val="0"/>
              <w:spacing w:line="240" w:lineRule="auto"/>
              <w:ind w:firstLine="0" w:firstLineChars="0"/>
              <w:jc w:val="center"/>
              <w:rPr>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71" w:type="pct"/>
            <w:vAlign w:val="center"/>
          </w:tcPr>
          <w:p>
            <w:pPr>
              <w:adjustRightInd w:val="0"/>
              <w:spacing w:line="240" w:lineRule="auto"/>
              <w:ind w:firstLine="0" w:firstLineChars="0"/>
              <w:jc w:val="center"/>
              <w:rPr>
                <w:sz w:val="21"/>
                <w:szCs w:val="21"/>
              </w:rPr>
            </w:pPr>
            <w:r>
              <w:rPr>
                <w:sz w:val="21"/>
                <w:szCs w:val="21"/>
              </w:rPr>
              <w:t>正常运用</w:t>
            </w:r>
          </w:p>
        </w:tc>
        <w:tc>
          <w:tcPr>
            <w:tcW w:w="362" w:type="pct"/>
            <w:vAlign w:val="center"/>
          </w:tcPr>
          <w:p>
            <w:pPr>
              <w:adjustRightInd w:val="0"/>
              <w:spacing w:line="240" w:lineRule="auto"/>
              <w:ind w:firstLine="0" w:firstLineChars="0"/>
              <w:jc w:val="center"/>
              <w:rPr>
                <w:sz w:val="21"/>
                <w:szCs w:val="21"/>
              </w:rPr>
            </w:pPr>
            <w:r>
              <w:rPr>
                <w:sz w:val="21"/>
                <w:szCs w:val="21"/>
              </w:rPr>
              <w:t>1.35</w:t>
            </w:r>
          </w:p>
        </w:tc>
        <w:tc>
          <w:tcPr>
            <w:tcW w:w="361" w:type="pct"/>
            <w:vAlign w:val="center"/>
          </w:tcPr>
          <w:p>
            <w:pPr>
              <w:adjustRightInd w:val="0"/>
              <w:spacing w:line="240" w:lineRule="auto"/>
              <w:ind w:firstLine="0" w:firstLineChars="0"/>
              <w:jc w:val="center"/>
              <w:rPr>
                <w:sz w:val="21"/>
                <w:szCs w:val="21"/>
              </w:rPr>
            </w:pPr>
            <w:r>
              <w:rPr>
                <w:sz w:val="21"/>
                <w:szCs w:val="21"/>
              </w:rPr>
              <w:t>1.30</w:t>
            </w:r>
          </w:p>
        </w:tc>
        <w:tc>
          <w:tcPr>
            <w:tcW w:w="364" w:type="pct"/>
            <w:vAlign w:val="center"/>
          </w:tcPr>
          <w:p>
            <w:pPr>
              <w:adjustRightInd w:val="0"/>
              <w:spacing w:line="240" w:lineRule="auto"/>
              <w:ind w:firstLine="0" w:firstLineChars="0"/>
              <w:jc w:val="center"/>
              <w:rPr>
                <w:sz w:val="21"/>
                <w:szCs w:val="21"/>
              </w:rPr>
            </w:pPr>
            <w:r>
              <w:rPr>
                <w:sz w:val="21"/>
                <w:szCs w:val="21"/>
              </w:rPr>
              <w:t>1.25</w:t>
            </w:r>
          </w:p>
        </w:tc>
        <w:tc>
          <w:tcPr>
            <w:tcW w:w="361" w:type="pct"/>
            <w:vAlign w:val="center"/>
          </w:tcPr>
          <w:p>
            <w:pPr>
              <w:adjustRightInd w:val="0"/>
              <w:spacing w:line="240" w:lineRule="auto"/>
              <w:ind w:firstLine="0" w:firstLineChars="0"/>
              <w:jc w:val="center"/>
              <w:rPr>
                <w:sz w:val="21"/>
                <w:szCs w:val="21"/>
              </w:rPr>
            </w:pPr>
            <w:r>
              <w:rPr>
                <w:sz w:val="21"/>
                <w:szCs w:val="21"/>
              </w:rPr>
              <w:t>1.20</w:t>
            </w:r>
          </w:p>
        </w:tc>
        <w:tc>
          <w:tcPr>
            <w:tcW w:w="327" w:type="pct"/>
            <w:vAlign w:val="center"/>
          </w:tcPr>
          <w:p>
            <w:pPr>
              <w:adjustRightInd w:val="0"/>
              <w:spacing w:line="240" w:lineRule="auto"/>
              <w:ind w:firstLine="0" w:firstLineChars="0"/>
              <w:jc w:val="center"/>
              <w:rPr>
                <w:sz w:val="21"/>
                <w:szCs w:val="21"/>
              </w:rPr>
            </w:pPr>
            <w:r>
              <w:rPr>
                <w:sz w:val="21"/>
                <w:szCs w:val="21"/>
              </w:rPr>
              <w:t>1.20</w:t>
            </w:r>
          </w:p>
        </w:tc>
        <w:tc>
          <w:tcPr>
            <w:tcW w:w="345" w:type="pct"/>
            <w:vAlign w:val="center"/>
          </w:tcPr>
          <w:p>
            <w:pPr>
              <w:adjustRightInd w:val="0"/>
              <w:spacing w:line="240" w:lineRule="auto"/>
              <w:ind w:firstLine="0" w:firstLineChars="0"/>
              <w:jc w:val="center"/>
              <w:rPr>
                <w:sz w:val="21"/>
                <w:szCs w:val="21"/>
              </w:rPr>
            </w:pPr>
            <w:r>
              <w:rPr>
                <w:sz w:val="21"/>
                <w:szCs w:val="21"/>
              </w:rPr>
              <w:t>1.10</w:t>
            </w:r>
          </w:p>
        </w:tc>
        <w:tc>
          <w:tcPr>
            <w:tcW w:w="579" w:type="pct"/>
            <w:gridSpan w:val="2"/>
            <w:vAlign w:val="center"/>
          </w:tcPr>
          <w:p>
            <w:pPr>
              <w:adjustRightInd w:val="0"/>
              <w:spacing w:line="240" w:lineRule="auto"/>
              <w:ind w:firstLine="0" w:firstLineChars="0"/>
              <w:jc w:val="center"/>
              <w:rPr>
                <w:sz w:val="21"/>
                <w:szCs w:val="21"/>
              </w:rPr>
            </w:pPr>
            <w:r>
              <w:rPr>
                <w:sz w:val="21"/>
                <w:szCs w:val="21"/>
              </w:rPr>
              <w:t>1.08</w:t>
            </w:r>
          </w:p>
        </w:tc>
        <w:tc>
          <w:tcPr>
            <w:tcW w:w="716" w:type="pct"/>
            <w:gridSpan w:val="2"/>
            <w:vAlign w:val="center"/>
          </w:tcPr>
          <w:p>
            <w:pPr>
              <w:adjustRightInd w:val="0"/>
              <w:spacing w:line="240" w:lineRule="auto"/>
              <w:ind w:firstLine="0" w:firstLineChars="0"/>
              <w:jc w:val="center"/>
              <w:rPr>
                <w:sz w:val="21"/>
                <w:szCs w:val="21"/>
              </w:rPr>
            </w:pPr>
            <w:r>
              <w:rPr>
                <w:sz w:val="21"/>
                <w:szCs w:val="21"/>
              </w:rPr>
              <w:t>1.05</w:t>
            </w:r>
          </w:p>
        </w:tc>
        <w:tc>
          <w:tcPr>
            <w:tcW w:w="910" w:type="pct"/>
            <w:vAlign w:val="center"/>
          </w:tcPr>
          <w:p>
            <w:pPr>
              <w:adjustRightInd w:val="0"/>
              <w:spacing w:line="240" w:lineRule="auto"/>
              <w:ind w:firstLine="0" w:firstLineChars="0"/>
              <w:jc w:val="center"/>
              <w:rPr>
                <w:sz w:val="21"/>
                <w:szCs w:val="21"/>
              </w:rPr>
            </w:pPr>
            <w:r>
              <w:rPr>
                <w:sz w:val="21"/>
                <w:szCs w:val="21"/>
              </w:rPr>
              <w:t>3.00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671" w:type="pct"/>
            <w:vAlign w:val="center"/>
          </w:tcPr>
          <w:p>
            <w:pPr>
              <w:adjustRightInd w:val="0"/>
              <w:spacing w:line="240" w:lineRule="auto"/>
              <w:ind w:firstLine="0" w:firstLineChars="0"/>
              <w:jc w:val="center"/>
              <w:rPr>
                <w:sz w:val="21"/>
                <w:szCs w:val="21"/>
              </w:rPr>
            </w:pPr>
            <w:r>
              <w:rPr>
                <w:sz w:val="21"/>
                <w:szCs w:val="21"/>
              </w:rPr>
              <w:t>非常运用</w:t>
            </w:r>
          </w:p>
        </w:tc>
        <w:tc>
          <w:tcPr>
            <w:tcW w:w="1087" w:type="pct"/>
            <w:gridSpan w:val="3"/>
            <w:vAlign w:val="center"/>
          </w:tcPr>
          <w:p>
            <w:pPr>
              <w:adjustRightInd w:val="0"/>
              <w:spacing w:line="240" w:lineRule="auto"/>
              <w:ind w:firstLine="0" w:firstLineChars="0"/>
              <w:jc w:val="center"/>
              <w:rPr>
                <w:sz w:val="21"/>
                <w:szCs w:val="21"/>
              </w:rPr>
            </w:pPr>
            <w:r>
              <w:rPr>
                <w:sz w:val="21"/>
                <w:szCs w:val="21"/>
              </w:rPr>
              <w:t>1.10</w:t>
            </w:r>
          </w:p>
        </w:tc>
        <w:tc>
          <w:tcPr>
            <w:tcW w:w="689" w:type="pct"/>
            <w:gridSpan w:val="2"/>
            <w:vAlign w:val="center"/>
          </w:tcPr>
          <w:p>
            <w:pPr>
              <w:adjustRightInd w:val="0"/>
              <w:spacing w:line="240" w:lineRule="auto"/>
              <w:ind w:firstLine="0" w:firstLineChars="0"/>
              <w:jc w:val="center"/>
              <w:rPr>
                <w:sz w:val="21"/>
                <w:szCs w:val="21"/>
              </w:rPr>
            </w:pPr>
            <w:r>
              <w:rPr>
                <w:sz w:val="21"/>
                <w:szCs w:val="21"/>
              </w:rPr>
              <w:t>1.05</w:t>
            </w:r>
          </w:p>
        </w:tc>
        <w:tc>
          <w:tcPr>
            <w:tcW w:w="1641" w:type="pct"/>
            <w:gridSpan w:val="5"/>
            <w:vAlign w:val="center"/>
          </w:tcPr>
          <w:p>
            <w:pPr>
              <w:adjustRightInd w:val="0"/>
              <w:spacing w:line="240" w:lineRule="auto"/>
              <w:ind w:firstLine="0" w:firstLineChars="0"/>
              <w:jc w:val="center"/>
              <w:rPr>
                <w:sz w:val="21"/>
                <w:szCs w:val="21"/>
              </w:rPr>
            </w:pPr>
            <w:r>
              <w:rPr>
                <w:sz w:val="21"/>
                <w:szCs w:val="21"/>
              </w:rPr>
              <w:t>1.00</w:t>
            </w:r>
          </w:p>
        </w:tc>
        <w:tc>
          <w:tcPr>
            <w:tcW w:w="910" w:type="pct"/>
            <w:vAlign w:val="center"/>
          </w:tcPr>
          <w:p>
            <w:pPr>
              <w:adjustRightInd w:val="0"/>
              <w:spacing w:line="240" w:lineRule="auto"/>
              <w:ind w:firstLine="0" w:firstLineChars="0"/>
              <w:jc w:val="center"/>
              <w:rPr>
                <w:sz w:val="21"/>
                <w:szCs w:val="21"/>
              </w:rPr>
            </w:pPr>
            <w:r>
              <w:rPr>
                <w:sz w:val="21"/>
                <w:szCs w:val="21"/>
              </w:rPr>
              <w:t>2.30</w:t>
            </w:r>
          </w:p>
        </w:tc>
      </w:tr>
    </w:tbl>
    <w:p>
      <w:pPr>
        <w:spacing w:beforeLines="50"/>
        <w:ind w:firstLine="480"/>
      </w:pPr>
      <w:r>
        <w:t>②当土质地基上的挡土墙沿软弱土体整体滑动时，按瑞典圆弧法或折线滑动法计算的抗滑稳定安全系数不应小于表中规定的允许值。</w:t>
      </w:r>
    </w:p>
    <w:p>
      <w:pPr>
        <w:ind w:firstLine="480"/>
      </w:pPr>
      <w:r>
        <w:t>③土质地基上挡土墙的抗倾覆安全系数不应小于下表中规定的允许值。</w:t>
      </w:r>
    </w:p>
    <w:p>
      <w:pPr>
        <w:ind w:firstLine="0" w:firstLineChars="0"/>
        <w:jc w:val="center"/>
        <w:rPr>
          <w:b/>
          <w:bCs/>
        </w:rPr>
      </w:pPr>
      <w:r>
        <w:rPr>
          <w:b/>
          <w:bCs/>
        </w:rPr>
        <w:t>表5.3-15土质地基挡土墙抗倾覆安全系数</w:t>
      </w:r>
    </w:p>
    <w:tbl>
      <w:tblPr>
        <w:tblStyle w:val="110"/>
        <w:tblW w:w="499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852"/>
        <w:gridCol w:w="1857"/>
        <w:gridCol w:w="1857"/>
        <w:gridCol w:w="1857"/>
        <w:gridCol w:w="186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Merge w:val="restart"/>
            <w:vAlign w:val="center"/>
          </w:tcPr>
          <w:p>
            <w:pPr>
              <w:adjustRightInd w:val="0"/>
              <w:spacing w:line="240" w:lineRule="auto"/>
              <w:ind w:firstLine="0" w:firstLineChars="0"/>
              <w:jc w:val="center"/>
              <w:rPr>
                <w:b/>
                <w:bCs/>
                <w:sz w:val="21"/>
                <w:szCs w:val="21"/>
              </w:rPr>
            </w:pPr>
            <w:r>
              <w:rPr>
                <w:b/>
                <w:bCs/>
                <w:sz w:val="21"/>
                <w:szCs w:val="21"/>
              </w:rPr>
              <w:t>计算工况</w:t>
            </w:r>
          </w:p>
        </w:tc>
        <w:tc>
          <w:tcPr>
            <w:tcW w:w="4002" w:type="pct"/>
            <w:gridSpan w:val="4"/>
            <w:vAlign w:val="center"/>
          </w:tcPr>
          <w:p>
            <w:pPr>
              <w:adjustRightInd w:val="0"/>
              <w:spacing w:line="240" w:lineRule="auto"/>
              <w:ind w:firstLine="0" w:firstLineChars="0"/>
              <w:jc w:val="center"/>
              <w:rPr>
                <w:b/>
                <w:bCs/>
                <w:sz w:val="21"/>
                <w:szCs w:val="21"/>
              </w:rPr>
            </w:pPr>
            <w:r>
              <w:rPr>
                <w:b/>
                <w:bCs/>
                <w:sz w:val="21"/>
                <w:szCs w:val="21"/>
              </w:rPr>
              <w:t>挡土墙级别</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Merge w:val="continue"/>
            <w:vAlign w:val="center"/>
          </w:tcPr>
          <w:p>
            <w:pPr>
              <w:adjustRightInd w:val="0"/>
              <w:spacing w:line="240" w:lineRule="auto"/>
              <w:ind w:firstLine="0" w:firstLineChars="0"/>
              <w:jc w:val="center"/>
              <w:rPr>
                <w:b/>
                <w:bCs/>
                <w:sz w:val="21"/>
                <w:szCs w:val="21"/>
              </w:rPr>
            </w:pPr>
          </w:p>
        </w:tc>
        <w:tc>
          <w:tcPr>
            <w:tcW w:w="1000" w:type="pct"/>
            <w:vAlign w:val="center"/>
          </w:tcPr>
          <w:p>
            <w:pPr>
              <w:adjustRightInd w:val="0"/>
              <w:spacing w:line="240" w:lineRule="auto"/>
              <w:ind w:firstLine="0" w:firstLineChars="0"/>
              <w:jc w:val="center"/>
              <w:rPr>
                <w:b/>
                <w:bCs/>
                <w:sz w:val="21"/>
                <w:szCs w:val="21"/>
              </w:rPr>
            </w:pPr>
            <w:r>
              <w:rPr>
                <w:b/>
                <w:bCs/>
                <w:sz w:val="21"/>
                <w:szCs w:val="21"/>
              </w:rPr>
              <w:t>1</w:t>
            </w:r>
          </w:p>
        </w:tc>
        <w:tc>
          <w:tcPr>
            <w:tcW w:w="1000" w:type="pct"/>
            <w:vAlign w:val="center"/>
          </w:tcPr>
          <w:p>
            <w:pPr>
              <w:adjustRightInd w:val="0"/>
              <w:spacing w:line="240" w:lineRule="auto"/>
              <w:ind w:firstLine="0" w:firstLineChars="0"/>
              <w:jc w:val="center"/>
              <w:rPr>
                <w:b/>
                <w:bCs/>
                <w:sz w:val="21"/>
                <w:szCs w:val="21"/>
              </w:rPr>
            </w:pPr>
            <w:r>
              <w:rPr>
                <w:b/>
                <w:bCs/>
                <w:sz w:val="21"/>
                <w:szCs w:val="21"/>
              </w:rPr>
              <w:t>2</w:t>
            </w:r>
          </w:p>
        </w:tc>
        <w:tc>
          <w:tcPr>
            <w:tcW w:w="1000" w:type="pct"/>
            <w:vAlign w:val="center"/>
          </w:tcPr>
          <w:p>
            <w:pPr>
              <w:adjustRightInd w:val="0"/>
              <w:spacing w:line="240" w:lineRule="auto"/>
              <w:ind w:firstLine="0" w:firstLineChars="0"/>
              <w:jc w:val="center"/>
              <w:rPr>
                <w:b/>
                <w:bCs/>
                <w:sz w:val="21"/>
                <w:szCs w:val="21"/>
              </w:rPr>
            </w:pPr>
            <w:r>
              <w:rPr>
                <w:b/>
                <w:bCs/>
                <w:sz w:val="21"/>
                <w:szCs w:val="21"/>
              </w:rPr>
              <w:t>3</w:t>
            </w:r>
          </w:p>
        </w:tc>
        <w:tc>
          <w:tcPr>
            <w:tcW w:w="1000" w:type="pct"/>
            <w:vAlign w:val="center"/>
          </w:tcPr>
          <w:p>
            <w:pPr>
              <w:adjustRightInd w:val="0"/>
              <w:spacing w:line="240" w:lineRule="auto"/>
              <w:ind w:firstLine="0" w:firstLineChars="0"/>
              <w:jc w:val="center"/>
              <w:rPr>
                <w:b/>
                <w:bCs/>
                <w:sz w:val="21"/>
                <w:szCs w:val="21"/>
              </w:rPr>
            </w:pPr>
            <w:r>
              <w:rPr>
                <w:b/>
                <w:bCs/>
                <w:sz w:val="21"/>
                <w:szCs w:val="21"/>
              </w:rPr>
              <w:t>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Align w:val="center"/>
          </w:tcPr>
          <w:p>
            <w:pPr>
              <w:adjustRightInd w:val="0"/>
              <w:spacing w:line="240" w:lineRule="auto"/>
              <w:ind w:firstLine="0" w:firstLineChars="0"/>
              <w:jc w:val="center"/>
              <w:rPr>
                <w:sz w:val="21"/>
                <w:szCs w:val="21"/>
              </w:rPr>
            </w:pPr>
            <w:r>
              <w:rPr>
                <w:sz w:val="21"/>
                <w:szCs w:val="21"/>
              </w:rPr>
              <w:t>正常运用</w:t>
            </w:r>
          </w:p>
        </w:tc>
        <w:tc>
          <w:tcPr>
            <w:tcW w:w="1000" w:type="pct"/>
            <w:vAlign w:val="center"/>
          </w:tcPr>
          <w:p>
            <w:pPr>
              <w:adjustRightInd w:val="0"/>
              <w:spacing w:line="240" w:lineRule="auto"/>
              <w:ind w:firstLine="0" w:firstLineChars="0"/>
              <w:jc w:val="center"/>
              <w:rPr>
                <w:sz w:val="21"/>
                <w:szCs w:val="21"/>
              </w:rPr>
            </w:pPr>
            <w:r>
              <w:rPr>
                <w:sz w:val="21"/>
                <w:szCs w:val="21"/>
              </w:rPr>
              <w:t>1.60</w:t>
            </w:r>
          </w:p>
        </w:tc>
        <w:tc>
          <w:tcPr>
            <w:tcW w:w="1000" w:type="pct"/>
            <w:vAlign w:val="center"/>
          </w:tcPr>
          <w:p>
            <w:pPr>
              <w:adjustRightInd w:val="0"/>
              <w:spacing w:line="240" w:lineRule="auto"/>
              <w:ind w:firstLine="0" w:firstLineChars="0"/>
              <w:jc w:val="center"/>
              <w:rPr>
                <w:sz w:val="21"/>
                <w:szCs w:val="21"/>
              </w:rPr>
            </w:pPr>
            <w:r>
              <w:rPr>
                <w:sz w:val="21"/>
                <w:szCs w:val="21"/>
              </w:rPr>
              <w:t>1.50</w:t>
            </w:r>
          </w:p>
        </w:tc>
        <w:tc>
          <w:tcPr>
            <w:tcW w:w="1000" w:type="pct"/>
            <w:vAlign w:val="center"/>
          </w:tcPr>
          <w:p>
            <w:pPr>
              <w:adjustRightInd w:val="0"/>
              <w:spacing w:line="240" w:lineRule="auto"/>
              <w:ind w:firstLine="0" w:firstLineChars="0"/>
              <w:jc w:val="center"/>
              <w:rPr>
                <w:sz w:val="21"/>
                <w:szCs w:val="21"/>
              </w:rPr>
            </w:pPr>
            <w:r>
              <w:rPr>
                <w:sz w:val="21"/>
                <w:szCs w:val="21"/>
              </w:rPr>
              <w:t>1.45</w:t>
            </w:r>
          </w:p>
        </w:tc>
        <w:tc>
          <w:tcPr>
            <w:tcW w:w="1000" w:type="pct"/>
            <w:vAlign w:val="center"/>
          </w:tcPr>
          <w:p>
            <w:pPr>
              <w:adjustRightInd w:val="0"/>
              <w:spacing w:line="240" w:lineRule="auto"/>
              <w:ind w:firstLine="0" w:firstLineChars="0"/>
              <w:jc w:val="center"/>
              <w:rPr>
                <w:sz w:val="21"/>
                <w:szCs w:val="21"/>
              </w:rPr>
            </w:pPr>
            <w:r>
              <w:rPr>
                <w:sz w:val="21"/>
                <w:szCs w:val="21"/>
              </w:rPr>
              <w:t>1.40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97" w:type="pct"/>
            <w:vAlign w:val="center"/>
          </w:tcPr>
          <w:p>
            <w:pPr>
              <w:adjustRightInd w:val="0"/>
              <w:spacing w:line="240" w:lineRule="auto"/>
              <w:ind w:firstLine="0" w:firstLineChars="0"/>
              <w:jc w:val="center"/>
              <w:rPr>
                <w:sz w:val="21"/>
                <w:szCs w:val="21"/>
              </w:rPr>
            </w:pPr>
            <w:r>
              <w:rPr>
                <w:sz w:val="21"/>
                <w:szCs w:val="21"/>
              </w:rPr>
              <w:t>非常运用</w:t>
            </w:r>
          </w:p>
        </w:tc>
        <w:tc>
          <w:tcPr>
            <w:tcW w:w="1000" w:type="pct"/>
            <w:vAlign w:val="center"/>
          </w:tcPr>
          <w:p>
            <w:pPr>
              <w:adjustRightInd w:val="0"/>
              <w:spacing w:line="240" w:lineRule="auto"/>
              <w:ind w:firstLine="0" w:firstLineChars="0"/>
              <w:jc w:val="center"/>
              <w:rPr>
                <w:sz w:val="21"/>
                <w:szCs w:val="21"/>
              </w:rPr>
            </w:pPr>
            <w:r>
              <w:rPr>
                <w:sz w:val="21"/>
                <w:szCs w:val="21"/>
              </w:rPr>
              <w:t>1.50</w:t>
            </w:r>
          </w:p>
        </w:tc>
        <w:tc>
          <w:tcPr>
            <w:tcW w:w="1000" w:type="pct"/>
            <w:vAlign w:val="center"/>
          </w:tcPr>
          <w:p>
            <w:pPr>
              <w:adjustRightInd w:val="0"/>
              <w:spacing w:line="240" w:lineRule="auto"/>
              <w:ind w:firstLine="0" w:firstLineChars="0"/>
              <w:jc w:val="center"/>
              <w:rPr>
                <w:sz w:val="21"/>
                <w:szCs w:val="21"/>
              </w:rPr>
            </w:pPr>
            <w:r>
              <w:rPr>
                <w:sz w:val="21"/>
                <w:szCs w:val="21"/>
              </w:rPr>
              <w:t>1.40</w:t>
            </w:r>
          </w:p>
        </w:tc>
        <w:tc>
          <w:tcPr>
            <w:tcW w:w="1000" w:type="pct"/>
            <w:vAlign w:val="center"/>
          </w:tcPr>
          <w:p>
            <w:pPr>
              <w:adjustRightInd w:val="0"/>
              <w:spacing w:line="240" w:lineRule="auto"/>
              <w:ind w:firstLine="0" w:firstLineChars="0"/>
              <w:jc w:val="center"/>
              <w:rPr>
                <w:sz w:val="21"/>
                <w:szCs w:val="21"/>
              </w:rPr>
            </w:pPr>
            <w:r>
              <w:rPr>
                <w:sz w:val="21"/>
                <w:szCs w:val="21"/>
              </w:rPr>
              <w:t>1.35</w:t>
            </w:r>
          </w:p>
        </w:tc>
        <w:tc>
          <w:tcPr>
            <w:tcW w:w="1000" w:type="pct"/>
            <w:vAlign w:val="center"/>
          </w:tcPr>
          <w:p>
            <w:pPr>
              <w:adjustRightInd w:val="0"/>
              <w:spacing w:line="240" w:lineRule="auto"/>
              <w:ind w:firstLine="0" w:firstLineChars="0"/>
              <w:jc w:val="center"/>
              <w:rPr>
                <w:sz w:val="21"/>
                <w:szCs w:val="21"/>
              </w:rPr>
            </w:pPr>
            <w:r>
              <w:rPr>
                <w:sz w:val="21"/>
                <w:szCs w:val="21"/>
              </w:rPr>
              <w:t>1.30</w:t>
            </w:r>
          </w:p>
        </w:tc>
      </w:tr>
    </w:tbl>
    <w:p>
      <w:pPr>
        <w:spacing w:beforeLines="50"/>
        <w:ind w:firstLine="480"/>
      </w:pPr>
      <w:r>
        <w:t>④岩石地基上3级~5级挡土墙抗倾覆安全系数不应小于1.40；在特殊荷载组合条件下，不论挡土墙的级别，抗倾覆安全系数均不应小于1.30。</w:t>
      </w:r>
    </w:p>
    <w:p>
      <w:pPr>
        <w:ind w:firstLine="480"/>
      </w:pPr>
      <w:r>
        <w:t>（2）计算方法</w:t>
      </w:r>
    </w:p>
    <w:p>
      <w:pPr>
        <w:ind w:firstLine="480"/>
      </w:pPr>
      <w:r>
        <w:t>作用在挡土墙上的荷载可分为基本组合和特殊组合两类：</w:t>
      </w:r>
    </w:p>
    <w:p>
      <w:pPr>
        <w:ind w:firstLine="480"/>
      </w:pPr>
      <w:r>
        <w:t>基本组合：挡土墙结构及其底板以上填料和永久设备的自重，墙后填土破裂范围内的车辆、人群等附加荷载，相应于正常挡渣高程的土压力，墙后正常地下水位下的水重，静水压力和扬压力，土的冻胀力，其他出现机会较多的荷载。</w:t>
      </w:r>
    </w:p>
    <w:p>
      <w:pPr>
        <w:ind w:firstLine="480"/>
      </w:pPr>
      <w:r>
        <w:t>特殊组合：多雨期墙后土压力、水重、静水压力和扬压力、地震荷载、其他出现机会很少的荷载。墙前有水位降落时，还应按特殊荷载组合计算此种不利工况。</w:t>
      </w:r>
    </w:p>
    <w:p>
      <w:pPr>
        <w:ind w:firstLine="480"/>
      </w:pPr>
      <w:r>
        <w:t>挡土墙应通过抗滑稳定、抗倾覆稳定和基底压力核算，并应符合《水土保持工程设计规范》（GB51018-2014）5.7.5条和5.7.6条的规定。</w:t>
      </w:r>
    </w:p>
    <w:p>
      <w:pPr>
        <w:ind w:firstLine="480"/>
      </w:pPr>
      <w:r>
        <w:t>重力式挡土墙进行基底抗滑移、抗倾覆稳定性验算，当挡墙地基软弱结构面或位于边坡坡顶时，应进行地基稳定性验算。</w:t>
      </w:r>
    </w:p>
    <w:p>
      <w:pPr>
        <w:ind w:firstLine="480"/>
      </w:pPr>
      <w:r>
        <w:t>重力式挡墙的抗滑移稳定性应按下列公式验算：</w:t>
      </w:r>
    </w:p>
    <w:p>
      <w:pPr>
        <w:ind w:firstLine="480"/>
      </w:pPr>
      <w:r>
        <w:rPr>
          <w:position w:val="-30"/>
        </w:rPr>
        <w:object>
          <v:shape id="_x0000_i1050" o:spt="75" type="#_x0000_t75" style="height:39.75pt;width:128.25pt;" o:ole="t" filled="f" o:preferrelative="t" stroked="f" coordsize="21600,21600">
            <v:path/>
            <v:fill on="f" focussize="0,0"/>
            <v:stroke on="f" joinstyle="miter"/>
            <v:imagedata r:id="rId222" o:title=""/>
            <o:lock v:ext="edit" aspectratio="t"/>
            <w10:wrap type="none"/>
            <w10:anchorlock/>
          </v:shape>
          <o:OLEObject Type="Embed" ProgID="Equation.3" ShapeID="_x0000_i1050" DrawAspect="Content" ObjectID="_1468075750" r:id="rId221">
            <o:LockedField>false</o:LockedField>
          </o:OLEObject>
        </w:object>
      </w:r>
    </w:p>
    <w:p>
      <w:pPr>
        <w:ind w:firstLine="480"/>
      </w:pPr>
      <w:r>
        <w:rPr>
          <w:position w:val="-12"/>
        </w:rPr>
        <w:object>
          <v:shape id="_x0000_i1051" o:spt="75" type="#_x0000_t75" style="height:23.25pt;width:89.25pt;" o:ole="t" filled="f" o:preferrelative="t" stroked="f" coordsize="21600,21600">
            <v:path/>
            <v:fill on="f" focussize="0,0"/>
            <v:stroke on="f" joinstyle="miter"/>
            <v:imagedata r:id="rId224" o:title=""/>
            <o:lock v:ext="edit" aspectratio="t"/>
            <w10:wrap type="none"/>
            <w10:anchorlock/>
          </v:shape>
          <o:OLEObject Type="Embed" ProgID="Equation.3" ShapeID="_x0000_i1051" DrawAspect="Content" ObjectID="_1468075751" r:id="rId223">
            <o:LockedField>false</o:LockedField>
          </o:OLEObject>
        </w:object>
      </w:r>
    </w:p>
    <w:p>
      <w:pPr>
        <w:ind w:firstLine="480"/>
      </w:pPr>
      <w:r>
        <w:rPr>
          <w:position w:val="-12"/>
        </w:rPr>
        <w:object>
          <v:shape id="_x0000_i1052" o:spt="75" type="#_x0000_t75" style="height:23.25pt;width:85.5pt;" o:ole="t" filled="f" o:preferrelative="t" stroked="f" coordsize="21600,21600">
            <v:path/>
            <v:fill on="f" focussize="0,0"/>
            <v:stroke on="f" joinstyle="miter"/>
            <v:imagedata r:id="rId226" o:title=""/>
            <o:lock v:ext="edit" aspectratio="t"/>
            <w10:wrap type="none"/>
            <w10:anchorlock/>
          </v:shape>
          <o:OLEObject Type="Embed" ProgID="Equation.3" ShapeID="_x0000_i1052" DrawAspect="Content" ObjectID="_1468075752" r:id="rId225">
            <o:LockedField>false</o:LockedField>
          </o:OLEObject>
        </w:object>
      </w:r>
    </w:p>
    <w:p>
      <w:pPr>
        <w:ind w:firstLine="480"/>
      </w:pPr>
      <w:r>
        <w:rPr>
          <w:position w:val="-12"/>
        </w:rPr>
        <w:object>
          <v:shape id="_x0000_i1053" o:spt="75" type="#_x0000_t75" style="height:23.25pt;width:150.75pt;" o:ole="t" filled="f" o:preferrelative="t" stroked="f" coordsize="21600,21600">
            <v:path/>
            <v:fill on="f" focussize="0,0"/>
            <v:stroke on="f" joinstyle="miter"/>
            <v:imagedata r:id="rId228" o:title=""/>
            <o:lock v:ext="edit" aspectratio="t"/>
            <w10:wrap type="none"/>
            <w10:anchorlock/>
          </v:shape>
          <o:OLEObject Type="Embed" ProgID="Equation.3" ShapeID="_x0000_i1053" DrawAspect="Content" ObjectID="_1468075753" r:id="rId227">
            <o:LockedField>false</o:LockedField>
          </o:OLEObject>
        </w:object>
      </w:r>
    </w:p>
    <w:p>
      <w:pPr>
        <w:ind w:firstLine="480"/>
      </w:pPr>
      <w:r>
        <w:rPr>
          <w:position w:val="-12"/>
        </w:rPr>
        <w:object>
          <v:shape id="_x0000_i1054" o:spt="75" type="#_x0000_t75" style="height:23.25pt;width:155.25pt;" o:ole="t" filled="f" o:preferrelative="t" stroked="f" coordsize="21600,21600">
            <v:path/>
            <v:fill on="f" focussize="0,0"/>
            <v:stroke on="f" joinstyle="miter"/>
            <v:imagedata r:id="rId230" o:title=""/>
            <o:lock v:ext="edit" aspectratio="t"/>
            <w10:wrap type="none"/>
            <w10:anchorlock/>
          </v:shape>
          <o:OLEObject Type="Embed" ProgID="Equation.3" ShapeID="_x0000_i1054" DrawAspect="Content" ObjectID="_1468075754" r:id="rId229">
            <o:LockedField>false</o:LockedField>
          </o:OLEObject>
        </w:object>
      </w:r>
    </w:p>
    <w:p>
      <w:pPr>
        <w:ind w:firstLine="480"/>
      </w:pPr>
      <w:r>
        <w:t>式中：</w:t>
      </w:r>
    </w:p>
    <w:p>
      <w:pPr>
        <w:ind w:firstLine="480"/>
      </w:pPr>
      <w:r>
        <w:rPr>
          <w:position w:val="-12"/>
        </w:rPr>
        <w:object>
          <v:shape id="_x0000_i1055" o:spt="75" type="#_x0000_t75" style="height:23.25pt;width:21pt;" o:ole="t" filled="f" o:preferrelative="t" stroked="f" coordsize="21600,21600">
            <v:path/>
            <v:fill on="f" focussize="0,0"/>
            <v:stroke on="f" joinstyle="miter"/>
            <v:imagedata r:id="rId232" o:title=""/>
            <o:lock v:ext="edit" aspectratio="t"/>
            <w10:wrap type="none"/>
            <w10:anchorlock/>
          </v:shape>
          <o:OLEObject Type="Embed" ProgID="Equation.3" ShapeID="_x0000_i1055" DrawAspect="Content" ObjectID="_1468075755" r:id="rId231">
            <o:LockedField>false</o:LockedField>
          </o:OLEObject>
        </w:object>
      </w:r>
      <w:r>
        <w:t>——每延米主动岩土压力合力（kN/m）;</w:t>
      </w:r>
    </w:p>
    <w:p>
      <w:pPr>
        <w:ind w:firstLine="480"/>
      </w:pPr>
      <w:r>
        <w:rPr>
          <w:position w:val="-12"/>
        </w:rPr>
        <w:object>
          <v:shape id="_x0000_i1056" o:spt="75" type="#_x0000_t75" style="height:23.25pt;width:18.75pt;" o:ole="t" filled="f" o:preferrelative="t" stroked="f" coordsize="21600,21600">
            <v:path/>
            <v:fill on="f" focussize="0,0"/>
            <v:stroke on="f" joinstyle="miter"/>
            <v:imagedata r:id="rId234" o:title=""/>
            <o:lock v:ext="edit" aspectratio="t"/>
            <w10:wrap type="none"/>
            <w10:anchorlock/>
          </v:shape>
          <o:OLEObject Type="Embed" ProgID="Equation.3" ShapeID="_x0000_i1056" DrawAspect="Content" ObjectID="_1468075756" r:id="rId233">
            <o:LockedField>false</o:LockedField>
          </o:OLEObject>
        </w:object>
      </w:r>
      <w:r>
        <w:t>——挡墙抗滑移稳定系数；</w:t>
      </w:r>
    </w:p>
    <w:p>
      <w:pPr>
        <w:ind w:firstLine="480"/>
      </w:pPr>
      <w:r>
        <w:rPr>
          <w:position w:val="-6"/>
        </w:rPr>
        <w:object>
          <v:shape id="_x0000_i1057" o:spt="75" type="#_x0000_t75" style="height:18pt;width:17.25pt;" o:ole="t" filled="f" o:preferrelative="t" stroked="f" coordsize="21600,21600">
            <v:path/>
            <v:fill on="f" focussize="0,0"/>
            <v:stroke on="f" joinstyle="miter"/>
            <v:imagedata r:id="rId236" o:title=""/>
            <o:lock v:ext="edit" aspectratio="t"/>
            <w10:wrap type="none"/>
            <w10:anchorlock/>
          </v:shape>
          <o:OLEObject Type="Embed" ProgID="Equation.3" ShapeID="_x0000_i1057" DrawAspect="Content" ObjectID="_1468075757" r:id="rId235">
            <o:LockedField>false</o:LockedField>
          </o:OLEObject>
        </w:object>
      </w:r>
      <w:r>
        <w:t>——挡墙每延米自重（kN/m）；</w:t>
      </w:r>
    </w:p>
    <w:p>
      <w:pPr>
        <w:ind w:firstLine="480"/>
      </w:pPr>
      <w:r>
        <w:rPr>
          <w:position w:val="-6"/>
        </w:rPr>
        <w:object>
          <v:shape id="_x0000_i1058" o:spt="75" type="#_x0000_t75" style="height:14.25pt;width:15.75pt;" o:ole="t" filled="f" o:preferrelative="t" stroked="f" coordsize="21600,21600">
            <v:path/>
            <v:fill on="f" focussize="0,0"/>
            <v:stroke on="f" joinstyle="miter"/>
            <v:imagedata r:id="rId238" o:title=""/>
            <o:lock v:ext="edit" aspectratio="t"/>
            <w10:wrap type="none"/>
            <w10:anchorlock/>
          </v:shape>
          <o:OLEObject Type="Embed" ProgID="Equation.3" ShapeID="_x0000_i1058" DrawAspect="Content" ObjectID="_1468075758" r:id="rId237">
            <o:LockedField>false</o:LockedField>
          </o:OLEObject>
        </w:object>
      </w:r>
      <w:r>
        <w:t>——墙背与墙底水平投影的夹角（°）；</w:t>
      </w:r>
    </w:p>
    <w:p>
      <w:pPr>
        <w:ind w:firstLine="480"/>
      </w:pPr>
      <w:r>
        <w:rPr>
          <w:position w:val="-12"/>
        </w:rPr>
        <w:object>
          <v:shape id="_x0000_i1059" o:spt="75" type="#_x0000_t75" style="height:23.25pt;width:19.5pt;" o:ole="t" filled="f" o:preferrelative="t" stroked="f" coordsize="21600,21600">
            <v:path/>
            <v:fill on="f" focussize="0,0"/>
            <v:stroke on="f" joinstyle="miter"/>
            <v:imagedata r:id="rId240" o:title=""/>
            <o:lock v:ext="edit" aspectratio="t"/>
            <w10:wrap type="none"/>
            <w10:anchorlock/>
          </v:shape>
          <o:OLEObject Type="Embed" ProgID="Equation.3" ShapeID="_x0000_i1059" DrawAspect="Content" ObjectID="_1468075759" r:id="rId239">
            <o:LockedField>false</o:LockedField>
          </o:OLEObject>
        </w:object>
      </w:r>
      <w:r>
        <w:t>——挡墙底面倾角（°）；</w:t>
      </w:r>
    </w:p>
    <w:p>
      <w:pPr>
        <w:ind w:firstLine="480"/>
      </w:pPr>
      <w:r>
        <w:rPr>
          <w:position w:val="-6"/>
        </w:rPr>
        <w:object>
          <v:shape id="_x0000_i1060" o:spt="75" type="#_x0000_t75" style="height:18pt;width:14.25pt;" o:ole="t" filled="f" o:preferrelative="t" stroked="f" coordsize="21600,21600">
            <v:path/>
            <v:fill on="f" focussize="0,0"/>
            <v:stroke on="f" joinstyle="miter"/>
            <v:imagedata r:id="rId242" o:title=""/>
            <o:lock v:ext="edit" aspectratio="t"/>
            <w10:wrap type="none"/>
            <w10:anchorlock/>
          </v:shape>
          <o:OLEObject Type="Embed" ProgID="Equation.3" ShapeID="_x0000_i1060" DrawAspect="Content" ObjectID="_1468075760" r:id="rId241">
            <o:LockedField>false</o:LockedField>
          </o:OLEObject>
        </w:object>
      </w:r>
      <w:r>
        <w:t>——墙背与岩土的摩擦角（°）；</w:t>
      </w:r>
    </w:p>
    <w:p>
      <w:pPr>
        <w:ind w:firstLine="480"/>
      </w:pPr>
      <w:r>
        <w:rPr>
          <w:position w:val="-10"/>
        </w:rPr>
        <w:object>
          <v:shape id="_x0000_i1061" o:spt="75" type="#_x0000_t75" style="height:17.25pt;width:15.75pt;" o:ole="t" filled="f" o:preferrelative="t" stroked="f" coordsize="21600,21600">
            <v:path/>
            <v:fill on="f" focussize="0,0"/>
            <v:stroke on="f" joinstyle="miter"/>
            <v:imagedata r:id="rId244" o:title=""/>
            <o:lock v:ext="edit" aspectratio="t"/>
            <w10:wrap type="none"/>
            <w10:anchorlock/>
          </v:shape>
          <o:OLEObject Type="Embed" ProgID="Equation.3" ShapeID="_x0000_i1061" DrawAspect="Content" ObjectID="_1468075761" r:id="rId243">
            <o:LockedField>false</o:LockedField>
          </o:OLEObject>
        </w:object>
      </w:r>
      <w:r>
        <w:t>——挡墙底与地基岩土体的摩擦系数。</w:t>
      </w:r>
    </w:p>
    <w:p>
      <w:pPr>
        <w:ind w:firstLine="480"/>
      </w:pPr>
      <w:r>
        <w:t>重力式挡墙的抗倾覆稳定性应按下列公式进行验算：</w:t>
      </w:r>
    </w:p>
    <w:p>
      <w:pPr>
        <w:ind w:firstLine="480"/>
      </w:pPr>
      <w:r>
        <w:rPr>
          <w:position w:val="-32"/>
        </w:rPr>
        <w:object>
          <v:shape id="_x0000_i1062" o:spt="75" type="#_x0000_t75" style="height:42pt;width:123.75pt;" o:ole="t" filled="f" o:preferrelative="t" stroked="f" coordsize="21600,21600">
            <v:path/>
            <v:fill on="f" focussize="0,0"/>
            <v:stroke on="f" joinstyle="miter"/>
            <v:imagedata r:id="rId246" o:title=""/>
            <o:lock v:ext="edit" aspectratio="t"/>
            <w10:wrap type="none"/>
            <w10:anchorlock/>
          </v:shape>
          <o:OLEObject Type="Embed" ProgID="Equation.3" ShapeID="_x0000_i1062" DrawAspect="Content" ObjectID="_1468075762" r:id="rId245">
            <o:LockedField>false</o:LockedField>
          </o:OLEObject>
        </w:object>
      </w:r>
    </w:p>
    <w:p>
      <w:pPr>
        <w:ind w:firstLine="480"/>
      </w:pPr>
      <w:r>
        <w:rPr>
          <w:position w:val="-12"/>
        </w:rPr>
        <w:object>
          <v:shape id="_x0000_i1063" o:spt="75" type="#_x0000_t75" style="height:21.75pt;width:111.75pt;" o:ole="t" filled="f" o:preferrelative="t" stroked="f" coordsize="21600,21600">
            <v:path/>
            <v:fill on="f" focussize="0,0"/>
            <v:stroke on="f" joinstyle="miter"/>
            <v:imagedata r:id="rId248" o:title=""/>
            <o:lock v:ext="edit" aspectratio="t"/>
            <w10:wrap type="none"/>
            <w10:anchorlock/>
          </v:shape>
          <o:OLEObject Type="Embed" ProgID="Equation.3" ShapeID="_x0000_i1063" DrawAspect="Content" ObjectID="_1468075763" r:id="rId247">
            <o:LockedField>false</o:LockedField>
          </o:OLEObject>
        </w:object>
      </w:r>
    </w:p>
    <w:p>
      <w:pPr>
        <w:ind w:firstLine="480"/>
      </w:pPr>
      <w:r>
        <w:rPr>
          <w:position w:val="-12"/>
        </w:rPr>
        <w:object>
          <v:shape id="_x0000_i1064" o:spt="75" type="#_x0000_t75" style="height:21pt;width:112.5pt;" o:ole="t" filled="f" o:preferrelative="t" stroked="f" coordsize="21600,21600">
            <v:path/>
            <v:fill on="f" focussize="0,0"/>
            <v:stroke on="f" joinstyle="miter"/>
            <v:imagedata r:id="rId250" o:title=""/>
            <o:lock v:ext="edit" aspectratio="t"/>
            <w10:wrap type="none"/>
            <w10:anchorlock/>
          </v:shape>
          <o:OLEObject Type="Embed" ProgID="Equation.3" ShapeID="_x0000_i1064" DrawAspect="Content" ObjectID="_1468075764" r:id="rId249">
            <o:LockedField>false</o:LockedField>
          </o:OLEObject>
        </w:object>
      </w:r>
    </w:p>
    <w:p>
      <w:pPr>
        <w:ind w:firstLine="480"/>
      </w:pPr>
      <w:r>
        <w:rPr>
          <w:position w:val="-14"/>
        </w:rPr>
        <w:object>
          <v:shape id="_x0000_i1065" o:spt="75" type="#_x0000_t75" style="height:23.25pt;width:93pt;" o:ole="t" filled="f" o:preferrelative="t" stroked="f" coordsize="21600,21600">
            <v:path/>
            <v:fill on="f" focussize="0,0"/>
            <v:stroke on="f" joinstyle="miter"/>
            <v:imagedata r:id="rId252" o:title=""/>
            <o:lock v:ext="edit" aspectratio="t"/>
            <w10:wrap type="none"/>
            <w10:anchorlock/>
          </v:shape>
          <o:OLEObject Type="Embed" ProgID="Equation.3" ShapeID="_x0000_i1065" DrawAspect="Content" ObjectID="_1468075765" r:id="rId251">
            <o:LockedField>false</o:LockedField>
          </o:OLEObject>
        </w:object>
      </w:r>
    </w:p>
    <w:p>
      <w:pPr>
        <w:ind w:firstLine="480"/>
      </w:pPr>
      <w:r>
        <w:rPr>
          <w:position w:val="-14"/>
        </w:rPr>
        <w:object>
          <v:shape id="_x0000_i1066" o:spt="75" type="#_x0000_t75" style="height:22.5pt;width:93.75pt;" o:ole="t" filled="f" o:preferrelative="t" stroked="f" coordsize="21600,21600">
            <v:path/>
            <v:fill on="f" focussize="0,0"/>
            <v:stroke on="f" joinstyle="miter"/>
            <v:imagedata r:id="rId254" o:title=""/>
            <o:lock v:ext="edit" aspectratio="t"/>
            <w10:wrap type="none"/>
            <w10:anchorlock/>
          </v:shape>
          <o:OLEObject Type="Embed" ProgID="Equation.3" ShapeID="_x0000_i1066" DrawAspect="Content" ObjectID="_1468075766" r:id="rId253">
            <o:LockedField>false</o:LockedField>
          </o:OLEObject>
        </w:object>
      </w:r>
    </w:p>
    <w:p>
      <w:pPr>
        <w:ind w:firstLine="480"/>
      </w:pPr>
      <w:r>
        <w:t>式中：</w:t>
      </w:r>
    </w:p>
    <w:p>
      <w:pPr>
        <w:ind w:firstLine="480"/>
      </w:pPr>
      <w:r>
        <w:rPr>
          <w:position w:val="-12"/>
        </w:rPr>
        <w:object>
          <v:shape id="_x0000_i1067" o:spt="75" type="#_x0000_t75" style="height:24pt;width:17.25pt;" o:ole="t" filled="f" o:preferrelative="t" stroked="f" coordsize="21600,21600">
            <v:path/>
            <v:fill on="f" focussize="0,0"/>
            <v:stroke on="f" joinstyle="miter"/>
            <v:imagedata r:id="rId256" o:title=""/>
            <o:lock v:ext="edit" aspectratio="t"/>
            <w10:wrap type="none"/>
            <w10:anchorlock/>
          </v:shape>
          <o:OLEObject Type="Embed" ProgID="Equation.3" ShapeID="_x0000_i1067" DrawAspect="Content" ObjectID="_1468075767" r:id="rId255">
            <o:LockedField>false</o:LockedField>
          </o:OLEObject>
        </w:object>
      </w:r>
      <w:r>
        <w:t>——挡墙抗倾覆稳定系数；</w:t>
      </w:r>
    </w:p>
    <w:p>
      <w:pPr>
        <w:ind w:firstLine="480"/>
      </w:pPr>
      <w:r>
        <w:rPr>
          <w:position w:val="-6"/>
        </w:rPr>
        <w:object>
          <v:shape id="_x0000_i1068" o:spt="75" type="#_x0000_t75" style="height:18.75pt;width:13.5pt;" o:ole="t" filled="f" o:preferrelative="t" stroked="f" coordsize="21600,21600">
            <v:path/>
            <v:fill on="f" focussize="0,0"/>
            <v:stroke on="f" joinstyle="miter"/>
            <v:imagedata r:id="rId258" o:title=""/>
            <o:lock v:ext="edit" aspectratio="t"/>
            <w10:wrap type="none"/>
            <w10:anchorlock/>
          </v:shape>
          <o:OLEObject Type="Embed" ProgID="Equation.3" ShapeID="_x0000_i1068" DrawAspect="Content" ObjectID="_1468075768" r:id="rId257">
            <o:LockedField>false</o:LockedField>
          </o:OLEObject>
        </w:object>
      </w:r>
      <w:r>
        <w:t>——挡墙底面水平投影宽度（m）；</w:t>
      </w:r>
    </w:p>
    <w:p>
      <w:pPr>
        <w:ind w:firstLine="480"/>
      </w:pPr>
      <w:r>
        <w:rPr>
          <w:position w:val="-12"/>
        </w:rPr>
        <w:object>
          <v:shape id="_x0000_i1069" o:spt="75" type="#_x0000_t75" style="height:24pt;width:17.25pt;" o:ole="t" filled="f" o:preferrelative="t" stroked="f" coordsize="21600,21600">
            <v:path/>
            <v:fill on="f" focussize="0,0"/>
            <v:stroke on="f" joinstyle="miter"/>
            <v:imagedata r:id="rId260" o:title=""/>
            <o:lock v:ext="edit" aspectratio="t"/>
            <w10:wrap type="none"/>
            <w10:anchorlock/>
          </v:shape>
          <o:OLEObject Type="Embed" ProgID="Equation.3" ShapeID="_x0000_i1069" DrawAspect="Content" ObjectID="_1468075769" r:id="rId259">
            <o:LockedField>false</o:LockedField>
          </o:OLEObject>
        </w:object>
      </w:r>
      <w:r>
        <w:t>——挡墙中心到墙趾的水平距离（m）；</w:t>
      </w:r>
    </w:p>
    <w:p>
      <w:pPr>
        <w:ind w:firstLine="480"/>
      </w:pPr>
      <w:r>
        <w:rPr>
          <w:position w:val="-4"/>
        </w:rPr>
        <w:object>
          <v:shape id="_x0000_i1070" o:spt="75" type="#_x0000_t75" style="height:13.5pt;width:13.5pt;" o:ole="t" filled="f" o:preferrelative="t" stroked="f" coordsize="21600,21600">
            <v:path/>
            <v:fill on="f" focussize="0,0"/>
            <v:stroke on="f" joinstyle="miter"/>
            <v:imagedata r:id="rId262" o:title=""/>
            <o:lock v:ext="edit" aspectratio="t"/>
            <w10:wrap type="none"/>
            <w10:anchorlock/>
          </v:shape>
          <o:OLEObject Type="Embed" ProgID="Equation.3" ShapeID="_x0000_i1070" DrawAspect="Content" ObjectID="_1468075770" r:id="rId261">
            <o:LockedField>false</o:LockedField>
          </o:OLEObject>
        </w:object>
      </w:r>
      <w:r>
        <w:t>——岩土压力作用点到墙踵的竖直距离（m）。</w:t>
      </w:r>
    </w:p>
    <w:p>
      <w:pPr>
        <w:ind w:firstLine="0" w:firstLineChars="0"/>
        <w:jc w:val="center"/>
      </w:pPr>
      <w:r>
        <w:drawing>
          <wp:inline distT="0" distB="0" distL="114300" distR="114300">
            <wp:extent cx="1557020" cy="1871980"/>
            <wp:effectExtent l="0" t="0" r="5080" b="13970"/>
            <wp:docPr id="130"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67"/>
                    <pic:cNvPicPr>
                      <a:picLocks noChangeAspect="1"/>
                    </pic:cNvPicPr>
                  </pic:nvPicPr>
                  <pic:blipFill>
                    <a:blip r:embed="rId263"/>
                    <a:stretch>
                      <a:fillRect/>
                    </a:stretch>
                  </pic:blipFill>
                  <pic:spPr>
                    <a:xfrm>
                      <a:off x="0" y="0"/>
                      <a:ext cx="1557020" cy="1871980"/>
                    </a:xfrm>
                    <a:prstGeom prst="rect">
                      <a:avLst/>
                    </a:prstGeom>
                    <a:noFill/>
                    <a:ln>
                      <a:noFill/>
                    </a:ln>
                  </pic:spPr>
                </pic:pic>
              </a:graphicData>
            </a:graphic>
          </wp:inline>
        </w:drawing>
      </w:r>
    </w:p>
    <w:p>
      <w:pPr>
        <w:ind w:firstLine="0" w:firstLineChars="0"/>
        <w:jc w:val="center"/>
      </w:pPr>
      <w:r>
        <w:rPr>
          <w:b/>
          <w:bCs/>
        </w:rPr>
        <w:t>图5.3-2挡墙抗倾覆稳定性验算</w:t>
      </w:r>
    </w:p>
    <w:p>
      <w:pPr>
        <w:ind w:firstLine="480"/>
      </w:pPr>
      <w:r>
        <w:t>挡土墙（浆砌石、混凝土、钢筋混凝土）基底应力计算应满足下列要求：</w:t>
      </w:r>
    </w:p>
    <w:p>
      <w:pPr>
        <w:ind w:firstLine="480"/>
      </w:pPr>
      <w:r>
        <w:t>①在各种计算工况下，土质地基和软质岩石地基上的挡土墙平均基底应力不应大于地基允许承载力允许值，最大基底应力不应大于地基允许承载力的1.2倍。</w:t>
      </w:r>
    </w:p>
    <w:p>
      <w:pPr>
        <w:ind w:firstLine="480"/>
      </w:pPr>
      <w:r>
        <w:t>②土质地基和软质岩石地基上挡土墙基底应力的最大值与最小值之比不应大于2.0，砂土宜取2.0~3.0。</w:t>
      </w:r>
    </w:p>
    <w:p>
      <w:pPr>
        <w:ind w:firstLine="480"/>
      </w:pPr>
      <w:r>
        <w:t>土石方中转场边坡安全稳定性评价内容和方法</w:t>
      </w:r>
    </w:p>
    <w:p>
      <w:pPr>
        <w:ind w:firstLine="480"/>
      </w:pPr>
      <w:r>
        <w:t>边坡稳定性分析主要采用《建筑边坡工程技术规范》（GB50330-2013）5.2及附录A和《水土保持工程设计规范》（GB51018-2014）附录B的有关规定进行；评价标准参考《水土保持工程设计规范》（GB51018-2014）相关条文规定，并借鉴其他相关规范进行综合分析。</w:t>
      </w:r>
    </w:p>
    <w:p>
      <w:pPr>
        <w:ind w:firstLine="482"/>
        <w:rPr>
          <w:b/>
          <w:bCs/>
        </w:rPr>
      </w:pPr>
      <w:r>
        <w:rPr>
          <w:b/>
          <w:bCs/>
        </w:rPr>
        <w:t>（三）计算成果</w:t>
      </w:r>
    </w:p>
    <w:p>
      <w:pPr>
        <w:ind w:firstLine="458"/>
      </w:pPr>
      <w:r>
        <w:rPr>
          <w:spacing w:val="-11"/>
        </w:rPr>
        <w:t>经计算，各土石方中转场整体稳定性、边坡稳定性及拦挡工程稳定性均满足规范要求。</w:t>
      </w:r>
      <w:r>
        <w:t>土石方中转场岩土物理力学参数详见表5.3-16。</w:t>
      </w:r>
      <w:r>
        <w:rPr>
          <w:spacing w:val="-11"/>
        </w:rPr>
        <w:t>计</w:t>
      </w:r>
      <w:r>
        <w:rPr>
          <w:spacing w:val="-7"/>
        </w:rPr>
        <w:t>算成果情况详见表5.3-17</w:t>
      </w:r>
      <w:r>
        <w:t>。</w:t>
      </w:r>
    </w:p>
    <w:p>
      <w:pPr>
        <w:ind w:firstLine="480"/>
        <w:sectPr>
          <w:pgSz w:w="11905" w:h="16838"/>
          <w:pgMar w:top="1417" w:right="1417" w:bottom="1417" w:left="1417" w:header="850" w:footer="992" w:gutter="0"/>
          <w:cols w:space="720" w:num="1"/>
          <w:docGrid w:linePitch="312" w:charSpace="0"/>
        </w:sectPr>
      </w:pPr>
    </w:p>
    <w:p>
      <w:pPr>
        <w:ind w:firstLine="0" w:firstLineChars="0"/>
        <w:jc w:val="center"/>
        <w:rPr>
          <w:b/>
          <w:bCs/>
        </w:rPr>
      </w:pPr>
      <w:r>
        <w:rPr>
          <w:b/>
          <w:bCs/>
        </w:rPr>
        <w:t>表5.3-16岩土物理力学参数</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370"/>
        <w:gridCol w:w="2370"/>
        <w:gridCol w:w="2370"/>
        <w:gridCol w:w="2370"/>
        <w:gridCol w:w="2370"/>
        <w:gridCol w:w="237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9" w:hRule="atLeast"/>
        </w:trPr>
        <w:tc>
          <w:tcPr>
            <w:tcW w:w="2370" w:type="dxa"/>
            <w:vAlign w:val="center"/>
          </w:tcPr>
          <w:p>
            <w:pPr>
              <w:spacing w:line="240" w:lineRule="auto"/>
              <w:ind w:firstLine="0" w:firstLineChars="0"/>
              <w:jc w:val="center"/>
              <w:rPr>
                <w:b/>
                <w:bCs/>
                <w:sz w:val="21"/>
                <w:szCs w:val="21"/>
              </w:rPr>
            </w:pPr>
            <w:r>
              <w:rPr>
                <w:b/>
                <w:bCs/>
                <w:sz w:val="21"/>
                <w:szCs w:val="21"/>
              </w:rPr>
              <w:t>地层</w:t>
            </w:r>
          </w:p>
        </w:tc>
        <w:tc>
          <w:tcPr>
            <w:tcW w:w="2370" w:type="dxa"/>
            <w:vAlign w:val="center"/>
          </w:tcPr>
          <w:p>
            <w:pPr>
              <w:spacing w:line="240" w:lineRule="auto"/>
              <w:ind w:firstLine="0" w:firstLineChars="0"/>
              <w:jc w:val="center"/>
              <w:rPr>
                <w:b/>
                <w:bCs/>
                <w:sz w:val="21"/>
                <w:szCs w:val="21"/>
              </w:rPr>
            </w:pPr>
            <w:r>
              <w:rPr>
                <w:b/>
                <w:bCs/>
                <w:sz w:val="21"/>
                <w:szCs w:val="21"/>
              </w:rPr>
              <w:t>天然容重γ（KN/m</w:t>
            </w:r>
            <w:r>
              <w:rPr>
                <w:b/>
                <w:bCs/>
                <w:sz w:val="21"/>
                <w:szCs w:val="21"/>
                <w:vertAlign w:val="superscript"/>
              </w:rPr>
              <w:t>3</w:t>
            </w:r>
            <w:r>
              <w:rPr>
                <w:b/>
                <w:bCs/>
                <w:sz w:val="21"/>
                <w:szCs w:val="21"/>
              </w:rPr>
              <w:t>）</w:t>
            </w:r>
          </w:p>
        </w:tc>
        <w:tc>
          <w:tcPr>
            <w:tcW w:w="2370" w:type="dxa"/>
            <w:vAlign w:val="center"/>
          </w:tcPr>
          <w:p>
            <w:pPr>
              <w:spacing w:line="240" w:lineRule="auto"/>
              <w:ind w:firstLine="0" w:firstLineChars="0"/>
              <w:jc w:val="center"/>
              <w:rPr>
                <w:b/>
                <w:bCs/>
                <w:sz w:val="21"/>
                <w:szCs w:val="21"/>
              </w:rPr>
            </w:pPr>
            <w:r>
              <w:rPr>
                <w:b/>
                <w:bCs/>
                <w:sz w:val="21"/>
                <w:szCs w:val="21"/>
              </w:rPr>
              <w:t>粘聚力C（Kpa）</w:t>
            </w:r>
          </w:p>
        </w:tc>
        <w:tc>
          <w:tcPr>
            <w:tcW w:w="2370" w:type="dxa"/>
            <w:vAlign w:val="center"/>
          </w:tcPr>
          <w:p>
            <w:pPr>
              <w:spacing w:line="240" w:lineRule="auto"/>
              <w:ind w:firstLine="0" w:firstLineChars="0"/>
              <w:jc w:val="center"/>
              <w:rPr>
                <w:b/>
                <w:bCs/>
                <w:sz w:val="21"/>
                <w:szCs w:val="21"/>
              </w:rPr>
            </w:pPr>
            <w:r>
              <w:rPr>
                <w:b/>
                <w:bCs/>
                <w:sz w:val="21"/>
                <w:szCs w:val="21"/>
              </w:rPr>
              <w:t>内摩擦角Φ（度）</w:t>
            </w:r>
          </w:p>
        </w:tc>
        <w:tc>
          <w:tcPr>
            <w:tcW w:w="2370" w:type="dxa"/>
            <w:vAlign w:val="center"/>
          </w:tcPr>
          <w:p>
            <w:pPr>
              <w:spacing w:line="240" w:lineRule="auto"/>
              <w:ind w:firstLine="0" w:firstLineChars="0"/>
              <w:jc w:val="center"/>
              <w:rPr>
                <w:b/>
                <w:bCs/>
                <w:sz w:val="21"/>
                <w:szCs w:val="21"/>
              </w:rPr>
            </w:pPr>
            <w:r>
              <w:rPr>
                <w:b/>
                <w:bCs/>
                <w:sz w:val="21"/>
                <w:szCs w:val="21"/>
              </w:rPr>
              <w:t>承载力（Kpa）</w:t>
            </w:r>
          </w:p>
        </w:tc>
        <w:tc>
          <w:tcPr>
            <w:tcW w:w="2370" w:type="dxa"/>
            <w:vAlign w:val="center"/>
          </w:tcPr>
          <w:p>
            <w:pPr>
              <w:spacing w:line="240" w:lineRule="auto"/>
              <w:ind w:firstLine="0" w:firstLineChars="0"/>
              <w:jc w:val="center"/>
              <w:rPr>
                <w:b/>
                <w:bCs/>
                <w:sz w:val="21"/>
                <w:szCs w:val="21"/>
              </w:rPr>
            </w:pPr>
            <w:r>
              <w:rPr>
                <w:b/>
                <w:bCs/>
                <w:sz w:val="21"/>
                <w:szCs w:val="21"/>
              </w:rPr>
              <w:t>平均厚度（m）</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70" w:type="dxa"/>
            <w:vAlign w:val="center"/>
          </w:tcPr>
          <w:p>
            <w:pPr>
              <w:spacing w:line="240" w:lineRule="auto"/>
              <w:ind w:firstLine="0" w:firstLineChars="0"/>
              <w:jc w:val="center"/>
              <w:rPr>
                <w:sz w:val="21"/>
                <w:szCs w:val="21"/>
              </w:rPr>
            </w:pPr>
            <w:r>
              <w:rPr>
                <w:sz w:val="21"/>
                <w:szCs w:val="21"/>
              </w:rPr>
              <w:t>素填土</w:t>
            </w:r>
          </w:p>
        </w:tc>
        <w:tc>
          <w:tcPr>
            <w:tcW w:w="2370" w:type="dxa"/>
            <w:vAlign w:val="center"/>
          </w:tcPr>
          <w:p>
            <w:pPr>
              <w:spacing w:line="240" w:lineRule="auto"/>
              <w:ind w:firstLine="0" w:firstLineChars="0"/>
              <w:jc w:val="center"/>
              <w:rPr>
                <w:sz w:val="21"/>
                <w:szCs w:val="21"/>
              </w:rPr>
            </w:pPr>
            <w:r>
              <w:rPr>
                <w:sz w:val="21"/>
                <w:szCs w:val="21"/>
              </w:rPr>
              <w:t>18.50</w:t>
            </w:r>
          </w:p>
        </w:tc>
        <w:tc>
          <w:tcPr>
            <w:tcW w:w="2370" w:type="dxa"/>
            <w:vAlign w:val="center"/>
          </w:tcPr>
          <w:p>
            <w:pPr>
              <w:spacing w:line="240" w:lineRule="auto"/>
              <w:ind w:firstLine="0" w:firstLineChars="0"/>
              <w:jc w:val="center"/>
              <w:rPr>
                <w:sz w:val="21"/>
                <w:szCs w:val="21"/>
              </w:rPr>
            </w:pPr>
            <w:r>
              <w:rPr>
                <w:sz w:val="21"/>
                <w:szCs w:val="21"/>
              </w:rPr>
              <w:t>10</w:t>
            </w:r>
          </w:p>
        </w:tc>
        <w:tc>
          <w:tcPr>
            <w:tcW w:w="2370" w:type="dxa"/>
            <w:vAlign w:val="center"/>
          </w:tcPr>
          <w:p>
            <w:pPr>
              <w:spacing w:line="240" w:lineRule="auto"/>
              <w:ind w:firstLine="0" w:firstLineChars="0"/>
              <w:jc w:val="center"/>
              <w:rPr>
                <w:sz w:val="21"/>
                <w:szCs w:val="21"/>
              </w:rPr>
            </w:pPr>
            <w:r>
              <w:rPr>
                <w:sz w:val="21"/>
                <w:szCs w:val="21"/>
              </w:rPr>
              <w:t>12</w:t>
            </w:r>
          </w:p>
        </w:tc>
        <w:tc>
          <w:tcPr>
            <w:tcW w:w="2370" w:type="dxa"/>
            <w:vAlign w:val="center"/>
          </w:tcPr>
          <w:p>
            <w:pPr>
              <w:spacing w:line="240" w:lineRule="auto"/>
              <w:ind w:firstLine="0" w:firstLineChars="0"/>
              <w:jc w:val="center"/>
              <w:rPr>
                <w:sz w:val="21"/>
                <w:szCs w:val="21"/>
              </w:rPr>
            </w:pPr>
            <w:r>
              <w:rPr>
                <w:sz w:val="21"/>
                <w:szCs w:val="21"/>
              </w:rPr>
              <w:t>/</w:t>
            </w:r>
          </w:p>
        </w:tc>
        <w:tc>
          <w:tcPr>
            <w:tcW w:w="2370" w:type="dxa"/>
            <w:vAlign w:val="center"/>
          </w:tcPr>
          <w:p>
            <w:pPr>
              <w:spacing w:line="240" w:lineRule="auto"/>
              <w:ind w:firstLine="0" w:firstLineChars="0"/>
              <w:jc w:val="center"/>
              <w:rPr>
                <w:sz w:val="21"/>
                <w:szCs w:val="21"/>
              </w:rPr>
            </w:pPr>
            <w:r>
              <w:rPr>
                <w:sz w:val="21"/>
                <w:szCs w:val="21"/>
              </w:rPr>
              <w:t>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70" w:type="dxa"/>
            <w:vAlign w:val="center"/>
          </w:tcPr>
          <w:p>
            <w:pPr>
              <w:spacing w:line="240" w:lineRule="auto"/>
              <w:ind w:firstLine="0" w:firstLineChars="0"/>
              <w:jc w:val="center"/>
              <w:rPr>
                <w:sz w:val="21"/>
                <w:szCs w:val="21"/>
              </w:rPr>
            </w:pPr>
            <w:r>
              <w:rPr>
                <w:sz w:val="21"/>
                <w:szCs w:val="21"/>
              </w:rPr>
              <w:t>粘土</w:t>
            </w:r>
          </w:p>
        </w:tc>
        <w:tc>
          <w:tcPr>
            <w:tcW w:w="2370" w:type="dxa"/>
            <w:vAlign w:val="center"/>
          </w:tcPr>
          <w:p>
            <w:pPr>
              <w:spacing w:line="240" w:lineRule="auto"/>
              <w:ind w:firstLine="0" w:firstLineChars="0"/>
              <w:jc w:val="center"/>
              <w:rPr>
                <w:sz w:val="21"/>
                <w:szCs w:val="21"/>
              </w:rPr>
            </w:pPr>
            <w:r>
              <w:rPr>
                <w:sz w:val="21"/>
                <w:szCs w:val="21"/>
              </w:rPr>
              <w:t>18.64</w:t>
            </w:r>
          </w:p>
        </w:tc>
        <w:tc>
          <w:tcPr>
            <w:tcW w:w="2370" w:type="dxa"/>
            <w:vAlign w:val="center"/>
          </w:tcPr>
          <w:p>
            <w:pPr>
              <w:spacing w:line="240" w:lineRule="auto"/>
              <w:ind w:firstLine="0" w:firstLineChars="0"/>
              <w:jc w:val="center"/>
              <w:rPr>
                <w:sz w:val="21"/>
                <w:szCs w:val="21"/>
              </w:rPr>
            </w:pPr>
            <w:r>
              <w:rPr>
                <w:sz w:val="21"/>
                <w:szCs w:val="21"/>
              </w:rPr>
              <w:t>16.88</w:t>
            </w:r>
          </w:p>
        </w:tc>
        <w:tc>
          <w:tcPr>
            <w:tcW w:w="2370" w:type="dxa"/>
            <w:vAlign w:val="center"/>
          </w:tcPr>
          <w:p>
            <w:pPr>
              <w:spacing w:line="240" w:lineRule="auto"/>
              <w:ind w:firstLine="0" w:firstLineChars="0"/>
              <w:jc w:val="center"/>
              <w:rPr>
                <w:sz w:val="21"/>
                <w:szCs w:val="21"/>
              </w:rPr>
            </w:pPr>
            <w:r>
              <w:rPr>
                <w:sz w:val="21"/>
                <w:szCs w:val="21"/>
              </w:rPr>
              <w:t>14</w:t>
            </w:r>
          </w:p>
        </w:tc>
        <w:tc>
          <w:tcPr>
            <w:tcW w:w="2370" w:type="dxa"/>
            <w:vAlign w:val="center"/>
          </w:tcPr>
          <w:p>
            <w:pPr>
              <w:spacing w:line="240" w:lineRule="auto"/>
              <w:ind w:firstLine="0" w:firstLineChars="0"/>
              <w:jc w:val="center"/>
              <w:rPr>
                <w:sz w:val="21"/>
                <w:szCs w:val="21"/>
              </w:rPr>
            </w:pPr>
            <w:r>
              <w:rPr>
                <w:sz w:val="21"/>
                <w:szCs w:val="21"/>
              </w:rPr>
              <w:t>160</w:t>
            </w:r>
          </w:p>
        </w:tc>
        <w:tc>
          <w:tcPr>
            <w:tcW w:w="2370" w:type="dxa"/>
            <w:vAlign w:val="center"/>
          </w:tcPr>
          <w:p>
            <w:pPr>
              <w:spacing w:line="240" w:lineRule="auto"/>
              <w:ind w:firstLine="0" w:firstLineChars="0"/>
              <w:jc w:val="center"/>
              <w:rPr>
                <w:sz w:val="21"/>
                <w:szCs w:val="21"/>
              </w:rPr>
            </w:pPr>
            <w:r>
              <w:rPr>
                <w:sz w:val="21"/>
                <w:szCs w:val="21"/>
              </w:rPr>
              <w:t>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70" w:type="dxa"/>
            <w:vAlign w:val="center"/>
          </w:tcPr>
          <w:p>
            <w:pPr>
              <w:spacing w:line="240" w:lineRule="auto"/>
              <w:ind w:firstLine="0" w:firstLineChars="0"/>
              <w:jc w:val="center"/>
              <w:rPr>
                <w:sz w:val="21"/>
                <w:szCs w:val="21"/>
              </w:rPr>
            </w:pPr>
            <w:r>
              <w:rPr>
                <w:sz w:val="21"/>
                <w:szCs w:val="21"/>
              </w:rPr>
              <w:t>强风化泥岩</w:t>
            </w:r>
          </w:p>
        </w:tc>
        <w:tc>
          <w:tcPr>
            <w:tcW w:w="2370" w:type="dxa"/>
            <w:vAlign w:val="center"/>
          </w:tcPr>
          <w:p>
            <w:pPr>
              <w:spacing w:line="240" w:lineRule="auto"/>
              <w:ind w:firstLine="0" w:firstLineChars="0"/>
              <w:jc w:val="center"/>
              <w:rPr>
                <w:sz w:val="21"/>
                <w:szCs w:val="21"/>
              </w:rPr>
            </w:pPr>
            <w:r>
              <w:rPr>
                <w:sz w:val="21"/>
                <w:szCs w:val="21"/>
              </w:rPr>
              <w:t>22.56</w:t>
            </w:r>
          </w:p>
        </w:tc>
        <w:tc>
          <w:tcPr>
            <w:tcW w:w="2370" w:type="dxa"/>
            <w:vAlign w:val="center"/>
          </w:tcPr>
          <w:p>
            <w:pPr>
              <w:spacing w:line="240" w:lineRule="auto"/>
              <w:ind w:firstLine="0" w:firstLineChars="0"/>
              <w:jc w:val="center"/>
              <w:rPr>
                <w:sz w:val="21"/>
                <w:szCs w:val="21"/>
              </w:rPr>
            </w:pPr>
            <w:r>
              <w:rPr>
                <w:sz w:val="21"/>
                <w:szCs w:val="21"/>
              </w:rPr>
              <w:t>150</w:t>
            </w:r>
          </w:p>
        </w:tc>
        <w:tc>
          <w:tcPr>
            <w:tcW w:w="2370" w:type="dxa"/>
            <w:vAlign w:val="center"/>
          </w:tcPr>
          <w:p>
            <w:pPr>
              <w:spacing w:line="240" w:lineRule="auto"/>
              <w:ind w:firstLine="0" w:firstLineChars="0"/>
              <w:jc w:val="center"/>
              <w:rPr>
                <w:sz w:val="21"/>
                <w:szCs w:val="21"/>
              </w:rPr>
            </w:pPr>
            <w:r>
              <w:rPr>
                <w:sz w:val="21"/>
                <w:szCs w:val="21"/>
              </w:rPr>
              <w:t>19.5</w:t>
            </w:r>
          </w:p>
        </w:tc>
        <w:tc>
          <w:tcPr>
            <w:tcW w:w="2370" w:type="dxa"/>
            <w:vAlign w:val="center"/>
          </w:tcPr>
          <w:p>
            <w:pPr>
              <w:spacing w:line="240" w:lineRule="auto"/>
              <w:ind w:firstLine="0" w:firstLineChars="0"/>
              <w:jc w:val="center"/>
              <w:rPr>
                <w:sz w:val="21"/>
                <w:szCs w:val="21"/>
              </w:rPr>
            </w:pPr>
            <w:r>
              <w:rPr>
                <w:sz w:val="21"/>
                <w:szCs w:val="21"/>
              </w:rPr>
              <w:t>300</w:t>
            </w:r>
          </w:p>
        </w:tc>
        <w:tc>
          <w:tcPr>
            <w:tcW w:w="2370" w:type="dxa"/>
            <w:vAlign w:val="center"/>
          </w:tcPr>
          <w:p>
            <w:pPr>
              <w:spacing w:line="240" w:lineRule="auto"/>
              <w:ind w:firstLine="0" w:firstLineChars="0"/>
              <w:jc w:val="center"/>
              <w:rPr>
                <w:sz w:val="21"/>
                <w:szCs w:val="21"/>
              </w:rPr>
            </w:pPr>
            <w:r>
              <w:rPr>
                <w:sz w:val="21"/>
                <w:szCs w:val="21"/>
              </w:rPr>
              <w:t>2.50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370" w:type="dxa"/>
            <w:vAlign w:val="center"/>
          </w:tcPr>
          <w:p>
            <w:pPr>
              <w:spacing w:line="240" w:lineRule="auto"/>
              <w:ind w:firstLine="0" w:firstLineChars="0"/>
              <w:jc w:val="center"/>
              <w:rPr>
                <w:sz w:val="21"/>
                <w:szCs w:val="21"/>
              </w:rPr>
            </w:pPr>
            <w:r>
              <w:rPr>
                <w:sz w:val="21"/>
                <w:szCs w:val="21"/>
              </w:rPr>
              <w:t>中风化泥岩</w:t>
            </w:r>
          </w:p>
        </w:tc>
        <w:tc>
          <w:tcPr>
            <w:tcW w:w="2370" w:type="dxa"/>
            <w:vAlign w:val="center"/>
          </w:tcPr>
          <w:p>
            <w:pPr>
              <w:spacing w:line="240" w:lineRule="auto"/>
              <w:ind w:firstLine="0" w:firstLineChars="0"/>
              <w:jc w:val="center"/>
              <w:rPr>
                <w:sz w:val="21"/>
                <w:szCs w:val="21"/>
              </w:rPr>
            </w:pPr>
            <w:r>
              <w:rPr>
                <w:sz w:val="21"/>
                <w:szCs w:val="21"/>
              </w:rPr>
              <w:t>23.05</w:t>
            </w:r>
          </w:p>
        </w:tc>
        <w:tc>
          <w:tcPr>
            <w:tcW w:w="2370" w:type="dxa"/>
            <w:vAlign w:val="center"/>
          </w:tcPr>
          <w:p>
            <w:pPr>
              <w:spacing w:line="240" w:lineRule="auto"/>
              <w:ind w:firstLine="0" w:firstLineChars="0"/>
              <w:jc w:val="center"/>
              <w:rPr>
                <w:sz w:val="21"/>
                <w:szCs w:val="21"/>
              </w:rPr>
            </w:pPr>
            <w:r>
              <w:rPr>
                <w:sz w:val="21"/>
                <w:szCs w:val="21"/>
              </w:rPr>
              <w:t>300</w:t>
            </w:r>
          </w:p>
        </w:tc>
        <w:tc>
          <w:tcPr>
            <w:tcW w:w="2370" w:type="dxa"/>
            <w:vAlign w:val="center"/>
          </w:tcPr>
          <w:p>
            <w:pPr>
              <w:spacing w:line="240" w:lineRule="auto"/>
              <w:ind w:firstLine="0" w:firstLineChars="0"/>
              <w:jc w:val="center"/>
              <w:rPr>
                <w:sz w:val="21"/>
                <w:szCs w:val="21"/>
              </w:rPr>
            </w:pPr>
            <w:r>
              <w:rPr>
                <w:sz w:val="21"/>
                <w:szCs w:val="21"/>
              </w:rPr>
              <w:t>39</w:t>
            </w:r>
          </w:p>
        </w:tc>
        <w:tc>
          <w:tcPr>
            <w:tcW w:w="2370" w:type="dxa"/>
            <w:vAlign w:val="center"/>
          </w:tcPr>
          <w:p>
            <w:pPr>
              <w:spacing w:line="240" w:lineRule="auto"/>
              <w:ind w:firstLine="0" w:firstLineChars="0"/>
              <w:jc w:val="center"/>
              <w:rPr>
                <w:sz w:val="21"/>
                <w:szCs w:val="21"/>
              </w:rPr>
            </w:pPr>
            <w:r>
              <w:rPr>
                <w:sz w:val="21"/>
                <w:szCs w:val="21"/>
              </w:rPr>
              <w:t>1000</w:t>
            </w:r>
          </w:p>
        </w:tc>
        <w:tc>
          <w:tcPr>
            <w:tcW w:w="2370" w:type="dxa"/>
            <w:vAlign w:val="center"/>
          </w:tcPr>
          <w:p>
            <w:pPr>
              <w:spacing w:line="240" w:lineRule="auto"/>
              <w:ind w:firstLine="0" w:firstLineChars="0"/>
              <w:jc w:val="center"/>
              <w:rPr>
                <w:sz w:val="21"/>
                <w:szCs w:val="21"/>
              </w:rPr>
            </w:pPr>
            <w:r>
              <w:rPr>
                <w:sz w:val="21"/>
                <w:szCs w:val="21"/>
              </w:rPr>
              <w:t>12</w:t>
            </w:r>
          </w:p>
        </w:tc>
      </w:tr>
    </w:tbl>
    <w:p>
      <w:pPr>
        <w:spacing w:beforeLines="50"/>
        <w:ind w:firstLine="0" w:firstLineChars="0"/>
        <w:jc w:val="center"/>
      </w:pPr>
      <w:r>
        <w:rPr>
          <w:b/>
          <w:bCs/>
        </w:rPr>
        <w:t>表5.3-17土石方中转场及拦挡工程稳定验算结果表</w:t>
      </w:r>
    </w:p>
    <w:tbl>
      <w:tblPr>
        <w:tblStyle w:val="110"/>
        <w:tblW w:w="502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858"/>
        <w:gridCol w:w="817"/>
        <w:gridCol w:w="1044"/>
        <w:gridCol w:w="1553"/>
        <w:gridCol w:w="993"/>
        <w:gridCol w:w="907"/>
        <w:gridCol w:w="953"/>
        <w:gridCol w:w="890"/>
        <w:gridCol w:w="1065"/>
        <w:gridCol w:w="767"/>
        <w:gridCol w:w="883"/>
        <w:gridCol w:w="767"/>
        <w:gridCol w:w="871"/>
        <w:gridCol w:w="773"/>
        <w:gridCol w:w="115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土石方中转场编号</w:t>
            </w:r>
          </w:p>
        </w:tc>
        <w:tc>
          <w:tcPr>
            <w:tcW w:w="286"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堆场级别</w:t>
            </w:r>
          </w:p>
        </w:tc>
        <w:tc>
          <w:tcPr>
            <w:tcW w:w="365"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拦挡工</w:t>
            </w:r>
          </w:p>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程级别</w:t>
            </w:r>
          </w:p>
        </w:tc>
        <w:tc>
          <w:tcPr>
            <w:tcW w:w="1540" w:type="pct"/>
            <w:gridSpan w:val="4"/>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渣场抗滑稳定安全计算</w:t>
            </w:r>
          </w:p>
        </w:tc>
        <w:tc>
          <w:tcPr>
            <w:tcW w:w="2506" w:type="pct"/>
            <w:gridSpan w:val="8"/>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拦渣工程稳定性计算</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543"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计算工况</w:t>
            </w:r>
          </w:p>
        </w:tc>
        <w:tc>
          <w:tcPr>
            <w:tcW w:w="347"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计算值</w:t>
            </w:r>
          </w:p>
        </w:tc>
        <w:tc>
          <w:tcPr>
            <w:tcW w:w="317"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规定值</w:t>
            </w:r>
          </w:p>
        </w:tc>
        <w:tc>
          <w:tcPr>
            <w:tcW w:w="333"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稳定</w:t>
            </w:r>
          </w:p>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状态</w:t>
            </w:r>
          </w:p>
        </w:tc>
        <w:tc>
          <w:tcPr>
            <w:tcW w:w="311"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拦挡工</w:t>
            </w:r>
          </w:p>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程类型</w:t>
            </w:r>
          </w:p>
        </w:tc>
        <w:tc>
          <w:tcPr>
            <w:tcW w:w="372"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计算工况</w:t>
            </w:r>
          </w:p>
        </w:tc>
        <w:tc>
          <w:tcPr>
            <w:tcW w:w="268" w:type="pc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抗滑移</w:t>
            </w:r>
          </w:p>
        </w:tc>
        <w:tc>
          <w:tcPr>
            <w:tcW w:w="308"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〔Ks〕</w:t>
            </w:r>
          </w:p>
        </w:tc>
        <w:tc>
          <w:tcPr>
            <w:tcW w:w="268" w:type="pc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抗倾覆</w:t>
            </w:r>
          </w:p>
        </w:tc>
        <w:tc>
          <w:tcPr>
            <w:tcW w:w="304"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〔Kt〕</w:t>
            </w:r>
          </w:p>
        </w:tc>
        <w:tc>
          <w:tcPr>
            <w:tcW w:w="270"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强度</w:t>
            </w:r>
          </w:p>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验算</w:t>
            </w:r>
          </w:p>
        </w:tc>
        <w:tc>
          <w:tcPr>
            <w:tcW w:w="403" w:type="pct"/>
            <w:vMerge w:val="restar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稳定</w:t>
            </w:r>
          </w:p>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状态</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543" w:type="pct"/>
            <w:vMerge w:val="continue"/>
            <w:vAlign w:val="center"/>
          </w:tcPr>
          <w:p>
            <w:pPr>
              <w:spacing w:line="240" w:lineRule="auto"/>
              <w:ind w:firstLine="0" w:firstLineChars="0"/>
              <w:jc w:val="center"/>
              <w:rPr>
                <w:b/>
                <w:bCs/>
                <w:sz w:val="21"/>
                <w:szCs w:val="21"/>
              </w:rPr>
            </w:pPr>
          </w:p>
        </w:tc>
        <w:tc>
          <w:tcPr>
            <w:tcW w:w="347" w:type="pct"/>
            <w:vMerge w:val="continue"/>
            <w:vAlign w:val="center"/>
          </w:tcPr>
          <w:p>
            <w:pPr>
              <w:spacing w:line="240" w:lineRule="auto"/>
              <w:ind w:firstLine="0" w:firstLineChars="0"/>
              <w:jc w:val="center"/>
              <w:rPr>
                <w:b/>
                <w:bCs/>
                <w:sz w:val="21"/>
                <w:szCs w:val="21"/>
              </w:rPr>
            </w:pPr>
          </w:p>
        </w:tc>
        <w:tc>
          <w:tcPr>
            <w:tcW w:w="317" w:type="pct"/>
            <w:vMerge w:val="continue"/>
            <w:vAlign w:val="center"/>
          </w:tcPr>
          <w:p>
            <w:pPr>
              <w:spacing w:line="240" w:lineRule="auto"/>
              <w:ind w:firstLine="0" w:firstLineChars="0"/>
              <w:jc w:val="center"/>
              <w:rPr>
                <w:b/>
                <w:bCs/>
                <w:sz w:val="21"/>
                <w:szCs w:val="21"/>
              </w:rPr>
            </w:pPr>
          </w:p>
        </w:tc>
        <w:tc>
          <w:tcPr>
            <w:tcW w:w="333"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311"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372"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268" w:type="pc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Ks</w:t>
            </w:r>
          </w:p>
        </w:tc>
        <w:tc>
          <w:tcPr>
            <w:tcW w:w="308" w:type="pct"/>
            <w:vMerge w:val="continue"/>
            <w:vAlign w:val="center"/>
          </w:tcPr>
          <w:p>
            <w:pPr>
              <w:spacing w:line="240" w:lineRule="auto"/>
              <w:ind w:firstLine="0" w:firstLineChars="0"/>
              <w:jc w:val="center"/>
              <w:rPr>
                <w:b/>
                <w:bCs/>
                <w:sz w:val="21"/>
                <w:szCs w:val="21"/>
              </w:rPr>
            </w:pPr>
          </w:p>
        </w:tc>
        <w:tc>
          <w:tcPr>
            <w:tcW w:w="268" w:type="pct"/>
            <w:vAlign w:val="center"/>
          </w:tcPr>
          <w:p>
            <w:pPr>
              <w:pStyle w:val="48"/>
              <w:spacing w:line="240" w:lineRule="auto"/>
              <w:ind w:firstLine="0" w:firstLineChars="0"/>
              <w:jc w:val="center"/>
              <w:rPr>
                <w:rFonts w:ascii="Times New Roman" w:hAnsi="Times New Roman" w:eastAsia="仿宋_GB2312" w:cs="Times New Roman"/>
                <w:b/>
                <w:bCs/>
                <w:sz w:val="21"/>
                <w:szCs w:val="21"/>
              </w:rPr>
            </w:pPr>
            <w:r>
              <w:rPr>
                <w:rFonts w:ascii="Times New Roman" w:hAnsi="Times New Roman" w:eastAsia="仿宋_GB2312" w:cs="Times New Roman"/>
                <w:b/>
                <w:bCs/>
                <w:sz w:val="21"/>
                <w:szCs w:val="21"/>
              </w:rPr>
              <w:t>Kt</w:t>
            </w:r>
          </w:p>
        </w:tc>
        <w:tc>
          <w:tcPr>
            <w:tcW w:w="304" w:type="pct"/>
            <w:vMerge w:val="continue"/>
            <w:vAlign w:val="center"/>
          </w:tcPr>
          <w:p>
            <w:pPr>
              <w:spacing w:line="240" w:lineRule="auto"/>
              <w:ind w:firstLine="0" w:firstLineChars="0"/>
              <w:jc w:val="center"/>
              <w:rPr>
                <w:b/>
                <w:bCs/>
                <w:sz w:val="21"/>
                <w:szCs w:val="21"/>
              </w:rPr>
            </w:pPr>
          </w:p>
        </w:tc>
        <w:tc>
          <w:tcPr>
            <w:tcW w:w="270"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c>
          <w:tcPr>
            <w:tcW w:w="403" w:type="pct"/>
            <w:vMerge w:val="continue"/>
            <w:vAlign w:val="center"/>
          </w:tcPr>
          <w:p>
            <w:pPr>
              <w:pStyle w:val="48"/>
              <w:spacing w:line="240" w:lineRule="auto"/>
              <w:ind w:firstLine="0" w:firstLineChars="0"/>
              <w:jc w:val="center"/>
              <w:rPr>
                <w:rFonts w:ascii="Times New Roman" w:hAnsi="Times New Roman" w:eastAsia="仿宋_GB2312" w:cs="Times New Roman"/>
                <w:b/>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17" w:hRule="atLeast"/>
        </w:trPr>
        <w:tc>
          <w:tcPr>
            <w:tcW w:w="300" w:type="pct"/>
            <w:vMerge w:val="restart"/>
            <w:vAlign w:val="center"/>
          </w:tcPr>
          <w:p>
            <w:pPr>
              <w:pStyle w:val="48"/>
              <w:spacing w:line="240" w:lineRule="exact"/>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w:t>
            </w:r>
          </w:p>
        </w:tc>
        <w:tc>
          <w:tcPr>
            <w:tcW w:w="286"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5</w:t>
            </w:r>
          </w:p>
        </w:tc>
        <w:tc>
          <w:tcPr>
            <w:tcW w:w="365"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4</w:t>
            </w: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正常运行工况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2.369</w:t>
            </w:r>
          </w:p>
        </w:tc>
        <w:tc>
          <w:tcPr>
            <w:tcW w:w="317" w:type="pct"/>
            <w:vAlign w:val="center"/>
          </w:tcPr>
          <w:p>
            <w:pPr>
              <w:spacing w:line="240" w:lineRule="auto"/>
              <w:ind w:firstLine="0" w:firstLineChars="0"/>
              <w:jc w:val="center"/>
              <w:rPr>
                <w:sz w:val="21"/>
                <w:szCs w:val="21"/>
              </w:rPr>
            </w:pPr>
            <w:r>
              <w:rPr>
                <w:sz w:val="21"/>
                <w:szCs w:val="21"/>
              </w:rPr>
              <w:t>≥1.20</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restart"/>
            <w:vAlign w:val="center"/>
          </w:tcPr>
          <w:p>
            <w:pPr>
              <w:spacing w:line="240" w:lineRule="auto"/>
              <w:ind w:firstLine="0" w:firstLineChars="0"/>
              <w:jc w:val="center"/>
              <w:rPr>
                <w:sz w:val="21"/>
                <w:szCs w:val="21"/>
              </w:rPr>
            </w:pPr>
            <w:r>
              <w:rPr>
                <w:sz w:val="21"/>
                <w:szCs w:val="21"/>
              </w:rPr>
              <w:t>挡土墙</w:t>
            </w:r>
          </w:p>
        </w:tc>
        <w:tc>
          <w:tcPr>
            <w:tcW w:w="372" w:type="pct"/>
            <w:vAlign w:val="center"/>
          </w:tcPr>
          <w:p>
            <w:pPr>
              <w:spacing w:line="240" w:lineRule="auto"/>
              <w:ind w:firstLine="0" w:firstLineChars="0"/>
              <w:jc w:val="center"/>
              <w:rPr>
                <w:sz w:val="21"/>
                <w:szCs w:val="21"/>
              </w:rPr>
            </w:pPr>
            <w:r>
              <w:rPr>
                <w:sz w:val="21"/>
                <w:szCs w:val="21"/>
              </w:rPr>
              <w:t>正常工况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1.281</w:t>
            </w:r>
          </w:p>
        </w:tc>
        <w:tc>
          <w:tcPr>
            <w:tcW w:w="308" w:type="pct"/>
            <w:vAlign w:val="center"/>
          </w:tcPr>
          <w:p>
            <w:pPr>
              <w:spacing w:line="240" w:lineRule="auto"/>
              <w:ind w:firstLine="0" w:firstLineChars="0"/>
              <w:jc w:val="center"/>
              <w:rPr>
                <w:sz w:val="21"/>
                <w:szCs w:val="21"/>
              </w:rPr>
            </w:pPr>
            <w:r>
              <w:rPr>
                <w:sz w:val="21"/>
                <w:szCs w:val="21"/>
              </w:rPr>
              <w:t>≥1.20</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2.212</w:t>
            </w:r>
          </w:p>
        </w:tc>
        <w:tc>
          <w:tcPr>
            <w:tcW w:w="304" w:type="pct"/>
            <w:vAlign w:val="center"/>
          </w:tcPr>
          <w:p>
            <w:pPr>
              <w:spacing w:line="240" w:lineRule="auto"/>
              <w:ind w:firstLine="0" w:firstLineChars="0"/>
              <w:jc w:val="center"/>
              <w:rPr>
                <w:sz w:val="21"/>
                <w:szCs w:val="21"/>
              </w:rPr>
            </w:pPr>
            <w:r>
              <w:rPr>
                <w:sz w:val="21"/>
                <w:szCs w:val="21"/>
              </w:rPr>
              <w:t>≥1.40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12" w:hRule="atLeast"/>
        </w:trPr>
        <w:tc>
          <w:tcPr>
            <w:tcW w:w="300" w:type="pct"/>
            <w:vMerge w:val="continue"/>
            <w:vAlign w:val="center"/>
          </w:tcPr>
          <w:p>
            <w:pPr>
              <w:pStyle w:val="48"/>
              <w:spacing w:line="240" w:lineRule="exact"/>
              <w:ind w:firstLine="0" w:firstLineChars="0"/>
              <w:jc w:val="center"/>
              <w:rPr>
                <w:rFonts w:ascii="Times New Roman" w:hAnsi="Times New Roman" w:eastAsia="仿宋_GB2312" w:cs="Times New Roman"/>
                <w:sz w:val="21"/>
                <w:szCs w:val="21"/>
                <w:lang w:val="en-US"/>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连续降雨工况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1.403</w:t>
            </w:r>
          </w:p>
        </w:tc>
        <w:tc>
          <w:tcPr>
            <w:tcW w:w="317" w:type="pct"/>
            <w:vAlign w:val="center"/>
          </w:tcPr>
          <w:p>
            <w:pPr>
              <w:spacing w:line="240" w:lineRule="auto"/>
              <w:ind w:firstLine="0" w:firstLineChars="0"/>
              <w:jc w:val="center"/>
              <w:rPr>
                <w:sz w:val="21"/>
                <w:szCs w:val="21"/>
              </w:rPr>
            </w:pPr>
            <w:r>
              <w:rPr>
                <w:sz w:val="21"/>
                <w:szCs w:val="21"/>
              </w:rPr>
              <w:t>≥1.05</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continue"/>
            <w:vAlign w:val="center"/>
          </w:tcPr>
          <w:p>
            <w:pPr>
              <w:spacing w:line="240" w:lineRule="auto"/>
              <w:ind w:firstLine="0" w:firstLineChars="0"/>
              <w:jc w:val="center"/>
              <w:rPr>
                <w:sz w:val="21"/>
                <w:szCs w:val="21"/>
              </w:rPr>
            </w:pPr>
          </w:p>
        </w:tc>
        <w:tc>
          <w:tcPr>
            <w:tcW w:w="372" w:type="pct"/>
            <w:vAlign w:val="center"/>
          </w:tcPr>
          <w:p>
            <w:pPr>
              <w:spacing w:line="240" w:lineRule="auto"/>
              <w:ind w:firstLine="0" w:firstLineChars="0"/>
              <w:jc w:val="center"/>
              <w:rPr>
                <w:sz w:val="21"/>
                <w:szCs w:val="21"/>
              </w:rPr>
            </w:pPr>
            <w:r>
              <w:rPr>
                <w:sz w:val="21"/>
                <w:szCs w:val="21"/>
              </w:rPr>
              <w:t>地震工况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1.135</w:t>
            </w:r>
          </w:p>
        </w:tc>
        <w:tc>
          <w:tcPr>
            <w:tcW w:w="308" w:type="pct"/>
            <w:vAlign w:val="center"/>
          </w:tcPr>
          <w:p>
            <w:pPr>
              <w:spacing w:line="240" w:lineRule="auto"/>
              <w:ind w:firstLine="0" w:firstLineChars="0"/>
              <w:jc w:val="center"/>
              <w:rPr>
                <w:sz w:val="21"/>
                <w:szCs w:val="21"/>
              </w:rPr>
            </w:pPr>
            <w:r>
              <w:rPr>
                <w:sz w:val="21"/>
                <w:szCs w:val="21"/>
              </w:rPr>
              <w:t>≥1.05</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1.941</w:t>
            </w:r>
          </w:p>
        </w:tc>
        <w:tc>
          <w:tcPr>
            <w:tcW w:w="304" w:type="pct"/>
            <w:vAlign w:val="center"/>
          </w:tcPr>
          <w:p>
            <w:pPr>
              <w:spacing w:line="240" w:lineRule="auto"/>
              <w:ind w:firstLine="0" w:firstLineChars="0"/>
              <w:jc w:val="center"/>
              <w:rPr>
                <w:sz w:val="21"/>
                <w:szCs w:val="21"/>
              </w:rPr>
            </w:pPr>
            <w:r>
              <w:rPr>
                <w:sz w:val="21"/>
                <w:szCs w:val="21"/>
              </w:rPr>
              <w:t>≥1.30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restart"/>
            <w:vAlign w:val="center"/>
          </w:tcPr>
          <w:p>
            <w:pPr>
              <w:spacing w:line="240" w:lineRule="auto"/>
              <w:ind w:firstLine="0" w:firstLineChars="0"/>
              <w:jc w:val="center"/>
              <w:rPr>
                <w:sz w:val="21"/>
                <w:szCs w:val="21"/>
              </w:rPr>
            </w:pPr>
            <w:r>
              <w:rPr>
                <w:sz w:val="21"/>
                <w:szCs w:val="21"/>
              </w:rPr>
              <w:t>2#</w:t>
            </w:r>
          </w:p>
        </w:tc>
        <w:tc>
          <w:tcPr>
            <w:tcW w:w="286"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5</w:t>
            </w:r>
          </w:p>
        </w:tc>
        <w:tc>
          <w:tcPr>
            <w:tcW w:w="365"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4</w:t>
            </w: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正常运行工况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1.620</w:t>
            </w:r>
          </w:p>
        </w:tc>
        <w:tc>
          <w:tcPr>
            <w:tcW w:w="317" w:type="pct"/>
            <w:vAlign w:val="center"/>
          </w:tcPr>
          <w:p>
            <w:pPr>
              <w:spacing w:line="240" w:lineRule="auto"/>
              <w:ind w:firstLine="0" w:firstLineChars="0"/>
              <w:jc w:val="center"/>
              <w:rPr>
                <w:sz w:val="21"/>
                <w:szCs w:val="21"/>
              </w:rPr>
            </w:pPr>
            <w:r>
              <w:rPr>
                <w:sz w:val="21"/>
                <w:szCs w:val="21"/>
              </w:rPr>
              <w:t>≥1.20</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restart"/>
            <w:vAlign w:val="center"/>
          </w:tcPr>
          <w:p>
            <w:pPr>
              <w:spacing w:line="240" w:lineRule="auto"/>
              <w:ind w:firstLine="0" w:firstLineChars="0"/>
              <w:jc w:val="center"/>
              <w:rPr>
                <w:sz w:val="21"/>
                <w:szCs w:val="21"/>
              </w:rPr>
            </w:pPr>
            <w:r>
              <w:rPr>
                <w:sz w:val="21"/>
                <w:szCs w:val="21"/>
              </w:rPr>
              <w:t>挡土墙</w:t>
            </w:r>
          </w:p>
        </w:tc>
        <w:tc>
          <w:tcPr>
            <w:tcW w:w="372" w:type="pct"/>
            <w:vAlign w:val="center"/>
          </w:tcPr>
          <w:p>
            <w:pPr>
              <w:spacing w:line="240" w:lineRule="auto"/>
              <w:ind w:firstLine="0" w:firstLineChars="0"/>
              <w:jc w:val="center"/>
              <w:rPr>
                <w:sz w:val="21"/>
                <w:szCs w:val="21"/>
              </w:rPr>
            </w:pPr>
            <w:r>
              <w:rPr>
                <w:sz w:val="21"/>
                <w:szCs w:val="21"/>
              </w:rPr>
              <w:t>正常工况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1.281</w:t>
            </w:r>
          </w:p>
        </w:tc>
        <w:tc>
          <w:tcPr>
            <w:tcW w:w="308" w:type="pct"/>
            <w:vAlign w:val="center"/>
          </w:tcPr>
          <w:p>
            <w:pPr>
              <w:spacing w:line="240" w:lineRule="auto"/>
              <w:ind w:firstLine="0" w:firstLineChars="0"/>
              <w:jc w:val="center"/>
              <w:rPr>
                <w:sz w:val="21"/>
                <w:szCs w:val="21"/>
              </w:rPr>
            </w:pPr>
            <w:r>
              <w:rPr>
                <w:sz w:val="21"/>
                <w:szCs w:val="21"/>
              </w:rPr>
              <w:t>≥1.20</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2.212</w:t>
            </w:r>
          </w:p>
        </w:tc>
        <w:tc>
          <w:tcPr>
            <w:tcW w:w="304" w:type="pct"/>
            <w:vAlign w:val="center"/>
          </w:tcPr>
          <w:p>
            <w:pPr>
              <w:spacing w:line="240" w:lineRule="auto"/>
              <w:ind w:firstLine="0" w:firstLineChars="0"/>
              <w:jc w:val="center"/>
              <w:rPr>
                <w:sz w:val="21"/>
                <w:szCs w:val="21"/>
              </w:rPr>
            </w:pPr>
            <w:r>
              <w:rPr>
                <w:sz w:val="21"/>
                <w:szCs w:val="21"/>
              </w:rPr>
              <w:t>≥1.40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continue"/>
            <w:vAlign w:val="center"/>
          </w:tcPr>
          <w:p>
            <w:pPr>
              <w:spacing w:line="240" w:lineRule="auto"/>
              <w:ind w:firstLine="0" w:firstLineChars="0"/>
              <w:jc w:val="center"/>
              <w:rPr>
                <w:sz w:val="21"/>
                <w:szCs w:val="21"/>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连续降雨工况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1.335</w:t>
            </w:r>
          </w:p>
        </w:tc>
        <w:tc>
          <w:tcPr>
            <w:tcW w:w="317" w:type="pct"/>
            <w:vAlign w:val="center"/>
          </w:tcPr>
          <w:p>
            <w:pPr>
              <w:spacing w:line="240" w:lineRule="auto"/>
              <w:ind w:firstLine="0" w:firstLineChars="0"/>
              <w:jc w:val="center"/>
              <w:rPr>
                <w:sz w:val="21"/>
                <w:szCs w:val="21"/>
              </w:rPr>
            </w:pPr>
            <w:r>
              <w:rPr>
                <w:sz w:val="21"/>
                <w:szCs w:val="21"/>
              </w:rPr>
              <w:t>≥1.05</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continue"/>
            <w:vAlign w:val="center"/>
          </w:tcPr>
          <w:p>
            <w:pPr>
              <w:spacing w:line="240" w:lineRule="auto"/>
              <w:ind w:firstLine="0" w:firstLineChars="0"/>
              <w:jc w:val="center"/>
              <w:rPr>
                <w:sz w:val="21"/>
                <w:szCs w:val="21"/>
              </w:rPr>
            </w:pPr>
          </w:p>
        </w:tc>
        <w:tc>
          <w:tcPr>
            <w:tcW w:w="372" w:type="pct"/>
            <w:vAlign w:val="center"/>
          </w:tcPr>
          <w:p>
            <w:pPr>
              <w:spacing w:line="240" w:lineRule="auto"/>
              <w:ind w:firstLine="0" w:firstLineChars="0"/>
              <w:jc w:val="center"/>
              <w:rPr>
                <w:sz w:val="21"/>
                <w:szCs w:val="21"/>
              </w:rPr>
            </w:pPr>
            <w:r>
              <w:rPr>
                <w:sz w:val="21"/>
                <w:szCs w:val="21"/>
              </w:rPr>
              <w:t>地震工况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1.135</w:t>
            </w:r>
          </w:p>
        </w:tc>
        <w:tc>
          <w:tcPr>
            <w:tcW w:w="308" w:type="pct"/>
            <w:vAlign w:val="center"/>
          </w:tcPr>
          <w:p>
            <w:pPr>
              <w:spacing w:line="240" w:lineRule="auto"/>
              <w:ind w:firstLine="0" w:firstLineChars="0"/>
              <w:jc w:val="center"/>
              <w:rPr>
                <w:sz w:val="21"/>
                <w:szCs w:val="21"/>
              </w:rPr>
            </w:pPr>
            <w:r>
              <w:rPr>
                <w:sz w:val="21"/>
                <w:szCs w:val="21"/>
              </w:rPr>
              <w:t>≥1.05</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1.941</w:t>
            </w:r>
          </w:p>
        </w:tc>
        <w:tc>
          <w:tcPr>
            <w:tcW w:w="304" w:type="pct"/>
            <w:vAlign w:val="center"/>
          </w:tcPr>
          <w:p>
            <w:pPr>
              <w:spacing w:line="240" w:lineRule="auto"/>
              <w:ind w:firstLine="0" w:firstLineChars="0"/>
              <w:jc w:val="center"/>
              <w:rPr>
                <w:sz w:val="21"/>
                <w:szCs w:val="21"/>
              </w:rPr>
            </w:pPr>
            <w:r>
              <w:rPr>
                <w:sz w:val="21"/>
                <w:szCs w:val="21"/>
              </w:rPr>
              <w:t>≥1.30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restart"/>
            <w:vAlign w:val="center"/>
          </w:tcPr>
          <w:p>
            <w:pPr>
              <w:spacing w:line="240" w:lineRule="auto"/>
              <w:ind w:firstLine="0" w:firstLineChars="0"/>
              <w:jc w:val="center"/>
              <w:rPr>
                <w:sz w:val="21"/>
                <w:szCs w:val="21"/>
              </w:rPr>
            </w:pPr>
            <w:r>
              <w:rPr>
                <w:sz w:val="21"/>
                <w:szCs w:val="21"/>
              </w:rPr>
              <w:t>3#</w:t>
            </w:r>
          </w:p>
        </w:tc>
        <w:tc>
          <w:tcPr>
            <w:tcW w:w="286"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5</w:t>
            </w:r>
          </w:p>
        </w:tc>
        <w:tc>
          <w:tcPr>
            <w:tcW w:w="365"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4</w:t>
            </w: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正常运行工况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1.528</w:t>
            </w:r>
          </w:p>
        </w:tc>
        <w:tc>
          <w:tcPr>
            <w:tcW w:w="317" w:type="pct"/>
            <w:vAlign w:val="center"/>
          </w:tcPr>
          <w:p>
            <w:pPr>
              <w:spacing w:line="240" w:lineRule="auto"/>
              <w:ind w:firstLine="0" w:firstLineChars="0"/>
              <w:jc w:val="center"/>
              <w:rPr>
                <w:sz w:val="21"/>
                <w:szCs w:val="21"/>
              </w:rPr>
            </w:pPr>
            <w:r>
              <w:rPr>
                <w:sz w:val="21"/>
                <w:szCs w:val="21"/>
              </w:rPr>
              <w:t>≥1.20</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restart"/>
            <w:vAlign w:val="center"/>
          </w:tcPr>
          <w:p>
            <w:pPr>
              <w:spacing w:line="240" w:lineRule="auto"/>
              <w:ind w:firstLine="0" w:firstLineChars="0"/>
              <w:jc w:val="center"/>
              <w:rPr>
                <w:sz w:val="21"/>
                <w:szCs w:val="21"/>
              </w:rPr>
            </w:pPr>
            <w:r>
              <w:rPr>
                <w:sz w:val="21"/>
                <w:szCs w:val="21"/>
              </w:rPr>
              <w:t>挡土墙</w:t>
            </w:r>
          </w:p>
        </w:tc>
        <w:tc>
          <w:tcPr>
            <w:tcW w:w="372" w:type="pct"/>
            <w:vAlign w:val="center"/>
          </w:tcPr>
          <w:p>
            <w:pPr>
              <w:spacing w:line="240" w:lineRule="auto"/>
              <w:ind w:firstLine="0" w:firstLineChars="0"/>
              <w:jc w:val="center"/>
              <w:rPr>
                <w:sz w:val="21"/>
                <w:szCs w:val="21"/>
              </w:rPr>
            </w:pPr>
            <w:r>
              <w:rPr>
                <w:sz w:val="21"/>
                <w:szCs w:val="21"/>
              </w:rPr>
              <w:t>正常工况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1.281</w:t>
            </w:r>
          </w:p>
        </w:tc>
        <w:tc>
          <w:tcPr>
            <w:tcW w:w="308" w:type="pct"/>
            <w:vAlign w:val="center"/>
          </w:tcPr>
          <w:p>
            <w:pPr>
              <w:spacing w:line="240" w:lineRule="auto"/>
              <w:ind w:firstLine="0" w:firstLineChars="0"/>
              <w:jc w:val="center"/>
              <w:rPr>
                <w:sz w:val="21"/>
                <w:szCs w:val="21"/>
              </w:rPr>
            </w:pPr>
            <w:r>
              <w:rPr>
                <w:sz w:val="21"/>
                <w:szCs w:val="21"/>
              </w:rPr>
              <w:t>≥1.20</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2.212</w:t>
            </w:r>
          </w:p>
        </w:tc>
        <w:tc>
          <w:tcPr>
            <w:tcW w:w="304" w:type="pct"/>
            <w:vAlign w:val="center"/>
          </w:tcPr>
          <w:p>
            <w:pPr>
              <w:spacing w:line="240" w:lineRule="auto"/>
              <w:ind w:firstLine="0" w:firstLineChars="0"/>
              <w:jc w:val="center"/>
              <w:rPr>
                <w:sz w:val="21"/>
                <w:szCs w:val="21"/>
              </w:rPr>
            </w:pPr>
            <w:r>
              <w:rPr>
                <w:sz w:val="21"/>
                <w:szCs w:val="21"/>
              </w:rPr>
              <w:t>≥1.40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continue"/>
            <w:vAlign w:val="center"/>
          </w:tcPr>
          <w:p>
            <w:pPr>
              <w:spacing w:line="240" w:lineRule="auto"/>
              <w:ind w:firstLine="0" w:firstLineChars="0"/>
              <w:jc w:val="center"/>
              <w:rPr>
                <w:sz w:val="21"/>
                <w:szCs w:val="21"/>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连续降雨工况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1.393</w:t>
            </w:r>
          </w:p>
        </w:tc>
        <w:tc>
          <w:tcPr>
            <w:tcW w:w="317" w:type="pct"/>
            <w:vAlign w:val="center"/>
          </w:tcPr>
          <w:p>
            <w:pPr>
              <w:spacing w:line="240" w:lineRule="auto"/>
              <w:ind w:firstLine="0" w:firstLineChars="0"/>
              <w:jc w:val="center"/>
              <w:rPr>
                <w:sz w:val="21"/>
                <w:szCs w:val="21"/>
              </w:rPr>
            </w:pPr>
            <w:r>
              <w:rPr>
                <w:sz w:val="21"/>
                <w:szCs w:val="21"/>
              </w:rPr>
              <w:t>≥1.05</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continue"/>
            <w:vAlign w:val="center"/>
          </w:tcPr>
          <w:p>
            <w:pPr>
              <w:spacing w:line="240" w:lineRule="auto"/>
              <w:ind w:firstLine="0" w:firstLineChars="0"/>
              <w:jc w:val="center"/>
              <w:rPr>
                <w:sz w:val="21"/>
                <w:szCs w:val="21"/>
              </w:rPr>
            </w:pPr>
          </w:p>
        </w:tc>
        <w:tc>
          <w:tcPr>
            <w:tcW w:w="372" w:type="pct"/>
            <w:vAlign w:val="center"/>
          </w:tcPr>
          <w:p>
            <w:pPr>
              <w:spacing w:line="240" w:lineRule="auto"/>
              <w:ind w:firstLine="0" w:firstLineChars="0"/>
              <w:jc w:val="center"/>
              <w:rPr>
                <w:sz w:val="21"/>
                <w:szCs w:val="21"/>
              </w:rPr>
            </w:pPr>
            <w:r>
              <w:rPr>
                <w:sz w:val="21"/>
                <w:szCs w:val="21"/>
              </w:rPr>
              <w:t>地震工况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1.135</w:t>
            </w:r>
          </w:p>
        </w:tc>
        <w:tc>
          <w:tcPr>
            <w:tcW w:w="308" w:type="pct"/>
            <w:vAlign w:val="center"/>
          </w:tcPr>
          <w:p>
            <w:pPr>
              <w:spacing w:line="240" w:lineRule="auto"/>
              <w:ind w:firstLine="0" w:firstLineChars="0"/>
              <w:jc w:val="center"/>
              <w:rPr>
                <w:sz w:val="21"/>
                <w:szCs w:val="21"/>
              </w:rPr>
            </w:pPr>
            <w:r>
              <w:rPr>
                <w:sz w:val="21"/>
                <w:szCs w:val="21"/>
              </w:rPr>
              <w:t>≥1.05</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1.941</w:t>
            </w:r>
          </w:p>
        </w:tc>
        <w:tc>
          <w:tcPr>
            <w:tcW w:w="304" w:type="pct"/>
            <w:vAlign w:val="center"/>
          </w:tcPr>
          <w:p>
            <w:pPr>
              <w:spacing w:line="240" w:lineRule="auto"/>
              <w:ind w:firstLine="0" w:firstLineChars="0"/>
              <w:jc w:val="center"/>
              <w:rPr>
                <w:sz w:val="21"/>
                <w:szCs w:val="21"/>
              </w:rPr>
            </w:pPr>
            <w:r>
              <w:rPr>
                <w:sz w:val="21"/>
                <w:szCs w:val="21"/>
              </w:rPr>
              <w:t>≥1.30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4#</w:t>
            </w:r>
          </w:p>
        </w:tc>
        <w:tc>
          <w:tcPr>
            <w:tcW w:w="286"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5</w:t>
            </w:r>
          </w:p>
        </w:tc>
        <w:tc>
          <w:tcPr>
            <w:tcW w:w="365"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4</w:t>
            </w: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正常运行工况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1.560</w:t>
            </w:r>
          </w:p>
        </w:tc>
        <w:tc>
          <w:tcPr>
            <w:tcW w:w="317" w:type="pct"/>
            <w:vAlign w:val="center"/>
          </w:tcPr>
          <w:p>
            <w:pPr>
              <w:spacing w:line="240" w:lineRule="auto"/>
              <w:ind w:firstLine="0" w:firstLineChars="0"/>
              <w:jc w:val="center"/>
              <w:rPr>
                <w:sz w:val="21"/>
                <w:szCs w:val="21"/>
              </w:rPr>
            </w:pPr>
            <w:r>
              <w:rPr>
                <w:sz w:val="21"/>
                <w:szCs w:val="21"/>
              </w:rPr>
              <w:t>≥1.20</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restart"/>
            <w:vAlign w:val="center"/>
          </w:tcPr>
          <w:p>
            <w:pPr>
              <w:spacing w:line="240" w:lineRule="auto"/>
              <w:ind w:firstLine="0" w:firstLineChars="0"/>
              <w:jc w:val="center"/>
              <w:rPr>
                <w:sz w:val="21"/>
                <w:szCs w:val="21"/>
              </w:rPr>
            </w:pPr>
            <w:r>
              <w:rPr>
                <w:sz w:val="21"/>
                <w:szCs w:val="21"/>
              </w:rPr>
              <w:t>挡土墙</w:t>
            </w:r>
          </w:p>
        </w:tc>
        <w:tc>
          <w:tcPr>
            <w:tcW w:w="372" w:type="pct"/>
            <w:vAlign w:val="center"/>
          </w:tcPr>
          <w:p>
            <w:pPr>
              <w:spacing w:line="240" w:lineRule="auto"/>
              <w:ind w:firstLine="0" w:firstLineChars="0"/>
              <w:jc w:val="center"/>
              <w:rPr>
                <w:sz w:val="21"/>
                <w:szCs w:val="21"/>
              </w:rPr>
            </w:pPr>
            <w:r>
              <w:rPr>
                <w:sz w:val="21"/>
                <w:szCs w:val="21"/>
              </w:rPr>
              <w:t>正常工况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1.281</w:t>
            </w:r>
          </w:p>
        </w:tc>
        <w:tc>
          <w:tcPr>
            <w:tcW w:w="308" w:type="pct"/>
            <w:vAlign w:val="center"/>
          </w:tcPr>
          <w:p>
            <w:pPr>
              <w:spacing w:line="240" w:lineRule="auto"/>
              <w:ind w:firstLine="0" w:firstLineChars="0"/>
              <w:jc w:val="center"/>
              <w:rPr>
                <w:sz w:val="21"/>
                <w:szCs w:val="21"/>
              </w:rPr>
            </w:pPr>
            <w:r>
              <w:rPr>
                <w:sz w:val="21"/>
                <w:szCs w:val="21"/>
              </w:rPr>
              <w:t>≥1.20</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2.212</w:t>
            </w:r>
          </w:p>
        </w:tc>
        <w:tc>
          <w:tcPr>
            <w:tcW w:w="304" w:type="pct"/>
            <w:vAlign w:val="center"/>
          </w:tcPr>
          <w:p>
            <w:pPr>
              <w:spacing w:line="240" w:lineRule="auto"/>
              <w:ind w:firstLine="0" w:firstLineChars="0"/>
              <w:jc w:val="center"/>
              <w:rPr>
                <w:sz w:val="21"/>
                <w:szCs w:val="21"/>
              </w:rPr>
            </w:pPr>
            <w:r>
              <w:rPr>
                <w:sz w:val="21"/>
                <w:szCs w:val="21"/>
              </w:rPr>
              <w:t>≥1.40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连续降雨工况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1.199</w:t>
            </w:r>
          </w:p>
        </w:tc>
        <w:tc>
          <w:tcPr>
            <w:tcW w:w="317" w:type="pct"/>
            <w:vAlign w:val="center"/>
          </w:tcPr>
          <w:p>
            <w:pPr>
              <w:spacing w:line="240" w:lineRule="auto"/>
              <w:ind w:firstLine="0" w:firstLineChars="0"/>
              <w:jc w:val="center"/>
              <w:rPr>
                <w:sz w:val="21"/>
                <w:szCs w:val="21"/>
              </w:rPr>
            </w:pPr>
            <w:r>
              <w:rPr>
                <w:sz w:val="21"/>
                <w:szCs w:val="21"/>
              </w:rPr>
              <w:t>≥1.05</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rPr>
            </w:pPr>
          </w:p>
        </w:tc>
        <w:tc>
          <w:tcPr>
            <w:tcW w:w="372" w:type="pct"/>
            <w:vAlign w:val="center"/>
          </w:tcPr>
          <w:p>
            <w:pPr>
              <w:spacing w:line="240" w:lineRule="auto"/>
              <w:ind w:firstLine="0" w:firstLineChars="0"/>
              <w:jc w:val="center"/>
              <w:rPr>
                <w:sz w:val="21"/>
                <w:szCs w:val="21"/>
              </w:rPr>
            </w:pPr>
            <w:r>
              <w:rPr>
                <w:sz w:val="21"/>
                <w:szCs w:val="21"/>
              </w:rPr>
              <w:t>地震工况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1.135</w:t>
            </w:r>
          </w:p>
        </w:tc>
        <w:tc>
          <w:tcPr>
            <w:tcW w:w="308" w:type="pct"/>
            <w:vAlign w:val="center"/>
          </w:tcPr>
          <w:p>
            <w:pPr>
              <w:spacing w:line="240" w:lineRule="auto"/>
              <w:ind w:firstLine="0" w:firstLineChars="0"/>
              <w:jc w:val="center"/>
              <w:rPr>
                <w:sz w:val="21"/>
                <w:szCs w:val="21"/>
              </w:rPr>
            </w:pPr>
            <w:r>
              <w:rPr>
                <w:sz w:val="21"/>
                <w:szCs w:val="21"/>
              </w:rPr>
              <w:t>≥1.05</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1.941</w:t>
            </w:r>
          </w:p>
        </w:tc>
        <w:tc>
          <w:tcPr>
            <w:tcW w:w="304" w:type="pct"/>
            <w:vAlign w:val="center"/>
          </w:tcPr>
          <w:p>
            <w:pPr>
              <w:spacing w:line="240" w:lineRule="auto"/>
              <w:ind w:firstLine="0" w:firstLineChars="0"/>
              <w:jc w:val="center"/>
              <w:rPr>
                <w:sz w:val="21"/>
                <w:szCs w:val="21"/>
              </w:rPr>
            </w:pPr>
            <w:r>
              <w:rPr>
                <w:sz w:val="21"/>
                <w:szCs w:val="21"/>
              </w:rPr>
              <w:t>≥1.30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5#</w:t>
            </w:r>
          </w:p>
        </w:tc>
        <w:tc>
          <w:tcPr>
            <w:tcW w:w="286"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5</w:t>
            </w:r>
          </w:p>
        </w:tc>
        <w:tc>
          <w:tcPr>
            <w:tcW w:w="365"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4</w:t>
            </w: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正常运行工况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1.551</w:t>
            </w:r>
          </w:p>
        </w:tc>
        <w:tc>
          <w:tcPr>
            <w:tcW w:w="317" w:type="pct"/>
            <w:vAlign w:val="center"/>
          </w:tcPr>
          <w:p>
            <w:pPr>
              <w:spacing w:line="240" w:lineRule="auto"/>
              <w:ind w:firstLine="0" w:firstLineChars="0"/>
              <w:jc w:val="center"/>
              <w:rPr>
                <w:sz w:val="21"/>
                <w:szCs w:val="21"/>
              </w:rPr>
            </w:pPr>
            <w:r>
              <w:rPr>
                <w:sz w:val="21"/>
                <w:szCs w:val="21"/>
              </w:rPr>
              <w:t>≥1.20</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restar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挡土墙</w:t>
            </w:r>
          </w:p>
        </w:tc>
        <w:tc>
          <w:tcPr>
            <w:tcW w:w="372" w:type="pct"/>
            <w:vAlign w:val="center"/>
          </w:tcPr>
          <w:p>
            <w:pPr>
              <w:spacing w:line="240" w:lineRule="auto"/>
              <w:ind w:firstLine="0" w:firstLineChars="0"/>
              <w:jc w:val="center"/>
              <w:rPr>
                <w:sz w:val="21"/>
                <w:szCs w:val="21"/>
              </w:rPr>
            </w:pPr>
            <w:r>
              <w:rPr>
                <w:sz w:val="21"/>
                <w:szCs w:val="21"/>
              </w:rPr>
              <w:t>正常工况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1.281</w:t>
            </w:r>
          </w:p>
        </w:tc>
        <w:tc>
          <w:tcPr>
            <w:tcW w:w="308" w:type="pct"/>
            <w:vAlign w:val="center"/>
          </w:tcPr>
          <w:p>
            <w:pPr>
              <w:spacing w:line="240" w:lineRule="auto"/>
              <w:ind w:firstLine="0" w:firstLineChars="0"/>
              <w:jc w:val="center"/>
              <w:rPr>
                <w:sz w:val="21"/>
                <w:szCs w:val="21"/>
              </w:rPr>
            </w:pPr>
            <w:r>
              <w:rPr>
                <w:sz w:val="21"/>
                <w:szCs w:val="21"/>
              </w:rPr>
              <w:t>≥1.20</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2.212</w:t>
            </w:r>
          </w:p>
        </w:tc>
        <w:tc>
          <w:tcPr>
            <w:tcW w:w="304" w:type="pct"/>
            <w:vAlign w:val="center"/>
          </w:tcPr>
          <w:p>
            <w:pPr>
              <w:spacing w:line="240" w:lineRule="auto"/>
              <w:ind w:firstLine="0" w:firstLineChars="0"/>
              <w:jc w:val="center"/>
              <w:rPr>
                <w:sz w:val="21"/>
                <w:szCs w:val="21"/>
              </w:rPr>
            </w:pPr>
            <w:r>
              <w:rPr>
                <w:sz w:val="21"/>
                <w:szCs w:val="21"/>
              </w:rPr>
              <w:t>≥1.40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00"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286"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365"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lang w:val="en-US"/>
              </w:rPr>
            </w:pPr>
          </w:p>
        </w:tc>
        <w:tc>
          <w:tcPr>
            <w:tcW w:w="543" w:type="pct"/>
            <w:vAlign w:val="center"/>
          </w:tcPr>
          <w:p>
            <w:pPr>
              <w:pStyle w:val="98"/>
              <w:spacing w:line="240" w:lineRule="auto"/>
              <w:ind w:left="0" w:leftChars="0" w:right="0" w:rightChars="0" w:firstLine="0" w:firstLineChars="0"/>
              <w:jc w:val="center"/>
              <w:rPr>
                <w:sz w:val="21"/>
                <w:szCs w:val="21"/>
              </w:rPr>
            </w:pPr>
            <w:r>
              <w:rPr>
                <w:sz w:val="21"/>
                <w:szCs w:val="21"/>
              </w:rPr>
              <w:t>连续降雨工况</w:t>
            </w:r>
          </w:p>
        </w:tc>
        <w:tc>
          <w:tcPr>
            <w:tcW w:w="347" w:type="pct"/>
            <w:vAlign w:val="center"/>
          </w:tcPr>
          <w:p>
            <w:pPr>
              <w:pStyle w:val="98"/>
              <w:spacing w:line="240" w:lineRule="auto"/>
              <w:ind w:left="0" w:leftChars="0" w:right="0" w:rightChars="0" w:firstLine="0" w:firstLineChars="0"/>
              <w:jc w:val="center"/>
              <w:rPr>
                <w:sz w:val="21"/>
                <w:szCs w:val="21"/>
              </w:rPr>
            </w:pPr>
            <w:r>
              <w:rPr>
                <w:sz w:val="21"/>
                <w:szCs w:val="21"/>
              </w:rPr>
              <w:t>1.106</w:t>
            </w:r>
          </w:p>
        </w:tc>
        <w:tc>
          <w:tcPr>
            <w:tcW w:w="317" w:type="pct"/>
            <w:vAlign w:val="center"/>
          </w:tcPr>
          <w:p>
            <w:pPr>
              <w:spacing w:line="240" w:lineRule="auto"/>
              <w:ind w:firstLine="0" w:firstLineChars="0"/>
              <w:jc w:val="center"/>
              <w:rPr>
                <w:sz w:val="21"/>
                <w:szCs w:val="21"/>
              </w:rPr>
            </w:pPr>
            <w:r>
              <w:rPr>
                <w:sz w:val="21"/>
                <w:szCs w:val="21"/>
              </w:rPr>
              <w:t>≥1.05</w:t>
            </w:r>
          </w:p>
        </w:tc>
        <w:tc>
          <w:tcPr>
            <w:tcW w:w="333" w:type="pct"/>
            <w:vAlign w:val="center"/>
          </w:tcPr>
          <w:p>
            <w:pPr>
              <w:spacing w:line="240" w:lineRule="auto"/>
              <w:ind w:firstLine="0" w:firstLineChars="0"/>
              <w:jc w:val="center"/>
              <w:rPr>
                <w:sz w:val="21"/>
                <w:szCs w:val="21"/>
              </w:rPr>
            </w:pPr>
            <w:r>
              <w:rPr>
                <w:sz w:val="21"/>
                <w:szCs w:val="21"/>
              </w:rPr>
              <w:t>稳定</w:t>
            </w:r>
          </w:p>
        </w:tc>
        <w:tc>
          <w:tcPr>
            <w:tcW w:w="311" w:type="pct"/>
            <w:vMerge w:val="continue"/>
            <w:vAlign w:val="center"/>
          </w:tcPr>
          <w:p>
            <w:pPr>
              <w:pStyle w:val="48"/>
              <w:spacing w:line="240" w:lineRule="auto"/>
              <w:ind w:firstLine="0" w:firstLineChars="0"/>
              <w:jc w:val="center"/>
              <w:rPr>
                <w:rFonts w:ascii="Times New Roman" w:hAnsi="Times New Roman" w:eastAsia="仿宋_GB2312" w:cs="Times New Roman"/>
                <w:sz w:val="21"/>
                <w:szCs w:val="21"/>
              </w:rPr>
            </w:pPr>
          </w:p>
        </w:tc>
        <w:tc>
          <w:tcPr>
            <w:tcW w:w="372" w:type="pct"/>
            <w:vAlign w:val="center"/>
          </w:tcPr>
          <w:p>
            <w:pPr>
              <w:spacing w:line="240" w:lineRule="auto"/>
              <w:ind w:firstLine="0" w:firstLineChars="0"/>
              <w:jc w:val="center"/>
              <w:rPr>
                <w:sz w:val="21"/>
                <w:szCs w:val="21"/>
              </w:rPr>
            </w:pPr>
            <w:r>
              <w:rPr>
                <w:sz w:val="21"/>
                <w:szCs w:val="21"/>
              </w:rPr>
              <w:t>地震工况</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1.135</w:t>
            </w:r>
          </w:p>
        </w:tc>
        <w:tc>
          <w:tcPr>
            <w:tcW w:w="308" w:type="pct"/>
            <w:vAlign w:val="center"/>
          </w:tcPr>
          <w:p>
            <w:pPr>
              <w:spacing w:line="240" w:lineRule="auto"/>
              <w:ind w:firstLine="0" w:firstLineChars="0"/>
              <w:jc w:val="center"/>
              <w:rPr>
                <w:sz w:val="21"/>
                <w:szCs w:val="21"/>
              </w:rPr>
            </w:pPr>
            <w:r>
              <w:rPr>
                <w:sz w:val="21"/>
                <w:szCs w:val="21"/>
              </w:rPr>
              <w:t>≥1.05</w:t>
            </w:r>
          </w:p>
        </w:tc>
        <w:tc>
          <w:tcPr>
            <w:tcW w:w="268" w:type="pct"/>
            <w:vAlign w:val="center"/>
          </w:tcPr>
          <w:p>
            <w:pPr>
              <w:pStyle w:val="48"/>
              <w:spacing w:line="240" w:lineRule="auto"/>
              <w:ind w:firstLine="0" w:firstLineChars="0"/>
              <w:jc w:val="center"/>
              <w:rPr>
                <w:rFonts w:ascii="Times New Roman" w:hAnsi="Times New Roman" w:eastAsia="仿宋_GB2312" w:cs="Times New Roman"/>
                <w:sz w:val="21"/>
                <w:szCs w:val="21"/>
                <w:lang w:val="en-US"/>
              </w:rPr>
            </w:pPr>
            <w:r>
              <w:rPr>
                <w:rFonts w:ascii="Times New Roman" w:hAnsi="Times New Roman" w:eastAsia="仿宋_GB2312" w:cs="Times New Roman"/>
                <w:sz w:val="21"/>
                <w:szCs w:val="21"/>
                <w:lang w:val="en-US"/>
              </w:rPr>
              <w:t>1.941</w:t>
            </w:r>
          </w:p>
        </w:tc>
        <w:tc>
          <w:tcPr>
            <w:tcW w:w="304" w:type="pct"/>
            <w:vAlign w:val="center"/>
          </w:tcPr>
          <w:p>
            <w:pPr>
              <w:spacing w:line="240" w:lineRule="auto"/>
              <w:ind w:firstLine="0" w:firstLineChars="0"/>
              <w:jc w:val="center"/>
              <w:rPr>
                <w:sz w:val="21"/>
                <w:szCs w:val="21"/>
              </w:rPr>
            </w:pPr>
            <w:r>
              <w:rPr>
                <w:sz w:val="21"/>
                <w:szCs w:val="21"/>
              </w:rPr>
              <w:t>≥1.30</w:t>
            </w:r>
          </w:p>
        </w:tc>
        <w:tc>
          <w:tcPr>
            <w:tcW w:w="270"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rPr>
              <w:t>满足</w:t>
            </w:r>
          </w:p>
        </w:tc>
        <w:tc>
          <w:tcPr>
            <w:tcW w:w="403" w:type="pct"/>
            <w:vAlign w:val="center"/>
          </w:tcPr>
          <w:p>
            <w:pPr>
              <w:pStyle w:val="48"/>
              <w:spacing w:line="240" w:lineRule="auto"/>
              <w:ind w:firstLine="0" w:firstLineChars="0"/>
              <w:jc w:val="center"/>
              <w:rPr>
                <w:rFonts w:ascii="Times New Roman" w:hAnsi="Times New Roman" w:eastAsia="仿宋_GB2312" w:cs="Times New Roman"/>
                <w:sz w:val="21"/>
                <w:szCs w:val="21"/>
              </w:rPr>
            </w:pPr>
            <w:r>
              <w:rPr>
                <w:rFonts w:ascii="Times New Roman" w:hAnsi="Times New Roman" w:eastAsia="仿宋_GB2312" w:cs="Times New Roman"/>
                <w:sz w:val="21"/>
                <w:szCs w:val="21"/>
                <w:lang w:val="en-US"/>
              </w:rPr>
              <w:t>稳定</w:t>
            </w:r>
          </w:p>
        </w:tc>
      </w:tr>
    </w:tbl>
    <w:p>
      <w:pPr>
        <w:ind w:firstLine="0" w:firstLineChars="0"/>
        <w:sectPr>
          <w:pgSz w:w="16838" w:h="11905" w:orient="landscape"/>
          <w:pgMar w:top="1417" w:right="1417" w:bottom="1417" w:left="1417" w:header="850" w:footer="992" w:gutter="0"/>
          <w:cols w:space="720" w:num="1"/>
          <w:docGrid w:linePitch="312" w:charSpace="0"/>
        </w:sectPr>
      </w:pPr>
    </w:p>
    <w:p>
      <w:pPr>
        <w:pStyle w:val="5"/>
        <w:spacing w:beforeLines="50"/>
      </w:pPr>
      <w:bookmarkStart w:id="90" w:name="_Toc19809"/>
      <w:r>
        <w:t>5.4防治措施工程量汇总</w:t>
      </w:r>
      <w:bookmarkEnd w:id="90"/>
    </w:p>
    <w:p>
      <w:pPr>
        <w:ind w:firstLine="480"/>
        <w:sectPr>
          <w:pgSz w:w="11905" w:h="16838"/>
          <w:pgMar w:top="1417" w:right="1417" w:bottom="1417" w:left="1417" w:header="850" w:footer="992" w:gutter="0"/>
          <w:cols w:space="720" w:num="1"/>
          <w:docGrid w:linePitch="312" w:charSpace="0"/>
        </w:sectPr>
      </w:pPr>
      <w:r>
        <w:rPr>
          <w:lang w:val="zh-CN"/>
        </w:rPr>
        <w:t>本</w:t>
      </w:r>
      <w:r>
        <w:t>项目水土流失防治分区主要采取工程措施、植物措施与临时措施相结合的防治体系，方案根据主体工程设计情况补充完善水土保持防治措施。水土保持防治措施及工程量详见下表。</w:t>
      </w:r>
    </w:p>
    <w:p>
      <w:pPr>
        <w:pStyle w:val="68"/>
        <w:spacing w:after="120"/>
      </w:pPr>
      <w:r>
        <w:t>表5.4-1水土保持措施工程量汇总表</w:t>
      </w:r>
    </w:p>
    <w:tbl>
      <w:tblPr>
        <w:tblStyle w:val="110"/>
        <w:tblW w:w="0" w:type="auto"/>
        <w:jc w:val="cente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433"/>
        <w:gridCol w:w="983"/>
        <w:gridCol w:w="787"/>
        <w:gridCol w:w="676"/>
        <w:gridCol w:w="16"/>
        <w:gridCol w:w="271"/>
        <w:gridCol w:w="946"/>
        <w:gridCol w:w="763"/>
        <w:gridCol w:w="930"/>
        <w:gridCol w:w="1142"/>
        <w:gridCol w:w="1012"/>
        <w:gridCol w:w="1017"/>
        <w:gridCol w:w="1004"/>
        <w:gridCol w:w="1077"/>
        <w:gridCol w:w="1091"/>
        <w:gridCol w:w="998"/>
        <w:gridCol w:w="107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restart"/>
            <w:vAlign w:val="center"/>
          </w:tcPr>
          <w:p>
            <w:pPr>
              <w:pStyle w:val="68"/>
              <w:adjustRightInd/>
              <w:snapToGrid/>
              <w:spacing w:afterLines="0"/>
              <w:jc w:val="center"/>
              <w:rPr>
                <w:sz w:val="21"/>
                <w:szCs w:val="21"/>
              </w:rPr>
            </w:pPr>
            <w:r>
              <w:rPr>
                <w:sz w:val="21"/>
                <w:szCs w:val="21"/>
              </w:rPr>
              <w:t>防治分区</w:t>
            </w:r>
          </w:p>
        </w:tc>
        <w:tc>
          <w:tcPr>
            <w:tcW w:w="787" w:type="dxa"/>
            <w:vMerge w:val="restart"/>
            <w:vAlign w:val="center"/>
          </w:tcPr>
          <w:p>
            <w:pPr>
              <w:pStyle w:val="68"/>
              <w:adjustRightInd/>
              <w:snapToGrid/>
              <w:spacing w:afterLines="0"/>
              <w:jc w:val="center"/>
              <w:rPr>
                <w:sz w:val="21"/>
                <w:szCs w:val="21"/>
              </w:rPr>
            </w:pPr>
            <w:r>
              <w:rPr>
                <w:sz w:val="21"/>
                <w:szCs w:val="21"/>
              </w:rPr>
              <w:t>措施类型</w:t>
            </w:r>
          </w:p>
        </w:tc>
        <w:tc>
          <w:tcPr>
            <w:tcW w:w="1909" w:type="dxa"/>
            <w:gridSpan w:val="4"/>
            <w:vMerge w:val="restart"/>
            <w:vAlign w:val="center"/>
          </w:tcPr>
          <w:p>
            <w:pPr>
              <w:pStyle w:val="68"/>
              <w:adjustRightInd/>
              <w:snapToGrid/>
              <w:spacing w:afterLines="0"/>
              <w:jc w:val="center"/>
              <w:rPr>
                <w:sz w:val="21"/>
                <w:szCs w:val="21"/>
              </w:rPr>
            </w:pPr>
            <w:r>
              <w:rPr>
                <w:sz w:val="21"/>
                <w:szCs w:val="21"/>
              </w:rPr>
              <w:t>措施内容</w:t>
            </w:r>
          </w:p>
        </w:tc>
        <w:tc>
          <w:tcPr>
            <w:tcW w:w="763" w:type="dxa"/>
            <w:vMerge w:val="restart"/>
            <w:vAlign w:val="center"/>
          </w:tcPr>
          <w:p>
            <w:pPr>
              <w:pStyle w:val="68"/>
              <w:adjustRightInd/>
              <w:snapToGrid/>
              <w:spacing w:afterLines="0"/>
              <w:jc w:val="center"/>
              <w:rPr>
                <w:sz w:val="21"/>
                <w:szCs w:val="21"/>
              </w:rPr>
            </w:pPr>
            <w:r>
              <w:rPr>
                <w:sz w:val="21"/>
                <w:szCs w:val="21"/>
              </w:rPr>
              <w:t>单位</w:t>
            </w:r>
          </w:p>
        </w:tc>
        <w:tc>
          <w:tcPr>
            <w:tcW w:w="5105" w:type="dxa"/>
            <w:gridSpan w:val="5"/>
            <w:vAlign w:val="center"/>
          </w:tcPr>
          <w:p>
            <w:pPr>
              <w:pStyle w:val="68"/>
              <w:adjustRightInd/>
              <w:snapToGrid/>
              <w:spacing w:afterLines="0"/>
              <w:jc w:val="center"/>
              <w:rPr>
                <w:sz w:val="21"/>
                <w:szCs w:val="21"/>
              </w:rPr>
            </w:pPr>
            <w:r>
              <w:rPr>
                <w:sz w:val="21"/>
                <w:szCs w:val="21"/>
              </w:rPr>
              <w:t>工程量</w:t>
            </w:r>
          </w:p>
        </w:tc>
        <w:tc>
          <w:tcPr>
            <w:tcW w:w="3166" w:type="dxa"/>
            <w:gridSpan w:val="3"/>
            <w:vAlign w:val="center"/>
          </w:tcPr>
          <w:p>
            <w:pPr>
              <w:pStyle w:val="68"/>
              <w:adjustRightInd/>
              <w:snapToGrid/>
              <w:spacing w:afterLines="0"/>
              <w:jc w:val="center"/>
              <w:rPr>
                <w:sz w:val="21"/>
                <w:szCs w:val="21"/>
              </w:rPr>
            </w:pPr>
            <w:r>
              <w:rPr>
                <w:sz w:val="21"/>
                <w:szCs w:val="21"/>
              </w:rPr>
              <w:t>实施情况</w:t>
            </w:r>
          </w:p>
        </w:tc>
        <w:tc>
          <w:tcPr>
            <w:tcW w:w="1074" w:type="dxa"/>
            <w:vMerge w:val="restart"/>
            <w:vAlign w:val="center"/>
          </w:tcPr>
          <w:p>
            <w:pPr>
              <w:pStyle w:val="68"/>
              <w:adjustRightInd/>
              <w:snapToGrid/>
              <w:spacing w:afterLines="0"/>
              <w:jc w:val="center"/>
              <w:rPr>
                <w:sz w:val="21"/>
                <w:szCs w:val="21"/>
              </w:rPr>
            </w:pPr>
            <w:r>
              <w:rPr>
                <w:sz w:val="21"/>
                <w:szCs w:val="21"/>
              </w:rPr>
              <w:t>投资属性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rPr>
                <w:sz w:val="21"/>
                <w:szCs w:val="21"/>
              </w:rPr>
            </w:pPr>
          </w:p>
        </w:tc>
        <w:tc>
          <w:tcPr>
            <w:tcW w:w="787" w:type="dxa"/>
            <w:vMerge w:val="continue"/>
            <w:vAlign w:val="center"/>
          </w:tcPr>
          <w:p>
            <w:pPr>
              <w:pStyle w:val="68"/>
              <w:adjustRightInd/>
              <w:snapToGrid/>
              <w:spacing w:afterLines="0"/>
              <w:jc w:val="center"/>
              <w:rPr>
                <w:sz w:val="21"/>
                <w:szCs w:val="21"/>
              </w:rPr>
            </w:pPr>
          </w:p>
        </w:tc>
        <w:tc>
          <w:tcPr>
            <w:tcW w:w="1909" w:type="dxa"/>
            <w:gridSpan w:val="4"/>
            <w:vMerge w:val="continue"/>
            <w:vAlign w:val="center"/>
          </w:tcPr>
          <w:p>
            <w:pPr>
              <w:pStyle w:val="68"/>
              <w:adjustRightInd/>
              <w:snapToGrid/>
              <w:spacing w:afterLines="0"/>
              <w:jc w:val="center"/>
              <w:rPr>
                <w:sz w:val="21"/>
                <w:szCs w:val="21"/>
              </w:rPr>
            </w:pPr>
          </w:p>
        </w:tc>
        <w:tc>
          <w:tcPr>
            <w:tcW w:w="763" w:type="dxa"/>
            <w:vMerge w:val="continue"/>
            <w:vAlign w:val="center"/>
          </w:tcPr>
          <w:p>
            <w:pPr>
              <w:pStyle w:val="68"/>
              <w:adjustRightInd/>
              <w:snapToGrid/>
              <w:spacing w:afterLines="0"/>
              <w:jc w:val="center"/>
              <w:rPr>
                <w:sz w:val="21"/>
                <w:szCs w:val="21"/>
              </w:rPr>
            </w:pPr>
          </w:p>
        </w:tc>
        <w:tc>
          <w:tcPr>
            <w:tcW w:w="930" w:type="dxa"/>
            <w:vAlign w:val="center"/>
          </w:tcPr>
          <w:p>
            <w:pPr>
              <w:pStyle w:val="68"/>
              <w:adjustRightInd/>
              <w:snapToGrid/>
              <w:spacing w:afterLines="0"/>
              <w:jc w:val="center"/>
              <w:rPr>
                <w:sz w:val="21"/>
                <w:szCs w:val="21"/>
              </w:rPr>
            </w:pPr>
            <w:r>
              <w:rPr>
                <w:sz w:val="21"/>
                <w:szCs w:val="21"/>
              </w:rPr>
              <w:t>工业用地区</w:t>
            </w:r>
          </w:p>
        </w:tc>
        <w:tc>
          <w:tcPr>
            <w:tcW w:w="1142" w:type="dxa"/>
            <w:vAlign w:val="center"/>
          </w:tcPr>
          <w:p>
            <w:pPr>
              <w:pStyle w:val="68"/>
              <w:adjustRightInd/>
              <w:snapToGrid/>
              <w:spacing w:afterLines="0"/>
              <w:jc w:val="center"/>
              <w:rPr>
                <w:sz w:val="21"/>
                <w:szCs w:val="21"/>
              </w:rPr>
            </w:pPr>
            <w:r>
              <w:rPr>
                <w:sz w:val="21"/>
                <w:szCs w:val="21"/>
              </w:rPr>
              <w:t>道路与交通设施用地区</w:t>
            </w:r>
          </w:p>
        </w:tc>
        <w:tc>
          <w:tcPr>
            <w:tcW w:w="1012" w:type="dxa"/>
            <w:vAlign w:val="center"/>
          </w:tcPr>
          <w:p>
            <w:pPr>
              <w:pStyle w:val="68"/>
              <w:adjustRightInd/>
              <w:snapToGrid/>
              <w:spacing w:afterLines="0"/>
              <w:jc w:val="center"/>
              <w:rPr>
                <w:sz w:val="21"/>
                <w:szCs w:val="21"/>
              </w:rPr>
            </w:pPr>
            <w:r>
              <w:rPr>
                <w:sz w:val="21"/>
                <w:szCs w:val="21"/>
              </w:rPr>
              <w:t>公用设施用地区</w:t>
            </w:r>
          </w:p>
        </w:tc>
        <w:tc>
          <w:tcPr>
            <w:tcW w:w="1017" w:type="dxa"/>
            <w:vAlign w:val="center"/>
          </w:tcPr>
          <w:p>
            <w:pPr>
              <w:pStyle w:val="68"/>
              <w:adjustRightInd/>
              <w:snapToGrid/>
              <w:spacing w:afterLines="0"/>
              <w:jc w:val="center"/>
              <w:rPr>
                <w:sz w:val="21"/>
                <w:szCs w:val="21"/>
              </w:rPr>
            </w:pPr>
            <w:r>
              <w:rPr>
                <w:sz w:val="21"/>
                <w:szCs w:val="21"/>
              </w:rPr>
              <w:t>绿地与广场用地区</w:t>
            </w:r>
          </w:p>
        </w:tc>
        <w:tc>
          <w:tcPr>
            <w:tcW w:w="1004" w:type="dxa"/>
            <w:vAlign w:val="center"/>
          </w:tcPr>
          <w:p>
            <w:pPr>
              <w:pStyle w:val="68"/>
              <w:adjustRightInd/>
              <w:snapToGrid/>
              <w:spacing w:afterLines="0"/>
              <w:jc w:val="center"/>
              <w:rPr>
                <w:sz w:val="21"/>
                <w:szCs w:val="21"/>
              </w:rPr>
            </w:pPr>
            <w:r>
              <w:rPr>
                <w:sz w:val="21"/>
                <w:szCs w:val="21"/>
              </w:rPr>
              <w:t>小计</w:t>
            </w:r>
          </w:p>
        </w:tc>
        <w:tc>
          <w:tcPr>
            <w:tcW w:w="1077" w:type="dxa"/>
            <w:vAlign w:val="center"/>
          </w:tcPr>
          <w:p>
            <w:pPr>
              <w:pStyle w:val="68"/>
              <w:adjustRightInd/>
              <w:snapToGrid/>
              <w:spacing w:afterLines="0"/>
              <w:jc w:val="center"/>
              <w:rPr>
                <w:sz w:val="21"/>
                <w:szCs w:val="21"/>
              </w:rPr>
            </w:pPr>
            <w:r>
              <w:rPr>
                <w:sz w:val="21"/>
                <w:szCs w:val="21"/>
              </w:rPr>
              <w:t>已实施</w:t>
            </w:r>
          </w:p>
        </w:tc>
        <w:tc>
          <w:tcPr>
            <w:tcW w:w="1091" w:type="dxa"/>
            <w:vAlign w:val="center"/>
          </w:tcPr>
          <w:p>
            <w:pPr>
              <w:pStyle w:val="68"/>
              <w:adjustRightInd/>
              <w:snapToGrid/>
              <w:spacing w:afterLines="0"/>
              <w:jc w:val="center"/>
              <w:rPr>
                <w:sz w:val="21"/>
                <w:szCs w:val="21"/>
              </w:rPr>
            </w:pPr>
            <w:r>
              <w:rPr>
                <w:sz w:val="21"/>
                <w:szCs w:val="21"/>
              </w:rPr>
              <w:t>未实施</w:t>
            </w:r>
          </w:p>
        </w:tc>
        <w:tc>
          <w:tcPr>
            <w:tcW w:w="998" w:type="dxa"/>
            <w:vAlign w:val="center"/>
          </w:tcPr>
          <w:p>
            <w:pPr>
              <w:pStyle w:val="68"/>
              <w:adjustRightInd/>
              <w:snapToGrid/>
              <w:spacing w:afterLines="0"/>
              <w:jc w:val="center"/>
              <w:rPr>
                <w:sz w:val="21"/>
                <w:szCs w:val="21"/>
              </w:rPr>
            </w:pPr>
            <w:r>
              <w:rPr>
                <w:sz w:val="21"/>
                <w:szCs w:val="21"/>
              </w:rPr>
              <w:t>小计</w:t>
            </w:r>
          </w:p>
        </w:tc>
        <w:tc>
          <w:tcPr>
            <w:tcW w:w="1074" w:type="dxa"/>
            <w:vMerge w:val="continue"/>
            <w:vAlign w:val="center"/>
          </w:tcPr>
          <w:p>
            <w:pPr>
              <w:pStyle w:val="68"/>
              <w:adjustRightInd/>
              <w:snapToGrid/>
              <w:spacing w:afterLine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vAlign w:val="center"/>
          </w:tcPr>
          <w:p>
            <w:pPr>
              <w:pStyle w:val="68"/>
              <w:adjustRightInd/>
              <w:snapToGrid/>
              <w:spacing w:afterLines="0"/>
              <w:jc w:val="center"/>
              <w:rPr>
                <w:b w:val="0"/>
                <w:bCs/>
                <w:sz w:val="21"/>
                <w:szCs w:val="21"/>
              </w:rPr>
            </w:pPr>
            <w:r>
              <w:rPr>
                <w:b w:val="0"/>
                <w:bCs/>
                <w:sz w:val="21"/>
                <w:szCs w:val="21"/>
              </w:rPr>
              <w:t>近期建设区</w:t>
            </w:r>
          </w:p>
        </w:tc>
        <w:tc>
          <w:tcPr>
            <w:tcW w:w="983" w:type="dxa"/>
            <w:vMerge w:val="restart"/>
            <w:vAlign w:val="center"/>
          </w:tcPr>
          <w:p>
            <w:pPr>
              <w:pStyle w:val="68"/>
              <w:adjustRightInd/>
              <w:snapToGrid/>
              <w:spacing w:afterLines="0"/>
              <w:jc w:val="center"/>
              <w:rPr>
                <w:b w:val="0"/>
                <w:bCs/>
                <w:sz w:val="21"/>
                <w:szCs w:val="21"/>
              </w:rPr>
            </w:pPr>
            <w:r>
              <w:rPr>
                <w:b w:val="0"/>
                <w:bCs/>
                <w:sz w:val="21"/>
                <w:szCs w:val="21"/>
              </w:rPr>
              <w:t>已建区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工程措施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表土剥离</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b w:val="0"/>
                <w:bCs/>
                <w:sz w:val="21"/>
                <w:szCs w:val="21"/>
              </w:rPr>
              <w:t>3.94</w:t>
            </w: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3.94</w:t>
            </w:r>
          </w:p>
        </w:tc>
        <w:tc>
          <w:tcPr>
            <w:tcW w:w="1077" w:type="dxa"/>
            <w:vAlign w:val="center"/>
          </w:tcPr>
          <w:p>
            <w:pPr>
              <w:pStyle w:val="68"/>
              <w:adjustRightInd/>
              <w:snapToGrid/>
              <w:spacing w:afterLines="0"/>
              <w:jc w:val="center"/>
              <w:rPr>
                <w:b w:val="0"/>
                <w:bCs/>
                <w:sz w:val="21"/>
                <w:szCs w:val="21"/>
              </w:rPr>
            </w:pPr>
            <w:r>
              <w:rPr>
                <w:b w:val="0"/>
                <w:bCs/>
                <w:sz w:val="21"/>
                <w:szCs w:val="21"/>
              </w:rPr>
              <w:t>3.94</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3.94</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表土回覆</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b w:val="0"/>
                <w:bCs/>
                <w:sz w:val="21"/>
                <w:szCs w:val="21"/>
              </w:rPr>
              <w:t>3.94</w:t>
            </w:r>
          </w:p>
        </w:tc>
        <w:tc>
          <w:tcPr>
            <w:tcW w:w="1142" w:type="dxa"/>
            <w:vAlign w:val="center"/>
          </w:tcPr>
          <w:p>
            <w:pPr>
              <w:pStyle w:val="68"/>
              <w:adjustRightInd/>
              <w:snapToGrid/>
              <w:spacing w:afterLines="0"/>
              <w:jc w:val="center"/>
              <w:rPr>
                <w:b w:val="0"/>
                <w:bCs/>
                <w:sz w:val="21"/>
                <w:szCs w:val="21"/>
              </w:rPr>
            </w:pPr>
            <w:r>
              <w:rPr>
                <w:b w:val="0"/>
                <w:bCs/>
                <w:sz w:val="21"/>
                <w:szCs w:val="21"/>
              </w:rPr>
              <w:t>2.41</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6.35</w:t>
            </w:r>
          </w:p>
        </w:tc>
        <w:tc>
          <w:tcPr>
            <w:tcW w:w="1077" w:type="dxa"/>
            <w:vAlign w:val="center"/>
          </w:tcPr>
          <w:p>
            <w:pPr>
              <w:pStyle w:val="68"/>
              <w:adjustRightInd/>
              <w:snapToGrid/>
              <w:spacing w:afterLines="0"/>
              <w:jc w:val="center"/>
              <w:rPr>
                <w:b w:val="0"/>
                <w:bCs/>
                <w:sz w:val="21"/>
                <w:szCs w:val="21"/>
              </w:rPr>
            </w:pPr>
            <w:r>
              <w:rPr>
                <w:b w:val="0"/>
                <w:bCs/>
                <w:sz w:val="21"/>
                <w:szCs w:val="21"/>
              </w:rPr>
              <w:t>6.35</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6.35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2236</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2236</w:t>
            </w:r>
          </w:p>
        </w:tc>
        <w:tc>
          <w:tcPr>
            <w:tcW w:w="1077" w:type="dxa"/>
            <w:vAlign w:val="center"/>
          </w:tcPr>
          <w:p>
            <w:pPr>
              <w:pStyle w:val="68"/>
              <w:adjustRightInd/>
              <w:snapToGrid/>
              <w:spacing w:afterLines="0"/>
              <w:jc w:val="center"/>
              <w:rPr>
                <w:b w:val="0"/>
                <w:bCs/>
                <w:sz w:val="21"/>
                <w:szCs w:val="21"/>
              </w:rPr>
            </w:pPr>
            <w:r>
              <w:rPr>
                <w:b w:val="0"/>
                <w:bCs/>
                <w:sz w:val="21"/>
                <w:szCs w:val="21"/>
              </w:rPr>
              <w:t>2236</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2236</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雨水口</w:t>
            </w:r>
          </w:p>
        </w:tc>
        <w:tc>
          <w:tcPr>
            <w:tcW w:w="763" w:type="dxa"/>
            <w:vAlign w:val="center"/>
          </w:tcPr>
          <w:p>
            <w:pPr>
              <w:pStyle w:val="68"/>
              <w:adjustRightInd/>
              <w:snapToGrid/>
              <w:spacing w:afterLines="0"/>
              <w:jc w:val="center"/>
              <w:rPr>
                <w:b w:val="0"/>
                <w:bCs/>
                <w:sz w:val="21"/>
                <w:szCs w:val="21"/>
              </w:rPr>
            </w:pPr>
            <w:r>
              <w:rPr>
                <w:b w:val="0"/>
                <w:bCs/>
                <w:sz w:val="21"/>
                <w:szCs w:val="21"/>
              </w:rPr>
              <w:t>个</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45</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45</w:t>
            </w:r>
          </w:p>
        </w:tc>
        <w:tc>
          <w:tcPr>
            <w:tcW w:w="1077" w:type="dxa"/>
            <w:vAlign w:val="center"/>
          </w:tcPr>
          <w:p>
            <w:pPr>
              <w:pStyle w:val="68"/>
              <w:adjustRightInd/>
              <w:snapToGrid/>
              <w:spacing w:afterLines="0"/>
              <w:jc w:val="center"/>
              <w:rPr>
                <w:b w:val="0"/>
                <w:bCs/>
                <w:sz w:val="21"/>
                <w:szCs w:val="21"/>
              </w:rPr>
            </w:pPr>
            <w:r>
              <w:rPr>
                <w:b w:val="0"/>
                <w:bCs/>
                <w:sz w:val="21"/>
                <w:szCs w:val="21"/>
              </w:rPr>
              <w:t>45</w:t>
            </w:r>
          </w:p>
        </w:tc>
        <w:tc>
          <w:tcPr>
            <w:tcW w:w="1091" w:type="dxa"/>
            <w:vAlign w:val="center"/>
          </w:tcPr>
          <w:p>
            <w:pPr>
              <w:pStyle w:val="68"/>
              <w:adjustRightInd/>
              <w:snapToGrid/>
              <w:spacing w:afterLines="0"/>
              <w:jc w:val="center"/>
              <w:rPr>
                <w:b w:val="0"/>
                <w:bCs/>
                <w:sz w:val="21"/>
                <w:szCs w:val="21"/>
              </w:rPr>
            </w:pPr>
          </w:p>
        </w:tc>
        <w:tc>
          <w:tcPr>
            <w:tcW w:w="998" w:type="dxa"/>
            <w:vAlign w:val="center"/>
          </w:tcPr>
          <w:p>
            <w:pPr>
              <w:pStyle w:val="68"/>
              <w:adjustRightInd/>
              <w:snapToGrid/>
              <w:spacing w:afterLines="0"/>
              <w:jc w:val="center"/>
              <w:rPr>
                <w:b w:val="0"/>
                <w:bCs/>
                <w:sz w:val="21"/>
                <w:szCs w:val="21"/>
              </w:rPr>
            </w:pPr>
            <w:r>
              <w:rPr>
                <w:sz w:val="21"/>
                <w:szCs w:val="21"/>
              </w:rPr>
              <w:t>45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植物措施</w:t>
            </w:r>
          </w:p>
        </w:tc>
        <w:tc>
          <w:tcPr>
            <w:tcW w:w="676" w:type="dxa"/>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1233" w:type="dxa"/>
            <w:gridSpan w:val="3"/>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763"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bottom w:val="single" w:color="auto" w:sz="4" w:space="0"/>
            </w:tcBorders>
            <w:vAlign w:val="center"/>
          </w:tcPr>
          <w:p>
            <w:pPr>
              <w:pStyle w:val="68"/>
              <w:adjustRightInd/>
              <w:snapToGrid/>
              <w:spacing w:afterLines="0"/>
              <w:jc w:val="center"/>
              <w:rPr>
                <w:b w:val="0"/>
                <w:bCs/>
                <w:sz w:val="21"/>
                <w:szCs w:val="21"/>
              </w:rPr>
            </w:pPr>
          </w:p>
        </w:tc>
        <w:tc>
          <w:tcPr>
            <w:tcW w:w="1142"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2.11</w:t>
            </w:r>
          </w:p>
        </w:tc>
        <w:tc>
          <w:tcPr>
            <w:tcW w:w="1012" w:type="dxa"/>
            <w:tcBorders>
              <w:bottom w:val="single" w:color="auto" w:sz="4" w:space="0"/>
            </w:tcBorders>
            <w:vAlign w:val="center"/>
          </w:tcPr>
          <w:p>
            <w:pPr>
              <w:pStyle w:val="68"/>
              <w:adjustRightInd/>
              <w:snapToGrid/>
              <w:spacing w:afterLines="0"/>
              <w:jc w:val="center"/>
              <w:rPr>
                <w:b w:val="0"/>
                <w:bCs/>
                <w:sz w:val="21"/>
                <w:szCs w:val="21"/>
              </w:rPr>
            </w:pPr>
          </w:p>
        </w:tc>
        <w:tc>
          <w:tcPr>
            <w:tcW w:w="1017" w:type="dxa"/>
            <w:tcBorders>
              <w:bottom w:val="single" w:color="auto" w:sz="4" w:space="0"/>
            </w:tcBorders>
            <w:vAlign w:val="center"/>
          </w:tcPr>
          <w:p>
            <w:pPr>
              <w:pStyle w:val="68"/>
              <w:adjustRightInd/>
              <w:snapToGrid/>
              <w:spacing w:afterLines="0"/>
              <w:jc w:val="center"/>
              <w:rPr>
                <w:b w:val="0"/>
                <w:bCs/>
                <w:sz w:val="21"/>
                <w:szCs w:val="21"/>
              </w:rPr>
            </w:pPr>
          </w:p>
        </w:tc>
        <w:tc>
          <w:tcPr>
            <w:tcW w:w="1004" w:type="dxa"/>
            <w:tcBorders>
              <w:bottom w:val="single" w:color="auto" w:sz="4" w:space="0"/>
            </w:tcBorders>
            <w:vAlign w:val="center"/>
          </w:tcPr>
          <w:p>
            <w:pPr>
              <w:pStyle w:val="68"/>
              <w:adjustRightInd/>
              <w:snapToGrid/>
              <w:spacing w:afterLines="0"/>
              <w:jc w:val="center"/>
              <w:rPr>
                <w:sz w:val="21"/>
                <w:szCs w:val="21"/>
              </w:rPr>
            </w:pPr>
            <w:r>
              <w:rPr>
                <w:sz w:val="21"/>
                <w:szCs w:val="21"/>
              </w:rPr>
              <w:t>2.11</w:t>
            </w:r>
          </w:p>
        </w:tc>
        <w:tc>
          <w:tcPr>
            <w:tcW w:w="1077"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2.11</w:t>
            </w:r>
          </w:p>
        </w:tc>
        <w:tc>
          <w:tcPr>
            <w:tcW w:w="1091" w:type="dxa"/>
            <w:tcBorders>
              <w:bottom w:val="single" w:color="auto" w:sz="4" w:space="0"/>
            </w:tcBorders>
            <w:vAlign w:val="center"/>
          </w:tcPr>
          <w:p>
            <w:pPr>
              <w:pStyle w:val="68"/>
              <w:adjustRightInd/>
              <w:snapToGrid/>
              <w:spacing w:afterLines="0"/>
              <w:jc w:val="center"/>
              <w:rPr>
                <w:b w:val="0"/>
                <w:bCs/>
                <w:sz w:val="21"/>
                <w:szCs w:val="21"/>
              </w:rPr>
            </w:pPr>
          </w:p>
        </w:tc>
        <w:tc>
          <w:tcPr>
            <w:tcW w:w="998" w:type="dxa"/>
            <w:tcBorders>
              <w:bottom w:val="single" w:color="auto" w:sz="4" w:space="0"/>
            </w:tcBorders>
            <w:vAlign w:val="center"/>
          </w:tcPr>
          <w:p>
            <w:pPr>
              <w:pStyle w:val="68"/>
              <w:adjustRightInd/>
              <w:snapToGrid/>
              <w:spacing w:afterLines="0"/>
              <w:jc w:val="center"/>
              <w:rPr>
                <w:sz w:val="21"/>
                <w:szCs w:val="21"/>
              </w:rPr>
            </w:pPr>
            <w:r>
              <w:rPr>
                <w:sz w:val="21"/>
                <w:szCs w:val="21"/>
              </w:rPr>
              <w:t>2.11</w:t>
            </w:r>
          </w:p>
        </w:tc>
        <w:tc>
          <w:tcPr>
            <w:tcW w:w="1074" w:type="dxa"/>
            <w:vMerge w:val="restart"/>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76" w:type="dxa"/>
            <w:vMerge w:val="continue"/>
            <w:tcBorders>
              <w:right w:val="single" w:color="auto" w:sz="4" w:space="0"/>
            </w:tcBorders>
            <w:vAlign w:val="center"/>
          </w:tcPr>
          <w:p>
            <w:pPr>
              <w:pStyle w:val="68"/>
              <w:adjustRightInd/>
              <w:snapToGrid/>
              <w:spacing w:afterLines="0"/>
              <w:jc w:val="center"/>
              <w:rPr>
                <w:b w:val="0"/>
                <w:bCs/>
                <w:sz w:val="21"/>
                <w:szCs w:val="21"/>
              </w:rPr>
            </w:pPr>
          </w:p>
        </w:tc>
        <w:tc>
          <w:tcPr>
            <w:tcW w:w="1233" w:type="dxa"/>
            <w:gridSpan w:val="3"/>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763"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930"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516/0.07</w:t>
            </w:r>
          </w:p>
        </w:tc>
        <w:tc>
          <w:tcPr>
            <w:tcW w:w="101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bottom w:val="single" w:color="auto" w:sz="4" w:space="0"/>
            </w:tcBorders>
            <w:vAlign w:val="center"/>
          </w:tcPr>
          <w:p>
            <w:pPr>
              <w:pStyle w:val="68"/>
              <w:adjustRightInd/>
              <w:snapToGrid/>
              <w:spacing w:afterLines="0"/>
              <w:jc w:val="center"/>
              <w:rPr>
                <w:sz w:val="21"/>
                <w:szCs w:val="21"/>
              </w:rPr>
            </w:pPr>
            <w:r>
              <w:rPr>
                <w:sz w:val="21"/>
                <w:szCs w:val="21"/>
              </w:rPr>
              <w:t>516/0.07</w:t>
            </w:r>
          </w:p>
        </w:tc>
        <w:tc>
          <w:tcPr>
            <w:tcW w:w="107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516/0.07</w:t>
            </w:r>
          </w:p>
        </w:tc>
        <w:tc>
          <w:tcPr>
            <w:tcW w:w="1091"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998" w:type="dxa"/>
            <w:tcBorders>
              <w:top w:val="single" w:color="auto" w:sz="4" w:space="0"/>
              <w:bottom w:val="single" w:color="auto" w:sz="4" w:space="0"/>
            </w:tcBorders>
            <w:vAlign w:val="center"/>
          </w:tcPr>
          <w:p>
            <w:pPr>
              <w:pStyle w:val="68"/>
              <w:adjustRightInd/>
              <w:snapToGrid/>
              <w:spacing w:afterLines="0"/>
              <w:jc w:val="center"/>
              <w:rPr>
                <w:sz w:val="21"/>
                <w:szCs w:val="21"/>
              </w:rPr>
            </w:pPr>
            <w:r>
              <w:rPr>
                <w:sz w:val="21"/>
                <w:szCs w:val="21"/>
              </w:rPr>
              <w:t>516/0.07</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76" w:type="dxa"/>
            <w:vMerge w:val="continue"/>
            <w:tcBorders>
              <w:right w:val="single" w:color="auto" w:sz="4" w:space="0"/>
            </w:tcBorders>
            <w:vAlign w:val="center"/>
          </w:tcPr>
          <w:p>
            <w:pPr>
              <w:pStyle w:val="68"/>
              <w:adjustRightInd/>
              <w:snapToGrid/>
              <w:spacing w:afterLines="0"/>
              <w:jc w:val="center"/>
              <w:rPr>
                <w:b w:val="0"/>
                <w:bCs/>
                <w:sz w:val="21"/>
                <w:szCs w:val="21"/>
              </w:rPr>
            </w:pPr>
          </w:p>
        </w:tc>
        <w:tc>
          <w:tcPr>
            <w:tcW w:w="1233" w:type="dxa"/>
            <w:gridSpan w:val="3"/>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763"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top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2.04</w:t>
            </w:r>
          </w:p>
        </w:tc>
        <w:tc>
          <w:tcPr>
            <w:tcW w:w="1012" w:type="dxa"/>
            <w:tcBorders>
              <w:top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tcBorders>
            <w:vAlign w:val="center"/>
          </w:tcPr>
          <w:p>
            <w:pPr>
              <w:pStyle w:val="68"/>
              <w:adjustRightInd/>
              <w:snapToGrid/>
              <w:spacing w:afterLines="0"/>
              <w:jc w:val="center"/>
              <w:rPr>
                <w:sz w:val="21"/>
                <w:szCs w:val="21"/>
              </w:rPr>
            </w:pPr>
            <w:r>
              <w:rPr>
                <w:sz w:val="21"/>
                <w:szCs w:val="21"/>
              </w:rPr>
              <w:t>2.04</w:t>
            </w:r>
          </w:p>
        </w:tc>
        <w:tc>
          <w:tcPr>
            <w:tcW w:w="1077"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2.04</w:t>
            </w:r>
          </w:p>
        </w:tc>
        <w:tc>
          <w:tcPr>
            <w:tcW w:w="1091" w:type="dxa"/>
            <w:tcBorders>
              <w:top w:val="single" w:color="auto" w:sz="4" w:space="0"/>
            </w:tcBorders>
            <w:vAlign w:val="center"/>
          </w:tcPr>
          <w:p>
            <w:pPr>
              <w:pStyle w:val="68"/>
              <w:adjustRightInd/>
              <w:snapToGrid/>
              <w:spacing w:afterLines="0"/>
              <w:jc w:val="center"/>
              <w:rPr>
                <w:b w:val="0"/>
                <w:bCs/>
                <w:sz w:val="21"/>
                <w:szCs w:val="21"/>
              </w:rPr>
            </w:pPr>
          </w:p>
        </w:tc>
        <w:tc>
          <w:tcPr>
            <w:tcW w:w="998" w:type="dxa"/>
            <w:tcBorders>
              <w:top w:val="single" w:color="auto" w:sz="4" w:space="0"/>
            </w:tcBorders>
            <w:vAlign w:val="center"/>
          </w:tcPr>
          <w:p>
            <w:pPr>
              <w:pStyle w:val="68"/>
              <w:adjustRightInd/>
              <w:snapToGrid/>
              <w:spacing w:afterLines="0"/>
              <w:jc w:val="center"/>
              <w:rPr>
                <w:sz w:val="21"/>
                <w:szCs w:val="21"/>
              </w:rPr>
            </w:pPr>
            <w:r>
              <w:rPr>
                <w:sz w:val="21"/>
                <w:szCs w:val="21"/>
              </w:rPr>
              <w:t>2.04</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restart"/>
            <w:vAlign w:val="center"/>
          </w:tcPr>
          <w:p>
            <w:pPr>
              <w:pStyle w:val="68"/>
              <w:adjustRightInd/>
              <w:snapToGrid/>
              <w:spacing w:afterLines="0"/>
              <w:jc w:val="center"/>
              <w:rPr>
                <w:b w:val="0"/>
                <w:bCs/>
                <w:sz w:val="21"/>
                <w:szCs w:val="21"/>
              </w:rPr>
            </w:pPr>
            <w:r>
              <w:rPr>
                <w:b w:val="0"/>
                <w:bCs/>
                <w:sz w:val="21"/>
                <w:szCs w:val="21"/>
              </w:rPr>
              <w:t>在建区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工程措施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表土剥离</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spacing w:line="240" w:lineRule="auto"/>
              <w:ind w:firstLine="0" w:firstLineChars="0"/>
              <w:jc w:val="center"/>
              <w:rPr>
                <w:bCs/>
                <w:sz w:val="21"/>
                <w:szCs w:val="21"/>
              </w:rPr>
            </w:pPr>
            <w:r>
              <w:rPr>
                <w:rFonts w:hint="eastAsia"/>
                <w:sz w:val="21"/>
                <w:szCs w:val="21"/>
              </w:rPr>
              <w:t>75.50</w:t>
            </w:r>
          </w:p>
        </w:tc>
        <w:tc>
          <w:tcPr>
            <w:tcW w:w="1142" w:type="dxa"/>
            <w:vAlign w:val="center"/>
          </w:tcPr>
          <w:p>
            <w:pPr>
              <w:spacing w:line="240" w:lineRule="auto"/>
              <w:ind w:firstLine="0" w:firstLineChars="0"/>
              <w:jc w:val="center"/>
              <w:rPr>
                <w:bCs/>
                <w:sz w:val="21"/>
                <w:szCs w:val="21"/>
              </w:rPr>
            </w:pPr>
            <w:r>
              <w:rPr>
                <w:sz w:val="21"/>
                <w:szCs w:val="21"/>
              </w:rPr>
              <w:t>3.94</w:t>
            </w:r>
          </w:p>
        </w:tc>
        <w:tc>
          <w:tcPr>
            <w:tcW w:w="1012" w:type="dxa"/>
            <w:vAlign w:val="center"/>
          </w:tcPr>
          <w:p>
            <w:pPr>
              <w:pStyle w:val="68"/>
              <w:adjustRightInd/>
              <w:snapToGrid/>
              <w:spacing w:afterLines="0"/>
              <w:jc w:val="center"/>
              <w:rPr>
                <w:b w:val="0"/>
                <w:bCs/>
                <w:sz w:val="21"/>
                <w:szCs w:val="21"/>
              </w:rPr>
            </w:pPr>
            <w:r>
              <w:rPr>
                <w:b w:val="0"/>
                <w:bCs/>
                <w:sz w:val="21"/>
                <w:szCs w:val="21"/>
              </w:rPr>
              <w:t>0.71</w:t>
            </w:r>
          </w:p>
        </w:tc>
        <w:tc>
          <w:tcPr>
            <w:tcW w:w="1017" w:type="dxa"/>
            <w:vAlign w:val="center"/>
          </w:tcPr>
          <w:p>
            <w:pPr>
              <w:spacing w:line="240" w:lineRule="auto"/>
              <w:ind w:firstLine="0" w:firstLineChars="0"/>
              <w:jc w:val="center"/>
              <w:rPr>
                <w:bCs/>
                <w:sz w:val="21"/>
                <w:szCs w:val="21"/>
              </w:rPr>
            </w:pPr>
          </w:p>
        </w:tc>
        <w:tc>
          <w:tcPr>
            <w:tcW w:w="1004" w:type="dxa"/>
            <w:vAlign w:val="center"/>
          </w:tcPr>
          <w:p>
            <w:pPr>
              <w:pStyle w:val="68"/>
              <w:adjustRightInd/>
              <w:snapToGrid/>
              <w:spacing w:afterLines="0"/>
              <w:jc w:val="center"/>
              <w:rPr>
                <w:sz w:val="21"/>
                <w:szCs w:val="21"/>
              </w:rPr>
            </w:pPr>
            <w:r>
              <w:rPr>
                <w:rFonts w:hint="eastAsia"/>
                <w:sz w:val="21"/>
                <w:szCs w:val="21"/>
              </w:rPr>
              <w:t>80.15</w:t>
            </w:r>
          </w:p>
        </w:tc>
        <w:tc>
          <w:tcPr>
            <w:tcW w:w="1077" w:type="dxa"/>
            <w:vAlign w:val="center"/>
          </w:tcPr>
          <w:p>
            <w:pPr>
              <w:pStyle w:val="68"/>
              <w:adjustRightInd/>
              <w:snapToGrid/>
              <w:spacing w:afterLines="0"/>
              <w:jc w:val="center"/>
              <w:rPr>
                <w:b w:val="0"/>
                <w:bCs/>
                <w:sz w:val="21"/>
                <w:szCs w:val="21"/>
              </w:rPr>
            </w:pPr>
            <w:r>
              <w:rPr>
                <w:b w:val="0"/>
                <w:bCs/>
                <w:sz w:val="21"/>
                <w:szCs w:val="21"/>
              </w:rPr>
              <w:t>16.15</w:t>
            </w:r>
          </w:p>
          <w:p>
            <w:pPr>
              <w:pStyle w:val="68"/>
              <w:adjustRightInd/>
              <w:snapToGrid/>
              <w:spacing w:afterLines="0"/>
              <w:jc w:val="center"/>
              <w:rPr>
                <w:b w:val="0"/>
                <w:bCs/>
                <w:sz w:val="21"/>
                <w:szCs w:val="21"/>
              </w:rPr>
            </w:pPr>
            <w:r>
              <w:rPr>
                <w:b w:val="0"/>
                <w:bCs/>
                <w:sz w:val="21"/>
                <w:szCs w:val="21"/>
              </w:rPr>
              <w:t>主体已有</w:t>
            </w:r>
          </w:p>
        </w:tc>
        <w:tc>
          <w:tcPr>
            <w:tcW w:w="1091" w:type="dxa"/>
            <w:vAlign w:val="center"/>
          </w:tcPr>
          <w:p>
            <w:pPr>
              <w:pStyle w:val="68"/>
              <w:adjustRightInd/>
              <w:snapToGrid/>
              <w:spacing w:afterLines="0"/>
              <w:jc w:val="center"/>
              <w:rPr>
                <w:b w:val="0"/>
                <w:bCs/>
                <w:sz w:val="21"/>
                <w:szCs w:val="21"/>
              </w:rPr>
            </w:pPr>
            <w:r>
              <w:rPr>
                <w:b w:val="0"/>
                <w:bCs/>
                <w:sz w:val="21"/>
                <w:szCs w:val="21"/>
              </w:rPr>
              <w:t>64</w:t>
            </w:r>
          </w:p>
          <w:p>
            <w:pPr>
              <w:pStyle w:val="68"/>
              <w:adjustRightInd/>
              <w:snapToGrid/>
              <w:spacing w:afterLines="0"/>
              <w:jc w:val="center"/>
              <w:rPr>
                <w:b w:val="0"/>
                <w:bCs/>
                <w:sz w:val="21"/>
                <w:szCs w:val="21"/>
              </w:rPr>
            </w:pPr>
            <w:r>
              <w:rPr>
                <w:b w:val="0"/>
                <w:bCs/>
                <w:sz w:val="21"/>
                <w:szCs w:val="21"/>
              </w:rPr>
              <w:t>报告新增</w:t>
            </w:r>
          </w:p>
        </w:tc>
        <w:tc>
          <w:tcPr>
            <w:tcW w:w="998" w:type="dxa"/>
            <w:vAlign w:val="center"/>
          </w:tcPr>
          <w:p>
            <w:pPr>
              <w:pStyle w:val="68"/>
              <w:adjustRightInd/>
              <w:snapToGrid/>
              <w:spacing w:afterLines="0"/>
              <w:jc w:val="center"/>
              <w:rPr>
                <w:b w:val="0"/>
                <w:bCs/>
                <w:sz w:val="21"/>
                <w:szCs w:val="21"/>
              </w:rPr>
            </w:pPr>
            <w:r>
              <w:rPr>
                <w:rFonts w:hint="eastAsia"/>
                <w:sz w:val="21"/>
                <w:szCs w:val="21"/>
              </w:rPr>
              <w:t>80.15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r>
              <w:rPr>
                <w:rFonts w:hint="eastAsia"/>
                <w:b w:val="0"/>
                <w:bCs/>
                <w:sz w:val="21"/>
                <w:szCs w:val="21"/>
              </w:rPr>
              <w:t>/</w:t>
            </w: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表土回覆</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spacing w:line="240" w:lineRule="auto"/>
              <w:ind w:firstLine="0" w:firstLineChars="0"/>
              <w:jc w:val="center"/>
              <w:rPr>
                <w:bCs/>
                <w:sz w:val="21"/>
                <w:szCs w:val="21"/>
              </w:rPr>
            </w:pPr>
            <w:r>
              <w:rPr>
                <w:sz w:val="21"/>
                <w:szCs w:val="21"/>
              </w:rPr>
              <w:t>7.68</w:t>
            </w:r>
          </w:p>
        </w:tc>
        <w:tc>
          <w:tcPr>
            <w:tcW w:w="1142" w:type="dxa"/>
            <w:vAlign w:val="center"/>
          </w:tcPr>
          <w:p>
            <w:pPr>
              <w:spacing w:line="240" w:lineRule="auto"/>
              <w:ind w:firstLine="0" w:firstLineChars="0"/>
              <w:jc w:val="center"/>
              <w:rPr>
                <w:bCs/>
                <w:sz w:val="21"/>
                <w:szCs w:val="21"/>
              </w:rPr>
            </w:pPr>
            <w:r>
              <w:rPr>
                <w:sz w:val="21"/>
                <w:szCs w:val="21"/>
              </w:rPr>
              <w:t>3.94</w:t>
            </w:r>
          </w:p>
        </w:tc>
        <w:tc>
          <w:tcPr>
            <w:tcW w:w="1012" w:type="dxa"/>
            <w:vAlign w:val="center"/>
          </w:tcPr>
          <w:p>
            <w:pPr>
              <w:pStyle w:val="68"/>
              <w:adjustRightInd/>
              <w:snapToGrid/>
              <w:spacing w:afterLines="0"/>
              <w:jc w:val="center"/>
              <w:rPr>
                <w:b w:val="0"/>
                <w:bCs/>
                <w:sz w:val="21"/>
                <w:szCs w:val="21"/>
              </w:rPr>
            </w:pPr>
            <w:r>
              <w:rPr>
                <w:b w:val="0"/>
                <w:bCs/>
                <w:sz w:val="21"/>
                <w:szCs w:val="21"/>
              </w:rPr>
              <w:t>0.71</w:t>
            </w:r>
          </w:p>
        </w:tc>
        <w:tc>
          <w:tcPr>
            <w:tcW w:w="1017" w:type="dxa"/>
            <w:vAlign w:val="center"/>
          </w:tcPr>
          <w:p>
            <w:pPr>
              <w:spacing w:line="240" w:lineRule="auto"/>
              <w:ind w:firstLine="0" w:firstLineChars="0"/>
              <w:jc w:val="center"/>
              <w:rPr>
                <w:bCs/>
                <w:sz w:val="21"/>
                <w:szCs w:val="21"/>
              </w:rPr>
            </w:pPr>
            <w:r>
              <w:rPr>
                <w:rFonts w:hint="eastAsia"/>
                <w:sz w:val="21"/>
                <w:szCs w:val="21"/>
              </w:rPr>
              <w:t>11.95</w:t>
            </w:r>
          </w:p>
        </w:tc>
        <w:tc>
          <w:tcPr>
            <w:tcW w:w="1004" w:type="dxa"/>
            <w:vAlign w:val="center"/>
          </w:tcPr>
          <w:p>
            <w:pPr>
              <w:pStyle w:val="68"/>
              <w:adjustRightInd/>
              <w:snapToGrid/>
              <w:spacing w:afterLines="0"/>
              <w:jc w:val="center"/>
              <w:rPr>
                <w:sz w:val="21"/>
                <w:szCs w:val="21"/>
              </w:rPr>
            </w:pPr>
            <w:r>
              <w:rPr>
                <w:rFonts w:hint="eastAsia"/>
                <w:sz w:val="21"/>
                <w:szCs w:val="21"/>
              </w:rPr>
              <w:t>24.28</w:t>
            </w:r>
          </w:p>
        </w:tc>
        <w:tc>
          <w:tcPr>
            <w:tcW w:w="1077" w:type="dxa"/>
            <w:vAlign w:val="center"/>
          </w:tcPr>
          <w:p>
            <w:pPr>
              <w:pStyle w:val="68"/>
              <w:adjustRightInd/>
              <w:snapToGrid/>
              <w:spacing w:afterLines="0"/>
              <w:jc w:val="center"/>
              <w:rPr>
                <w:b w:val="0"/>
                <w:bCs/>
                <w:sz w:val="21"/>
                <w:szCs w:val="21"/>
              </w:rPr>
            </w:pPr>
            <w:r>
              <w:rPr>
                <w:b w:val="0"/>
                <w:bCs/>
                <w:sz w:val="21"/>
                <w:szCs w:val="21"/>
              </w:rPr>
              <w:t>13.74</w:t>
            </w:r>
          </w:p>
          <w:p>
            <w:pPr>
              <w:pStyle w:val="68"/>
              <w:adjustRightInd/>
              <w:snapToGrid/>
              <w:spacing w:afterLines="0"/>
              <w:jc w:val="center"/>
              <w:rPr>
                <w:b w:val="0"/>
                <w:bCs/>
                <w:sz w:val="21"/>
                <w:szCs w:val="21"/>
              </w:rPr>
            </w:pPr>
            <w:r>
              <w:rPr>
                <w:b w:val="0"/>
                <w:bCs/>
                <w:sz w:val="21"/>
                <w:szCs w:val="21"/>
              </w:rPr>
              <w:t>主体已有</w:t>
            </w:r>
          </w:p>
        </w:tc>
        <w:tc>
          <w:tcPr>
            <w:tcW w:w="1091" w:type="dxa"/>
            <w:vAlign w:val="center"/>
          </w:tcPr>
          <w:p>
            <w:pPr>
              <w:pStyle w:val="68"/>
              <w:adjustRightInd/>
              <w:snapToGrid/>
              <w:spacing w:afterLines="0"/>
              <w:jc w:val="center"/>
              <w:rPr>
                <w:b w:val="0"/>
                <w:bCs/>
                <w:sz w:val="21"/>
                <w:szCs w:val="21"/>
              </w:rPr>
            </w:pPr>
            <w:r>
              <w:rPr>
                <w:b w:val="0"/>
                <w:bCs/>
                <w:sz w:val="21"/>
                <w:szCs w:val="21"/>
              </w:rPr>
              <w:t>10.54</w:t>
            </w:r>
          </w:p>
          <w:p>
            <w:pPr>
              <w:pStyle w:val="68"/>
              <w:adjustRightInd/>
              <w:snapToGrid/>
              <w:spacing w:afterLines="0"/>
              <w:jc w:val="center"/>
              <w:rPr>
                <w:b w:val="0"/>
                <w:bCs/>
                <w:sz w:val="21"/>
                <w:szCs w:val="21"/>
              </w:rPr>
            </w:pPr>
            <w:r>
              <w:rPr>
                <w:b w:val="0"/>
                <w:bCs/>
                <w:sz w:val="21"/>
                <w:szCs w:val="21"/>
              </w:rPr>
              <w:t>报告新增</w:t>
            </w:r>
          </w:p>
        </w:tc>
        <w:tc>
          <w:tcPr>
            <w:tcW w:w="998" w:type="dxa"/>
            <w:vAlign w:val="center"/>
          </w:tcPr>
          <w:p>
            <w:pPr>
              <w:pStyle w:val="68"/>
              <w:adjustRightInd/>
              <w:snapToGrid/>
              <w:spacing w:afterLines="0"/>
              <w:jc w:val="center"/>
              <w:rPr>
                <w:b w:val="0"/>
                <w:bCs/>
                <w:sz w:val="21"/>
                <w:szCs w:val="21"/>
              </w:rPr>
            </w:pPr>
            <w:r>
              <w:rPr>
                <w:rFonts w:hint="eastAsia"/>
                <w:sz w:val="21"/>
                <w:szCs w:val="21"/>
              </w:rPr>
              <w:t>24.28</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r>
              <w:rPr>
                <w:rFonts w:hint="eastAsia"/>
                <w:b w:val="0"/>
                <w:bCs/>
                <w:sz w:val="21"/>
                <w:szCs w:val="21"/>
              </w:rPr>
              <w:t>/</w:t>
            </w: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6480</w:t>
            </w:r>
          </w:p>
        </w:tc>
        <w:tc>
          <w:tcPr>
            <w:tcW w:w="1012" w:type="dxa"/>
            <w:vAlign w:val="center"/>
          </w:tcPr>
          <w:p>
            <w:pPr>
              <w:pStyle w:val="68"/>
              <w:adjustRightInd/>
              <w:snapToGrid/>
              <w:spacing w:afterLines="0"/>
              <w:jc w:val="center"/>
              <w:rPr>
                <w:b w:val="0"/>
                <w:bCs/>
                <w:sz w:val="21"/>
                <w:szCs w:val="21"/>
              </w:rPr>
            </w:pPr>
            <w:r>
              <w:rPr>
                <w:b w:val="0"/>
                <w:bCs/>
                <w:sz w:val="21"/>
                <w:szCs w:val="21"/>
              </w:rPr>
              <w:t>4546</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11026</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11026</w:t>
            </w:r>
          </w:p>
        </w:tc>
        <w:tc>
          <w:tcPr>
            <w:tcW w:w="998" w:type="dxa"/>
            <w:vAlign w:val="center"/>
          </w:tcPr>
          <w:p>
            <w:pPr>
              <w:pStyle w:val="68"/>
              <w:adjustRightInd/>
              <w:snapToGrid/>
              <w:spacing w:afterLines="0"/>
              <w:jc w:val="center"/>
              <w:rPr>
                <w:b w:val="0"/>
                <w:bCs/>
                <w:sz w:val="21"/>
                <w:szCs w:val="21"/>
              </w:rPr>
            </w:pPr>
            <w:r>
              <w:rPr>
                <w:sz w:val="21"/>
                <w:szCs w:val="21"/>
              </w:rPr>
              <w:t>11026</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雨水口</w:t>
            </w:r>
          </w:p>
        </w:tc>
        <w:tc>
          <w:tcPr>
            <w:tcW w:w="763" w:type="dxa"/>
            <w:vAlign w:val="center"/>
          </w:tcPr>
          <w:p>
            <w:pPr>
              <w:pStyle w:val="68"/>
              <w:adjustRightInd/>
              <w:snapToGrid/>
              <w:spacing w:afterLines="0"/>
              <w:jc w:val="center"/>
              <w:rPr>
                <w:b w:val="0"/>
                <w:bCs/>
                <w:sz w:val="21"/>
                <w:szCs w:val="21"/>
              </w:rPr>
            </w:pPr>
            <w:r>
              <w:rPr>
                <w:b w:val="0"/>
                <w:bCs/>
                <w:sz w:val="21"/>
                <w:szCs w:val="21"/>
              </w:rPr>
              <w:t>个</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130</w:t>
            </w:r>
          </w:p>
        </w:tc>
        <w:tc>
          <w:tcPr>
            <w:tcW w:w="1012" w:type="dxa"/>
            <w:vAlign w:val="center"/>
          </w:tcPr>
          <w:p>
            <w:pPr>
              <w:pStyle w:val="68"/>
              <w:adjustRightInd/>
              <w:snapToGrid/>
              <w:spacing w:afterLines="0"/>
              <w:jc w:val="center"/>
              <w:rPr>
                <w:b w:val="0"/>
                <w:bCs/>
                <w:sz w:val="21"/>
                <w:szCs w:val="21"/>
              </w:rPr>
            </w:pPr>
            <w:r>
              <w:rPr>
                <w:b w:val="0"/>
                <w:bCs/>
                <w:sz w:val="21"/>
                <w:szCs w:val="21"/>
              </w:rPr>
              <w:t>159</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289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289</w:t>
            </w:r>
          </w:p>
        </w:tc>
        <w:tc>
          <w:tcPr>
            <w:tcW w:w="998" w:type="dxa"/>
            <w:vAlign w:val="center"/>
          </w:tcPr>
          <w:p>
            <w:pPr>
              <w:pStyle w:val="68"/>
              <w:adjustRightInd/>
              <w:snapToGrid/>
              <w:spacing w:afterLines="0"/>
              <w:jc w:val="center"/>
              <w:rPr>
                <w:b w:val="0"/>
                <w:bCs/>
                <w:sz w:val="21"/>
                <w:szCs w:val="21"/>
              </w:rPr>
            </w:pPr>
            <w:r>
              <w:rPr>
                <w:sz w:val="21"/>
                <w:szCs w:val="21"/>
              </w:rPr>
              <w:t>289</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r>
              <w:rPr>
                <w:b w:val="0"/>
                <w:bCs/>
                <w:sz w:val="21"/>
                <w:szCs w:val="21"/>
              </w:rPr>
              <w:t>408</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408</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408</w:t>
            </w:r>
          </w:p>
        </w:tc>
        <w:tc>
          <w:tcPr>
            <w:tcW w:w="998" w:type="dxa"/>
            <w:vAlign w:val="center"/>
          </w:tcPr>
          <w:p>
            <w:pPr>
              <w:pStyle w:val="68"/>
              <w:adjustRightInd/>
              <w:snapToGrid/>
              <w:spacing w:afterLines="0"/>
              <w:jc w:val="center"/>
              <w:rPr>
                <w:b w:val="0"/>
                <w:bCs/>
                <w:sz w:val="21"/>
                <w:szCs w:val="21"/>
              </w:rPr>
            </w:pPr>
            <w:r>
              <w:rPr>
                <w:sz w:val="21"/>
                <w:szCs w:val="21"/>
              </w:rPr>
              <w:t>408</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植物措施</w:t>
            </w:r>
          </w:p>
        </w:tc>
        <w:tc>
          <w:tcPr>
            <w:tcW w:w="1909" w:type="dxa"/>
            <w:gridSpan w:val="4"/>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763"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bottom w:val="single" w:color="auto" w:sz="4" w:space="0"/>
            </w:tcBorders>
            <w:vAlign w:val="center"/>
          </w:tcPr>
          <w:p>
            <w:pPr>
              <w:pStyle w:val="68"/>
              <w:adjustRightInd/>
              <w:snapToGrid/>
              <w:spacing w:afterLines="0"/>
              <w:jc w:val="center"/>
              <w:rPr>
                <w:b w:val="0"/>
                <w:bCs/>
                <w:sz w:val="21"/>
                <w:szCs w:val="21"/>
              </w:rPr>
            </w:pPr>
          </w:p>
        </w:tc>
        <w:tc>
          <w:tcPr>
            <w:tcW w:w="1142" w:type="dxa"/>
            <w:tcBorders>
              <w:bottom w:val="single" w:color="auto" w:sz="4" w:space="0"/>
            </w:tcBorders>
            <w:vAlign w:val="center"/>
          </w:tcPr>
          <w:p>
            <w:pPr>
              <w:pStyle w:val="68"/>
              <w:adjustRightInd/>
              <w:snapToGrid/>
              <w:spacing w:afterLines="0"/>
              <w:jc w:val="center"/>
              <w:rPr>
                <w:b w:val="0"/>
                <w:bCs/>
                <w:sz w:val="21"/>
                <w:szCs w:val="21"/>
              </w:rPr>
            </w:pPr>
          </w:p>
        </w:tc>
        <w:tc>
          <w:tcPr>
            <w:tcW w:w="1012"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2.36</w:t>
            </w:r>
          </w:p>
        </w:tc>
        <w:tc>
          <w:tcPr>
            <w:tcW w:w="1017"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6.64</w:t>
            </w:r>
          </w:p>
        </w:tc>
        <w:tc>
          <w:tcPr>
            <w:tcW w:w="1004" w:type="dxa"/>
            <w:tcBorders>
              <w:bottom w:val="single" w:color="auto" w:sz="4" w:space="0"/>
            </w:tcBorders>
            <w:vAlign w:val="center"/>
          </w:tcPr>
          <w:p>
            <w:pPr>
              <w:pStyle w:val="68"/>
              <w:adjustRightInd/>
              <w:snapToGrid/>
              <w:spacing w:afterLines="0"/>
              <w:jc w:val="center"/>
              <w:rPr>
                <w:sz w:val="21"/>
                <w:szCs w:val="21"/>
              </w:rPr>
            </w:pPr>
            <w:r>
              <w:rPr>
                <w:sz w:val="21"/>
                <w:szCs w:val="21"/>
              </w:rPr>
              <w:t>9.0</w:t>
            </w:r>
          </w:p>
        </w:tc>
        <w:tc>
          <w:tcPr>
            <w:tcW w:w="1077" w:type="dxa"/>
            <w:tcBorders>
              <w:bottom w:val="single" w:color="auto" w:sz="4" w:space="0"/>
            </w:tcBorders>
            <w:vAlign w:val="center"/>
          </w:tcPr>
          <w:p>
            <w:pPr>
              <w:pStyle w:val="68"/>
              <w:adjustRightInd/>
              <w:snapToGrid/>
              <w:spacing w:afterLines="0"/>
              <w:jc w:val="center"/>
              <w:rPr>
                <w:b w:val="0"/>
                <w:bCs/>
                <w:sz w:val="21"/>
                <w:szCs w:val="21"/>
              </w:rPr>
            </w:pPr>
          </w:p>
        </w:tc>
        <w:tc>
          <w:tcPr>
            <w:tcW w:w="1091"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9.0</w:t>
            </w:r>
          </w:p>
        </w:tc>
        <w:tc>
          <w:tcPr>
            <w:tcW w:w="998" w:type="dxa"/>
            <w:tcBorders>
              <w:bottom w:val="single" w:color="auto" w:sz="4" w:space="0"/>
            </w:tcBorders>
            <w:vAlign w:val="center"/>
          </w:tcPr>
          <w:p>
            <w:pPr>
              <w:pStyle w:val="68"/>
              <w:adjustRightInd/>
              <w:snapToGrid/>
              <w:spacing w:afterLines="0"/>
              <w:jc w:val="center"/>
              <w:rPr>
                <w:b w:val="0"/>
                <w:bCs/>
                <w:sz w:val="21"/>
                <w:szCs w:val="21"/>
              </w:rPr>
            </w:pPr>
            <w:r>
              <w:rPr>
                <w:sz w:val="21"/>
                <w:szCs w:val="21"/>
              </w:rPr>
              <w:t>9.0</w:t>
            </w:r>
          </w:p>
        </w:tc>
        <w:tc>
          <w:tcPr>
            <w:tcW w:w="1074"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92" w:type="dxa"/>
            <w:gridSpan w:val="2"/>
            <w:vMerge w:val="restart"/>
            <w:tcBorders>
              <w:top w:val="single" w:color="auto" w:sz="4" w:space="0"/>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1217" w:type="dxa"/>
            <w:gridSpan w:val="2"/>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763"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sz w:val="21"/>
                <w:szCs w:val="21"/>
              </w:rPr>
              <w:t>3.22</w:t>
            </w:r>
          </w:p>
        </w:tc>
        <w:tc>
          <w:tcPr>
            <w:tcW w:w="101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3.22</w:t>
            </w:r>
          </w:p>
        </w:tc>
        <w:tc>
          <w:tcPr>
            <w:tcW w:w="107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sz w:val="21"/>
                <w:szCs w:val="21"/>
              </w:rPr>
              <w:t>3.22</w:t>
            </w:r>
          </w:p>
        </w:tc>
        <w:tc>
          <w:tcPr>
            <w:tcW w:w="998"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Cs/>
                <w:sz w:val="21"/>
                <w:szCs w:val="21"/>
              </w:rPr>
              <w:t>3.22</w:t>
            </w:r>
          </w:p>
        </w:tc>
        <w:tc>
          <w:tcPr>
            <w:tcW w:w="1074" w:type="dxa"/>
            <w:vMerge w:val="restar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92" w:type="dxa"/>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1217" w:type="dxa"/>
            <w:gridSpan w:val="2"/>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763"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930" w:type="dxa"/>
            <w:tcBorders>
              <w:top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1980/0.29</w:t>
            </w:r>
          </w:p>
        </w:tc>
        <w:tc>
          <w:tcPr>
            <w:tcW w:w="1012" w:type="dxa"/>
            <w:tcBorders>
              <w:top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tcBorders>
            <w:vAlign w:val="center"/>
          </w:tcPr>
          <w:p>
            <w:pPr>
              <w:pStyle w:val="68"/>
              <w:adjustRightInd/>
              <w:snapToGrid/>
              <w:spacing w:afterLines="0"/>
              <w:jc w:val="center"/>
              <w:rPr>
                <w:bCs/>
                <w:sz w:val="21"/>
                <w:szCs w:val="21"/>
              </w:rPr>
            </w:pPr>
            <w:r>
              <w:rPr>
                <w:bCs/>
                <w:sz w:val="21"/>
                <w:szCs w:val="21"/>
              </w:rPr>
              <w:t>1980/0.29</w:t>
            </w:r>
          </w:p>
        </w:tc>
        <w:tc>
          <w:tcPr>
            <w:tcW w:w="1077" w:type="dxa"/>
            <w:tcBorders>
              <w:top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tcBorders>
            <w:vAlign w:val="center"/>
          </w:tcPr>
          <w:p>
            <w:pPr>
              <w:pStyle w:val="68"/>
              <w:adjustRightInd/>
              <w:snapToGrid/>
              <w:spacing w:afterLines="0"/>
              <w:jc w:val="center"/>
              <w:rPr>
                <w:b w:val="0"/>
                <w:sz w:val="21"/>
                <w:szCs w:val="21"/>
              </w:rPr>
            </w:pPr>
            <w:r>
              <w:rPr>
                <w:b w:val="0"/>
                <w:sz w:val="21"/>
                <w:szCs w:val="21"/>
              </w:rPr>
              <w:t>1980/0.29</w:t>
            </w:r>
          </w:p>
        </w:tc>
        <w:tc>
          <w:tcPr>
            <w:tcW w:w="998" w:type="dxa"/>
            <w:tcBorders>
              <w:top w:val="single" w:color="auto" w:sz="4" w:space="0"/>
            </w:tcBorders>
            <w:vAlign w:val="center"/>
          </w:tcPr>
          <w:p>
            <w:pPr>
              <w:pStyle w:val="68"/>
              <w:adjustRightInd/>
              <w:snapToGrid/>
              <w:spacing w:afterLines="0"/>
              <w:jc w:val="center"/>
              <w:rPr>
                <w:sz w:val="21"/>
                <w:szCs w:val="21"/>
              </w:rPr>
            </w:pPr>
            <w:r>
              <w:rPr>
                <w:bCs/>
                <w:sz w:val="21"/>
                <w:szCs w:val="21"/>
              </w:rPr>
              <w:t>1980/0.29</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692" w:type="dxa"/>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1217" w:type="dxa"/>
            <w:gridSpan w:val="2"/>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2.93</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2.93</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Cs/>
                <w:sz w:val="21"/>
                <w:szCs w:val="21"/>
              </w:rPr>
              <w:t>2.93</w:t>
            </w:r>
          </w:p>
        </w:tc>
        <w:tc>
          <w:tcPr>
            <w:tcW w:w="998" w:type="dxa"/>
            <w:vAlign w:val="center"/>
          </w:tcPr>
          <w:p>
            <w:pPr>
              <w:pStyle w:val="68"/>
              <w:adjustRightInd/>
              <w:snapToGrid/>
              <w:spacing w:afterLines="0"/>
              <w:jc w:val="center"/>
              <w:rPr>
                <w:b w:val="0"/>
                <w:bCs/>
                <w:sz w:val="21"/>
                <w:szCs w:val="21"/>
              </w:rPr>
            </w:pPr>
            <w:r>
              <w:rPr>
                <w:bCs/>
                <w:sz w:val="21"/>
                <w:szCs w:val="21"/>
              </w:rPr>
              <w:t>2.93</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692" w:type="dxa"/>
            <w:gridSpan w:val="2"/>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边坡绿化</w:t>
            </w:r>
          </w:p>
        </w:tc>
        <w:tc>
          <w:tcPr>
            <w:tcW w:w="1217" w:type="dxa"/>
            <w:gridSpan w:val="2"/>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7.25</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7.25</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Cs/>
                <w:sz w:val="21"/>
                <w:szCs w:val="21"/>
              </w:rPr>
              <w:t>7.25</w:t>
            </w:r>
          </w:p>
        </w:tc>
        <w:tc>
          <w:tcPr>
            <w:tcW w:w="998" w:type="dxa"/>
            <w:vAlign w:val="center"/>
          </w:tcPr>
          <w:p>
            <w:pPr>
              <w:pStyle w:val="68"/>
              <w:adjustRightInd/>
              <w:snapToGrid/>
              <w:spacing w:afterLines="0"/>
              <w:jc w:val="center"/>
              <w:rPr>
                <w:b w:val="0"/>
                <w:bCs/>
                <w:sz w:val="21"/>
                <w:szCs w:val="21"/>
              </w:rPr>
            </w:pPr>
            <w:r>
              <w:rPr>
                <w:bCs/>
                <w:sz w:val="21"/>
                <w:szCs w:val="21"/>
              </w:rPr>
              <w:t>7.25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692" w:type="dxa"/>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1217" w:type="dxa"/>
            <w:gridSpan w:val="2"/>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3.11</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3.11</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Cs/>
                <w:sz w:val="21"/>
                <w:szCs w:val="21"/>
              </w:rPr>
              <w:t>3.11</w:t>
            </w:r>
          </w:p>
        </w:tc>
        <w:tc>
          <w:tcPr>
            <w:tcW w:w="998" w:type="dxa"/>
            <w:vAlign w:val="center"/>
          </w:tcPr>
          <w:p>
            <w:pPr>
              <w:pStyle w:val="68"/>
              <w:adjustRightInd/>
              <w:snapToGrid/>
              <w:spacing w:afterLines="0"/>
              <w:jc w:val="center"/>
              <w:rPr>
                <w:b w:val="0"/>
                <w:bCs/>
                <w:sz w:val="21"/>
                <w:szCs w:val="21"/>
              </w:rPr>
            </w:pPr>
            <w:r>
              <w:rPr>
                <w:bCs/>
                <w:sz w:val="21"/>
                <w:szCs w:val="21"/>
              </w:rPr>
              <w:t>3.11</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3244</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3244</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3244</w:t>
            </w:r>
          </w:p>
        </w:tc>
        <w:tc>
          <w:tcPr>
            <w:tcW w:w="998" w:type="dxa"/>
            <w:vAlign w:val="center"/>
          </w:tcPr>
          <w:p>
            <w:pPr>
              <w:pStyle w:val="68"/>
              <w:adjustRightInd/>
              <w:snapToGrid/>
              <w:spacing w:afterLines="0"/>
              <w:jc w:val="center"/>
              <w:rPr>
                <w:b w:val="0"/>
                <w:bCs/>
                <w:sz w:val="21"/>
                <w:szCs w:val="21"/>
              </w:rPr>
            </w:pPr>
            <w:r>
              <w:rPr>
                <w:sz w:val="21"/>
                <w:szCs w:val="21"/>
              </w:rPr>
              <w:t>3244</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13</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13</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13</w:t>
            </w:r>
          </w:p>
        </w:tc>
        <w:tc>
          <w:tcPr>
            <w:tcW w:w="998" w:type="dxa"/>
            <w:vAlign w:val="center"/>
          </w:tcPr>
          <w:p>
            <w:pPr>
              <w:pStyle w:val="68"/>
              <w:adjustRightInd/>
              <w:snapToGrid/>
              <w:spacing w:afterLines="0"/>
              <w:jc w:val="center"/>
              <w:rPr>
                <w:b w:val="0"/>
                <w:bCs/>
                <w:sz w:val="21"/>
                <w:szCs w:val="21"/>
              </w:rPr>
            </w:pPr>
            <w:r>
              <w:rPr>
                <w:sz w:val="21"/>
                <w:szCs w:val="21"/>
              </w:rPr>
              <w:t>13</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10.36</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10.36</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10.36</w:t>
            </w:r>
          </w:p>
        </w:tc>
        <w:tc>
          <w:tcPr>
            <w:tcW w:w="998" w:type="dxa"/>
            <w:vAlign w:val="center"/>
          </w:tcPr>
          <w:p>
            <w:pPr>
              <w:pStyle w:val="68"/>
              <w:adjustRightInd/>
              <w:snapToGrid/>
              <w:spacing w:afterLines="0"/>
              <w:jc w:val="center"/>
              <w:rPr>
                <w:b w:val="0"/>
                <w:bCs/>
                <w:sz w:val="21"/>
                <w:szCs w:val="21"/>
              </w:rPr>
            </w:pPr>
            <w:r>
              <w:rPr>
                <w:sz w:val="21"/>
                <w:szCs w:val="21"/>
              </w:rPr>
              <w:t>10.36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400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400</w:t>
            </w:r>
          </w:p>
        </w:tc>
        <w:tc>
          <w:tcPr>
            <w:tcW w:w="998" w:type="dxa"/>
            <w:vAlign w:val="center"/>
          </w:tcPr>
          <w:p>
            <w:pPr>
              <w:pStyle w:val="68"/>
              <w:adjustRightInd/>
              <w:snapToGrid/>
              <w:spacing w:afterLines="0"/>
              <w:jc w:val="center"/>
              <w:rPr>
                <w:b w:val="0"/>
                <w:bCs/>
                <w:sz w:val="21"/>
                <w:szCs w:val="21"/>
              </w:rPr>
            </w:pPr>
            <w:r>
              <w:rPr>
                <w:sz w:val="21"/>
                <w:szCs w:val="21"/>
              </w:rPr>
              <w:t>400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restart"/>
            <w:vAlign w:val="center"/>
          </w:tcPr>
          <w:p>
            <w:pPr>
              <w:pStyle w:val="68"/>
              <w:adjustRightInd/>
              <w:snapToGrid/>
              <w:spacing w:afterLines="0"/>
              <w:jc w:val="center"/>
              <w:rPr>
                <w:b w:val="0"/>
                <w:bCs/>
                <w:sz w:val="21"/>
                <w:szCs w:val="21"/>
              </w:rPr>
            </w:pPr>
            <w:r>
              <w:rPr>
                <w:b w:val="0"/>
                <w:bCs/>
                <w:sz w:val="21"/>
                <w:szCs w:val="21"/>
              </w:rPr>
              <w:t>未建区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工程措施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表土剥离</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b w:val="0"/>
                <w:bCs/>
                <w:sz w:val="21"/>
                <w:szCs w:val="21"/>
              </w:rPr>
              <w:t>62.11</w:t>
            </w:r>
          </w:p>
        </w:tc>
        <w:tc>
          <w:tcPr>
            <w:tcW w:w="1142" w:type="dxa"/>
            <w:vAlign w:val="center"/>
          </w:tcPr>
          <w:p>
            <w:pPr>
              <w:pStyle w:val="68"/>
              <w:adjustRightInd/>
              <w:snapToGrid/>
              <w:spacing w:afterLines="0"/>
              <w:jc w:val="center"/>
              <w:rPr>
                <w:b w:val="0"/>
                <w:bCs/>
                <w:sz w:val="21"/>
                <w:szCs w:val="21"/>
              </w:rPr>
            </w:pPr>
            <w:r>
              <w:rPr>
                <w:b w:val="0"/>
                <w:bCs/>
                <w:sz w:val="21"/>
                <w:szCs w:val="21"/>
              </w:rPr>
              <w:t>7.04</w:t>
            </w:r>
          </w:p>
        </w:tc>
        <w:tc>
          <w:tcPr>
            <w:tcW w:w="1012" w:type="dxa"/>
            <w:vAlign w:val="center"/>
          </w:tcPr>
          <w:p>
            <w:pPr>
              <w:pStyle w:val="68"/>
              <w:adjustRightInd/>
              <w:snapToGrid/>
              <w:spacing w:afterLines="0"/>
              <w:jc w:val="center"/>
              <w:rPr>
                <w:b w:val="0"/>
                <w:bCs/>
                <w:sz w:val="21"/>
                <w:szCs w:val="21"/>
              </w:rPr>
            </w:pPr>
            <w:r>
              <w:rPr>
                <w:b w:val="0"/>
                <w:bCs/>
                <w:sz w:val="21"/>
                <w:szCs w:val="21"/>
              </w:rPr>
              <w:t>5.90</w:t>
            </w:r>
          </w:p>
        </w:tc>
        <w:tc>
          <w:tcPr>
            <w:tcW w:w="1017" w:type="dxa"/>
            <w:vAlign w:val="center"/>
          </w:tcPr>
          <w:p>
            <w:pPr>
              <w:pStyle w:val="68"/>
              <w:adjustRightInd/>
              <w:snapToGrid/>
              <w:spacing w:afterLines="0"/>
              <w:jc w:val="center"/>
              <w:rPr>
                <w:b w:val="0"/>
                <w:bCs/>
                <w:sz w:val="21"/>
                <w:szCs w:val="21"/>
              </w:rPr>
            </w:pPr>
            <w:r>
              <w:rPr>
                <w:b w:val="0"/>
                <w:bCs/>
                <w:sz w:val="21"/>
                <w:szCs w:val="21"/>
              </w:rPr>
              <w:t>6.21</w:t>
            </w:r>
          </w:p>
        </w:tc>
        <w:tc>
          <w:tcPr>
            <w:tcW w:w="1004" w:type="dxa"/>
            <w:vAlign w:val="center"/>
          </w:tcPr>
          <w:p>
            <w:pPr>
              <w:pStyle w:val="68"/>
              <w:adjustRightInd/>
              <w:snapToGrid/>
              <w:spacing w:afterLines="0"/>
              <w:jc w:val="center"/>
              <w:rPr>
                <w:sz w:val="21"/>
                <w:szCs w:val="21"/>
              </w:rPr>
            </w:pPr>
            <w:r>
              <w:rPr>
                <w:sz w:val="21"/>
                <w:szCs w:val="21"/>
              </w:rPr>
              <w:t>81.26</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81.26</w:t>
            </w:r>
          </w:p>
        </w:tc>
        <w:tc>
          <w:tcPr>
            <w:tcW w:w="998" w:type="dxa"/>
            <w:vAlign w:val="center"/>
          </w:tcPr>
          <w:p>
            <w:pPr>
              <w:pStyle w:val="68"/>
              <w:adjustRightInd/>
              <w:snapToGrid/>
              <w:spacing w:afterLines="0"/>
              <w:jc w:val="center"/>
              <w:rPr>
                <w:b w:val="0"/>
                <w:bCs/>
                <w:sz w:val="21"/>
                <w:szCs w:val="21"/>
              </w:rPr>
            </w:pPr>
            <w:r>
              <w:rPr>
                <w:sz w:val="21"/>
                <w:szCs w:val="21"/>
              </w:rPr>
              <w:t>81.26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表土回覆</w:t>
            </w:r>
          </w:p>
        </w:tc>
        <w:tc>
          <w:tcPr>
            <w:tcW w:w="763"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930" w:type="dxa"/>
            <w:vAlign w:val="center"/>
          </w:tcPr>
          <w:p>
            <w:pPr>
              <w:pStyle w:val="68"/>
              <w:adjustRightInd/>
              <w:snapToGrid/>
              <w:spacing w:afterLines="0"/>
              <w:jc w:val="center"/>
              <w:rPr>
                <w:b w:val="0"/>
                <w:bCs/>
                <w:sz w:val="21"/>
                <w:szCs w:val="21"/>
              </w:rPr>
            </w:pPr>
            <w:r>
              <w:rPr>
                <w:rFonts w:hint="eastAsia"/>
                <w:b w:val="0"/>
                <w:sz w:val="21"/>
                <w:szCs w:val="21"/>
              </w:rPr>
              <w:t>48.71</w:t>
            </w:r>
          </w:p>
        </w:tc>
        <w:tc>
          <w:tcPr>
            <w:tcW w:w="1142" w:type="dxa"/>
            <w:vAlign w:val="center"/>
          </w:tcPr>
          <w:p>
            <w:pPr>
              <w:spacing w:line="240" w:lineRule="auto"/>
              <w:ind w:firstLine="0" w:firstLineChars="0"/>
              <w:jc w:val="center"/>
              <w:rPr>
                <w:bCs/>
                <w:sz w:val="21"/>
                <w:szCs w:val="21"/>
              </w:rPr>
            </w:pPr>
            <w:r>
              <w:rPr>
                <w:sz w:val="21"/>
                <w:szCs w:val="21"/>
              </w:rPr>
              <w:t>5.77</w:t>
            </w:r>
          </w:p>
        </w:tc>
        <w:tc>
          <w:tcPr>
            <w:tcW w:w="1012" w:type="dxa"/>
            <w:vAlign w:val="center"/>
          </w:tcPr>
          <w:p>
            <w:pPr>
              <w:pStyle w:val="68"/>
              <w:adjustRightInd/>
              <w:snapToGrid/>
              <w:spacing w:afterLines="0"/>
              <w:jc w:val="center"/>
              <w:rPr>
                <w:b w:val="0"/>
                <w:bCs/>
                <w:sz w:val="21"/>
                <w:szCs w:val="21"/>
              </w:rPr>
            </w:pPr>
            <w:r>
              <w:rPr>
                <w:b w:val="0"/>
                <w:bCs/>
                <w:sz w:val="21"/>
                <w:szCs w:val="21"/>
              </w:rPr>
              <w:t>1.47</w:t>
            </w:r>
          </w:p>
        </w:tc>
        <w:tc>
          <w:tcPr>
            <w:tcW w:w="1017" w:type="dxa"/>
            <w:vAlign w:val="center"/>
          </w:tcPr>
          <w:p>
            <w:pPr>
              <w:pStyle w:val="68"/>
              <w:adjustRightInd/>
              <w:snapToGrid/>
              <w:spacing w:afterLines="0"/>
              <w:jc w:val="center"/>
              <w:rPr>
                <w:b w:val="0"/>
                <w:bCs/>
                <w:sz w:val="21"/>
                <w:szCs w:val="21"/>
              </w:rPr>
            </w:pPr>
            <w:r>
              <w:rPr>
                <w:rFonts w:hint="eastAsia"/>
                <w:b w:val="0"/>
                <w:bCs/>
                <w:sz w:val="21"/>
                <w:szCs w:val="21"/>
              </w:rPr>
              <w:t>78.77</w:t>
            </w:r>
          </w:p>
        </w:tc>
        <w:tc>
          <w:tcPr>
            <w:tcW w:w="1004" w:type="dxa"/>
            <w:vAlign w:val="center"/>
          </w:tcPr>
          <w:p>
            <w:pPr>
              <w:pStyle w:val="68"/>
              <w:adjustRightInd/>
              <w:snapToGrid/>
              <w:spacing w:afterLines="0"/>
              <w:jc w:val="center"/>
              <w:rPr>
                <w:sz w:val="21"/>
                <w:szCs w:val="21"/>
              </w:rPr>
            </w:pPr>
            <w:r>
              <w:rPr>
                <w:rFonts w:hint="eastAsia"/>
                <w:sz w:val="21"/>
                <w:szCs w:val="21"/>
              </w:rPr>
              <w:t>134.72</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rFonts w:hint="eastAsia"/>
                <w:b w:val="0"/>
                <w:bCs/>
                <w:sz w:val="21"/>
                <w:szCs w:val="21"/>
              </w:rPr>
              <w:t>134.72</w:t>
            </w:r>
          </w:p>
        </w:tc>
        <w:tc>
          <w:tcPr>
            <w:tcW w:w="998" w:type="dxa"/>
            <w:vAlign w:val="center"/>
          </w:tcPr>
          <w:p>
            <w:pPr>
              <w:pStyle w:val="68"/>
              <w:adjustRightInd/>
              <w:snapToGrid/>
              <w:spacing w:afterLines="0"/>
              <w:jc w:val="center"/>
              <w:rPr>
                <w:b w:val="0"/>
                <w:bCs/>
                <w:sz w:val="21"/>
                <w:szCs w:val="21"/>
              </w:rPr>
            </w:pPr>
            <w:r>
              <w:rPr>
                <w:rFonts w:hint="eastAsia"/>
                <w:sz w:val="21"/>
                <w:szCs w:val="21"/>
              </w:rPr>
              <w:t>134.72</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8750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8750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8750</w:t>
            </w:r>
          </w:p>
        </w:tc>
        <w:tc>
          <w:tcPr>
            <w:tcW w:w="998" w:type="dxa"/>
            <w:vAlign w:val="center"/>
          </w:tcPr>
          <w:p>
            <w:pPr>
              <w:pStyle w:val="68"/>
              <w:adjustRightInd/>
              <w:snapToGrid/>
              <w:spacing w:afterLines="0"/>
              <w:jc w:val="center"/>
              <w:rPr>
                <w:b w:val="0"/>
                <w:bCs/>
                <w:sz w:val="21"/>
                <w:szCs w:val="21"/>
              </w:rPr>
            </w:pPr>
            <w:r>
              <w:rPr>
                <w:sz w:val="21"/>
                <w:szCs w:val="21"/>
              </w:rPr>
              <w:t>8750</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雨水口</w:t>
            </w:r>
          </w:p>
        </w:tc>
        <w:tc>
          <w:tcPr>
            <w:tcW w:w="763" w:type="dxa"/>
            <w:vAlign w:val="center"/>
          </w:tcPr>
          <w:p>
            <w:pPr>
              <w:pStyle w:val="68"/>
              <w:adjustRightInd/>
              <w:snapToGrid/>
              <w:spacing w:afterLines="0"/>
              <w:jc w:val="center"/>
              <w:rPr>
                <w:b w:val="0"/>
                <w:bCs/>
                <w:sz w:val="21"/>
                <w:szCs w:val="21"/>
              </w:rPr>
            </w:pPr>
            <w:r>
              <w:rPr>
                <w:b w:val="0"/>
                <w:bCs/>
                <w:sz w:val="21"/>
                <w:szCs w:val="21"/>
              </w:rPr>
              <w:t>个</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175</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175</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175</w:t>
            </w:r>
          </w:p>
        </w:tc>
        <w:tc>
          <w:tcPr>
            <w:tcW w:w="998" w:type="dxa"/>
            <w:vAlign w:val="center"/>
          </w:tcPr>
          <w:p>
            <w:pPr>
              <w:pStyle w:val="68"/>
              <w:adjustRightInd/>
              <w:snapToGrid/>
              <w:spacing w:afterLines="0"/>
              <w:jc w:val="center"/>
              <w:rPr>
                <w:b w:val="0"/>
                <w:bCs/>
                <w:sz w:val="21"/>
                <w:szCs w:val="21"/>
              </w:rPr>
            </w:pPr>
            <w:r>
              <w:rPr>
                <w:sz w:val="21"/>
                <w:szCs w:val="21"/>
              </w:rPr>
              <w:t>175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防洪沟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r>
              <w:rPr>
                <w:b w:val="0"/>
                <w:bCs/>
                <w:sz w:val="21"/>
                <w:szCs w:val="21"/>
              </w:rPr>
              <w:t>3042</w:t>
            </w: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r>
              <w:rPr>
                <w:b w:val="0"/>
                <w:bCs/>
                <w:sz w:val="21"/>
                <w:szCs w:val="21"/>
              </w:rPr>
              <w:t>2293</w:t>
            </w:r>
          </w:p>
        </w:tc>
        <w:tc>
          <w:tcPr>
            <w:tcW w:w="1004" w:type="dxa"/>
            <w:vAlign w:val="center"/>
          </w:tcPr>
          <w:p>
            <w:pPr>
              <w:pStyle w:val="68"/>
              <w:adjustRightInd/>
              <w:snapToGrid/>
              <w:spacing w:afterLines="0"/>
              <w:jc w:val="center"/>
              <w:rPr>
                <w:sz w:val="21"/>
                <w:szCs w:val="21"/>
              </w:rPr>
            </w:pPr>
            <w:r>
              <w:rPr>
                <w:sz w:val="21"/>
                <w:szCs w:val="21"/>
              </w:rPr>
              <w:t>5335</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5335</w:t>
            </w:r>
          </w:p>
        </w:tc>
        <w:tc>
          <w:tcPr>
            <w:tcW w:w="998" w:type="dxa"/>
            <w:vAlign w:val="center"/>
          </w:tcPr>
          <w:p>
            <w:pPr>
              <w:pStyle w:val="68"/>
              <w:adjustRightInd/>
              <w:snapToGrid/>
              <w:spacing w:afterLines="0"/>
              <w:jc w:val="center"/>
              <w:rPr>
                <w:b w:val="0"/>
                <w:bCs/>
                <w:sz w:val="21"/>
                <w:szCs w:val="21"/>
              </w:rPr>
            </w:pPr>
            <w:r>
              <w:rPr>
                <w:sz w:val="21"/>
                <w:szCs w:val="21"/>
              </w:rPr>
              <w:t>5335</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植物措施</w:t>
            </w:r>
          </w:p>
        </w:tc>
        <w:tc>
          <w:tcPr>
            <w:tcW w:w="1909" w:type="dxa"/>
            <w:gridSpan w:val="4"/>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763"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bottom w:val="single" w:color="auto" w:sz="4" w:space="0"/>
            </w:tcBorders>
            <w:vAlign w:val="center"/>
          </w:tcPr>
          <w:p>
            <w:pPr>
              <w:pStyle w:val="68"/>
              <w:adjustRightInd/>
              <w:snapToGrid/>
              <w:spacing w:afterLines="0"/>
              <w:jc w:val="center"/>
              <w:rPr>
                <w:b w:val="0"/>
                <w:bCs/>
                <w:sz w:val="21"/>
                <w:szCs w:val="21"/>
              </w:rPr>
            </w:pPr>
          </w:p>
        </w:tc>
        <w:tc>
          <w:tcPr>
            <w:tcW w:w="1142" w:type="dxa"/>
            <w:tcBorders>
              <w:bottom w:val="single" w:color="auto" w:sz="4" w:space="0"/>
            </w:tcBorders>
            <w:vAlign w:val="center"/>
          </w:tcPr>
          <w:p>
            <w:pPr>
              <w:pStyle w:val="68"/>
              <w:adjustRightInd/>
              <w:snapToGrid/>
              <w:spacing w:afterLines="0"/>
              <w:jc w:val="center"/>
              <w:rPr>
                <w:b w:val="0"/>
                <w:bCs/>
                <w:sz w:val="21"/>
                <w:szCs w:val="21"/>
              </w:rPr>
            </w:pPr>
          </w:p>
        </w:tc>
        <w:tc>
          <w:tcPr>
            <w:tcW w:w="1012"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4.89</w:t>
            </w:r>
          </w:p>
        </w:tc>
        <w:tc>
          <w:tcPr>
            <w:tcW w:w="1017"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41.57</w:t>
            </w:r>
          </w:p>
        </w:tc>
        <w:tc>
          <w:tcPr>
            <w:tcW w:w="1004" w:type="dxa"/>
            <w:tcBorders>
              <w:bottom w:val="single" w:color="auto" w:sz="4" w:space="0"/>
            </w:tcBorders>
            <w:vAlign w:val="center"/>
          </w:tcPr>
          <w:p>
            <w:pPr>
              <w:pStyle w:val="68"/>
              <w:adjustRightInd/>
              <w:snapToGrid/>
              <w:spacing w:afterLines="0"/>
              <w:jc w:val="center"/>
              <w:rPr>
                <w:sz w:val="21"/>
                <w:szCs w:val="21"/>
              </w:rPr>
            </w:pPr>
            <w:r>
              <w:rPr>
                <w:sz w:val="21"/>
                <w:szCs w:val="21"/>
              </w:rPr>
              <w:t>46.46</w:t>
            </w:r>
          </w:p>
        </w:tc>
        <w:tc>
          <w:tcPr>
            <w:tcW w:w="1077" w:type="dxa"/>
            <w:tcBorders>
              <w:bottom w:val="single" w:color="auto" w:sz="4" w:space="0"/>
            </w:tcBorders>
            <w:vAlign w:val="center"/>
          </w:tcPr>
          <w:p>
            <w:pPr>
              <w:pStyle w:val="68"/>
              <w:adjustRightInd/>
              <w:snapToGrid/>
              <w:spacing w:afterLines="0"/>
              <w:jc w:val="center"/>
              <w:rPr>
                <w:b w:val="0"/>
                <w:bCs/>
                <w:sz w:val="21"/>
                <w:szCs w:val="21"/>
              </w:rPr>
            </w:pPr>
          </w:p>
        </w:tc>
        <w:tc>
          <w:tcPr>
            <w:tcW w:w="1091"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46.46</w:t>
            </w:r>
          </w:p>
        </w:tc>
        <w:tc>
          <w:tcPr>
            <w:tcW w:w="998" w:type="dxa"/>
            <w:tcBorders>
              <w:bottom w:val="single" w:color="auto" w:sz="4" w:space="0"/>
            </w:tcBorders>
            <w:vAlign w:val="center"/>
          </w:tcPr>
          <w:p>
            <w:pPr>
              <w:pStyle w:val="68"/>
              <w:adjustRightInd/>
              <w:snapToGrid/>
              <w:spacing w:afterLines="0"/>
              <w:jc w:val="center"/>
              <w:rPr>
                <w:b w:val="0"/>
                <w:bCs/>
                <w:sz w:val="21"/>
                <w:szCs w:val="21"/>
              </w:rPr>
            </w:pPr>
            <w:r>
              <w:rPr>
                <w:sz w:val="21"/>
                <w:szCs w:val="21"/>
              </w:rPr>
              <w:t>46.46</w:t>
            </w:r>
          </w:p>
        </w:tc>
        <w:tc>
          <w:tcPr>
            <w:tcW w:w="1074" w:type="dxa"/>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restart"/>
            <w:tcBorders>
              <w:top w:val="single" w:color="auto" w:sz="4" w:space="0"/>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946" w:type="dxa"/>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组合</w:t>
            </w:r>
          </w:p>
        </w:tc>
        <w:tc>
          <w:tcPr>
            <w:tcW w:w="763"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sz w:val="21"/>
                <w:szCs w:val="21"/>
              </w:rPr>
              <w:t>2.41</w:t>
            </w:r>
          </w:p>
        </w:tc>
        <w:tc>
          <w:tcPr>
            <w:tcW w:w="1012"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2.41</w:t>
            </w:r>
          </w:p>
        </w:tc>
        <w:tc>
          <w:tcPr>
            <w:tcW w:w="1077" w:type="dxa"/>
            <w:tcBorders>
              <w:top w:val="single" w:color="auto" w:sz="4" w:space="0"/>
              <w:bottom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sz w:val="21"/>
                <w:szCs w:val="21"/>
              </w:rPr>
              <w:t>2.41</w:t>
            </w:r>
          </w:p>
        </w:tc>
        <w:tc>
          <w:tcPr>
            <w:tcW w:w="998" w:type="dxa"/>
            <w:tcBorders>
              <w:top w:val="single" w:color="auto" w:sz="4" w:space="0"/>
              <w:bottom w:val="single" w:color="auto" w:sz="4" w:space="0"/>
            </w:tcBorders>
            <w:vAlign w:val="center"/>
          </w:tcPr>
          <w:p>
            <w:pPr>
              <w:pStyle w:val="68"/>
              <w:adjustRightInd/>
              <w:snapToGrid/>
              <w:spacing w:afterLines="0"/>
              <w:jc w:val="center"/>
              <w:rPr>
                <w:bCs/>
                <w:sz w:val="21"/>
                <w:szCs w:val="21"/>
              </w:rPr>
            </w:pPr>
            <w:r>
              <w:rPr>
                <w:bCs/>
                <w:sz w:val="21"/>
                <w:szCs w:val="21"/>
              </w:rPr>
              <w:t>2.41</w:t>
            </w:r>
          </w:p>
        </w:tc>
        <w:tc>
          <w:tcPr>
            <w:tcW w:w="1074" w:type="dxa"/>
            <w:vMerge w:val="restar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946" w:type="dxa"/>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763"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930" w:type="dxa"/>
            <w:tcBorders>
              <w:top w:val="single" w:color="auto" w:sz="4" w:space="0"/>
            </w:tcBorders>
            <w:vAlign w:val="center"/>
          </w:tcPr>
          <w:p>
            <w:pPr>
              <w:pStyle w:val="68"/>
              <w:adjustRightInd/>
              <w:snapToGrid/>
              <w:spacing w:afterLines="0"/>
              <w:jc w:val="center"/>
              <w:rPr>
                <w:b w:val="0"/>
                <w:bCs/>
                <w:sz w:val="21"/>
                <w:szCs w:val="21"/>
              </w:rPr>
            </w:pPr>
          </w:p>
        </w:tc>
        <w:tc>
          <w:tcPr>
            <w:tcW w:w="1142" w:type="dxa"/>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1475/0.21</w:t>
            </w:r>
          </w:p>
        </w:tc>
        <w:tc>
          <w:tcPr>
            <w:tcW w:w="1012" w:type="dxa"/>
            <w:tcBorders>
              <w:top w:val="single" w:color="auto" w:sz="4" w:space="0"/>
            </w:tcBorders>
            <w:vAlign w:val="center"/>
          </w:tcPr>
          <w:p>
            <w:pPr>
              <w:pStyle w:val="68"/>
              <w:adjustRightInd/>
              <w:snapToGrid/>
              <w:spacing w:afterLines="0"/>
              <w:jc w:val="center"/>
              <w:rPr>
                <w:b w:val="0"/>
                <w:bCs/>
                <w:sz w:val="21"/>
                <w:szCs w:val="21"/>
              </w:rPr>
            </w:pPr>
          </w:p>
        </w:tc>
        <w:tc>
          <w:tcPr>
            <w:tcW w:w="1017" w:type="dxa"/>
            <w:tcBorders>
              <w:top w:val="single" w:color="auto" w:sz="4" w:space="0"/>
            </w:tcBorders>
            <w:vAlign w:val="center"/>
          </w:tcPr>
          <w:p>
            <w:pPr>
              <w:pStyle w:val="68"/>
              <w:adjustRightInd/>
              <w:snapToGrid/>
              <w:spacing w:afterLines="0"/>
              <w:jc w:val="center"/>
              <w:rPr>
                <w:b w:val="0"/>
                <w:bCs/>
                <w:sz w:val="21"/>
                <w:szCs w:val="21"/>
              </w:rPr>
            </w:pPr>
          </w:p>
        </w:tc>
        <w:tc>
          <w:tcPr>
            <w:tcW w:w="1004" w:type="dxa"/>
            <w:tcBorders>
              <w:top w:val="single" w:color="auto" w:sz="4" w:space="0"/>
            </w:tcBorders>
            <w:vAlign w:val="center"/>
          </w:tcPr>
          <w:p>
            <w:pPr>
              <w:pStyle w:val="68"/>
              <w:adjustRightInd/>
              <w:snapToGrid/>
              <w:spacing w:afterLines="0"/>
              <w:jc w:val="center"/>
              <w:rPr>
                <w:bCs/>
                <w:sz w:val="21"/>
                <w:szCs w:val="21"/>
              </w:rPr>
            </w:pPr>
            <w:r>
              <w:rPr>
                <w:bCs/>
                <w:sz w:val="21"/>
                <w:szCs w:val="21"/>
              </w:rPr>
              <w:t>1475/0.21</w:t>
            </w:r>
          </w:p>
        </w:tc>
        <w:tc>
          <w:tcPr>
            <w:tcW w:w="1077" w:type="dxa"/>
            <w:tcBorders>
              <w:top w:val="single" w:color="auto" w:sz="4" w:space="0"/>
            </w:tcBorders>
            <w:vAlign w:val="center"/>
          </w:tcPr>
          <w:p>
            <w:pPr>
              <w:pStyle w:val="68"/>
              <w:adjustRightInd/>
              <w:snapToGrid/>
              <w:spacing w:afterLines="0"/>
              <w:jc w:val="center"/>
              <w:rPr>
                <w:b w:val="0"/>
                <w:bCs/>
                <w:sz w:val="21"/>
                <w:szCs w:val="21"/>
              </w:rPr>
            </w:pPr>
          </w:p>
        </w:tc>
        <w:tc>
          <w:tcPr>
            <w:tcW w:w="1091" w:type="dxa"/>
            <w:tcBorders>
              <w:top w:val="single" w:color="auto" w:sz="4" w:space="0"/>
            </w:tcBorders>
            <w:vAlign w:val="center"/>
          </w:tcPr>
          <w:p>
            <w:pPr>
              <w:pStyle w:val="68"/>
              <w:adjustRightInd/>
              <w:snapToGrid/>
              <w:spacing w:afterLines="0"/>
              <w:jc w:val="center"/>
              <w:rPr>
                <w:b w:val="0"/>
                <w:sz w:val="21"/>
                <w:szCs w:val="21"/>
              </w:rPr>
            </w:pPr>
            <w:r>
              <w:rPr>
                <w:b w:val="0"/>
                <w:sz w:val="21"/>
                <w:szCs w:val="21"/>
              </w:rPr>
              <w:t>1475/0.21</w:t>
            </w:r>
          </w:p>
        </w:tc>
        <w:tc>
          <w:tcPr>
            <w:tcW w:w="998" w:type="dxa"/>
            <w:tcBorders>
              <w:top w:val="single" w:color="auto" w:sz="4" w:space="0"/>
            </w:tcBorders>
            <w:vAlign w:val="center"/>
          </w:tcPr>
          <w:p>
            <w:pPr>
              <w:pStyle w:val="68"/>
              <w:adjustRightInd/>
              <w:snapToGrid/>
              <w:spacing w:afterLines="0"/>
              <w:jc w:val="center"/>
              <w:rPr>
                <w:bCs/>
                <w:sz w:val="21"/>
                <w:szCs w:val="21"/>
              </w:rPr>
            </w:pPr>
            <w:r>
              <w:rPr>
                <w:bCs/>
                <w:sz w:val="21"/>
                <w:szCs w:val="21"/>
              </w:rPr>
              <w:t>1475/0.21</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963" w:type="dxa"/>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946" w:type="dxa"/>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2.20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2.20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sz w:val="21"/>
                <w:szCs w:val="21"/>
              </w:rPr>
            </w:pPr>
            <w:r>
              <w:rPr>
                <w:b w:val="0"/>
                <w:sz w:val="21"/>
                <w:szCs w:val="21"/>
              </w:rPr>
              <w:t>2.20</w:t>
            </w:r>
          </w:p>
        </w:tc>
        <w:tc>
          <w:tcPr>
            <w:tcW w:w="998" w:type="dxa"/>
            <w:vAlign w:val="center"/>
          </w:tcPr>
          <w:p>
            <w:pPr>
              <w:pStyle w:val="68"/>
              <w:adjustRightInd/>
              <w:snapToGrid/>
              <w:spacing w:afterLines="0"/>
              <w:jc w:val="center"/>
              <w:rPr>
                <w:bCs/>
                <w:sz w:val="21"/>
                <w:szCs w:val="21"/>
              </w:rPr>
            </w:pPr>
            <w:r>
              <w:rPr>
                <w:bCs/>
                <w:sz w:val="21"/>
                <w:szCs w:val="21"/>
              </w:rPr>
              <w:t>2.20</w:t>
            </w:r>
          </w:p>
        </w:tc>
        <w:tc>
          <w:tcPr>
            <w:tcW w:w="1074" w:type="dxa"/>
            <w:vMerge w:val="continue"/>
            <w:vAlign w:val="center"/>
          </w:tcPr>
          <w:p>
            <w:pPr>
              <w:pStyle w:val="68"/>
              <w:adjustRightInd/>
              <w:snapToGrid/>
              <w:spacing w:afterLines="0"/>
              <w:jc w:val="center"/>
              <w:rPr>
                <w:b w:val="0"/>
                <w:bCs/>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边坡绿化</w:t>
            </w:r>
          </w:p>
        </w:tc>
        <w:tc>
          <w:tcPr>
            <w:tcW w:w="946" w:type="dxa"/>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1.30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1.30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sz w:val="21"/>
                <w:szCs w:val="21"/>
              </w:rPr>
            </w:pPr>
            <w:r>
              <w:rPr>
                <w:b w:val="0"/>
                <w:sz w:val="21"/>
                <w:szCs w:val="21"/>
              </w:rPr>
              <w:t>1.30</w:t>
            </w:r>
          </w:p>
        </w:tc>
        <w:tc>
          <w:tcPr>
            <w:tcW w:w="998" w:type="dxa"/>
            <w:vAlign w:val="center"/>
          </w:tcPr>
          <w:p>
            <w:pPr>
              <w:pStyle w:val="68"/>
              <w:adjustRightInd/>
              <w:snapToGrid/>
              <w:spacing w:afterLines="0"/>
              <w:jc w:val="center"/>
              <w:rPr>
                <w:bCs/>
                <w:sz w:val="21"/>
                <w:szCs w:val="21"/>
              </w:rPr>
            </w:pPr>
            <w:r>
              <w:rPr>
                <w:bCs/>
                <w:sz w:val="21"/>
                <w:szCs w:val="21"/>
              </w:rPr>
              <w:t>1.30</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963" w:type="dxa"/>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946" w:type="dxa"/>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1.10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bCs/>
                <w:sz w:val="21"/>
                <w:szCs w:val="21"/>
              </w:rPr>
            </w:pPr>
            <w:r>
              <w:rPr>
                <w:bCs/>
                <w:sz w:val="21"/>
                <w:szCs w:val="21"/>
              </w:rPr>
              <w:t>1.10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sz w:val="21"/>
                <w:szCs w:val="21"/>
              </w:rPr>
            </w:pPr>
            <w:r>
              <w:rPr>
                <w:b w:val="0"/>
                <w:sz w:val="21"/>
                <w:szCs w:val="21"/>
              </w:rPr>
              <w:t>1.10</w:t>
            </w:r>
          </w:p>
        </w:tc>
        <w:tc>
          <w:tcPr>
            <w:tcW w:w="998" w:type="dxa"/>
            <w:vAlign w:val="center"/>
          </w:tcPr>
          <w:p>
            <w:pPr>
              <w:pStyle w:val="68"/>
              <w:adjustRightInd/>
              <w:snapToGrid/>
              <w:spacing w:afterLines="0"/>
              <w:jc w:val="center"/>
              <w:rPr>
                <w:bCs/>
                <w:sz w:val="21"/>
                <w:szCs w:val="21"/>
              </w:rPr>
            </w:pPr>
            <w:r>
              <w:rPr>
                <w:bCs/>
                <w:sz w:val="21"/>
                <w:szCs w:val="21"/>
              </w:rPr>
              <w:t>1.10</w:t>
            </w:r>
          </w:p>
        </w:tc>
        <w:tc>
          <w:tcPr>
            <w:tcW w:w="1074" w:type="dxa"/>
            <w:vAlign w:val="center"/>
          </w:tcPr>
          <w:p>
            <w:pPr>
              <w:pStyle w:val="68"/>
              <w:adjustRightInd/>
              <w:snapToGrid/>
              <w:spacing w:afterLines="0"/>
              <w:jc w:val="center"/>
              <w:rPr>
                <w:b w:val="0"/>
                <w:bCs/>
                <w:sz w:val="21"/>
                <w:szCs w:val="21"/>
              </w:rPr>
            </w:pPr>
            <w:r>
              <w:rPr>
                <w:b w:val="0"/>
                <w:bCs/>
                <w:sz w:val="21"/>
                <w:szCs w:val="21"/>
              </w:rPr>
              <w:t>主体已有</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r>
              <w:rPr>
                <w:b w:val="0"/>
                <w:bCs/>
                <w:sz w:val="21"/>
                <w:szCs w:val="21"/>
              </w:rPr>
              <w:t>5017</w:t>
            </w:r>
          </w:p>
        </w:tc>
        <w:tc>
          <w:tcPr>
            <w:tcW w:w="1142" w:type="dxa"/>
            <w:vAlign w:val="center"/>
          </w:tcPr>
          <w:p>
            <w:pPr>
              <w:pStyle w:val="68"/>
              <w:adjustRightInd/>
              <w:snapToGrid/>
              <w:spacing w:afterLines="0"/>
              <w:jc w:val="center"/>
              <w:rPr>
                <w:b w:val="0"/>
                <w:bCs/>
                <w:sz w:val="21"/>
                <w:szCs w:val="21"/>
              </w:rPr>
            </w:pPr>
            <w:r>
              <w:rPr>
                <w:b w:val="0"/>
                <w:bCs/>
                <w:sz w:val="21"/>
                <w:szCs w:val="21"/>
              </w:rPr>
              <w:t>10901</w:t>
            </w:r>
          </w:p>
        </w:tc>
        <w:tc>
          <w:tcPr>
            <w:tcW w:w="1012" w:type="dxa"/>
            <w:vAlign w:val="center"/>
          </w:tcPr>
          <w:p>
            <w:pPr>
              <w:pStyle w:val="68"/>
              <w:adjustRightInd/>
              <w:snapToGrid/>
              <w:spacing w:afterLines="0"/>
              <w:jc w:val="center"/>
              <w:rPr>
                <w:b w:val="0"/>
                <w:bCs/>
                <w:sz w:val="21"/>
                <w:szCs w:val="21"/>
              </w:rPr>
            </w:pPr>
            <w:r>
              <w:rPr>
                <w:b w:val="0"/>
                <w:bCs/>
                <w:sz w:val="21"/>
                <w:szCs w:val="21"/>
              </w:rPr>
              <w:t>1282</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17200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17200</w:t>
            </w:r>
          </w:p>
        </w:tc>
        <w:tc>
          <w:tcPr>
            <w:tcW w:w="998" w:type="dxa"/>
            <w:vAlign w:val="center"/>
          </w:tcPr>
          <w:p>
            <w:pPr>
              <w:pStyle w:val="68"/>
              <w:adjustRightInd/>
              <w:snapToGrid/>
              <w:spacing w:afterLines="0"/>
              <w:jc w:val="center"/>
              <w:rPr>
                <w:b w:val="0"/>
                <w:bCs/>
                <w:sz w:val="21"/>
                <w:szCs w:val="21"/>
              </w:rPr>
            </w:pPr>
            <w:r>
              <w:rPr>
                <w:sz w:val="21"/>
                <w:szCs w:val="21"/>
              </w:rPr>
              <w:t>17200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r>
              <w:rPr>
                <w:b w:val="0"/>
                <w:bCs/>
                <w:sz w:val="21"/>
                <w:szCs w:val="21"/>
              </w:rPr>
              <w:t>24</w:t>
            </w:r>
          </w:p>
        </w:tc>
        <w:tc>
          <w:tcPr>
            <w:tcW w:w="1142" w:type="dxa"/>
            <w:vAlign w:val="center"/>
          </w:tcPr>
          <w:p>
            <w:pPr>
              <w:pStyle w:val="68"/>
              <w:adjustRightInd/>
              <w:snapToGrid/>
              <w:spacing w:afterLines="0"/>
              <w:jc w:val="center"/>
              <w:rPr>
                <w:b w:val="0"/>
                <w:bCs/>
                <w:sz w:val="21"/>
                <w:szCs w:val="21"/>
              </w:rPr>
            </w:pPr>
            <w:r>
              <w:rPr>
                <w:b w:val="0"/>
                <w:bCs/>
                <w:sz w:val="21"/>
                <w:szCs w:val="21"/>
              </w:rPr>
              <w:t>40</w:t>
            </w:r>
          </w:p>
        </w:tc>
        <w:tc>
          <w:tcPr>
            <w:tcW w:w="1012" w:type="dxa"/>
            <w:vAlign w:val="center"/>
          </w:tcPr>
          <w:p>
            <w:pPr>
              <w:pStyle w:val="68"/>
              <w:adjustRightInd/>
              <w:snapToGrid/>
              <w:spacing w:afterLines="0"/>
              <w:jc w:val="center"/>
              <w:rPr>
                <w:b w:val="0"/>
                <w:bCs/>
                <w:sz w:val="21"/>
                <w:szCs w:val="21"/>
              </w:rPr>
            </w:pPr>
            <w:r>
              <w:rPr>
                <w:b w:val="0"/>
                <w:bCs/>
                <w:sz w:val="21"/>
                <w:szCs w:val="21"/>
              </w:rPr>
              <w:t>6</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70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70</w:t>
            </w:r>
          </w:p>
        </w:tc>
        <w:tc>
          <w:tcPr>
            <w:tcW w:w="998" w:type="dxa"/>
            <w:vAlign w:val="center"/>
          </w:tcPr>
          <w:p>
            <w:pPr>
              <w:pStyle w:val="68"/>
              <w:adjustRightInd/>
              <w:snapToGrid/>
              <w:spacing w:afterLines="0"/>
              <w:jc w:val="center"/>
              <w:rPr>
                <w:b w:val="0"/>
                <w:bCs/>
                <w:sz w:val="21"/>
                <w:szCs w:val="21"/>
              </w:rPr>
            </w:pPr>
            <w:r>
              <w:rPr>
                <w:sz w:val="21"/>
                <w:szCs w:val="21"/>
              </w:rPr>
              <w:t>70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r>
              <w:rPr>
                <w:b w:val="0"/>
                <w:bCs/>
                <w:sz w:val="21"/>
                <w:szCs w:val="21"/>
              </w:rPr>
              <w:t>29.93</w:t>
            </w:r>
          </w:p>
        </w:tc>
        <w:tc>
          <w:tcPr>
            <w:tcW w:w="1142" w:type="dxa"/>
            <w:vAlign w:val="center"/>
          </w:tcPr>
          <w:p>
            <w:pPr>
              <w:pStyle w:val="68"/>
              <w:adjustRightInd/>
              <w:snapToGrid/>
              <w:spacing w:afterLines="0"/>
              <w:jc w:val="center"/>
              <w:rPr>
                <w:b w:val="0"/>
                <w:bCs/>
                <w:sz w:val="21"/>
                <w:szCs w:val="21"/>
              </w:rPr>
            </w:pPr>
            <w:r>
              <w:rPr>
                <w:b w:val="0"/>
                <w:bCs/>
                <w:sz w:val="21"/>
                <w:szCs w:val="21"/>
              </w:rPr>
              <w:t>6.54</w:t>
            </w:r>
          </w:p>
        </w:tc>
        <w:tc>
          <w:tcPr>
            <w:tcW w:w="1012" w:type="dxa"/>
            <w:vAlign w:val="center"/>
          </w:tcPr>
          <w:p>
            <w:pPr>
              <w:pStyle w:val="68"/>
              <w:adjustRightInd/>
              <w:snapToGrid/>
              <w:spacing w:afterLines="0"/>
              <w:jc w:val="center"/>
              <w:rPr>
                <w:b w:val="0"/>
                <w:bCs/>
                <w:sz w:val="21"/>
                <w:szCs w:val="21"/>
              </w:rPr>
            </w:pPr>
            <w:r>
              <w:rPr>
                <w:b w:val="0"/>
                <w:bCs/>
                <w:sz w:val="21"/>
                <w:szCs w:val="21"/>
              </w:rPr>
              <w:t>5.80</w:t>
            </w:r>
          </w:p>
        </w:tc>
        <w:tc>
          <w:tcPr>
            <w:tcW w:w="1017" w:type="dxa"/>
            <w:vAlign w:val="center"/>
          </w:tcPr>
          <w:p>
            <w:pPr>
              <w:pStyle w:val="68"/>
              <w:adjustRightInd/>
              <w:snapToGrid/>
              <w:spacing w:afterLines="0"/>
              <w:jc w:val="center"/>
              <w:rPr>
                <w:b w:val="0"/>
                <w:bCs/>
                <w:sz w:val="21"/>
                <w:szCs w:val="21"/>
              </w:rPr>
            </w:pPr>
            <w:r>
              <w:rPr>
                <w:b w:val="0"/>
                <w:bCs/>
                <w:sz w:val="21"/>
                <w:szCs w:val="21"/>
              </w:rPr>
              <w:t>2.0</w:t>
            </w:r>
          </w:p>
        </w:tc>
        <w:tc>
          <w:tcPr>
            <w:tcW w:w="1004" w:type="dxa"/>
            <w:vAlign w:val="center"/>
          </w:tcPr>
          <w:p>
            <w:pPr>
              <w:pStyle w:val="68"/>
              <w:adjustRightInd/>
              <w:snapToGrid/>
              <w:spacing w:afterLines="0"/>
              <w:jc w:val="center"/>
              <w:rPr>
                <w:sz w:val="21"/>
                <w:szCs w:val="21"/>
              </w:rPr>
            </w:pPr>
            <w:r>
              <w:rPr>
                <w:sz w:val="21"/>
                <w:szCs w:val="21"/>
              </w:rPr>
              <w:t>44.27</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44.27</w:t>
            </w:r>
          </w:p>
        </w:tc>
        <w:tc>
          <w:tcPr>
            <w:tcW w:w="998" w:type="dxa"/>
            <w:vAlign w:val="center"/>
          </w:tcPr>
          <w:p>
            <w:pPr>
              <w:pStyle w:val="68"/>
              <w:adjustRightInd/>
              <w:snapToGrid/>
              <w:spacing w:afterLines="0"/>
              <w:jc w:val="center"/>
              <w:rPr>
                <w:b w:val="0"/>
                <w:bCs/>
                <w:sz w:val="21"/>
                <w:szCs w:val="21"/>
              </w:rPr>
            </w:pPr>
            <w:r>
              <w:rPr>
                <w:sz w:val="21"/>
                <w:szCs w:val="21"/>
              </w:rPr>
              <w:t>44.27</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r>
              <w:rPr>
                <w:b w:val="0"/>
                <w:bCs/>
                <w:sz w:val="21"/>
                <w:szCs w:val="21"/>
              </w:rPr>
              <w:t>400</w:t>
            </w: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400</w:t>
            </w:r>
          </w:p>
        </w:tc>
        <w:tc>
          <w:tcPr>
            <w:tcW w:w="998" w:type="dxa"/>
            <w:vAlign w:val="center"/>
          </w:tcPr>
          <w:p>
            <w:pPr>
              <w:pStyle w:val="68"/>
              <w:adjustRightInd/>
              <w:snapToGrid/>
              <w:spacing w:afterLines="0"/>
              <w:jc w:val="center"/>
              <w:rPr>
                <w:b w:val="0"/>
                <w:bCs/>
                <w:sz w:val="21"/>
                <w:szCs w:val="21"/>
              </w:rPr>
            </w:pPr>
            <w:r>
              <w:rPr>
                <w:sz w:val="21"/>
                <w:szCs w:val="21"/>
              </w:rPr>
              <w:t>400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洗车池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r>
              <w:rPr>
                <w:b w:val="0"/>
                <w:bCs/>
                <w:sz w:val="21"/>
                <w:szCs w:val="21"/>
              </w:rPr>
              <w:t>6</w:t>
            </w: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r>
              <w:rPr>
                <w:b w:val="0"/>
                <w:bCs/>
                <w:sz w:val="21"/>
                <w:szCs w:val="21"/>
              </w:rPr>
              <w:t>2</w:t>
            </w: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8</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8</w:t>
            </w:r>
          </w:p>
        </w:tc>
        <w:tc>
          <w:tcPr>
            <w:tcW w:w="998" w:type="dxa"/>
            <w:vAlign w:val="center"/>
          </w:tcPr>
          <w:p>
            <w:pPr>
              <w:pStyle w:val="68"/>
              <w:adjustRightInd/>
              <w:snapToGrid/>
              <w:spacing w:afterLines="0"/>
              <w:jc w:val="center"/>
              <w:rPr>
                <w:b w:val="0"/>
                <w:bCs/>
                <w:sz w:val="21"/>
                <w:szCs w:val="21"/>
              </w:rPr>
            </w:pPr>
            <w:r>
              <w:rPr>
                <w:sz w:val="21"/>
                <w:szCs w:val="21"/>
              </w:rPr>
              <w:t>8</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Align w:val="center"/>
          </w:tcPr>
          <w:p>
            <w:pPr>
              <w:pStyle w:val="68"/>
              <w:adjustRightInd/>
              <w:snapToGrid/>
              <w:spacing w:afterLines="0"/>
              <w:jc w:val="center"/>
              <w:rPr>
                <w:b w:val="0"/>
                <w:bCs/>
                <w:sz w:val="21"/>
                <w:szCs w:val="21"/>
              </w:rPr>
            </w:pPr>
            <w:r>
              <w:rPr>
                <w:b w:val="0"/>
                <w:bCs/>
                <w:sz w:val="21"/>
                <w:szCs w:val="21"/>
              </w:rPr>
              <w:t>远期建设区</w:t>
            </w:r>
          </w:p>
        </w:tc>
        <w:tc>
          <w:tcPr>
            <w:tcW w:w="983" w:type="dxa"/>
            <w:vAlign w:val="center"/>
          </w:tcPr>
          <w:p>
            <w:pPr>
              <w:pStyle w:val="68"/>
              <w:adjustRightInd/>
              <w:snapToGrid/>
              <w:spacing w:afterLines="0"/>
              <w:jc w:val="center"/>
              <w:rPr>
                <w:b w:val="0"/>
                <w:bCs/>
                <w:sz w:val="21"/>
                <w:szCs w:val="21"/>
              </w:rPr>
            </w:pPr>
            <w:r>
              <w:rPr>
                <w:b w:val="0"/>
                <w:bCs/>
                <w:sz w:val="21"/>
                <w:szCs w:val="21"/>
              </w:rPr>
              <w:t>未建区</w:t>
            </w:r>
          </w:p>
        </w:tc>
        <w:tc>
          <w:tcPr>
            <w:tcW w:w="12804" w:type="dxa"/>
            <w:gridSpan w:val="15"/>
            <w:vAlign w:val="center"/>
          </w:tcPr>
          <w:p>
            <w:pPr>
              <w:pStyle w:val="68"/>
              <w:adjustRightInd/>
              <w:snapToGrid/>
              <w:spacing w:afterLines="0"/>
              <w:jc w:val="center"/>
              <w:rPr>
                <w:b w:val="0"/>
                <w:bCs/>
                <w:sz w:val="21"/>
                <w:szCs w:val="21"/>
              </w:rPr>
            </w:pPr>
            <w:r>
              <w:rPr>
                <w:sz w:val="21"/>
                <w:szCs w:val="21"/>
              </w:rPr>
              <w:t>根据近期水土保持措施布设成果，对远期提水土保持要求；本方案服务期满后，另行对远期建设区编报水土保持区域评估报告</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restart"/>
            <w:vAlign w:val="center"/>
          </w:tcPr>
          <w:p>
            <w:pPr>
              <w:pStyle w:val="68"/>
              <w:adjustRightInd/>
              <w:snapToGrid/>
              <w:spacing w:afterLines="0"/>
              <w:jc w:val="center"/>
              <w:rPr>
                <w:b w:val="0"/>
                <w:bCs/>
                <w:sz w:val="21"/>
                <w:szCs w:val="21"/>
              </w:rPr>
            </w:pPr>
            <w:r>
              <w:rPr>
                <w:b w:val="0"/>
                <w:bCs/>
                <w:sz w:val="21"/>
                <w:szCs w:val="21"/>
              </w:rPr>
              <w:t>临时堆场区</w:t>
            </w:r>
          </w:p>
        </w:tc>
        <w:tc>
          <w:tcPr>
            <w:tcW w:w="983" w:type="dxa"/>
            <w:vMerge w:val="restart"/>
            <w:vAlign w:val="center"/>
          </w:tcPr>
          <w:p>
            <w:pPr>
              <w:pStyle w:val="68"/>
              <w:adjustRightInd/>
              <w:snapToGrid/>
              <w:spacing w:afterLines="0"/>
              <w:jc w:val="center"/>
              <w:rPr>
                <w:b w:val="0"/>
                <w:bCs/>
                <w:sz w:val="21"/>
                <w:szCs w:val="21"/>
              </w:rPr>
            </w:pPr>
            <w:r>
              <w:rPr>
                <w:b w:val="0"/>
                <w:bCs/>
                <w:sz w:val="21"/>
                <w:szCs w:val="21"/>
              </w:rPr>
              <w:t>表土中转场</w:t>
            </w:r>
          </w:p>
        </w:tc>
        <w:tc>
          <w:tcPr>
            <w:tcW w:w="787" w:type="dxa"/>
            <w:vAlign w:val="center"/>
          </w:tcPr>
          <w:p>
            <w:pPr>
              <w:pStyle w:val="68"/>
              <w:adjustRightInd/>
              <w:snapToGrid/>
              <w:spacing w:afterLines="0"/>
              <w:jc w:val="center"/>
              <w:rPr>
                <w:b w:val="0"/>
                <w:bCs/>
                <w:sz w:val="21"/>
                <w:szCs w:val="21"/>
              </w:rPr>
            </w:pPr>
            <w:r>
              <w:rPr>
                <w:b w:val="0"/>
                <w:bCs/>
                <w:sz w:val="21"/>
                <w:szCs w:val="21"/>
              </w:rPr>
              <w:t>植物措施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播撒草籽</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spacing w:line="240" w:lineRule="auto"/>
              <w:ind w:firstLine="0" w:firstLineChars="0"/>
              <w:jc w:val="center"/>
              <w:rPr>
                <w:b/>
                <w:sz w:val="21"/>
                <w:szCs w:val="21"/>
              </w:rPr>
            </w:pPr>
            <w:r>
              <w:rPr>
                <w:b/>
                <w:bCs/>
                <w:sz w:val="21"/>
                <w:szCs w:val="21"/>
              </w:rPr>
              <w:t>42.19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18.56</w:t>
            </w:r>
          </w:p>
        </w:tc>
        <w:tc>
          <w:tcPr>
            <w:tcW w:w="998" w:type="dxa"/>
            <w:vAlign w:val="center"/>
          </w:tcPr>
          <w:p>
            <w:pPr>
              <w:pStyle w:val="68"/>
              <w:adjustRightInd/>
              <w:snapToGrid/>
              <w:spacing w:afterLines="0"/>
              <w:jc w:val="center"/>
              <w:rPr>
                <w:b w:val="0"/>
                <w:bCs/>
                <w:sz w:val="21"/>
                <w:szCs w:val="21"/>
              </w:rPr>
            </w:pPr>
            <w:r>
              <w:rPr>
                <w:sz w:val="21"/>
                <w:szCs w:val="21"/>
              </w:rPr>
              <w:t>18.56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密目网苫盖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spacing w:line="240" w:lineRule="auto"/>
              <w:ind w:firstLine="0" w:firstLineChars="0"/>
              <w:jc w:val="center"/>
              <w:rPr>
                <w:b/>
                <w:sz w:val="21"/>
                <w:szCs w:val="21"/>
              </w:rPr>
            </w:pPr>
            <w:r>
              <w:rPr>
                <w:b/>
                <w:bCs/>
                <w:sz w:val="21"/>
                <w:szCs w:val="21"/>
              </w:rPr>
              <w:t>42.19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0.09</w:t>
            </w:r>
          </w:p>
        </w:tc>
        <w:tc>
          <w:tcPr>
            <w:tcW w:w="998" w:type="dxa"/>
            <w:vAlign w:val="center"/>
          </w:tcPr>
          <w:p>
            <w:pPr>
              <w:pStyle w:val="68"/>
              <w:adjustRightInd/>
              <w:snapToGrid/>
              <w:spacing w:afterLines="0"/>
              <w:jc w:val="center"/>
              <w:rPr>
                <w:b w:val="0"/>
                <w:bCs/>
                <w:sz w:val="21"/>
                <w:szCs w:val="21"/>
              </w:rPr>
            </w:pPr>
            <w:r>
              <w:rPr>
                <w:sz w:val="21"/>
                <w:szCs w:val="21"/>
              </w:rPr>
              <w:t>0.09</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spacing w:line="240" w:lineRule="auto"/>
              <w:ind w:firstLine="0" w:firstLineChars="0"/>
              <w:jc w:val="center"/>
              <w:rPr>
                <w:b/>
                <w:sz w:val="21"/>
                <w:szCs w:val="21"/>
              </w:rPr>
            </w:pPr>
            <w:r>
              <w:rPr>
                <w:b/>
                <w:bCs/>
                <w:sz w:val="21"/>
                <w:szCs w:val="21"/>
              </w:rPr>
              <w:t>22600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2236</w:t>
            </w:r>
          </w:p>
        </w:tc>
        <w:tc>
          <w:tcPr>
            <w:tcW w:w="998" w:type="dxa"/>
            <w:vAlign w:val="center"/>
          </w:tcPr>
          <w:p>
            <w:pPr>
              <w:pStyle w:val="68"/>
              <w:adjustRightInd/>
              <w:snapToGrid/>
              <w:spacing w:afterLines="0"/>
              <w:jc w:val="center"/>
              <w:rPr>
                <w:b w:val="0"/>
                <w:bCs/>
                <w:sz w:val="21"/>
                <w:szCs w:val="21"/>
              </w:rPr>
            </w:pPr>
            <w:r>
              <w:rPr>
                <w:sz w:val="21"/>
                <w:szCs w:val="21"/>
              </w:rPr>
              <w:t>2236</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restart"/>
            <w:vAlign w:val="center"/>
          </w:tcPr>
          <w:p>
            <w:pPr>
              <w:pStyle w:val="68"/>
              <w:adjustRightInd/>
              <w:snapToGrid/>
              <w:spacing w:afterLines="0"/>
              <w:jc w:val="center"/>
              <w:rPr>
                <w:b w:val="0"/>
                <w:bCs/>
                <w:sz w:val="21"/>
                <w:szCs w:val="21"/>
              </w:rPr>
            </w:pPr>
            <w:r>
              <w:rPr>
                <w:b w:val="0"/>
                <w:bCs/>
                <w:sz w:val="21"/>
                <w:szCs w:val="21"/>
              </w:rPr>
              <w:t>土石方中转场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spacing w:line="240" w:lineRule="auto"/>
              <w:ind w:firstLine="0" w:firstLineChars="0"/>
              <w:jc w:val="center"/>
              <w:rPr>
                <w:bCs/>
                <w:sz w:val="21"/>
                <w:szCs w:val="21"/>
              </w:rPr>
            </w:pPr>
            <w:r>
              <w:rPr>
                <w:sz w:val="21"/>
                <w:szCs w:val="21"/>
              </w:rPr>
              <w:t>浆砌石重力式挡土墙</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123</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123</w:t>
            </w:r>
          </w:p>
        </w:tc>
        <w:tc>
          <w:tcPr>
            <w:tcW w:w="998" w:type="dxa"/>
            <w:vAlign w:val="center"/>
          </w:tcPr>
          <w:p>
            <w:pPr>
              <w:pStyle w:val="68"/>
              <w:adjustRightInd/>
              <w:snapToGrid/>
              <w:spacing w:afterLines="0"/>
              <w:jc w:val="center"/>
              <w:rPr>
                <w:b w:val="0"/>
                <w:bCs/>
                <w:sz w:val="21"/>
                <w:szCs w:val="21"/>
              </w:rPr>
            </w:pPr>
            <w:r>
              <w:rPr>
                <w:sz w:val="21"/>
                <w:szCs w:val="21"/>
              </w:rPr>
              <w:t>123</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pPr>
          </w:p>
        </w:tc>
        <w:tc>
          <w:tcPr>
            <w:tcW w:w="983" w:type="dxa"/>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spacing w:line="240" w:lineRule="auto"/>
              <w:ind w:firstLine="0" w:firstLineChars="0"/>
              <w:jc w:val="center"/>
              <w:rPr>
                <w:bCs/>
                <w:sz w:val="21"/>
                <w:szCs w:val="21"/>
              </w:rPr>
            </w:pPr>
            <w:r>
              <w:rPr>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6202</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6202</w:t>
            </w:r>
          </w:p>
        </w:tc>
        <w:tc>
          <w:tcPr>
            <w:tcW w:w="998" w:type="dxa"/>
            <w:vAlign w:val="center"/>
          </w:tcPr>
          <w:p>
            <w:pPr>
              <w:pStyle w:val="68"/>
              <w:adjustRightInd/>
              <w:snapToGrid/>
              <w:spacing w:afterLines="0"/>
              <w:jc w:val="center"/>
              <w:rPr>
                <w:b w:val="0"/>
                <w:bCs/>
                <w:sz w:val="21"/>
                <w:szCs w:val="21"/>
              </w:rPr>
            </w:pPr>
            <w:r>
              <w:rPr>
                <w:sz w:val="21"/>
                <w:szCs w:val="21"/>
              </w:rPr>
              <w:t>6202</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spacing w:line="240" w:lineRule="auto"/>
              <w:ind w:firstLine="0" w:firstLineChars="0"/>
              <w:jc w:val="center"/>
              <w:rPr>
                <w:bCs/>
                <w:sz w:val="21"/>
                <w:szCs w:val="21"/>
              </w:rPr>
            </w:pPr>
            <w:r>
              <w:rPr>
                <w:kern w:val="24"/>
                <w:sz w:val="21"/>
                <w:szCs w:val="21"/>
              </w:rPr>
              <w:t>排水盲沟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2119</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2119</w:t>
            </w:r>
          </w:p>
        </w:tc>
        <w:tc>
          <w:tcPr>
            <w:tcW w:w="998" w:type="dxa"/>
            <w:vAlign w:val="center"/>
          </w:tcPr>
          <w:p>
            <w:pPr>
              <w:pStyle w:val="68"/>
              <w:adjustRightInd/>
              <w:snapToGrid/>
              <w:spacing w:afterLines="0"/>
              <w:jc w:val="center"/>
              <w:rPr>
                <w:b w:val="0"/>
                <w:bCs/>
                <w:sz w:val="21"/>
                <w:szCs w:val="21"/>
              </w:rPr>
            </w:pPr>
            <w:r>
              <w:rPr>
                <w:sz w:val="21"/>
                <w:szCs w:val="21"/>
              </w:rPr>
              <w:t>2119</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spacing w:line="240" w:lineRule="auto"/>
              <w:ind w:firstLine="0" w:firstLineChars="0"/>
              <w:jc w:val="center"/>
              <w:rPr>
                <w:bCs/>
                <w:sz w:val="21"/>
                <w:szCs w:val="21"/>
              </w:rPr>
            </w:pPr>
            <w:r>
              <w:rPr>
                <w:sz w:val="21"/>
                <w:szCs w:val="21"/>
              </w:rPr>
              <w:t>消力池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w:t>
            </w:r>
          </w:p>
        </w:tc>
        <w:tc>
          <w:tcPr>
            <w:tcW w:w="998" w:type="dxa"/>
            <w:vAlign w:val="center"/>
          </w:tcPr>
          <w:p>
            <w:pPr>
              <w:pStyle w:val="68"/>
              <w:adjustRightInd/>
              <w:snapToGrid/>
              <w:spacing w:afterLines="0"/>
              <w:jc w:val="center"/>
              <w:rPr>
                <w:b w:val="0"/>
                <w:bCs/>
                <w:sz w:val="21"/>
                <w:szCs w:val="21"/>
              </w:rPr>
            </w:pPr>
            <w:r>
              <w:rPr>
                <w:sz w:val="21"/>
                <w:szCs w:val="21"/>
              </w:rPr>
              <w:t>10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spacing w:line="240" w:lineRule="auto"/>
              <w:ind w:firstLine="0" w:firstLineChars="0"/>
              <w:jc w:val="center"/>
              <w:rPr>
                <w:bCs/>
                <w:sz w:val="21"/>
                <w:szCs w:val="21"/>
              </w:rPr>
            </w:pPr>
            <w:r>
              <w:rPr>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w:t>
            </w:r>
          </w:p>
        </w:tc>
        <w:tc>
          <w:tcPr>
            <w:tcW w:w="998" w:type="dxa"/>
            <w:vAlign w:val="center"/>
          </w:tcPr>
          <w:p>
            <w:pPr>
              <w:pStyle w:val="68"/>
              <w:adjustRightInd/>
              <w:snapToGrid/>
              <w:spacing w:afterLines="0"/>
              <w:jc w:val="center"/>
              <w:rPr>
                <w:b w:val="0"/>
                <w:bCs/>
                <w:sz w:val="21"/>
                <w:szCs w:val="21"/>
              </w:rPr>
            </w:pPr>
            <w:r>
              <w:rPr>
                <w:sz w:val="21"/>
                <w:szCs w:val="21"/>
              </w:rPr>
              <w:t>10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433" w:type="dxa"/>
            <w:vMerge w:val="continue"/>
            <w:vAlign w:val="center"/>
          </w:tcPr>
          <w:p>
            <w:pPr>
              <w:pStyle w:val="68"/>
              <w:adjustRightInd/>
              <w:snapToGrid/>
              <w:spacing w:afterLines="0"/>
              <w:jc w:val="center"/>
              <w:rPr>
                <w:b w:val="0"/>
                <w:bCs/>
                <w:sz w:val="21"/>
                <w:szCs w:val="21"/>
              </w:rPr>
            </w:pPr>
          </w:p>
        </w:tc>
        <w:tc>
          <w:tcPr>
            <w:tcW w:w="983" w:type="dxa"/>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12.17</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12.17</w:t>
            </w:r>
          </w:p>
        </w:tc>
        <w:tc>
          <w:tcPr>
            <w:tcW w:w="998" w:type="dxa"/>
            <w:vAlign w:val="center"/>
          </w:tcPr>
          <w:p>
            <w:pPr>
              <w:pStyle w:val="68"/>
              <w:adjustRightInd/>
              <w:snapToGrid/>
              <w:spacing w:afterLines="0"/>
              <w:jc w:val="center"/>
              <w:rPr>
                <w:b w:val="0"/>
                <w:bCs/>
                <w:sz w:val="21"/>
                <w:szCs w:val="21"/>
              </w:rPr>
            </w:pPr>
            <w:r>
              <w:rPr>
                <w:sz w:val="21"/>
                <w:szCs w:val="21"/>
              </w:rPr>
              <w:t>12.17</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restart"/>
            <w:vAlign w:val="center"/>
          </w:tcPr>
          <w:p>
            <w:pPr>
              <w:pStyle w:val="68"/>
              <w:adjustRightInd/>
              <w:snapToGrid/>
              <w:spacing w:afterLines="0"/>
              <w:jc w:val="center"/>
              <w:rPr>
                <w:b w:val="0"/>
                <w:bCs/>
                <w:sz w:val="21"/>
                <w:szCs w:val="21"/>
              </w:rPr>
            </w:pPr>
            <w:r>
              <w:rPr>
                <w:b w:val="0"/>
                <w:bCs/>
                <w:sz w:val="21"/>
                <w:szCs w:val="21"/>
              </w:rPr>
              <w:t>施工生产生活区</w:t>
            </w:r>
          </w:p>
        </w:tc>
        <w:tc>
          <w:tcPr>
            <w:tcW w:w="787" w:type="dxa"/>
            <w:vMerge w:val="restart"/>
            <w:vAlign w:val="center"/>
          </w:tcPr>
          <w:p>
            <w:pPr>
              <w:pStyle w:val="68"/>
              <w:adjustRightInd/>
              <w:snapToGrid/>
              <w:spacing w:afterLines="0"/>
              <w:jc w:val="center"/>
              <w:rPr>
                <w:b w:val="0"/>
                <w:bCs/>
                <w:sz w:val="21"/>
                <w:szCs w:val="21"/>
              </w:rPr>
            </w:pPr>
            <w:r>
              <w:rPr>
                <w:b w:val="0"/>
                <w:bCs/>
                <w:sz w:val="21"/>
                <w:szCs w:val="21"/>
              </w:rPr>
              <w:t>临时措施</w:t>
            </w:r>
          </w:p>
        </w:tc>
        <w:tc>
          <w:tcPr>
            <w:tcW w:w="1909" w:type="dxa"/>
            <w:gridSpan w:val="4"/>
            <w:vAlign w:val="center"/>
          </w:tcPr>
          <w:p>
            <w:pPr>
              <w:pStyle w:val="68"/>
              <w:adjustRightInd/>
              <w:snapToGrid/>
              <w:spacing w:afterLines="0"/>
              <w:jc w:val="center"/>
              <w:rPr>
                <w:b w:val="0"/>
                <w:bCs/>
                <w:sz w:val="21"/>
                <w:szCs w:val="21"/>
              </w:rPr>
            </w:pPr>
            <w:r>
              <w:rPr>
                <w:b w:val="0"/>
                <w:bCs/>
                <w:sz w:val="21"/>
                <w:szCs w:val="21"/>
              </w:rPr>
              <w:t>截排水沟</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3000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3000</w:t>
            </w:r>
          </w:p>
        </w:tc>
        <w:tc>
          <w:tcPr>
            <w:tcW w:w="998" w:type="dxa"/>
            <w:vAlign w:val="center"/>
          </w:tcPr>
          <w:p>
            <w:pPr>
              <w:pStyle w:val="68"/>
              <w:adjustRightInd/>
              <w:snapToGrid/>
              <w:spacing w:afterLines="0"/>
              <w:jc w:val="center"/>
              <w:rPr>
                <w:sz w:val="21"/>
                <w:szCs w:val="21"/>
              </w:rPr>
            </w:pPr>
            <w:r>
              <w:rPr>
                <w:sz w:val="21"/>
                <w:szCs w:val="21"/>
              </w:rPr>
              <w:t>3000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pPr>
          </w:p>
        </w:tc>
        <w:tc>
          <w:tcPr>
            <w:tcW w:w="787" w:type="dxa"/>
            <w:vMerge w:val="continue"/>
            <w:vAlign w:val="center"/>
          </w:tcPr>
          <w:p>
            <w:pPr>
              <w:pStyle w:val="68"/>
              <w:adjustRightInd/>
              <w:snapToGrid/>
              <w:spacing w:afterLines="0"/>
              <w:jc w:val="cente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沉沙池</w:t>
            </w:r>
          </w:p>
        </w:tc>
        <w:tc>
          <w:tcPr>
            <w:tcW w:w="763" w:type="dxa"/>
            <w:vAlign w:val="center"/>
          </w:tcPr>
          <w:p>
            <w:pPr>
              <w:pStyle w:val="68"/>
              <w:adjustRightInd/>
              <w:snapToGrid/>
              <w:spacing w:afterLines="0"/>
              <w:jc w:val="center"/>
              <w:rPr>
                <w:b w:val="0"/>
                <w:bCs/>
                <w:sz w:val="21"/>
                <w:szCs w:val="21"/>
              </w:rPr>
            </w:pPr>
            <w:r>
              <w:rPr>
                <w:b w:val="0"/>
                <w:bCs/>
                <w:sz w:val="21"/>
                <w:szCs w:val="21"/>
              </w:rPr>
              <w:t>座</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10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10</w:t>
            </w:r>
          </w:p>
        </w:tc>
        <w:tc>
          <w:tcPr>
            <w:tcW w:w="998" w:type="dxa"/>
            <w:vAlign w:val="center"/>
          </w:tcPr>
          <w:p>
            <w:pPr>
              <w:pStyle w:val="68"/>
              <w:adjustRightInd/>
              <w:snapToGrid/>
              <w:spacing w:afterLines="0"/>
              <w:jc w:val="center"/>
              <w:rPr>
                <w:sz w:val="21"/>
                <w:szCs w:val="21"/>
              </w:rPr>
            </w:pPr>
            <w:r>
              <w:rPr>
                <w:sz w:val="21"/>
                <w:szCs w:val="21"/>
              </w:rPr>
              <w:t>10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防雨布苫盖</w:t>
            </w:r>
          </w:p>
        </w:tc>
        <w:tc>
          <w:tcPr>
            <w:tcW w:w="763" w:type="dxa"/>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2.27</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2.27</w:t>
            </w:r>
          </w:p>
        </w:tc>
        <w:tc>
          <w:tcPr>
            <w:tcW w:w="998" w:type="dxa"/>
            <w:vAlign w:val="center"/>
          </w:tcPr>
          <w:p>
            <w:pPr>
              <w:pStyle w:val="68"/>
              <w:adjustRightInd/>
              <w:snapToGrid/>
              <w:spacing w:afterLines="0"/>
              <w:jc w:val="center"/>
              <w:rPr>
                <w:sz w:val="21"/>
                <w:szCs w:val="21"/>
              </w:rPr>
            </w:pPr>
            <w:r>
              <w:rPr>
                <w:sz w:val="21"/>
                <w:szCs w:val="21"/>
              </w:rPr>
              <w:t>2.27</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jc w:val="center"/>
        </w:trPr>
        <w:tc>
          <w:tcPr>
            <w:tcW w:w="1416" w:type="dxa"/>
            <w:gridSpan w:val="2"/>
            <w:vMerge w:val="continue"/>
            <w:vAlign w:val="center"/>
          </w:tcPr>
          <w:p>
            <w:pPr>
              <w:pStyle w:val="68"/>
              <w:adjustRightInd/>
              <w:snapToGrid/>
              <w:spacing w:afterLines="0"/>
              <w:jc w:val="center"/>
              <w:rPr>
                <w:b w:val="0"/>
                <w:bCs/>
                <w:sz w:val="21"/>
                <w:szCs w:val="21"/>
              </w:rPr>
            </w:pPr>
          </w:p>
        </w:tc>
        <w:tc>
          <w:tcPr>
            <w:tcW w:w="787" w:type="dxa"/>
            <w:vMerge w:val="continue"/>
            <w:vAlign w:val="center"/>
          </w:tcPr>
          <w:p>
            <w:pPr>
              <w:pStyle w:val="68"/>
              <w:adjustRightInd/>
              <w:snapToGrid/>
              <w:spacing w:afterLines="0"/>
              <w:jc w:val="center"/>
              <w:rPr>
                <w:b w:val="0"/>
                <w:bCs/>
                <w:sz w:val="21"/>
                <w:szCs w:val="21"/>
              </w:rPr>
            </w:pPr>
          </w:p>
        </w:tc>
        <w:tc>
          <w:tcPr>
            <w:tcW w:w="1909" w:type="dxa"/>
            <w:gridSpan w:val="4"/>
            <w:vAlign w:val="center"/>
          </w:tcPr>
          <w:p>
            <w:pPr>
              <w:pStyle w:val="68"/>
              <w:adjustRightInd/>
              <w:snapToGrid/>
              <w:spacing w:afterLines="0"/>
              <w:jc w:val="center"/>
              <w:rPr>
                <w:b w:val="0"/>
                <w:bCs/>
                <w:sz w:val="21"/>
                <w:szCs w:val="21"/>
              </w:rPr>
            </w:pPr>
            <w:r>
              <w:rPr>
                <w:b w:val="0"/>
                <w:bCs/>
                <w:sz w:val="21"/>
                <w:szCs w:val="21"/>
              </w:rPr>
              <w:t>编织袋装土拦挡</w:t>
            </w:r>
          </w:p>
        </w:tc>
        <w:tc>
          <w:tcPr>
            <w:tcW w:w="763" w:type="dxa"/>
            <w:vAlign w:val="center"/>
          </w:tcPr>
          <w:p>
            <w:pPr>
              <w:pStyle w:val="68"/>
              <w:adjustRightInd/>
              <w:snapToGrid/>
              <w:spacing w:afterLines="0"/>
              <w:jc w:val="center"/>
              <w:rPr>
                <w:b w:val="0"/>
                <w:bCs/>
                <w:sz w:val="21"/>
                <w:szCs w:val="21"/>
              </w:rPr>
            </w:pPr>
            <w:r>
              <w:rPr>
                <w:b w:val="0"/>
                <w:bCs/>
                <w:sz w:val="21"/>
                <w:szCs w:val="21"/>
              </w:rPr>
              <w:t>m</w:t>
            </w:r>
          </w:p>
        </w:tc>
        <w:tc>
          <w:tcPr>
            <w:tcW w:w="930" w:type="dxa"/>
            <w:vAlign w:val="center"/>
          </w:tcPr>
          <w:p>
            <w:pPr>
              <w:pStyle w:val="68"/>
              <w:adjustRightInd/>
              <w:snapToGrid/>
              <w:spacing w:afterLines="0"/>
              <w:jc w:val="center"/>
              <w:rPr>
                <w:b w:val="0"/>
                <w:bCs/>
                <w:sz w:val="21"/>
                <w:szCs w:val="21"/>
              </w:rPr>
            </w:pPr>
          </w:p>
        </w:tc>
        <w:tc>
          <w:tcPr>
            <w:tcW w:w="1142" w:type="dxa"/>
            <w:vAlign w:val="center"/>
          </w:tcPr>
          <w:p>
            <w:pPr>
              <w:pStyle w:val="68"/>
              <w:adjustRightInd/>
              <w:snapToGrid/>
              <w:spacing w:afterLines="0"/>
              <w:jc w:val="center"/>
              <w:rPr>
                <w:b w:val="0"/>
                <w:bCs/>
                <w:sz w:val="21"/>
                <w:szCs w:val="21"/>
              </w:rPr>
            </w:pPr>
          </w:p>
        </w:tc>
        <w:tc>
          <w:tcPr>
            <w:tcW w:w="1012" w:type="dxa"/>
            <w:vAlign w:val="center"/>
          </w:tcPr>
          <w:p>
            <w:pPr>
              <w:pStyle w:val="68"/>
              <w:adjustRightInd/>
              <w:snapToGrid/>
              <w:spacing w:afterLines="0"/>
              <w:jc w:val="center"/>
              <w:rPr>
                <w:b w:val="0"/>
                <w:bCs/>
                <w:sz w:val="21"/>
                <w:szCs w:val="21"/>
              </w:rPr>
            </w:pPr>
          </w:p>
        </w:tc>
        <w:tc>
          <w:tcPr>
            <w:tcW w:w="1017" w:type="dxa"/>
            <w:vAlign w:val="center"/>
          </w:tcPr>
          <w:p>
            <w:pPr>
              <w:pStyle w:val="68"/>
              <w:adjustRightInd/>
              <w:snapToGrid/>
              <w:spacing w:afterLines="0"/>
              <w:jc w:val="center"/>
              <w:rPr>
                <w:b w:val="0"/>
                <w:bCs/>
                <w:sz w:val="21"/>
                <w:szCs w:val="21"/>
              </w:rPr>
            </w:pPr>
          </w:p>
        </w:tc>
        <w:tc>
          <w:tcPr>
            <w:tcW w:w="1004" w:type="dxa"/>
            <w:vAlign w:val="center"/>
          </w:tcPr>
          <w:p>
            <w:pPr>
              <w:pStyle w:val="68"/>
              <w:adjustRightInd/>
              <w:snapToGrid/>
              <w:spacing w:afterLines="0"/>
              <w:jc w:val="center"/>
              <w:rPr>
                <w:sz w:val="21"/>
                <w:szCs w:val="21"/>
              </w:rPr>
            </w:pPr>
            <w:r>
              <w:rPr>
                <w:sz w:val="21"/>
                <w:szCs w:val="21"/>
              </w:rPr>
              <w:t>400</w:t>
            </w:r>
          </w:p>
        </w:tc>
        <w:tc>
          <w:tcPr>
            <w:tcW w:w="1077" w:type="dxa"/>
            <w:vAlign w:val="center"/>
          </w:tcPr>
          <w:p>
            <w:pPr>
              <w:pStyle w:val="68"/>
              <w:adjustRightInd/>
              <w:snapToGrid/>
              <w:spacing w:afterLines="0"/>
              <w:jc w:val="center"/>
              <w:rPr>
                <w:b w:val="0"/>
                <w:bCs/>
                <w:sz w:val="21"/>
                <w:szCs w:val="21"/>
              </w:rPr>
            </w:pPr>
          </w:p>
        </w:tc>
        <w:tc>
          <w:tcPr>
            <w:tcW w:w="1091" w:type="dxa"/>
            <w:vAlign w:val="center"/>
          </w:tcPr>
          <w:p>
            <w:pPr>
              <w:pStyle w:val="68"/>
              <w:adjustRightInd/>
              <w:snapToGrid/>
              <w:spacing w:afterLines="0"/>
              <w:jc w:val="center"/>
              <w:rPr>
                <w:b w:val="0"/>
                <w:bCs/>
                <w:sz w:val="21"/>
                <w:szCs w:val="21"/>
              </w:rPr>
            </w:pPr>
            <w:r>
              <w:rPr>
                <w:b w:val="0"/>
                <w:bCs/>
                <w:sz w:val="21"/>
                <w:szCs w:val="21"/>
              </w:rPr>
              <w:t>400</w:t>
            </w:r>
          </w:p>
        </w:tc>
        <w:tc>
          <w:tcPr>
            <w:tcW w:w="998" w:type="dxa"/>
            <w:vAlign w:val="center"/>
          </w:tcPr>
          <w:p>
            <w:pPr>
              <w:pStyle w:val="68"/>
              <w:adjustRightInd/>
              <w:snapToGrid/>
              <w:spacing w:afterLines="0"/>
              <w:jc w:val="center"/>
              <w:rPr>
                <w:sz w:val="21"/>
                <w:szCs w:val="21"/>
              </w:rPr>
            </w:pPr>
            <w:r>
              <w:rPr>
                <w:sz w:val="21"/>
                <w:szCs w:val="21"/>
              </w:rPr>
              <w:t>400</w:t>
            </w:r>
          </w:p>
        </w:tc>
        <w:tc>
          <w:tcPr>
            <w:tcW w:w="1074" w:type="dxa"/>
            <w:vAlign w:val="center"/>
          </w:tcPr>
          <w:p>
            <w:pPr>
              <w:pStyle w:val="68"/>
              <w:adjustRightInd/>
              <w:snapToGrid/>
              <w:spacing w:afterLines="0"/>
              <w:jc w:val="center"/>
              <w:rPr>
                <w:b w:val="0"/>
                <w:bCs/>
                <w:sz w:val="21"/>
                <w:szCs w:val="21"/>
              </w:rPr>
            </w:pPr>
            <w:r>
              <w:rPr>
                <w:b w:val="0"/>
                <w:bCs/>
                <w:sz w:val="21"/>
                <w:szCs w:val="21"/>
              </w:rPr>
              <w:t>报告新增</w:t>
            </w:r>
          </w:p>
        </w:tc>
      </w:tr>
    </w:tbl>
    <w:p>
      <w:pPr>
        <w:pStyle w:val="68"/>
        <w:spacing w:after="120"/>
        <w:sectPr>
          <w:pgSz w:w="16838" w:h="11905" w:orient="landscape"/>
          <w:pgMar w:top="1417" w:right="1417" w:bottom="1417" w:left="1417" w:header="850" w:footer="992" w:gutter="0"/>
          <w:cols w:space="720" w:num="1"/>
          <w:docGrid w:linePitch="312" w:charSpace="0"/>
        </w:sectPr>
      </w:pPr>
    </w:p>
    <w:p>
      <w:pPr>
        <w:pStyle w:val="5"/>
        <w:spacing w:beforeLines="50"/>
      </w:pPr>
      <w:bookmarkStart w:id="91" w:name="_Toc22436"/>
      <w:r>
        <w:t>5.5施工要求</w:t>
      </w:r>
      <w:bookmarkEnd w:id="91"/>
    </w:p>
    <w:p>
      <w:pPr>
        <w:pStyle w:val="6"/>
        <w:tabs>
          <w:tab w:val="left" w:pos="851"/>
        </w:tabs>
      </w:pPr>
      <w:r>
        <w:t>5.5.1水土保持各单项措施所采用的方法</w:t>
      </w:r>
    </w:p>
    <w:p>
      <w:pPr>
        <w:adjustRightInd w:val="0"/>
        <w:snapToGrid w:val="0"/>
        <w:ind w:firstLine="480"/>
        <w:jc w:val="left"/>
        <w:rPr>
          <w:szCs w:val="24"/>
        </w:rPr>
      </w:pPr>
      <w:r>
        <w:rPr>
          <w:szCs w:val="24"/>
        </w:rPr>
        <w:t>1、表土剥离</w:t>
      </w:r>
    </w:p>
    <w:p>
      <w:pPr>
        <w:adjustRightInd w:val="0"/>
        <w:snapToGrid w:val="0"/>
        <w:ind w:firstLine="480"/>
        <w:rPr>
          <w:szCs w:val="24"/>
        </w:rPr>
      </w:pPr>
      <w:r>
        <w:rPr>
          <w:szCs w:val="24"/>
        </w:rPr>
        <w:t>工程开工前，采用机械与人工相结合的方式，先将占地范围内涉及耕地、草地的表土按0.3m~0.5m进行剥离，剥离的表土集中堆放至方案指定的表土中转场，表层夯实加以防护，在表土裸露面应覆盖密目网。</w:t>
      </w:r>
    </w:p>
    <w:p>
      <w:pPr>
        <w:adjustRightInd w:val="0"/>
        <w:snapToGrid w:val="0"/>
        <w:ind w:firstLine="480"/>
        <w:rPr>
          <w:szCs w:val="24"/>
        </w:rPr>
      </w:pPr>
      <w:r>
        <w:rPr>
          <w:szCs w:val="24"/>
        </w:rPr>
        <w:t>2、表土回覆</w:t>
      </w:r>
    </w:p>
    <w:p>
      <w:pPr>
        <w:pStyle w:val="35"/>
        <w:adjustRightInd w:val="0"/>
        <w:snapToGrid w:val="0"/>
        <w:ind w:left="0" w:leftChars="0" w:firstLine="480" w:firstLineChars="200"/>
        <w:rPr>
          <w:sz w:val="24"/>
          <w:szCs w:val="24"/>
        </w:rPr>
      </w:pPr>
      <w:r>
        <w:rPr>
          <w:sz w:val="24"/>
          <w:szCs w:val="24"/>
        </w:rPr>
        <w:t>采用1m</w:t>
      </w:r>
      <w:r>
        <w:rPr>
          <w:sz w:val="24"/>
          <w:szCs w:val="24"/>
          <w:vertAlign w:val="superscript"/>
        </w:rPr>
        <w:t>3</w:t>
      </w:r>
      <w:r>
        <w:rPr>
          <w:sz w:val="24"/>
          <w:szCs w:val="24"/>
        </w:rPr>
        <w:t>装载机装土，5t自卸汽车运输至绿化区域，胶轮车转运至施工面，机械和人工摊平。</w:t>
      </w:r>
    </w:p>
    <w:p>
      <w:pPr>
        <w:adjustRightInd w:val="0"/>
        <w:snapToGrid w:val="0"/>
        <w:ind w:firstLine="480"/>
        <w:rPr>
          <w:szCs w:val="24"/>
        </w:rPr>
      </w:pPr>
      <w:r>
        <w:rPr>
          <w:szCs w:val="24"/>
        </w:rPr>
        <w:t>3、临时土质排水沟</w:t>
      </w:r>
    </w:p>
    <w:p>
      <w:pPr>
        <w:tabs>
          <w:tab w:val="right" w:leader="dot" w:pos="8441"/>
        </w:tabs>
        <w:adjustRightInd w:val="0"/>
        <w:snapToGrid w:val="0"/>
        <w:ind w:firstLine="480"/>
        <w:rPr>
          <w:szCs w:val="24"/>
        </w:rPr>
      </w:pPr>
      <w:r>
        <w:rPr>
          <w:szCs w:val="24"/>
        </w:rPr>
        <w:t>采用人工开挖，</w:t>
      </w:r>
      <w:r>
        <w:rPr>
          <w:kern w:val="0"/>
          <w:szCs w:val="24"/>
        </w:rPr>
        <w:t>人工开挖排水沟，将排水沟侧墙和底部夯实填平后铺设固定防渗土工布。</w:t>
      </w:r>
    </w:p>
    <w:p>
      <w:pPr>
        <w:tabs>
          <w:tab w:val="right" w:leader="dot" w:pos="8441"/>
        </w:tabs>
        <w:adjustRightInd w:val="0"/>
        <w:snapToGrid w:val="0"/>
        <w:ind w:firstLine="480"/>
        <w:rPr>
          <w:szCs w:val="24"/>
        </w:rPr>
      </w:pPr>
      <w:r>
        <w:rPr>
          <w:szCs w:val="24"/>
        </w:rPr>
        <w:t>4、密目网、防雨布苫盖</w:t>
      </w:r>
    </w:p>
    <w:p>
      <w:pPr>
        <w:adjustRightInd w:val="0"/>
        <w:snapToGrid w:val="0"/>
        <w:ind w:firstLine="480"/>
        <w:rPr>
          <w:szCs w:val="24"/>
        </w:rPr>
      </w:pPr>
      <w:r>
        <w:rPr>
          <w:szCs w:val="24"/>
        </w:rPr>
        <w:t>采用人工铺设遮盖。</w:t>
      </w:r>
    </w:p>
    <w:p>
      <w:pPr>
        <w:ind w:firstLine="480"/>
      </w:pPr>
      <w:r>
        <w:t>5、编织袋装土拦挡：拦挡临时堆存的表土，具体做法为：将土装入编织袋中，扎紧袋口，将编织袋码放在规划堆土场地周围。</w:t>
      </w:r>
    </w:p>
    <w:p>
      <w:pPr>
        <w:adjustRightInd w:val="0"/>
        <w:snapToGrid w:val="0"/>
        <w:ind w:firstLine="480"/>
      </w:pPr>
      <w:r>
        <w:t>6、植物措施</w:t>
      </w:r>
    </w:p>
    <w:p>
      <w:pPr>
        <w:ind w:firstLine="480"/>
      </w:pPr>
      <w:r>
        <w:t>植物绿化内容包括：松土、培土、浇水、施肥、补植树苗及必要的修枝和病虫害防治等，抚育时间一般在杂草丛生、枝叶生长旺盛的6月份进行，8月下旬至9月上旬进行第二次抚育。抚育管理分2年进行，第一年抚育2次，第二年抚育1次。第一年定植后应及时浇水，保证苗木成活及正常生长，对缺苗、稀疏或成活率没有达到要求的地方，应在第二年春季及时进行补植或补播，成活率低于40%的需重新栽植，以后根据其生长情况应及时浇水、松土、除草、追肥、修枝、防治病虫害等。植物措施建植后，应落实好林地的管理和抚育责任。</w:t>
      </w:r>
    </w:p>
    <w:p>
      <w:pPr>
        <w:pStyle w:val="6"/>
      </w:pPr>
      <w:r>
        <w:t>5.5.</w:t>
      </w:r>
      <w:bookmarkStart w:id="92" w:name="_Toc287705531"/>
      <w:r>
        <w:t>2水土保持措施</w:t>
      </w:r>
      <w:bookmarkEnd w:id="92"/>
      <w:r>
        <w:t>施工安排进度</w:t>
      </w:r>
    </w:p>
    <w:p>
      <w:pPr>
        <w:ind w:firstLine="480"/>
        <w:jc w:val="left"/>
        <w:rPr>
          <w:kern w:val="0"/>
          <w:szCs w:val="24"/>
        </w:rPr>
      </w:pPr>
      <w:r>
        <w:rPr>
          <w:kern w:val="0"/>
          <w:szCs w:val="24"/>
        </w:rPr>
        <w:t>根据水土保持措施布局，结合水土保持技术规范要求，园区</w:t>
      </w:r>
      <w:r>
        <w:t>工业用地区场平期间及道路与交通设施用地区、公用设施用地区、绿地与广场用地区</w:t>
      </w:r>
      <w:r>
        <w:rPr>
          <w:kern w:val="0"/>
          <w:szCs w:val="24"/>
        </w:rPr>
        <w:t>的水土保持措施由园区管委会组织实施。园区管委会要求园区内其他入驻企业的项目的水土保持措施由各项目生产建设单位根据本评估报告有关要求及对应项目水土保持方案及承诺文件自行实施，园区管委会开展监督。</w:t>
      </w:r>
    </w:p>
    <w:p>
      <w:pPr>
        <w:ind w:firstLine="480"/>
        <w:jc w:val="left"/>
      </w:pPr>
      <w:r>
        <w:rPr>
          <w:kern w:val="0"/>
          <w:szCs w:val="24"/>
        </w:rPr>
        <w:t>水土保持措施实施进度按预防为主、及时防治的原则，遵照“三同时”要求，表土剥离须在动土前对可剥离表土区域应剥尽剥，施工期间应按照区域评估要求，在配合主体工程施工进度的情况下，及时实施临时排水、沉沙、拦挡和苫盖措施，土石方运输应切实进行车厢密闭和车轮清洗工作，最大限度减少施工过程中可能引发的水土流失。扰动施工结束后，应及时对绿化区实施绿化工作。</w:t>
      </w:r>
    </w:p>
    <w:p>
      <w:pPr>
        <w:ind w:firstLine="480"/>
        <w:jc w:val="left"/>
      </w:pPr>
      <w:r>
        <w:rPr>
          <w:kern w:val="0"/>
          <w:szCs w:val="24"/>
        </w:rPr>
        <w:t>水土保持报告的实施应纳入工程施工招标文件。各承包方在建设主体工程的同时完成水土保持措施。根据主体施工进度安排，结合各水土流失防治分区所采取的水土保持措施，以尽量减少工程施工期间的水土流失为宗旨，安排水土流失防治分区的水土保持措施实施进度。</w:t>
      </w:r>
    </w:p>
    <w:p>
      <w:pPr>
        <w:pStyle w:val="68"/>
        <w:spacing w:after="120"/>
        <w:sectPr>
          <w:pgSz w:w="11905" w:h="16838"/>
          <w:pgMar w:top="1417" w:right="1417" w:bottom="1417" w:left="1417" w:header="850" w:footer="992" w:gutter="0"/>
          <w:cols w:space="720" w:num="1"/>
          <w:docGrid w:linePitch="312" w:charSpace="0"/>
        </w:sectPr>
      </w:pPr>
    </w:p>
    <w:bookmarkEnd w:id="66"/>
    <w:bookmarkEnd w:id="67"/>
    <w:bookmarkEnd w:id="68"/>
    <w:bookmarkEnd w:id="69"/>
    <w:bookmarkEnd w:id="70"/>
    <w:bookmarkEnd w:id="71"/>
    <w:bookmarkEnd w:id="72"/>
    <w:bookmarkEnd w:id="73"/>
    <w:bookmarkEnd w:id="74"/>
    <w:bookmarkEnd w:id="75"/>
    <w:bookmarkEnd w:id="76"/>
    <w:bookmarkEnd w:id="77"/>
    <w:p>
      <w:pPr>
        <w:pStyle w:val="4"/>
      </w:pPr>
      <w:bookmarkStart w:id="93" w:name="_Toc6307182"/>
      <w:bookmarkStart w:id="94" w:name="_Toc30120"/>
      <w:r>
        <w:t>6水土保持监测</w:t>
      </w:r>
      <w:bookmarkEnd w:id="93"/>
      <w:bookmarkEnd w:id="94"/>
    </w:p>
    <w:p>
      <w:pPr>
        <w:ind w:firstLine="480"/>
      </w:pPr>
      <w:r>
        <w:t>开展园区建设水土保持监测，是生产建设单位应当履行的一项法定义务，是生产建设单位及时定量掌握水土流失及防治状况、对项目建设造成的水土流失进行过程控制的重要基础，也是有关水行政主管部门开展生产建设项目水土保持跟踪检查、验收核查等监管工作的依据和支撑。</w:t>
      </w:r>
    </w:p>
    <w:p>
      <w:pPr>
        <w:ind w:firstLine="480"/>
      </w:pPr>
      <w:r>
        <w:t>根据《水利部办公厅关于进一步优化开发区内生产建设项目水土保持管理工作的意见》（办水保〔2020〕235号）、《四川省水利厅关于推行水土保持区域评估制度的通知》（川水函〔2020〕1246号）有关规定，园区管理机构应按照批准的水土保持区域评估报告及有关规定组织实施水土保持监测，并应组织对表土中转场、土石方中转场、“五通”工程及其他公共基础设施工程统一开展园区水土保持监测，园区内入驻的生产建设项目应依法自行组织开展水土保持监测。园区管理机构统一开展水土保持监测的，其监测成果可供园区内入驻项目共享使用。</w:t>
      </w:r>
    </w:p>
    <w:p>
      <w:pPr>
        <w:ind w:firstLine="480"/>
      </w:pPr>
      <w:r>
        <w:t>根据《水利部关于进一步深化“放管服”改革全面加强水土保持监管的意见》（水保〔2019〕160号）有关规定，园区未统一开展水土保持监测的区域，其入驻生产建设项目的水土保持监测工作按照其批复的水土保持报告要求落实，其中编制水土保持报告书的生产建设项目，生产建设单位应当自行或者委托具备相应技术条件的机构开展水土保持监测工作，监测费用自行承担。</w:t>
      </w:r>
    </w:p>
    <w:p>
      <w:pPr>
        <w:pStyle w:val="5"/>
      </w:pPr>
      <w:bookmarkStart w:id="95" w:name="_Toc23521"/>
      <w:bookmarkStart w:id="96" w:name="_Toc6307183"/>
      <w:r>
        <w:t>6.1监测范围和时段</w:t>
      </w:r>
      <w:bookmarkEnd w:id="95"/>
      <w:bookmarkEnd w:id="96"/>
    </w:p>
    <w:p>
      <w:pPr>
        <w:pStyle w:val="6"/>
      </w:pPr>
      <w:r>
        <w:t>6.1.1监测范围</w:t>
      </w:r>
    </w:p>
    <w:p>
      <w:pPr>
        <w:ind w:firstLine="480"/>
      </w:pPr>
      <w:r>
        <w:t>根据《水土保持监测技术规程》（SL277—2002）及相关技术规范的要求，水土保持监测范围为水土流失防治责任范围即1129.18hm</w:t>
      </w:r>
      <w:r>
        <w:rPr>
          <w:vertAlign w:val="superscript"/>
        </w:rPr>
        <w:t>2</w:t>
      </w:r>
      <w:r>
        <w:t>。水土保持监测分区与水土流失防治分区基本一致。</w:t>
      </w:r>
    </w:p>
    <w:p>
      <w:pPr>
        <w:pStyle w:val="6"/>
      </w:pPr>
      <w:r>
        <w:t>6.1.2监测时段</w:t>
      </w:r>
    </w:p>
    <w:p>
      <w:pPr>
        <w:widowControl/>
        <w:adjustRightInd w:val="0"/>
        <w:snapToGrid w:val="0"/>
        <w:ind w:firstLine="480"/>
        <w:rPr>
          <w:szCs w:val="20"/>
        </w:rPr>
      </w:pPr>
      <w:r>
        <w:t>根据园区总体规划参照生产建设项目类型近似归类为建设类项目，故监测时段按照建设类项目水土保持监测时段划分为施工准备期、施工期、试运行期。监测时段从施工准备期（2022年1月）开始至规划水平年（2026年12月）止，监测期共计5年，截止2026年，园区近期规划各项工程将总体完工，全区建设格局成型，主要项目完成建设，主要水土保持措施基本完成，2026年可视为试运行年份。园区水土保持监测时段分为施工准备及施工期监测时段：2022年1月~2025年12月；试运行期监测时段：2026年1月~12月</w:t>
      </w:r>
      <w:r>
        <w:rPr>
          <w:szCs w:val="20"/>
        </w:rPr>
        <w:t>。</w:t>
      </w:r>
    </w:p>
    <w:p>
      <w:pPr>
        <w:pStyle w:val="5"/>
      </w:pPr>
      <w:bookmarkStart w:id="97" w:name="_Toc17492"/>
      <w:bookmarkStart w:id="98" w:name="_Toc6307184"/>
      <w:r>
        <w:t>6.2监测内容和方法</w:t>
      </w:r>
      <w:bookmarkEnd w:id="97"/>
      <w:bookmarkEnd w:id="98"/>
    </w:p>
    <w:p>
      <w:pPr>
        <w:pStyle w:val="6"/>
      </w:pPr>
      <w:r>
        <w:t>6.2.1监测内容</w:t>
      </w:r>
    </w:p>
    <w:p>
      <w:pPr>
        <w:ind w:firstLine="480"/>
      </w:pPr>
      <w:r>
        <w:t>根据《生产建设项目水土保持技术标准》（GB50433-2018）和《生产建设项目水土保持监测与评价标准》（GB/T51240-2018），生产建设项目水土保持监测内容应包括水土流失影响因素、水土流失状况、水土流失危害和水土保持措施等。</w:t>
      </w:r>
    </w:p>
    <w:p>
      <w:pPr>
        <w:ind w:firstLine="480"/>
      </w:pPr>
      <w:r>
        <w:t>结合园区实际现状特点，确定水土保持监测内容为：</w:t>
      </w:r>
    </w:p>
    <w:p>
      <w:pPr>
        <w:ind w:firstLine="482"/>
        <w:rPr>
          <w:b/>
          <w:bCs/>
        </w:rPr>
      </w:pPr>
      <w:r>
        <w:rPr>
          <w:b/>
          <w:bCs/>
        </w:rPr>
        <w:t>一、水土流失影响因素监测应包括下列内容：</w:t>
      </w:r>
    </w:p>
    <w:p>
      <w:pPr>
        <w:ind w:firstLine="480"/>
      </w:pPr>
      <w:r>
        <w:t>收集项目区气象水文、地质构造、堆积体地质组成等资料及实地调查记录。</w:t>
      </w:r>
    </w:p>
    <w:p>
      <w:pPr>
        <w:ind w:firstLine="482"/>
        <w:rPr>
          <w:b/>
          <w:bCs/>
        </w:rPr>
      </w:pPr>
      <w:r>
        <w:rPr>
          <w:b/>
          <w:bCs/>
        </w:rPr>
        <w:t>二、扰动土地监测应包括下列内容：</w:t>
      </w:r>
    </w:p>
    <w:p>
      <w:pPr>
        <w:ind w:firstLine="480"/>
      </w:pPr>
      <w:r>
        <w:t>1、项目建设期间对原地表、植被的占压和损毁情况；</w:t>
      </w:r>
    </w:p>
    <w:p>
      <w:pPr>
        <w:pStyle w:val="46"/>
        <w:ind w:firstLine="480"/>
      </w:pPr>
      <w:r>
        <w:t>2、项目征占地和水土流失防治责任范围变化情况；</w:t>
      </w:r>
    </w:p>
    <w:p>
      <w:pPr>
        <w:ind w:firstLine="480"/>
      </w:pPr>
      <w:r>
        <w:t>3、项目进场前的原有堆场与堆土石方堆积体稳定性相关的因素（如土质构造、容重、含水率等数据）进行针对性监测。</w:t>
      </w:r>
    </w:p>
    <w:p>
      <w:pPr>
        <w:ind w:firstLine="482"/>
        <w:rPr>
          <w:b/>
          <w:bCs/>
        </w:rPr>
      </w:pPr>
      <w:r>
        <w:rPr>
          <w:b/>
          <w:bCs/>
        </w:rPr>
        <w:t>三、水土流失状况监测应包括下列内容：</w:t>
      </w:r>
    </w:p>
    <w:p>
      <w:pPr>
        <w:ind w:firstLine="480"/>
      </w:pPr>
      <w:r>
        <w:t>1、水土流失的类型、形式、面积、分布及强度；</w:t>
      </w:r>
    </w:p>
    <w:p>
      <w:pPr>
        <w:ind w:firstLine="480"/>
      </w:pPr>
      <w:r>
        <w:t>2、各监测分区及其重点对象的土壤流失量。</w:t>
      </w:r>
    </w:p>
    <w:p>
      <w:pPr>
        <w:ind w:firstLine="482"/>
        <w:rPr>
          <w:b/>
          <w:bCs/>
        </w:rPr>
      </w:pPr>
      <w:r>
        <w:rPr>
          <w:b/>
          <w:bCs/>
        </w:rPr>
        <w:t>四、水土保持措施监测</w:t>
      </w:r>
    </w:p>
    <w:p>
      <w:pPr>
        <w:ind w:firstLine="480"/>
      </w:pPr>
      <w:r>
        <w:t>1、植物措施的种类、面积、分布、生长状况、成活率、保存率和林草覆盖率；</w:t>
      </w:r>
    </w:p>
    <w:p>
      <w:pPr>
        <w:ind w:firstLine="480"/>
      </w:pPr>
      <w:r>
        <w:t>2、工程措施的类型、数量、分布和完好程度；</w:t>
      </w:r>
    </w:p>
    <w:p>
      <w:pPr>
        <w:ind w:firstLine="480"/>
      </w:pPr>
      <w:r>
        <w:t>3、主体工程水土保持措施在水土保持方面的防治效果；</w:t>
      </w:r>
    </w:p>
    <w:p>
      <w:pPr>
        <w:ind w:firstLine="480"/>
      </w:pPr>
      <w:r>
        <w:t>4、水土保持措施对主体工程安全建设和运行发挥的作用；</w:t>
      </w:r>
    </w:p>
    <w:p>
      <w:pPr>
        <w:ind w:firstLine="480"/>
      </w:pPr>
      <w:r>
        <w:t>5、水土保持措施对周边生态环境发挥的作用。</w:t>
      </w:r>
    </w:p>
    <w:p>
      <w:pPr>
        <w:ind w:firstLine="482"/>
        <w:rPr>
          <w:b/>
          <w:bCs/>
        </w:rPr>
      </w:pPr>
      <w:r>
        <w:rPr>
          <w:b/>
          <w:bCs/>
        </w:rPr>
        <w:t>五、水土流失危害监测应包括下列内容：</w:t>
      </w:r>
    </w:p>
    <w:p>
      <w:pPr>
        <w:widowControl/>
        <w:ind w:firstLine="480"/>
        <w:jc w:val="left"/>
        <w:rPr>
          <w:kern w:val="0"/>
          <w:szCs w:val="24"/>
        </w:rPr>
      </w:pPr>
      <w:r>
        <w:rPr>
          <w:kern w:val="0"/>
          <w:szCs w:val="24"/>
        </w:rPr>
        <w:t>1、水土流失对主体工程造成危害的方式、数量和程度；</w:t>
      </w:r>
    </w:p>
    <w:p>
      <w:pPr>
        <w:widowControl/>
        <w:ind w:firstLine="480"/>
        <w:jc w:val="left"/>
        <w:rPr>
          <w:kern w:val="0"/>
          <w:szCs w:val="24"/>
        </w:rPr>
      </w:pPr>
      <w:r>
        <w:rPr>
          <w:kern w:val="0"/>
          <w:szCs w:val="24"/>
        </w:rPr>
        <w:t>2、水土流失掩埋冲毁农田、道路、居民点等的数量、程度；</w:t>
      </w:r>
    </w:p>
    <w:p>
      <w:pPr>
        <w:widowControl/>
        <w:ind w:firstLine="480"/>
        <w:jc w:val="left"/>
        <w:rPr>
          <w:kern w:val="0"/>
          <w:szCs w:val="24"/>
        </w:rPr>
      </w:pPr>
      <w:r>
        <w:rPr>
          <w:kern w:val="0"/>
          <w:szCs w:val="24"/>
        </w:rPr>
        <w:t>3、对高等级公路、输变电等重大工程造成的危害；</w:t>
      </w:r>
    </w:p>
    <w:p>
      <w:pPr>
        <w:widowControl/>
        <w:ind w:firstLine="480"/>
        <w:jc w:val="left"/>
        <w:rPr>
          <w:kern w:val="0"/>
          <w:szCs w:val="24"/>
        </w:rPr>
      </w:pPr>
      <w:r>
        <w:rPr>
          <w:kern w:val="0"/>
          <w:szCs w:val="24"/>
        </w:rPr>
        <w:t>4、建设项目造成的崩塌、滑坡、泥石流等灾害；</w:t>
      </w:r>
    </w:p>
    <w:p>
      <w:pPr>
        <w:widowControl/>
        <w:ind w:firstLine="480"/>
        <w:jc w:val="left"/>
      </w:pPr>
      <w:r>
        <w:rPr>
          <w:kern w:val="0"/>
          <w:szCs w:val="24"/>
        </w:rPr>
        <w:t>5、对河流水系造成危害等</w:t>
      </w:r>
      <w:r>
        <w:t>。</w:t>
      </w:r>
    </w:p>
    <w:p>
      <w:pPr>
        <w:pStyle w:val="6"/>
      </w:pPr>
      <w:r>
        <w:t>6.2.2监测方法及频次</w:t>
      </w:r>
    </w:p>
    <w:p>
      <w:pPr>
        <w:ind w:firstLine="480"/>
      </w:pPr>
      <w:r>
        <w:t>根据《生产建设项目水土保持技术标准》（GB50433-2018）和《生产建设项目水土保持监测与评价标准》（GB/T51240-2018）的规定和要求，监测单位应当针对不同监测内容和重点，综合采取卫星遥感、无人机遥感、视频监控、地面观测、实地调查量测等多种方式，充分运用互联网+、大数据等高新信息技术手段，不断提高监测质量和水平，实现对生产建设项目水土流失的定量监测和过程控制。</w:t>
      </w:r>
    </w:p>
    <w:p>
      <w:pPr>
        <w:ind w:firstLine="482"/>
        <w:rPr>
          <w:b/>
        </w:rPr>
      </w:pPr>
      <w:r>
        <w:rPr>
          <w:b/>
        </w:rPr>
        <w:t>一、水土流失影响因素监测方法及频次</w:t>
      </w:r>
    </w:p>
    <w:p>
      <w:pPr>
        <w:ind w:firstLine="480"/>
      </w:pPr>
      <w:r>
        <w:t>地形地貌状况：整个监测期监测1次（实地调查法、无人机遥感）；地表物质：设计水平年监测1次（实地调查法、无人机遥感）；气象因子：每月</w:t>
      </w:r>
      <w:r>
        <w:rPr>
          <w:bCs/>
        </w:rPr>
        <w:t>监测</w:t>
      </w:r>
      <w:r>
        <w:t>1次（实地调查法、降雨观测）。</w:t>
      </w:r>
    </w:p>
    <w:p>
      <w:pPr>
        <w:ind w:firstLine="482"/>
        <w:rPr>
          <w:b/>
        </w:rPr>
      </w:pPr>
      <w:r>
        <w:rPr>
          <w:b/>
        </w:rPr>
        <w:t>二、扰动土地监测方法及频次</w:t>
      </w:r>
    </w:p>
    <w:p>
      <w:pPr>
        <w:ind w:firstLine="480"/>
        <w:rPr>
          <w:bCs/>
        </w:rPr>
      </w:pPr>
      <w:r>
        <w:rPr>
          <w:bCs/>
        </w:rPr>
        <w:t>地表扰动情况：每月监测1次。地表扰动情况、水土流失防治责任范围采用实地调查并结合查阅资料的方法进行监测。调查中，采用实测法、填图法和遥感监测法。实测法采用测绳、测尺、全站仪、GPS或其他设备量测；填图法应用大比例尺地形图现场勾绘，并进行室内量算；遥感监测法采用高分辨率遥感影像。</w:t>
      </w:r>
    </w:p>
    <w:p>
      <w:pPr>
        <w:ind w:firstLine="482"/>
        <w:rPr>
          <w:b/>
        </w:rPr>
      </w:pPr>
      <w:r>
        <w:rPr>
          <w:b/>
        </w:rPr>
        <w:t>三、水土流失状况监测</w:t>
      </w:r>
      <w:bookmarkStart w:id="99" w:name="_Hlk8114565"/>
      <w:r>
        <w:rPr>
          <w:b/>
        </w:rPr>
        <w:t>方法及频次</w:t>
      </w:r>
    </w:p>
    <w:bookmarkEnd w:id="99"/>
    <w:p>
      <w:pPr>
        <w:ind w:firstLine="480"/>
      </w:pPr>
      <w:r>
        <w:t>每月至少监测1次，发生强降雨等情况后及时加测。</w:t>
      </w:r>
    </w:p>
    <w:p>
      <w:pPr>
        <w:ind w:firstLine="480"/>
      </w:pPr>
      <w:r>
        <w:t>重点区域和重点对象不同时段的土壤流失量应通过监测点观测获得，在综合分析的基础上，项目建设过程中产生的土壤流失量按标准方法计算。结合本项目工程实际，本项目土壤流失量监测主要采用以下方法进行监测土壤流失量：</w:t>
      </w:r>
    </w:p>
    <w:p>
      <w:pPr>
        <w:ind w:firstLine="480"/>
      </w:pPr>
      <w:r>
        <w:t>1、实地调查法</w:t>
      </w:r>
    </w:p>
    <w:p>
      <w:pPr>
        <w:ind w:firstLine="480"/>
      </w:pPr>
      <w:r>
        <w:t>指定期采取工程区调查的方式，通过现场实地勘测，采用GPS定位仪结合1：2000地形图、照相机、标杆、皮尺等工具按区域测定工程不同地表扰动类型的面积。填表记录每个扰动类型区的基本特征及水土保持措施（工程措施、临时措施和植物措施）实施情况。</w:t>
      </w:r>
    </w:p>
    <w:p>
      <w:pPr>
        <w:ind w:firstLine="480"/>
        <w:rPr>
          <w:bCs/>
        </w:rPr>
      </w:pPr>
      <w:r>
        <w:rPr>
          <w:bCs/>
        </w:rPr>
        <w:t>2、沉沙池法</w:t>
      </w:r>
    </w:p>
    <w:p>
      <w:pPr>
        <w:ind w:firstLine="480"/>
      </w:pPr>
      <w:r>
        <w:t>可适用于径流冲刷物颗粒较大、汇水面积不大、有集中出口汇水区的土壤流失量监测。按照设计频次观测沉沙池中的泥沙厚度。宜在沉沙池的四个角及中心点分别量测泥沙厚度，并测算泥沙密度。结合园区内的沉沙池，可考虑沉沙池法对沉沙池内水土流失状况进行监测，具体做法为通过测出排水沟末端的沉沙池内泥沙的淤积量从而推算该区域的土壤流失量。根据公式</w:t>
      </w:r>
      <w:r>
        <w:rPr>
          <w:position w:val="-24"/>
        </w:rPr>
        <w:object>
          <v:shape id="_x0000_i1071" o:spt="75" type="#_x0000_t75" style="height:30.75pt;width:164.25pt;" o:ole="t" filled="f" o:preferrelative="t" stroked="f" coordsize="21600,21600">
            <v:path/>
            <v:fill on="f" focussize="0,0"/>
            <v:stroke on="f" joinstyle="miter"/>
            <v:imagedata r:id="rId265" o:title=""/>
            <o:lock v:ext="edit" aspectratio="t"/>
            <w10:wrap type="none"/>
            <w10:anchorlock/>
          </v:shape>
          <o:OLEObject Type="Embed" ProgID="Equation.3" ShapeID="_x0000_i1071" DrawAspect="Content" ObjectID="_1468075771" r:id="rId264">
            <o:LockedField>false</o:LockedField>
          </o:OLEObject>
        </w:object>
      </w:r>
      <w:r>
        <w:rPr>
          <w:bCs/>
        </w:rPr>
        <w:t>土壤流失量，式中，</w:t>
      </w:r>
      <w:r>
        <w:t>式中：S</w:t>
      </w:r>
      <w:r>
        <w:rPr>
          <w:vertAlign w:val="subscript"/>
        </w:rPr>
        <w:t>T</w:t>
      </w:r>
      <w:r>
        <w:t>为汇水区域土壤流失量（g），h</w:t>
      </w:r>
      <w:r>
        <w:rPr>
          <w:vertAlign w:val="subscript"/>
        </w:rPr>
        <w:t>i</w:t>
      </w:r>
      <w:r>
        <w:t>为沉砂凼四个角及中心点的泥沙厚度（cm），S为沉砂凼地面面积（m²），r</w:t>
      </w:r>
      <w:r>
        <w:rPr>
          <w:vertAlign w:val="subscript"/>
        </w:rPr>
        <w:t>s</w:t>
      </w:r>
      <w:r>
        <w:t>为泥沙容重（g/cm³）。</w:t>
      </w:r>
    </w:p>
    <w:p>
      <w:pPr>
        <w:ind w:firstLine="480"/>
        <w:rPr>
          <w:bCs/>
        </w:rPr>
      </w:pPr>
      <w:r>
        <w:rPr>
          <w:bCs/>
        </w:rPr>
        <w:t>3、</w:t>
      </w:r>
      <w:r>
        <w:t>测钎法：将直径0.6cm、长50-80cm类似钉子形状的钢钎（丝）或木棍相距1m×1m分上中下、左中右纵横各3排（共9根）沿坡面铅垂方向打入坡面，钉帽（或标记）与坡面齐平，编号登记入册。汛期终了或插钎满周期时观测钉帽出露地表高度，然后根据公式</w:t>
      </w:r>
      <w:r>
        <w:rPr>
          <w:position w:val="-24"/>
        </w:rPr>
        <w:object>
          <v:shape id="_x0000_i1072" o:spt="75" type="#_x0000_t75" style="height:30.75pt;width:77.25pt;" o:ole="t" filled="f" o:preferrelative="t" stroked="f" coordsize="21600,21600">
            <v:path/>
            <v:fill on="f" focussize="0,0"/>
            <v:stroke on="f" joinstyle="miter"/>
            <v:imagedata r:id="rId267" o:title=""/>
            <o:lock v:ext="edit" aspectratio="t"/>
            <w10:wrap type="none"/>
            <w10:anchorlock/>
          </v:shape>
          <o:OLEObject Type="Embed" ProgID="Equation.3" ShapeID="_x0000_i1072" DrawAspect="Content" ObjectID="_1468075772" r:id="rId266">
            <o:LockedField>false</o:LockedField>
          </o:OLEObject>
        </w:object>
      </w:r>
      <w:r>
        <w:t>计算土壤侵蚀深度和土壤侵蚀量，式中，A为土壤侵蚀量（m</w:t>
      </w:r>
      <w:r>
        <w:rPr>
          <w:vertAlign w:val="superscript"/>
        </w:rPr>
        <w:t>3</w:t>
      </w:r>
      <w:r>
        <w:t>），Z为侵蚀厚度（mm），S为水平投影面积（m</w:t>
      </w:r>
      <w:r>
        <w:rPr>
          <w:vertAlign w:val="superscript"/>
        </w:rPr>
        <w:t>2</w:t>
      </w:r>
      <w:r>
        <w:t>），θ为斜坡坡度。</w:t>
      </w:r>
    </w:p>
    <w:p>
      <w:pPr>
        <w:ind w:firstLine="480"/>
        <w:rPr>
          <w:bCs/>
        </w:rPr>
      </w:pPr>
      <w:r>
        <w:rPr>
          <w:bCs/>
        </w:rPr>
        <w:t>4、侵蚀沟量测法：主要用于土质边坡、土或土石混合石砾堆等坡面的土壤流失量的测定。调查坡面形成的坡度、坡面组成物质、容重等，并记录造成侵蚀沟的次降雨。在每次降雨或多次降雨后，量测侵蚀沟的体积，得出沟蚀量，并通过沟蚀占水蚀的比例（50%~70%），根据公式</w:t>
      </w:r>
      <w:r>
        <w:rPr>
          <w:position w:val="-28"/>
        </w:rPr>
        <w:object>
          <v:shape id="_x0000_i1073" o:spt="75" type="#_x0000_t75" style="height:33pt;width:119.25pt;" o:ole="t" filled="f" o:preferrelative="t" stroked="f" coordsize="21600,21600">
            <v:path/>
            <v:fill on="f" focussize="0,0"/>
            <v:stroke on="f" joinstyle="miter"/>
            <v:imagedata r:id="rId269" o:title=""/>
            <o:lock v:ext="edit" aspectratio="t"/>
            <w10:wrap type="none"/>
            <w10:anchorlock/>
          </v:shape>
          <o:OLEObject Type="Embed" ProgID="Equation.3" ShapeID="_x0000_i1073" DrawAspect="Content" ObjectID="_1468075773" r:id="rId268">
            <o:LockedField>false</o:LockedField>
          </o:OLEObject>
        </w:object>
      </w:r>
      <w:r>
        <w:rPr>
          <w:bCs/>
        </w:rPr>
        <w:t>计算土壤流失量，</w:t>
      </w:r>
      <w:r>
        <w:t>式中，M为样地侵蚀量（t），S</w:t>
      </w:r>
      <w:r>
        <w:rPr>
          <w:vertAlign w:val="subscript"/>
        </w:rPr>
        <w:t>i</w:t>
      </w:r>
      <w:r>
        <w:t>为第i个断面的面积（m</w:t>
      </w:r>
      <w:r>
        <w:rPr>
          <w:vertAlign w:val="superscript"/>
        </w:rPr>
        <w:t>2</w:t>
      </w:r>
      <w:r>
        <w:t>），S</w:t>
      </w:r>
      <w:r>
        <w:rPr>
          <w:vertAlign w:val="subscript"/>
        </w:rPr>
        <w:t>i+1</w:t>
      </w:r>
      <w:r>
        <w:t>为第i+1个断面的面积（m</w:t>
      </w:r>
      <w:r>
        <w:rPr>
          <w:vertAlign w:val="superscript"/>
        </w:rPr>
        <w:t>2</w:t>
      </w:r>
      <w:r>
        <w:t>），L为样方断面间距（m），r为土壤容重（t/m</w:t>
      </w:r>
      <w:r>
        <w:rPr>
          <w:vertAlign w:val="superscript"/>
        </w:rPr>
        <w:t>3</w:t>
      </w:r>
      <w:r>
        <w:t>）。</w:t>
      </w:r>
    </w:p>
    <w:p>
      <w:pPr>
        <w:ind w:firstLine="480"/>
        <w:rPr>
          <w:bCs/>
        </w:rPr>
      </w:pPr>
      <w:r>
        <w:rPr>
          <w:bCs/>
        </w:rPr>
        <w:t>5、无人机遥感监测</w:t>
      </w:r>
    </w:p>
    <w:p>
      <w:pPr>
        <w:ind w:firstLine="480"/>
        <w:rPr>
          <w:bCs/>
        </w:rPr>
      </w:pPr>
      <w:r>
        <w:rPr>
          <w:bCs/>
        </w:rPr>
        <w:t>利用无人机开展水土保持监测，外业工作全程现智能控制，内业分析成果快速输出，可应对各种复杂恶劣地形条件。无人机遥感技术，数小时内即可获取测区数字化成果，数字地表模型（DSM）、数字正射影像（DOM）精度均可达到厘米级（5～20cm），尤其适合点式、园区类集中建设项目。轻小型无人机监测时效性强、监测成果质量可靠，适合大比例测图等工作需求。</w:t>
      </w:r>
    </w:p>
    <w:p>
      <w:pPr>
        <w:ind w:firstLine="480"/>
        <w:rPr>
          <w:bCs/>
        </w:rPr>
      </w:pPr>
      <w:r>
        <w:rPr>
          <w:bCs/>
        </w:rPr>
        <w:t>利用无人机遥感技术，可从全局角度监测项目区实际扰动面积及其变化；发现偏远地段、隐秘区域、人力不及角落等可能存在的水土流失隐患；对比设计资料，结合现场踏查，把控水土保持设施建设进度，提出整改意见；为水土保持设施验收技术评估防治责任范围、挖填土石方量，评价水土保持措施落实情况及期效益等提供有力支撑。</w:t>
      </w:r>
    </w:p>
    <w:p>
      <w:pPr>
        <w:ind w:firstLine="480"/>
        <w:rPr>
          <w:bCs/>
        </w:rPr>
      </w:pPr>
      <w:r>
        <w:rPr>
          <w:bCs/>
        </w:rPr>
        <w:t>后期，借助地理信息系统空间分析功能，提取植被因子、地形因子、坡度因子、土地利用因子等，快速解算工程分区土壤侵蚀模数。借助无人机差分双频GPS定位系统，精确定位，利用地面像控点辅助空三加密构建项目区高程点云，开展三维建模，生成数字高程模型（DEM），破译开挖回填情况，计算挖填方量。</w:t>
      </w:r>
    </w:p>
    <w:p>
      <w:pPr>
        <w:ind w:firstLine="480"/>
        <w:rPr>
          <w:bCs/>
        </w:rPr>
      </w:pPr>
      <w:r>
        <w:rPr>
          <w:bCs/>
        </w:rPr>
        <w:t>通过整理主体工程设计资料以及其他相关资料，结合上述实地调查或地面观测进行验证，以实测数据为基础，采用分析、统计、计算的方法获取结果，包括水土流失背景值、水土流失范围、水土流失危害区域、水土保持措施分布及数量等的确定。此外，前期监测成果可作为水土保持效益监测指标计算依据。</w:t>
      </w:r>
    </w:p>
    <w:p>
      <w:pPr>
        <w:ind w:firstLine="482"/>
        <w:rPr>
          <w:b/>
        </w:rPr>
      </w:pPr>
      <w:r>
        <w:rPr>
          <w:b/>
        </w:rPr>
        <w:t>四、水土保持措施（水土流失防治成效）监测方法及频次</w:t>
      </w:r>
    </w:p>
    <w:p>
      <w:pPr>
        <w:ind w:firstLine="480"/>
      </w:pPr>
      <w:r>
        <w:t>每季度至少监测1次。</w:t>
      </w:r>
    </w:p>
    <w:p>
      <w:pPr>
        <w:ind w:firstLine="480"/>
      </w:pPr>
      <w:r>
        <w:t>1、水土保持措施对主体工程安全建设和运行发挥的作用应以巡查为主。每年汛期前后及大风、暴雨后进行调查。</w:t>
      </w:r>
    </w:p>
    <w:p>
      <w:pPr>
        <w:ind w:firstLine="480"/>
      </w:pPr>
      <w:r>
        <w:t>2、水土保持措施对周边水土保持生态环境发挥的作用应以巡查为主。每年汛期前后及大风、暴雨后应进行调查。</w:t>
      </w:r>
    </w:p>
    <w:p>
      <w:pPr>
        <w:ind w:firstLine="482"/>
        <w:rPr>
          <w:b/>
        </w:rPr>
      </w:pPr>
      <w:r>
        <w:rPr>
          <w:b/>
        </w:rPr>
        <w:t>五、水土流失危害监测方法及频次</w:t>
      </w:r>
    </w:p>
    <w:p>
      <w:pPr>
        <w:ind w:firstLine="480"/>
      </w:pPr>
      <w:r>
        <w:t>1、本项目水土流失危害的面积可采用实测法进行监测。</w:t>
      </w:r>
    </w:p>
    <w:p>
      <w:pPr>
        <w:ind w:firstLine="480"/>
      </w:pPr>
      <w:r>
        <w:t>2、水土流失危害的其他指标和危害程度可采用实地调查、量测和咨询等方法进行监测。</w:t>
      </w:r>
    </w:p>
    <w:p>
      <w:pPr>
        <w:ind w:firstLine="480"/>
      </w:pPr>
      <w:r>
        <w:t>3、水土流失危害事件发生后1周内应</w:t>
      </w:r>
      <w:r>
        <w:rPr>
          <w:szCs w:val="24"/>
        </w:rPr>
        <w:t>完成专项报告</w:t>
      </w:r>
      <w:r>
        <w:t>。</w:t>
      </w:r>
    </w:p>
    <w:p>
      <w:pPr>
        <w:ind w:firstLine="480"/>
      </w:pPr>
      <w:r>
        <w:t>园区水土流失监测内容、方法及频次详见表6.2-1。</w:t>
      </w:r>
    </w:p>
    <w:p>
      <w:pPr>
        <w:ind w:firstLine="0" w:firstLineChars="0"/>
        <w:jc w:val="center"/>
      </w:pPr>
      <w:r>
        <w:rPr>
          <w:b/>
          <w:bCs/>
        </w:rPr>
        <w:t>表6.2-1园区水土流失监测内容、方法及频次</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423"/>
        <w:gridCol w:w="1560"/>
        <w:gridCol w:w="3208"/>
        <w:gridCol w:w="309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983" w:type="dxa"/>
            <w:gridSpan w:val="2"/>
            <w:vAlign w:val="center"/>
          </w:tcPr>
          <w:p>
            <w:pPr>
              <w:spacing w:line="240" w:lineRule="auto"/>
              <w:ind w:firstLine="0" w:firstLineChars="0"/>
              <w:jc w:val="center"/>
              <w:rPr>
                <w:b/>
                <w:bCs/>
                <w:sz w:val="21"/>
                <w:szCs w:val="21"/>
              </w:rPr>
            </w:pPr>
            <w:r>
              <w:rPr>
                <w:b/>
                <w:bCs/>
                <w:sz w:val="21"/>
                <w:szCs w:val="21"/>
              </w:rPr>
              <w:t>监测内容</w:t>
            </w:r>
          </w:p>
        </w:tc>
        <w:tc>
          <w:tcPr>
            <w:tcW w:w="3208" w:type="dxa"/>
            <w:vAlign w:val="center"/>
          </w:tcPr>
          <w:p>
            <w:pPr>
              <w:spacing w:line="240" w:lineRule="auto"/>
              <w:ind w:firstLine="0" w:firstLineChars="0"/>
              <w:jc w:val="center"/>
              <w:rPr>
                <w:b/>
                <w:bCs/>
                <w:sz w:val="21"/>
                <w:szCs w:val="21"/>
              </w:rPr>
            </w:pPr>
            <w:r>
              <w:rPr>
                <w:b/>
                <w:bCs/>
                <w:sz w:val="21"/>
                <w:szCs w:val="21"/>
              </w:rPr>
              <w:t>监测方法</w:t>
            </w:r>
          </w:p>
        </w:tc>
        <w:tc>
          <w:tcPr>
            <w:tcW w:w="3096" w:type="dxa"/>
            <w:vAlign w:val="center"/>
          </w:tcPr>
          <w:p>
            <w:pPr>
              <w:spacing w:line="240" w:lineRule="auto"/>
              <w:ind w:firstLine="0" w:firstLineChars="0"/>
              <w:jc w:val="center"/>
              <w:rPr>
                <w:b/>
                <w:bCs/>
                <w:sz w:val="21"/>
                <w:szCs w:val="21"/>
              </w:rPr>
            </w:pPr>
            <w:r>
              <w:rPr>
                <w:b/>
                <w:bCs/>
                <w:sz w:val="21"/>
                <w:szCs w:val="21"/>
              </w:rPr>
              <w:t>监测频次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23" w:type="dxa"/>
            <w:vMerge w:val="restart"/>
            <w:vAlign w:val="center"/>
          </w:tcPr>
          <w:p>
            <w:pPr>
              <w:spacing w:line="240" w:lineRule="auto"/>
              <w:ind w:firstLine="0" w:firstLineChars="0"/>
              <w:jc w:val="center"/>
              <w:rPr>
                <w:sz w:val="21"/>
                <w:szCs w:val="21"/>
              </w:rPr>
            </w:pPr>
            <w:r>
              <w:rPr>
                <w:sz w:val="21"/>
                <w:szCs w:val="21"/>
              </w:rPr>
              <w:t>水土流失影响因素</w:t>
            </w:r>
          </w:p>
        </w:tc>
        <w:tc>
          <w:tcPr>
            <w:tcW w:w="1560" w:type="dxa"/>
            <w:vAlign w:val="center"/>
          </w:tcPr>
          <w:p>
            <w:pPr>
              <w:spacing w:line="240" w:lineRule="auto"/>
              <w:ind w:firstLine="0" w:firstLineChars="0"/>
              <w:jc w:val="center"/>
              <w:rPr>
                <w:sz w:val="21"/>
                <w:szCs w:val="21"/>
              </w:rPr>
            </w:pPr>
            <w:r>
              <w:rPr>
                <w:sz w:val="21"/>
                <w:szCs w:val="21"/>
              </w:rPr>
              <w:t>地形地貌状况</w:t>
            </w:r>
          </w:p>
        </w:tc>
        <w:tc>
          <w:tcPr>
            <w:tcW w:w="3208" w:type="dxa"/>
            <w:vAlign w:val="center"/>
          </w:tcPr>
          <w:p>
            <w:pPr>
              <w:spacing w:line="240" w:lineRule="auto"/>
              <w:ind w:firstLine="0" w:firstLineChars="0"/>
              <w:jc w:val="center"/>
              <w:rPr>
                <w:sz w:val="21"/>
                <w:szCs w:val="21"/>
              </w:rPr>
            </w:pPr>
            <w:r>
              <w:rPr>
                <w:sz w:val="21"/>
                <w:szCs w:val="21"/>
              </w:rPr>
              <w:t>实地调查法、无人机遥感</w:t>
            </w:r>
          </w:p>
        </w:tc>
        <w:tc>
          <w:tcPr>
            <w:tcW w:w="3096" w:type="dxa"/>
            <w:vAlign w:val="center"/>
          </w:tcPr>
          <w:p>
            <w:pPr>
              <w:spacing w:line="240" w:lineRule="auto"/>
              <w:ind w:firstLine="0" w:firstLineChars="0"/>
              <w:jc w:val="center"/>
              <w:rPr>
                <w:sz w:val="21"/>
                <w:szCs w:val="21"/>
              </w:rPr>
            </w:pPr>
            <w:r>
              <w:rPr>
                <w:sz w:val="21"/>
                <w:szCs w:val="21"/>
              </w:rPr>
              <w:t>整个监测期监测1次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23" w:type="dxa"/>
            <w:vMerge w:val="continue"/>
            <w:vAlign w:val="center"/>
          </w:tcPr>
          <w:p>
            <w:pPr>
              <w:spacing w:line="240" w:lineRule="auto"/>
              <w:ind w:firstLine="0" w:firstLineChars="0"/>
              <w:jc w:val="center"/>
              <w:rPr>
                <w:sz w:val="21"/>
                <w:szCs w:val="21"/>
              </w:rPr>
            </w:pPr>
          </w:p>
        </w:tc>
        <w:tc>
          <w:tcPr>
            <w:tcW w:w="1560" w:type="dxa"/>
            <w:vAlign w:val="center"/>
          </w:tcPr>
          <w:p>
            <w:pPr>
              <w:spacing w:line="240" w:lineRule="auto"/>
              <w:ind w:firstLine="0" w:firstLineChars="0"/>
              <w:jc w:val="center"/>
              <w:rPr>
                <w:sz w:val="21"/>
                <w:szCs w:val="21"/>
              </w:rPr>
            </w:pPr>
            <w:r>
              <w:rPr>
                <w:sz w:val="21"/>
                <w:szCs w:val="21"/>
              </w:rPr>
              <w:t>地表物质</w:t>
            </w:r>
          </w:p>
        </w:tc>
        <w:tc>
          <w:tcPr>
            <w:tcW w:w="3208" w:type="dxa"/>
            <w:vAlign w:val="center"/>
          </w:tcPr>
          <w:p>
            <w:pPr>
              <w:spacing w:line="240" w:lineRule="auto"/>
              <w:ind w:firstLine="0" w:firstLineChars="0"/>
              <w:jc w:val="center"/>
              <w:rPr>
                <w:sz w:val="21"/>
                <w:szCs w:val="21"/>
              </w:rPr>
            </w:pPr>
            <w:r>
              <w:rPr>
                <w:sz w:val="21"/>
                <w:szCs w:val="21"/>
              </w:rPr>
              <w:t>实地调查法、无人机遥感</w:t>
            </w:r>
          </w:p>
        </w:tc>
        <w:tc>
          <w:tcPr>
            <w:tcW w:w="3096" w:type="dxa"/>
            <w:vAlign w:val="center"/>
          </w:tcPr>
          <w:p>
            <w:pPr>
              <w:spacing w:line="240" w:lineRule="auto"/>
              <w:ind w:firstLine="0" w:firstLineChars="0"/>
              <w:jc w:val="center"/>
              <w:rPr>
                <w:sz w:val="21"/>
                <w:szCs w:val="21"/>
              </w:rPr>
            </w:pPr>
            <w:r>
              <w:rPr>
                <w:sz w:val="21"/>
                <w:szCs w:val="21"/>
              </w:rPr>
              <w:t>设计水平年监测1次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23" w:type="dxa"/>
            <w:vMerge w:val="continue"/>
            <w:vAlign w:val="center"/>
          </w:tcPr>
          <w:p>
            <w:pPr>
              <w:spacing w:line="240" w:lineRule="auto"/>
              <w:ind w:firstLine="0" w:firstLineChars="0"/>
              <w:jc w:val="center"/>
              <w:rPr>
                <w:sz w:val="21"/>
                <w:szCs w:val="21"/>
              </w:rPr>
            </w:pPr>
          </w:p>
        </w:tc>
        <w:tc>
          <w:tcPr>
            <w:tcW w:w="1560" w:type="dxa"/>
            <w:vAlign w:val="center"/>
          </w:tcPr>
          <w:p>
            <w:pPr>
              <w:spacing w:line="240" w:lineRule="auto"/>
              <w:ind w:firstLine="0" w:firstLineChars="0"/>
              <w:jc w:val="center"/>
              <w:rPr>
                <w:sz w:val="21"/>
                <w:szCs w:val="21"/>
              </w:rPr>
            </w:pPr>
            <w:r>
              <w:rPr>
                <w:sz w:val="21"/>
                <w:szCs w:val="21"/>
              </w:rPr>
              <w:t>气象因子</w:t>
            </w:r>
          </w:p>
        </w:tc>
        <w:tc>
          <w:tcPr>
            <w:tcW w:w="3208" w:type="dxa"/>
            <w:vAlign w:val="center"/>
          </w:tcPr>
          <w:p>
            <w:pPr>
              <w:spacing w:line="240" w:lineRule="auto"/>
              <w:ind w:firstLine="0" w:firstLineChars="0"/>
              <w:jc w:val="center"/>
              <w:rPr>
                <w:sz w:val="21"/>
                <w:szCs w:val="21"/>
              </w:rPr>
            </w:pPr>
            <w:r>
              <w:rPr>
                <w:sz w:val="21"/>
                <w:szCs w:val="21"/>
              </w:rPr>
              <w:t>实地调查法、降雨观测</w:t>
            </w:r>
          </w:p>
        </w:tc>
        <w:tc>
          <w:tcPr>
            <w:tcW w:w="3096" w:type="dxa"/>
            <w:vAlign w:val="center"/>
          </w:tcPr>
          <w:p>
            <w:pPr>
              <w:spacing w:line="240" w:lineRule="auto"/>
              <w:ind w:firstLine="0" w:firstLineChars="0"/>
              <w:jc w:val="center"/>
              <w:rPr>
                <w:sz w:val="21"/>
                <w:szCs w:val="21"/>
              </w:rPr>
            </w:pPr>
            <w:r>
              <w:rPr>
                <w:sz w:val="21"/>
                <w:szCs w:val="21"/>
              </w:rPr>
              <w:t>每月监测1次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983" w:type="dxa"/>
            <w:gridSpan w:val="2"/>
            <w:vAlign w:val="center"/>
          </w:tcPr>
          <w:p>
            <w:pPr>
              <w:spacing w:line="240" w:lineRule="auto"/>
              <w:ind w:firstLine="0" w:firstLineChars="0"/>
              <w:jc w:val="center"/>
              <w:rPr>
                <w:sz w:val="21"/>
                <w:szCs w:val="21"/>
              </w:rPr>
            </w:pPr>
            <w:r>
              <w:rPr>
                <w:sz w:val="21"/>
                <w:szCs w:val="21"/>
              </w:rPr>
              <w:t>地表扰动情况</w:t>
            </w:r>
          </w:p>
        </w:tc>
        <w:tc>
          <w:tcPr>
            <w:tcW w:w="3208" w:type="dxa"/>
            <w:vAlign w:val="center"/>
          </w:tcPr>
          <w:p>
            <w:pPr>
              <w:spacing w:line="240" w:lineRule="auto"/>
              <w:ind w:firstLine="0" w:firstLineChars="0"/>
              <w:jc w:val="center"/>
              <w:rPr>
                <w:sz w:val="21"/>
                <w:szCs w:val="21"/>
              </w:rPr>
            </w:pPr>
            <w:r>
              <w:rPr>
                <w:sz w:val="21"/>
                <w:szCs w:val="21"/>
              </w:rPr>
              <w:t>实地调查并结合查阅资料的方法</w:t>
            </w:r>
          </w:p>
        </w:tc>
        <w:tc>
          <w:tcPr>
            <w:tcW w:w="3096" w:type="dxa"/>
            <w:vAlign w:val="center"/>
          </w:tcPr>
          <w:p>
            <w:pPr>
              <w:spacing w:line="240" w:lineRule="auto"/>
              <w:ind w:firstLine="0" w:firstLineChars="0"/>
              <w:jc w:val="center"/>
              <w:rPr>
                <w:sz w:val="21"/>
                <w:szCs w:val="21"/>
              </w:rPr>
            </w:pPr>
            <w:r>
              <w:rPr>
                <w:sz w:val="21"/>
                <w:szCs w:val="21"/>
              </w:rPr>
              <w:t>每月监测1次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983" w:type="dxa"/>
            <w:gridSpan w:val="2"/>
            <w:vAlign w:val="center"/>
          </w:tcPr>
          <w:p>
            <w:pPr>
              <w:spacing w:line="240" w:lineRule="auto"/>
              <w:ind w:firstLine="0" w:firstLineChars="0"/>
              <w:jc w:val="center"/>
              <w:rPr>
                <w:sz w:val="21"/>
                <w:szCs w:val="21"/>
              </w:rPr>
            </w:pPr>
            <w:r>
              <w:rPr>
                <w:sz w:val="21"/>
                <w:szCs w:val="21"/>
              </w:rPr>
              <w:t>水土流失状况监测</w:t>
            </w:r>
          </w:p>
        </w:tc>
        <w:tc>
          <w:tcPr>
            <w:tcW w:w="3208" w:type="dxa"/>
            <w:vAlign w:val="center"/>
          </w:tcPr>
          <w:p>
            <w:pPr>
              <w:spacing w:line="240" w:lineRule="auto"/>
              <w:ind w:firstLine="0" w:firstLineChars="0"/>
              <w:jc w:val="center"/>
              <w:rPr>
                <w:sz w:val="21"/>
                <w:szCs w:val="21"/>
              </w:rPr>
            </w:pPr>
            <w:r>
              <w:rPr>
                <w:sz w:val="21"/>
                <w:szCs w:val="21"/>
              </w:rPr>
              <w:t>实地调查法、沉沙池法、测钎法、侵蚀沟量测法、无人机遥感</w:t>
            </w:r>
          </w:p>
        </w:tc>
        <w:tc>
          <w:tcPr>
            <w:tcW w:w="3096" w:type="dxa"/>
            <w:vAlign w:val="center"/>
          </w:tcPr>
          <w:p>
            <w:pPr>
              <w:spacing w:line="240" w:lineRule="auto"/>
              <w:ind w:firstLine="0" w:firstLineChars="0"/>
              <w:jc w:val="center"/>
              <w:rPr>
                <w:sz w:val="21"/>
                <w:szCs w:val="21"/>
              </w:rPr>
            </w:pPr>
            <w:r>
              <w:rPr>
                <w:sz w:val="21"/>
                <w:szCs w:val="21"/>
              </w:rPr>
              <w:t>每月至少监测1次，发生强降雨等情况后及时加测</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983" w:type="dxa"/>
            <w:gridSpan w:val="2"/>
            <w:vAlign w:val="center"/>
          </w:tcPr>
          <w:p>
            <w:pPr>
              <w:spacing w:line="240" w:lineRule="auto"/>
              <w:ind w:firstLine="0" w:firstLineChars="0"/>
              <w:jc w:val="center"/>
              <w:rPr>
                <w:sz w:val="21"/>
                <w:szCs w:val="21"/>
              </w:rPr>
            </w:pPr>
            <w:r>
              <w:rPr>
                <w:sz w:val="21"/>
                <w:szCs w:val="21"/>
              </w:rPr>
              <w:t>水土保持措施</w:t>
            </w:r>
          </w:p>
        </w:tc>
        <w:tc>
          <w:tcPr>
            <w:tcW w:w="3208" w:type="dxa"/>
            <w:vAlign w:val="center"/>
          </w:tcPr>
          <w:p>
            <w:pPr>
              <w:spacing w:line="240" w:lineRule="auto"/>
              <w:ind w:firstLine="0" w:firstLineChars="0"/>
              <w:jc w:val="center"/>
              <w:rPr>
                <w:sz w:val="21"/>
                <w:szCs w:val="21"/>
              </w:rPr>
            </w:pPr>
            <w:r>
              <w:rPr>
                <w:sz w:val="21"/>
                <w:szCs w:val="21"/>
              </w:rPr>
              <w:t>实地调查法</w:t>
            </w:r>
          </w:p>
        </w:tc>
        <w:tc>
          <w:tcPr>
            <w:tcW w:w="3096" w:type="dxa"/>
            <w:vAlign w:val="center"/>
          </w:tcPr>
          <w:p>
            <w:pPr>
              <w:spacing w:line="240" w:lineRule="auto"/>
              <w:ind w:firstLine="0" w:firstLineChars="0"/>
              <w:jc w:val="center"/>
              <w:rPr>
                <w:sz w:val="21"/>
                <w:szCs w:val="21"/>
              </w:rPr>
            </w:pPr>
            <w:r>
              <w:rPr>
                <w:sz w:val="21"/>
                <w:szCs w:val="21"/>
              </w:rPr>
              <w:t>每季度至少监测1次、每年汛期前后及大风、暴雨后进行调查</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983" w:type="dxa"/>
            <w:gridSpan w:val="2"/>
            <w:vAlign w:val="center"/>
          </w:tcPr>
          <w:p>
            <w:pPr>
              <w:spacing w:line="240" w:lineRule="auto"/>
              <w:ind w:firstLine="0" w:firstLineChars="0"/>
              <w:jc w:val="center"/>
              <w:rPr>
                <w:sz w:val="21"/>
                <w:szCs w:val="21"/>
              </w:rPr>
            </w:pPr>
            <w:r>
              <w:rPr>
                <w:sz w:val="21"/>
                <w:szCs w:val="21"/>
              </w:rPr>
              <w:t>水土流失危害</w:t>
            </w:r>
          </w:p>
        </w:tc>
        <w:tc>
          <w:tcPr>
            <w:tcW w:w="3208" w:type="dxa"/>
            <w:vAlign w:val="center"/>
          </w:tcPr>
          <w:p>
            <w:pPr>
              <w:spacing w:line="240" w:lineRule="auto"/>
              <w:ind w:firstLine="0" w:firstLineChars="0"/>
              <w:jc w:val="center"/>
              <w:rPr>
                <w:sz w:val="21"/>
                <w:szCs w:val="21"/>
              </w:rPr>
            </w:pPr>
            <w:r>
              <w:rPr>
                <w:sz w:val="21"/>
                <w:szCs w:val="21"/>
              </w:rPr>
              <w:t>无人机遥感、实地调查、量测和咨询等方法</w:t>
            </w:r>
          </w:p>
        </w:tc>
        <w:tc>
          <w:tcPr>
            <w:tcW w:w="3096" w:type="dxa"/>
            <w:vAlign w:val="center"/>
          </w:tcPr>
          <w:p>
            <w:pPr>
              <w:spacing w:line="240" w:lineRule="auto"/>
              <w:ind w:firstLine="0" w:firstLineChars="0"/>
              <w:jc w:val="center"/>
              <w:rPr>
                <w:sz w:val="21"/>
                <w:szCs w:val="21"/>
              </w:rPr>
            </w:pPr>
            <w:r>
              <w:rPr>
                <w:sz w:val="21"/>
                <w:szCs w:val="21"/>
              </w:rPr>
              <w:t>水土流失危害事件发生后1周内应完成专项报告</w:t>
            </w:r>
          </w:p>
        </w:tc>
      </w:tr>
    </w:tbl>
    <w:p>
      <w:pPr>
        <w:pStyle w:val="5"/>
        <w:spacing w:beforeLines="50"/>
      </w:pPr>
      <w:bookmarkStart w:id="100" w:name="_Toc6307185"/>
      <w:bookmarkStart w:id="101" w:name="_Toc26067"/>
      <w:r>
        <w:t>6.3监测点位布设</w:t>
      </w:r>
      <w:bookmarkEnd w:id="100"/>
      <w:bookmarkEnd w:id="101"/>
    </w:p>
    <w:p>
      <w:pPr>
        <w:ind w:firstLine="480"/>
      </w:pPr>
      <w:r>
        <w:t>根据《生产建设项目水土保持监测与评价标准》（GB/T51240-2018）对监测点布局规定及数量的要求，结合区域建设的情况和水土流失预测结果分析，为充分掌握各个分区不同时段的水土流失情况，了解水土保持设施的防治效果，遵循“代表性、方便性、少受干扰”的原则，本报告在项目每个分区均至少布置1个水土保持监测点，共计7个监测点。水土保持监测点位布置情况详见表6.3-1。</w:t>
      </w:r>
    </w:p>
    <w:p>
      <w:pPr>
        <w:ind w:firstLine="0" w:firstLineChars="0"/>
        <w:jc w:val="center"/>
        <w:rPr>
          <w:b/>
          <w:bCs/>
        </w:rPr>
      </w:pPr>
      <w:r>
        <w:rPr>
          <w:b/>
          <w:bCs/>
        </w:rPr>
        <w:t>表6.3-1水土保持监测点位布置表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549"/>
        <w:gridCol w:w="1489"/>
        <w:gridCol w:w="2686"/>
        <w:gridCol w:w="355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5" w:type="pct"/>
            <w:vAlign w:val="center"/>
          </w:tcPr>
          <w:p>
            <w:pPr>
              <w:adjustRightInd w:val="0"/>
              <w:snapToGrid w:val="0"/>
              <w:spacing w:line="240" w:lineRule="auto"/>
              <w:ind w:firstLine="0" w:firstLineChars="0"/>
              <w:jc w:val="center"/>
              <w:rPr>
                <w:b/>
                <w:bCs/>
                <w:sz w:val="21"/>
                <w:szCs w:val="21"/>
              </w:rPr>
            </w:pPr>
            <w:r>
              <w:rPr>
                <w:b/>
                <w:bCs/>
                <w:sz w:val="21"/>
                <w:szCs w:val="21"/>
              </w:rPr>
              <w:t>监测点</w:t>
            </w:r>
          </w:p>
        </w:tc>
        <w:tc>
          <w:tcPr>
            <w:tcW w:w="2249" w:type="pct"/>
            <w:gridSpan w:val="2"/>
            <w:vAlign w:val="center"/>
          </w:tcPr>
          <w:p>
            <w:pPr>
              <w:adjustRightInd w:val="0"/>
              <w:snapToGrid w:val="0"/>
              <w:spacing w:line="240" w:lineRule="auto"/>
              <w:ind w:firstLine="0" w:firstLineChars="0"/>
              <w:jc w:val="center"/>
              <w:rPr>
                <w:b/>
                <w:bCs/>
                <w:sz w:val="21"/>
                <w:szCs w:val="21"/>
              </w:rPr>
            </w:pPr>
            <w:r>
              <w:rPr>
                <w:b/>
                <w:bCs/>
                <w:sz w:val="21"/>
                <w:szCs w:val="21"/>
              </w:rPr>
              <w:t>监测分区</w:t>
            </w:r>
          </w:p>
        </w:tc>
        <w:tc>
          <w:tcPr>
            <w:tcW w:w="1916" w:type="pct"/>
            <w:vAlign w:val="center"/>
          </w:tcPr>
          <w:p>
            <w:pPr>
              <w:adjustRightInd w:val="0"/>
              <w:snapToGrid w:val="0"/>
              <w:spacing w:line="240" w:lineRule="auto"/>
              <w:ind w:firstLine="0" w:firstLineChars="0"/>
              <w:jc w:val="center"/>
              <w:rPr>
                <w:b/>
                <w:bCs/>
                <w:sz w:val="21"/>
                <w:szCs w:val="21"/>
              </w:rPr>
            </w:pPr>
            <w:r>
              <w:rPr>
                <w:b/>
                <w:bCs/>
                <w:sz w:val="21"/>
                <w:szCs w:val="21"/>
              </w:rPr>
              <w:t>监测点位置</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5" w:type="pct"/>
            <w:vAlign w:val="center"/>
          </w:tcPr>
          <w:p>
            <w:pPr>
              <w:adjustRightInd w:val="0"/>
              <w:snapToGrid w:val="0"/>
              <w:spacing w:line="240" w:lineRule="auto"/>
              <w:ind w:firstLine="0" w:firstLineChars="0"/>
              <w:jc w:val="center"/>
              <w:rPr>
                <w:sz w:val="21"/>
                <w:szCs w:val="21"/>
              </w:rPr>
            </w:pPr>
            <w:r>
              <w:rPr>
                <w:sz w:val="21"/>
                <w:szCs w:val="21"/>
              </w:rPr>
              <w:t>1#</w:t>
            </w:r>
          </w:p>
        </w:tc>
        <w:tc>
          <w:tcPr>
            <w:tcW w:w="802" w:type="pct"/>
            <w:vMerge w:val="restart"/>
            <w:vAlign w:val="center"/>
          </w:tcPr>
          <w:p>
            <w:pPr>
              <w:pStyle w:val="53"/>
              <w:jc w:val="center"/>
              <w:rPr>
                <w:rFonts w:eastAsia="仿宋_GB2312"/>
              </w:rPr>
            </w:pPr>
            <w:r>
              <w:rPr>
                <w:rFonts w:eastAsia="仿宋_GB2312"/>
              </w:rPr>
              <w:t>近期建设区</w:t>
            </w:r>
          </w:p>
        </w:tc>
        <w:tc>
          <w:tcPr>
            <w:tcW w:w="1447" w:type="pct"/>
            <w:vAlign w:val="center"/>
          </w:tcPr>
          <w:p>
            <w:pPr>
              <w:pStyle w:val="53"/>
              <w:jc w:val="center"/>
              <w:rPr>
                <w:rFonts w:eastAsia="仿宋_GB2312"/>
              </w:rPr>
            </w:pPr>
            <w:r>
              <w:rPr>
                <w:rFonts w:eastAsia="仿宋_GB2312"/>
              </w:rPr>
              <w:t>工业用地区</w:t>
            </w:r>
          </w:p>
        </w:tc>
        <w:tc>
          <w:tcPr>
            <w:tcW w:w="1916" w:type="pct"/>
            <w:vAlign w:val="center"/>
          </w:tcPr>
          <w:p>
            <w:pPr>
              <w:adjustRightInd w:val="0"/>
              <w:snapToGrid w:val="0"/>
              <w:spacing w:line="240" w:lineRule="auto"/>
              <w:ind w:firstLine="0" w:firstLineChars="0"/>
              <w:jc w:val="center"/>
              <w:rPr>
                <w:sz w:val="21"/>
                <w:szCs w:val="21"/>
              </w:rPr>
            </w:pPr>
            <w:r>
              <w:rPr>
                <w:sz w:val="21"/>
                <w:szCs w:val="21"/>
              </w:rPr>
              <w:t>开挖边坡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5" w:type="pct"/>
            <w:vAlign w:val="center"/>
          </w:tcPr>
          <w:p>
            <w:pPr>
              <w:adjustRightInd w:val="0"/>
              <w:snapToGrid w:val="0"/>
              <w:spacing w:line="240" w:lineRule="auto"/>
              <w:ind w:firstLine="0" w:firstLineChars="0"/>
              <w:jc w:val="center"/>
              <w:rPr>
                <w:sz w:val="21"/>
                <w:szCs w:val="21"/>
              </w:rPr>
            </w:pPr>
            <w:r>
              <w:rPr>
                <w:sz w:val="21"/>
                <w:szCs w:val="21"/>
              </w:rPr>
              <w:t>2#</w:t>
            </w:r>
          </w:p>
        </w:tc>
        <w:tc>
          <w:tcPr>
            <w:tcW w:w="802" w:type="pct"/>
            <w:vMerge w:val="continue"/>
            <w:vAlign w:val="center"/>
          </w:tcPr>
          <w:p>
            <w:pPr>
              <w:pStyle w:val="53"/>
              <w:jc w:val="center"/>
              <w:rPr>
                <w:rFonts w:eastAsia="仿宋_GB2312"/>
              </w:rPr>
            </w:pPr>
          </w:p>
        </w:tc>
        <w:tc>
          <w:tcPr>
            <w:tcW w:w="1447" w:type="pct"/>
            <w:vAlign w:val="center"/>
          </w:tcPr>
          <w:p>
            <w:pPr>
              <w:pStyle w:val="53"/>
              <w:jc w:val="center"/>
              <w:rPr>
                <w:rFonts w:eastAsia="仿宋_GB2312"/>
              </w:rPr>
            </w:pPr>
            <w:r>
              <w:rPr>
                <w:rFonts w:eastAsia="仿宋_GB2312"/>
              </w:rPr>
              <w:t>道路与交通设施用地区</w:t>
            </w:r>
          </w:p>
        </w:tc>
        <w:tc>
          <w:tcPr>
            <w:tcW w:w="1916" w:type="pct"/>
            <w:vAlign w:val="center"/>
          </w:tcPr>
          <w:p>
            <w:pPr>
              <w:adjustRightInd w:val="0"/>
              <w:snapToGrid w:val="0"/>
              <w:spacing w:line="240" w:lineRule="auto"/>
              <w:ind w:firstLine="0" w:firstLineChars="0"/>
              <w:jc w:val="center"/>
              <w:rPr>
                <w:sz w:val="21"/>
                <w:szCs w:val="21"/>
              </w:rPr>
            </w:pPr>
            <w:r>
              <w:rPr>
                <w:sz w:val="21"/>
                <w:szCs w:val="21"/>
              </w:rPr>
              <w:t>开挖边坡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0" w:hRule="atLeast"/>
        </w:trPr>
        <w:tc>
          <w:tcPr>
            <w:tcW w:w="835" w:type="pct"/>
            <w:vAlign w:val="center"/>
          </w:tcPr>
          <w:p>
            <w:pPr>
              <w:adjustRightInd w:val="0"/>
              <w:snapToGrid w:val="0"/>
              <w:spacing w:line="240" w:lineRule="auto"/>
              <w:ind w:firstLine="0" w:firstLineChars="0"/>
              <w:jc w:val="center"/>
              <w:rPr>
                <w:sz w:val="21"/>
                <w:szCs w:val="21"/>
              </w:rPr>
            </w:pPr>
            <w:r>
              <w:rPr>
                <w:sz w:val="21"/>
                <w:szCs w:val="21"/>
              </w:rPr>
              <w:t>3#</w:t>
            </w:r>
          </w:p>
        </w:tc>
        <w:tc>
          <w:tcPr>
            <w:tcW w:w="802" w:type="pct"/>
            <w:vMerge w:val="continue"/>
            <w:vAlign w:val="center"/>
          </w:tcPr>
          <w:p>
            <w:pPr>
              <w:pStyle w:val="53"/>
              <w:jc w:val="center"/>
              <w:rPr>
                <w:rFonts w:eastAsia="仿宋_GB2312"/>
                <w:szCs w:val="16"/>
              </w:rPr>
            </w:pPr>
          </w:p>
        </w:tc>
        <w:tc>
          <w:tcPr>
            <w:tcW w:w="1447" w:type="pct"/>
            <w:vAlign w:val="center"/>
          </w:tcPr>
          <w:p>
            <w:pPr>
              <w:pStyle w:val="53"/>
              <w:jc w:val="center"/>
              <w:rPr>
                <w:rFonts w:eastAsia="仿宋_GB2312"/>
              </w:rPr>
            </w:pPr>
            <w:r>
              <w:rPr>
                <w:rFonts w:eastAsia="仿宋_GB2312"/>
              </w:rPr>
              <w:t>公用设施用地区</w:t>
            </w:r>
          </w:p>
        </w:tc>
        <w:tc>
          <w:tcPr>
            <w:tcW w:w="1916" w:type="pct"/>
            <w:vAlign w:val="center"/>
          </w:tcPr>
          <w:p>
            <w:pPr>
              <w:adjustRightInd w:val="0"/>
              <w:snapToGrid w:val="0"/>
              <w:spacing w:line="240" w:lineRule="auto"/>
              <w:ind w:firstLine="0" w:firstLineChars="0"/>
              <w:jc w:val="center"/>
              <w:rPr>
                <w:sz w:val="21"/>
                <w:szCs w:val="21"/>
              </w:rPr>
            </w:pPr>
            <w:r>
              <w:rPr>
                <w:sz w:val="21"/>
                <w:szCs w:val="21"/>
              </w:rPr>
              <w:t>开挖边坡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5" w:hRule="atLeast"/>
        </w:trPr>
        <w:tc>
          <w:tcPr>
            <w:tcW w:w="835" w:type="pct"/>
            <w:vAlign w:val="center"/>
          </w:tcPr>
          <w:p>
            <w:pPr>
              <w:adjustRightInd w:val="0"/>
              <w:snapToGrid w:val="0"/>
              <w:spacing w:line="240" w:lineRule="auto"/>
              <w:ind w:firstLine="0" w:firstLineChars="0"/>
              <w:jc w:val="center"/>
              <w:rPr>
                <w:sz w:val="21"/>
                <w:szCs w:val="21"/>
              </w:rPr>
            </w:pPr>
            <w:r>
              <w:rPr>
                <w:sz w:val="21"/>
                <w:szCs w:val="21"/>
              </w:rPr>
              <w:t>4#</w:t>
            </w:r>
          </w:p>
        </w:tc>
        <w:tc>
          <w:tcPr>
            <w:tcW w:w="802" w:type="pct"/>
            <w:vMerge w:val="continue"/>
            <w:vAlign w:val="center"/>
          </w:tcPr>
          <w:p>
            <w:pPr>
              <w:pStyle w:val="53"/>
              <w:jc w:val="center"/>
              <w:rPr>
                <w:rFonts w:eastAsia="仿宋_GB2312"/>
                <w:szCs w:val="16"/>
              </w:rPr>
            </w:pPr>
          </w:p>
        </w:tc>
        <w:tc>
          <w:tcPr>
            <w:tcW w:w="1447" w:type="pct"/>
            <w:vAlign w:val="center"/>
          </w:tcPr>
          <w:p>
            <w:pPr>
              <w:pStyle w:val="53"/>
              <w:jc w:val="center"/>
              <w:rPr>
                <w:rFonts w:eastAsia="仿宋_GB2312"/>
              </w:rPr>
            </w:pPr>
            <w:r>
              <w:rPr>
                <w:rFonts w:eastAsia="仿宋_GB2312"/>
              </w:rPr>
              <w:t>绿地与广场用地区</w:t>
            </w:r>
          </w:p>
        </w:tc>
        <w:tc>
          <w:tcPr>
            <w:tcW w:w="1916" w:type="pct"/>
            <w:vAlign w:val="center"/>
          </w:tcPr>
          <w:p>
            <w:pPr>
              <w:adjustRightInd w:val="0"/>
              <w:snapToGrid w:val="0"/>
              <w:spacing w:line="240" w:lineRule="auto"/>
              <w:ind w:firstLine="0" w:firstLineChars="0"/>
              <w:jc w:val="center"/>
              <w:rPr>
                <w:sz w:val="21"/>
                <w:szCs w:val="21"/>
              </w:rPr>
            </w:pPr>
            <w:r>
              <w:rPr>
                <w:sz w:val="21"/>
                <w:szCs w:val="21"/>
              </w:rPr>
              <w:t>开挖边坡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5" w:hRule="atLeast"/>
        </w:trPr>
        <w:tc>
          <w:tcPr>
            <w:tcW w:w="835" w:type="pct"/>
            <w:vAlign w:val="center"/>
          </w:tcPr>
          <w:p>
            <w:pPr>
              <w:adjustRightInd w:val="0"/>
              <w:snapToGrid w:val="0"/>
              <w:spacing w:line="240" w:lineRule="auto"/>
              <w:ind w:firstLine="0" w:firstLineChars="0"/>
              <w:jc w:val="center"/>
              <w:rPr>
                <w:sz w:val="21"/>
                <w:szCs w:val="21"/>
              </w:rPr>
            </w:pPr>
            <w:r>
              <w:rPr>
                <w:sz w:val="21"/>
                <w:szCs w:val="21"/>
              </w:rPr>
              <w:t>5#</w:t>
            </w:r>
          </w:p>
        </w:tc>
        <w:tc>
          <w:tcPr>
            <w:tcW w:w="802" w:type="pct"/>
            <w:vAlign w:val="center"/>
          </w:tcPr>
          <w:p>
            <w:pPr>
              <w:pStyle w:val="53"/>
              <w:jc w:val="center"/>
              <w:rPr>
                <w:rFonts w:eastAsia="仿宋_GB2312"/>
                <w:szCs w:val="16"/>
              </w:rPr>
            </w:pPr>
            <w:r>
              <w:rPr>
                <w:rFonts w:eastAsia="仿宋_GB2312"/>
                <w:szCs w:val="16"/>
              </w:rPr>
              <w:t>远期建设区</w:t>
            </w:r>
          </w:p>
        </w:tc>
        <w:tc>
          <w:tcPr>
            <w:tcW w:w="1447" w:type="pct"/>
            <w:vAlign w:val="center"/>
          </w:tcPr>
          <w:p>
            <w:pPr>
              <w:pStyle w:val="53"/>
              <w:jc w:val="center"/>
              <w:rPr>
                <w:rFonts w:eastAsia="仿宋_GB2312"/>
              </w:rPr>
            </w:pPr>
            <w:r>
              <w:rPr>
                <w:rFonts w:eastAsia="仿宋_GB2312"/>
              </w:rPr>
              <w:t>植被恢复区域</w:t>
            </w:r>
          </w:p>
        </w:tc>
        <w:tc>
          <w:tcPr>
            <w:tcW w:w="1916" w:type="pct"/>
            <w:vAlign w:val="center"/>
          </w:tcPr>
          <w:p>
            <w:pPr>
              <w:adjustRightInd w:val="0"/>
              <w:snapToGrid w:val="0"/>
              <w:spacing w:line="240" w:lineRule="auto"/>
              <w:ind w:firstLine="0" w:firstLineChars="0"/>
              <w:jc w:val="center"/>
              <w:rPr>
                <w:sz w:val="21"/>
                <w:szCs w:val="21"/>
              </w:rPr>
            </w:pPr>
            <w:r>
              <w:rPr>
                <w:sz w:val="21"/>
                <w:szCs w:val="21"/>
              </w:rPr>
              <w:t>补植补种区</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5" w:type="pct"/>
            <w:vAlign w:val="center"/>
          </w:tcPr>
          <w:p>
            <w:pPr>
              <w:adjustRightInd w:val="0"/>
              <w:snapToGrid w:val="0"/>
              <w:spacing w:line="240" w:lineRule="auto"/>
              <w:ind w:firstLine="0" w:firstLineChars="0"/>
              <w:jc w:val="center"/>
              <w:rPr>
                <w:sz w:val="21"/>
                <w:szCs w:val="21"/>
              </w:rPr>
            </w:pPr>
            <w:r>
              <w:rPr>
                <w:sz w:val="21"/>
                <w:szCs w:val="21"/>
              </w:rPr>
              <w:t>6#</w:t>
            </w:r>
          </w:p>
        </w:tc>
        <w:tc>
          <w:tcPr>
            <w:tcW w:w="2249" w:type="pct"/>
            <w:gridSpan w:val="2"/>
            <w:vAlign w:val="center"/>
          </w:tcPr>
          <w:p>
            <w:pPr>
              <w:pStyle w:val="53"/>
              <w:jc w:val="center"/>
              <w:rPr>
                <w:rFonts w:eastAsia="仿宋_GB2312"/>
                <w:szCs w:val="16"/>
              </w:rPr>
            </w:pPr>
            <w:r>
              <w:rPr>
                <w:rFonts w:eastAsia="仿宋_GB2312"/>
              </w:rPr>
              <w:t>表土中转场</w:t>
            </w:r>
          </w:p>
        </w:tc>
        <w:tc>
          <w:tcPr>
            <w:tcW w:w="1916" w:type="pct"/>
            <w:vAlign w:val="center"/>
          </w:tcPr>
          <w:p>
            <w:pPr>
              <w:adjustRightInd w:val="0"/>
              <w:snapToGrid w:val="0"/>
              <w:spacing w:line="240" w:lineRule="auto"/>
              <w:ind w:firstLine="0" w:firstLineChars="0"/>
              <w:jc w:val="center"/>
              <w:rPr>
                <w:sz w:val="21"/>
                <w:szCs w:val="21"/>
              </w:rPr>
            </w:pPr>
            <w:r>
              <w:rPr>
                <w:sz w:val="21"/>
                <w:szCs w:val="21"/>
              </w:rPr>
              <w:t>堆场边坡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35" w:type="pct"/>
            <w:vAlign w:val="center"/>
          </w:tcPr>
          <w:p>
            <w:pPr>
              <w:adjustRightInd w:val="0"/>
              <w:snapToGrid w:val="0"/>
              <w:spacing w:line="240" w:lineRule="auto"/>
              <w:ind w:firstLine="0" w:firstLineChars="0"/>
              <w:jc w:val="center"/>
              <w:rPr>
                <w:sz w:val="21"/>
                <w:szCs w:val="21"/>
              </w:rPr>
            </w:pPr>
            <w:r>
              <w:rPr>
                <w:sz w:val="21"/>
                <w:szCs w:val="21"/>
              </w:rPr>
              <w:t>7#</w:t>
            </w:r>
          </w:p>
        </w:tc>
        <w:tc>
          <w:tcPr>
            <w:tcW w:w="2249" w:type="pct"/>
            <w:gridSpan w:val="2"/>
            <w:vAlign w:val="center"/>
          </w:tcPr>
          <w:p>
            <w:pPr>
              <w:pStyle w:val="53"/>
              <w:jc w:val="center"/>
              <w:rPr>
                <w:rFonts w:eastAsia="仿宋_GB2312"/>
                <w:szCs w:val="16"/>
              </w:rPr>
            </w:pPr>
            <w:r>
              <w:rPr>
                <w:rFonts w:eastAsia="仿宋_GB2312"/>
              </w:rPr>
              <w:t>土石方中转场</w:t>
            </w:r>
          </w:p>
        </w:tc>
        <w:tc>
          <w:tcPr>
            <w:tcW w:w="1916" w:type="pct"/>
            <w:vAlign w:val="center"/>
          </w:tcPr>
          <w:p>
            <w:pPr>
              <w:adjustRightInd w:val="0"/>
              <w:snapToGrid w:val="0"/>
              <w:spacing w:line="240" w:lineRule="auto"/>
              <w:ind w:firstLine="0" w:firstLineChars="0"/>
              <w:jc w:val="center"/>
              <w:rPr>
                <w:sz w:val="21"/>
                <w:szCs w:val="21"/>
              </w:rPr>
            </w:pPr>
            <w:r>
              <w:rPr>
                <w:sz w:val="21"/>
                <w:szCs w:val="21"/>
              </w:rPr>
              <w:t>堆场边坡</w:t>
            </w:r>
          </w:p>
        </w:tc>
      </w:tr>
    </w:tbl>
    <w:p>
      <w:pPr>
        <w:spacing w:beforeLines="50"/>
        <w:ind w:firstLine="480"/>
        <w:rPr>
          <w:lang w:val="zh-CN"/>
        </w:rPr>
      </w:pPr>
      <w:r>
        <w:t>各监测点位的监测内容、方法、频次及时段</w:t>
      </w:r>
      <w:r>
        <w:rPr>
          <w:lang w:val="zh-CN"/>
        </w:rPr>
        <w:t>初步计划详见表</w:t>
      </w:r>
      <w:r>
        <w:t>6.3-2</w:t>
      </w:r>
      <w:r>
        <w:rPr>
          <w:lang w:val="zh-CN"/>
        </w:rPr>
        <w:t>。</w:t>
      </w:r>
    </w:p>
    <w:p>
      <w:pPr>
        <w:ind w:firstLine="480"/>
        <w:rPr>
          <w:lang w:val="zh-CN"/>
        </w:rPr>
      </w:pPr>
    </w:p>
    <w:p>
      <w:pPr>
        <w:ind w:firstLine="480"/>
        <w:rPr>
          <w:lang w:val="zh-CN"/>
        </w:rPr>
      </w:pPr>
    </w:p>
    <w:p>
      <w:pPr>
        <w:ind w:firstLine="480"/>
        <w:rPr>
          <w:lang w:val="zh-CN"/>
        </w:rPr>
      </w:pPr>
    </w:p>
    <w:p>
      <w:pPr>
        <w:tabs>
          <w:tab w:val="left" w:pos="1620"/>
          <w:tab w:val="left" w:pos="3600"/>
        </w:tabs>
        <w:ind w:firstLine="0" w:firstLineChars="0"/>
        <w:sectPr>
          <w:headerReference r:id="rId32" w:type="default"/>
          <w:headerReference r:id="rId33" w:type="even"/>
          <w:pgSz w:w="11905" w:h="16838"/>
          <w:pgMar w:top="1417" w:right="1417" w:bottom="1417" w:left="1417" w:header="850" w:footer="992" w:gutter="0"/>
          <w:cols w:space="720" w:num="1"/>
          <w:docGrid w:linePitch="312" w:charSpace="0"/>
        </w:sectPr>
      </w:pPr>
    </w:p>
    <w:p>
      <w:pPr>
        <w:pStyle w:val="68"/>
        <w:spacing w:after="120"/>
      </w:pPr>
      <w:r>
        <w:t>表6.3-2各监测点位的监测内容、方法、频次及时段情况一览表</w:t>
      </w:r>
    </w:p>
    <w:tbl>
      <w:tblPr>
        <w:tblStyle w:val="110"/>
        <w:tblW w:w="4999"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951"/>
        <w:gridCol w:w="4662"/>
        <w:gridCol w:w="3450"/>
        <w:gridCol w:w="3405"/>
        <w:gridCol w:w="74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5" w:hRule="atLeast"/>
        </w:trPr>
        <w:tc>
          <w:tcPr>
            <w:tcW w:w="686" w:type="pct"/>
            <w:vAlign w:val="center"/>
          </w:tcPr>
          <w:p>
            <w:pPr>
              <w:pStyle w:val="53"/>
              <w:rPr>
                <w:rFonts w:eastAsia="仿宋_GB2312"/>
                <w:b/>
                <w:bCs/>
              </w:rPr>
            </w:pPr>
            <w:bookmarkStart w:id="102" w:name="_Toc6307186"/>
            <w:r>
              <w:rPr>
                <w:rFonts w:eastAsia="仿宋_GB2312"/>
                <w:b/>
                <w:bCs/>
              </w:rPr>
              <w:t>监测内容</w:t>
            </w:r>
          </w:p>
        </w:tc>
        <w:tc>
          <w:tcPr>
            <w:tcW w:w="1639" w:type="pct"/>
            <w:vAlign w:val="center"/>
          </w:tcPr>
          <w:p>
            <w:pPr>
              <w:pStyle w:val="53"/>
              <w:rPr>
                <w:rFonts w:eastAsia="仿宋_GB2312"/>
                <w:b/>
                <w:bCs/>
              </w:rPr>
            </w:pPr>
            <w:r>
              <w:rPr>
                <w:rFonts w:eastAsia="仿宋_GB2312"/>
                <w:b/>
                <w:bCs/>
              </w:rPr>
              <w:t>具体内容</w:t>
            </w:r>
          </w:p>
        </w:tc>
        <w:tc>
          <w:tcPr>
            <w:tcW w:w="1213" w:type="pct"/>
            <w:vAlign w:val="center"/>
          </w:tcPr>
          <w:p>
            <w:pPr>
              <w:pStyle w:val="53"/>
              <w:rPr>
                <w:rFonts w:eastAsia="仿宋_GB2312"/>
                <w:b/>
                <w:bCs/>
              </w:rPr>
            </w:pPr>
            <w:r>
              <w:rPr>
                <w:rFonts w:eastAsia="仿宋_GB2312"/>
                <w:b/>
                <w:bCs/>
              </w:rPr>
              <w:t>监测方法</w:t>
            </w:r>
          </w:p>
        </w:tc>
        <w:tc>
          <w:tcPr>
            <w:tcW w:w="1196" w:type="pct"/>
            <w:vAlign w:val="center"/>
          </w:tcPr>
          <w:p>
            <w:pPr>
              <w:pStyle w:val="53"/>
              <w:rPr>
                <w:rFonts w:eastAsia="仿宋_GB2312"/>
                <w:b/>
                <w:bCs/>
              </w:rPr>
            </w:pPr>
            <w:r>
              <w:rPr>
                <w:rFonts w:eastAsia="仿宋_GB2312"/>
                <w:b/>
                <w:bCs/>
              </w:rPr>
              <w:t>监测频率</w:t>
            </w:r>
          </w:p>
        </w:tc>
        <w:tc>
          <w:tcPr>
            <w:tcW w:w="263" w:type="pct"/>
            <w:vAlign w:val="center"/>
          </w:tcPr>
          <w:p>
            <w:pPr>
              <w:pStyle w:val="53"/>
              <w:rPr>
                <w:rFonts w:eastAsia="仿宋_GB2312"/>
                <w:b/>
                <w:bCs/>
              </w:rPr>
            </w:pPr>
            <w:r>
              <w:rPr>
                <w:rFonts w:eastAsia="仿宋_GB2312"/>
                <w:b/>
                <w:bCs/>
              </w:rPr>
              <w:t>监测</w:t>
            </w:r>
          </w:p>
          <w:p>
            <w:pPr>
              <w:pStyle w:val="53"/>
              <w:rPr>
                <w:rFonts w:eastAsia="仿宋_GB2312"/>
                <w:b/>
                <w:bCs/>
              </w:rPr>
            </w:pPr>
            <w:r>
              <w:rPr>
                <w:rFonts w:eastAsia="仿宋_GB2312"/>
                <w:b/>
                <w:bCs/>
              </w:rPr>
              <w:t>时段</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80" w:hRule="atLeast"/>
        </w:trPr>
        <w:tc>
          <w:tcPr>
            <w:tcW w:w="686" w:type="pct"/>
            <w:vMerge w:val="restart"/>
            <w:vAlign w:val="center"/>
          </w:tcPr>
          <w:p>
            <w:pPr>
              <w:pStyle w:val="53"/>
              <w:rPr>
                <w:rFonts w:eastAsia="仿宋_GB2312"/>
              </w:rPr>
            </w:pPr>
            <w:r>
              <w:rPr>
                <w:rFonts w:eastAsia="仿宋_GB2312"/>
              </w:rPr>
              <w:t>水土流失影响因素监测</w:t>
            </w:r>
          </w:p>
        </w:tc>
        <w:tc>
          <w:tcPr>
            <w:tcW w:w="1639" w:type="pct"/>
            <w:vAlign w:val="center"/>
          </w:tcPr>
          <w:p>
            <w:pPr>
              <w:pStyle w:val="53"/>
              <w:rPr>
                <w:rFonts w:eastAsia="仿宋_GB2312"/>
              </w:rPr>
            </w:pPr>
            <w:r>
              <w:rPr>
                <w:rFonts w:eastAsia="仿宋_GB2312"/>
              </w:rPr>
              <w:t>地表扰动情况、防治责任范围变化</w:t>
            </w:r>
          </w:p>
        </w:tc>
        <w:tc>
          <w:tcPr>
            <w:tcW w:w="1213" w:type="pct"/>
            <w:vAlign w:val="center"/>
          </w:tcPr>
          <w:p>
            <w:pPr>
              <w:pStyle w:val="53"/>
              <w:rPr>
                <w:rFonts w:eastAsia="仿宋_GB2312"/>
              </w:rPr>
            </w:pPr>
            <w:r>
              <w:rPr>
                <w:rFonts w:eastAsia="仿宋_GB2312"/>
              </w:rPr>
              <w:t>实地调查法</w:t>
            </w:r>
          </w:p>
        </w:tc>
        <w:tc>
          <w:tcPr>
            <w:tcW w:w="1196" w:type="pct"/>
            <w:vAlign w:val="center"/>
          </w:tcPr>
          <w:p>
            <w:pPr>
              <w:pStyle w:val="53"/>
              <w:rPr>
                <w:rFonts w:eastAsia="仿宋_GB2312"/>
              </w:rPr>
            </w:pPr>
            <w:r>
              <w:rPr>
                <w:rFonts w:eastAsia="仿宋_GB2312"/>
              </w:rPr>
              <w:t>每月监测1次</w:t>
            </w:r>
          </w:p>
        </w:tc>
        <w:tc>
          <w:tcPr>
            <w:tcW w:w="263" w:type="pct"/>
            <w:vMerge w:val="restart"/>
            <w:vAlign w:val="center"/>
          </w:tcPr>
          <w:p>
            <w:pPr>
              <w:pStyle w:val="53"/>
              <w:rPr>
                <w:rFonts w:eastAsia="仿宋_GB2312"/>
              </w:rPr>
            </w:pPr>
            <w:r>
              <w:rPr>
                <w:rFonts w:eastAsia="仿宋_GB2312"/>
              </w:rPr>
              <w:t>施工期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00"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水土流失的类型、形式、面积、分布及强度</w:t>
            </w:r>
          </w:p>
        </w:tc>
        <w:tc>
          <w:tcPr>
            <w:tcW w:w="1213" w:type="pct"/>
            <w:vAlign w:val="center"/>
          </w:tcPr>
          <w:p>
            <w:pPr>
              <w:pStyle w:val="53"/>
              <w:rPr>
                <w:rFonts w:eastAsia="仿宋_GB2312"/>
              </w:rPr>
            </w:pPr>
            <w:r>
              <w:rPr>
                <w:rFonts w:eastAsia="仿宋_GB2312"/>
              </w:rPr>
              <w:t>实地调查法</w:t>
            </w:r>
          </w:p>
        </w:tc>
        <w:tc>
          <w:tcPr>
            <w:tcW w:w="1196" w:type="pct"/>
            <w:vAlign w:val="center"/>
          </w:tcPr>
          <w:p>
            <w:pPr>
              <w:pStyle w:val="53"/>
              <w:rPr>
                <w:rFonts w:eastAsia="仿宋_GB2312"/>
              </w:rPr>
            </w:pPr>
            <w:r>
              <w:rPr>
                <w:rFonts w:eastAsia="仿宋_GB2312"/>
              </w:rPr>
              <w:t>1、水土流失类型及形式测定。每年不应少于1次。2、本项目水土流失面积监测应采用普查法，每季度应少于1次。3、土壤侵蚀强度应根据现行行业标准《土壤侵蚀分类分级标准》SL190按照监测分区分别确定，施工准备期前和监测期末各1次，施工期每年不应少于1次。</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20" w:hRule="atLeast"/>
        </w:trPr>
        <w:tc>
          <w:tcPr>
            <w:tcW w:w="686" w:type="pct"/>
            <w:vAlign w:val="center"/>
          </w:tcPr>
          <w:p>
            <w:pPr>
              <w:pStyle w:val="53"/>
              <w:rPr>
                <w:rFonts w:eastAsia="仿宋_GB2312"/>
              </w:rPr>
            </w:pPr>
            <w:r>
              <w:rPr>
                <w:rFonts w:eastAsia="仿宋_GB2312"/>
              </w:rPr>
              <w:t>水土流失状况监测</w:t>
            </w:r>
          </w:p>
        </w:tc>
        <w:tc>
          <w:tcPr>
            <w:tcW w:w="1639" w:type="pct"/>
            <w:vAlign w:val="center"/>
          </w:tcPr>
          <w:p>
            <w:pPr>
              <w:pStyle w:val="53"/>
              <w:rPr>
                <w:rFonts w:eastAsia="仿宋_GB2312"/>
              </w:rPr>
            </w:pPr>
            <w:r>
              <w:rPr>
                <w:rFonts w:eastAsia="仿宋_GB2312"/>
              </w:rPr>
              <w:t>土壤流失量监测</w:t>
            </w:r>
          </w:p>
        </w:tc>
        <w:tc>
          <w:tcPr>
            <w:tcW w:w="1213" w:type="pct"/>
            <w:vAlign w:val="center"/>
          </w:tcPr>
          <w:p>
            <w:pPr>
              <w:pStyle w:val="53"/>
              <w:rPr>
                <w:rFonts w:eastAsia="仿宋_GB2312"/>
              </w:rPr>
            </w:pPr>
            <w:r>
              <w:rPr>
                <w:rFonts w:eastAsia="仿宋_GB2312"/>
              </w:rPr>
              <w:t>实地调查法、插钎法</w:t>
            </w:r>
          </w:p>
        </w:tc>
        <w:tc>
          <w:tcPr>
            <w:tcW w:w="1196" w:type="pct"/>
            <w:vAlign w:val="center"/>
          </w:tcPr>
          <w:p>
            <w:pPr>
              <w:pStyle w:val="53"/>
              <w:rPr>
                <w:rFonts w:eastAsia="仿宋_GB2312"/>
              </w:rPr>
            </w:pPr>
            <w:r>
              <w:rPr>
                <w:rFonts w:eastAsia="仿宋_GB2312"/>
              </w:rPr>
              <w:t>每季度监测不少于1次</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686" w:type="pct"/>
            <w:vAlign w:val="center"/>
          </w:tcPr>
          <w:p>
            <w:pPr>
              <w:pStyle w:val="53"/>
              <w:rPr>
                <w:rFonts w:eastAsia="仿宋_GB2312"/>
              </w:rPr>
            </w:pPr>
            <w:r>
              <w:rPr>
                <w:rFonts w:eastAsia="仿宋_GB2312"/>
              </w:rPr>
              <w:t>水土流失危害监测</w:t>
            </w:r>
          </w:p>
        </w:tc>
        <w:tc>
          <w:tcPr>
            <w:tcW w:w="1639" w:type="pct"/>
            <w:vAlign w:val="center"/>
          </w:tcPr>
          <w:p>
            <w:pPr>
              <w:pStyle w:val="53"/>
              <w:rPr>
                <w:rFonts w:eastAsia="仿宋_GB2312"/>
              </w:rPr>
            </w:pPr>
            <w:r>
              <w:rPr>
                <w:rFonts w:eastAsia="仿宋_GB2312"/>
              </w:rPr>
              <w:t>水土流失危害的面积、水土流失危害的其他指标和危害程度</w:t>
            </w:r>
          </w:p>
        </w:tc>
        <w:tc>
          <w:tcPr>
            <w:tcW w:w="1213" w:type="pct"/>
            <w:vAlign w:val="center"/>
          </w:tcPr>
          <w:p>
            <w:pPr>
              <w:pStyle w:val="53"/>
              <w:rPr>
                <w:rFonts w:eastAsia="仿宋_GB2312"/>
              </w:rPr>
            </w:pPr>
            <w:r>
              <w:rPr>
                <w:rFonts w:eastAsia="仿宋_GB2312"/>
              </w:rPr>
              <w:t>实地调查法、量测和询问</w:t>
            </w:r>
          </w:p>
        </w:tc>
        <w:tc>
          <w:tcPr>
            <w:tcW w:w="1196" w:type="pct"/>
            <w:vAlign w:val="center"/>
          </w:tcPr>
          <w:p>
            <w:pPr>
              <w:pStyle w:val="53"/>
              <w:rPr>
                <w:rFonts w:eastAsia="仿宋_GB2312"/>
              </w:rPr>
            </w:pPr>
            <w:r>
              <w:rPr>
                <w:rFonts w:eastAsia="仿宋_GB2312"/>
              </w:rPr>
              <w:t>水土流失危害事件发生后1周内应完成监测工作</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90" w:hRule="atLeast"/>
        </w:trPr>
        <w:tc>
          <w:tcPr>
            <w:tcW w:w="686" w:type="pct"/>
            <w:vMerge w:val="restart"/>
            <w:vAlign w:val="center"/>
          </w:tcPr>
          <w:p>
            <w:pPr>
              <w:pStyle w:val="53"/>
              <w:rPr>
                <w:rFonts w:eastAsia="仿宋_GB2312"/>
              </w:rPr>
            </w:pPr>
            <w:r>
              <w:rPr>
                <w:rFonts w:eastAsia="仿宋_GB2312"/>
              </w:rPr>
              <w:t>水土保持措施监测</w:t>
            </w:r>
          </w:p>
        </w:tc>
        <w:tc>
          <w:tcPr>
            <w:tcW w:w="1639" w:type="pct"/>
            <w:vAlign w:val="center"/>
          </w:tcPr>
          <w:p>
            <w:pPr>
              <w:pStyle w:val="53"/>
              <w:rPr>
                <w:rFonts w:eastAsia="仿宋_GB2312"/>
              </w:rPr>
            </w:pPr>
            <w:r>
              <w:rPr>
                <w:rFonts w:eastAsia="仿宋_GB2312"/>
              </w:rPr>
              <w:t>工程措施（雨水排水系统监测）</w:t>
            </w:r>
          </w:p>
        </w:tc>
        <w:tc>
          <w:tcPr>
            <w:tcW w:w="1213" w:type="pct"/>
            <w:vAlign w:val="center"/>
          </w:tcPr>
          <w:p>
            <w:pPr>
              <w:pStyle w:val="53"/>
              <w:rPr>
                <w:rFonts w:eastAsia="仿宋_GB2312"/>
              </w:rPr>
            </w:pPr>
            <w:r>
              <w:rPr>
                <w:rFonts w:eastAsia="仿宋_GB2312"/>
              </w:rPr>
              <w:t>实地勘测与全面巡查</w:t>
            </w:r>
          </w:p>
        </w:tc>
        <w:tc>
          <w:tcPr>
            <w:tcW w:w="1196" w:type="pct"/>
            <w:vAlign w:val="center"/>
          </w:tcPr>
          <w:p>
            <w:pPr>
              <w:pStyle w:val="53"/>
              <w:rPr>
                <w:rFonts w:eastAsia="仿宋_GB2312"/>
              </w:rPr>
            </w:pPr>
            <w:r>
              <w:rPr>
                <w:rFonts w:eastAsia="仿宋_GB2312"/>
              </w:rPr>
              <w:t>重点区域应每月监测1次，整体状况应每季度1次、对于措施运行状况，可设立监测点进行定期观测</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60"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临时措施</w:t>
            </w:r>
          </w:p>
        </w:tc>
        <w:tc>
          <w:tcPr>
            <w:tcW w:w="1213" w:type="pct"/>
            <w:vAlign w:val="center"/>
          </w:tcPr>
          <w:p>
            <w:pPr>
              <w:pStyle w:val="53"/>
              <w:rPr>
                <w:rFonts w:eastAsia="仿宋_GB2312"/>
              </w:rPr>
            </w:pPr>
            <w:r>
              <w:rPr>
                <w:rFonts w:eastAsia="仿宋_GB2312"/>
              </w:rPr>
              <w:t>查阅工程施工、监理等资料的基础上，实地调查，并拍摄照片或录像等影像资料</w:t>
            </w:r>
          </w:p>
        </w:tc>
        <w:tc>
          <w:tcPr>
            <w:tcW w:w="1196" w:type="pct"/>
            <w:vAlign w:val="center"/>
          </w:tcPr>
          <w:p>
            <w:pPr>
              <w:pStyle w:val="53"/>
              <w:rPr>
                <w:rFonts w:eastAsia="仿宋_GB2312"/>
              </w:rPr>
            </w:pPr>
            <w:r>
              <w:rPr>
                <w:rFonts w:eastAsia="仿宋_GB2312"/>
              </w:rPr>
              <w:t>应每季度统计1次。</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73"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水土保持措施对主体工程安全建设和运行发挥的作用、水土保持措施对周边水土保持生态环境发挥的作用</w:t>
            </w:r>
          </w:p>
        </w:tc>
        <w:tc>
          <w:tcPr>
            <w:tcW w:w="1213" w:type="pct"/>
            <w:vAlign w:val="center"/>
          </w:tcPr>
          <w:p>
            <w:pPr>
              <w:pStyle w:val="53"/>
              <w:rPr>
                <w:rFonts w:eastAsia="仿宋_GB2312"/>
              </w:rPr>
            </w:pPr>
            <w:r>
              <w:rPr>
                <w:rFonts w:eastAsia="仿宋_GB2312"/>
              </w:rPr>
              <w:t>巡查法</w:t>
            </w:r>
          </w:p>
        </w:tc>
        <w:tc>
          <w:tcPr>
            <w:tcW w:w="1196" w:type="pct"/>
            <w:vAlign w:val="center"/>
          </w:tcPr>
          <w:p>
            <w:pPr>
              <w:pStyle w:val="53"/>
              <w:rPr>
                <w:rFonts w:eastAsia="仿宋_GB2312"/>
              </w:rPr>
            </w:pPr>
            <w:r>
              <w:rPr>
                <w:rFonts w:eastAsia="仿宋_GB2312"/>
              </w:rPr>
              <w:t>每年汛期前后及大风、暴雨后进行调查</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80" w:hRule="atLeast"/>
        </w:trPr>
        <w:tc>
          <w:tcPr>
            <w:tcW w:w="686" w:type="pct"/>
            <w:vAlign w:val="center"/>
          </w:tcPr>
          <w:p>
            <w:pPr>
              <w:pStyle w:val="53"/>
              <w:rPr>
                <w:rFonts w:eastAsia="仿宋_GB2312"/>
              </w:rPr>
            </w:pPr>
            <w:r>
              <w:rPr>
                <w:rFonts w:eastAsia="仿宋_GB2312"/>
              </w:rPr>
              <w:t>水土流失因素监测</w:t>
            </w:r>
          </w:p>
        </w:tc>
        <w:tc>
          <w:tcPr>
            <w:tcW w:w="4049" w:type="pct"/>
            <w:gridSpan w:val="3"/>
            <w:vAlign w:val="center"/>
          </w:tcPr>
          <w:p>
            <w:pPr>
              <w:pStyle w:val="53"/>
              <w:rPr>
                <w:rFonts w:eastAsia="仿宋_GB2312"/>
              </w:rPr>
            </w:pPr>
            <w:r>
              <w:rPr>
                <w:rFonts w:eastAsia="仿宋_GB2312"/>
              </w:rPr>
              <w:t>同施工期</w:t>
            </w:r>
          </w:p>
        </w:tc>
        <w:tc>
          <w:tcPr>
            <w:tcW w:w="263" w:type="pct"/>
            <w:vMerge w:val="restart"/>
            <w:vAlign w:val="center"/>
          </w:tcPr>
          <w:p>
            <w:pPr>
              <w:pStyle w:val="53"/>
              <w:rPr>
                <w:rFonts w:eastAsia="仿宋_GB2312"/>
              </w:rPr>
            </w:pPr>
            <w:r>
              <w:rPr>
                <w:rFonts w:eastAsia="仿宋_GB2312"/>
              </w:rPr>
              <w:t>试运行期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686" w:type="pct"/>
            <w:vAlign w:val="center"/>
          </w:tcPr>
          <w:p>
            <w:pPr>
              <w:pStyle w:val="53"/>
              <w:rPr>
                <w:rFonts w:eastAsia="仿宋_GB2312"/>
              </w:rPr>
            </w:pPr>
            <w:r>
              <w:rPr>
                <w:rFonts w:eastAsia="仿宋_GB2312"/>
              </w:rPr>
              <w:t>水土流失危害监测</w:t>
            </w:r>
          </w:p>
        </w:tc>
        <w:tc>
          <w:tcPr>
            <w:tcW w:w="1639" w:type="pct"/>
            <w:vAlign w:val="center"/>
          </w:tcPr>
          <w:p>
            <w:pPr>
              <w:pStyle w:val="53"/>
              <w:rPr>
                <w:rFonts w:eastAsia="仿宋_GB2312"/>
              </w:rPr>
            </w:pPr>
            <w:r>
              <w:rPr>
                <w:rFonts w:eastAsia="仿宋_GB2312"/>
              </w:rPr>
              <w:t>水土流失危害的面积、水土流失危害的其他指标和危害程度</w:t>
            </w:r>
          </w:p>
        </w:tc>
        <w:tc>
          <w:tcPr>
            <w:tcW w:w="1213" w:type="pct"/>
            <w:vAlign w:val="center"/>
          </w:tcPr>
          <w:p>
            <w:pPr>
              <w:pStyle w:val="53"/>
              <w:rPr>
                <w:rFonts w:eastAsia="仿宋_GB2312"/>
              </w:rPr>
            </w:pPr>
            <w:r>
              <w:rPr>
                <w:rFonts w:eastAsia="仿宋_GB2312"/>
              </w:rPr>
              <w:t>实地调查法、量测和询问</w:t>
            </w:r>
          </w:p>
        </w:tc>
        <w:tc>
          <w:tcPr>
            <w:tcW w:w="1196" w:type="pct"/>
            <w:vAlign w:val="center"/>
          </w:tcPr>
          <w:p>
            <w:pPr>
              <w:pStyle w:val="53"/>
              <w:rPr>
                <w:rFonts w:eastAsia="仿宋_GB2312"/>
              </w:rPr>
            </w:pPr>
            <w:r>
              <w:rPr>
                <w:rFonts w:eastAsia="仿宋_GB2312"/>
              </w:rPr>
              <w:t>水土流失危害事件发生后1周内应完成监测工作</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686" w:type="pct"/>
            <w:vMerge w:val="restart"/>
            <w:vAlign w:val="center"/>
          </w:tcPr>
          <w:p>
            <w:pPr>
              <w:pStyle w:val="53"/>
              <w:rPr>
                <w:rFonts w:eastAsia="仿宋_GB2312"/>
              </w:rPr>
            </w:pPr>
            <w:r>
              <w:rPr>
                <w:rFonts w:eastAsia="仿宋_GB2312"/>
              </w:rPr>
              <w:t>水土保持措施监测</w:t>
            </w:r>
          </w:p>
        </w:tc>
        <w:tc>
          <w:tcPr>
            <w:tcW w:w="1639" w:type="pct"/>
            <w:vAlign w:val="center"/>
          </w:tcPr>
          <w:p>
            <w:pPr>
              <w:pStyle w:val="53"/>
              <w:rPr>
                <w:rFonts w:eastAsia="仿宋_GB2312"/>
              </w:rPr>
            </w:pPr>
            <w:r>
              <w:rPr>
                <w:rFonts w:eastAsia="仿宋_GB2312"/>
              </w:rPr>
              <w:t>植物类型及面积</w:t>
            </w:r>
          </w:p>
        </w:tc>
        <w:tc>
          <w:tcPr>
            <w:tcW w:w="1213" w:type="pct"/>
            <w:vAlign w:val="center"/>
          </w:tcPr>
          <w:p>
            <w:pPr>
              <w:pStyle w:val="53"/>
              <w:rPr>
                <w:rFonts w:eastAsia="仿宋_GB2312"/>
              </w:rPr>
            </w:pPr>
            <w:r>
              <w:rPr>
                <w:rFonts w:eastAsia="仿宋_GB2312"/>
              </w:rPr>
              <w:t>实地调查法</w:t>
            </w:r>
          </w:p>
        </w:tc>
        <w:tc>
          <w:tcPr>
            <w:tcW w:w="1196" w:type="pct"/>
            <w:vAlign w:val="center"/>
          </w:tcPr>
          <w:p>
            <w:pPr>
              <w:pStyle w:val="53"/>
              <w:rPr>
                <w:rFonts w:eastAsia="仿宋_GB2312"/>
              </w:rPr>
            </w:pPr>
            <w:r>
              <w:rPr>
                <w:rFonts w:eastAsia="仿宋_GB2312"/>
              </w:rPr>
              <w:t>应每季度调查1次</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750"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成活率、保存率及生长状况</w:t>
            </w:r>
          </w:p>
        </w:tc>
        <w:tc>
          <w:tcPr>
            <w:tcW w:w="1213" w:type="pct"/>
            <w:vAlign w:val="center"/>
          </w:tcPr>
          <w:p>
            <w:pPr>
              <w:pStyle w:val="53"/>
              <w:rPr>
                <w:rFonts w:eastAsia="仿宋_GB2312"/>
              </w:rPr>
            </w:pPr>
            <w:r>
              <w:rPr>
                <w:rFonts w:eastAsia="仿宋_GB2312"/>
              </w:rPr>
              <w:t>样地调查法</w:t>
            </w:r>
          </w:p>
        </w:tc>
        <w:tc>
          <w:tcPr>
            <w:tcW w:w="1196" w:type="pct"/>
            <w:vAlign w:val="center"/>
          </w:tcPr>
          <w:p>
            <w:pPr>
              <w:pStyle w:val="53"/>
              <w:rPr>
                <w:rFonts w:eastAsia="仿宋_GB2312"/>
              </w:rPr>
            </w:pPr>
            <w:r>
              <w:rPr>
                <w:rFonts w:eastAsia="仿宋_GB2312"/>
              </w:rPr>
              <w:t>应在栽植6个月后调查成活率，且每年调查1次保存率及生长状况</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95"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郁闭度与盖度监测</w:t>
            </w:r>
          </w:p>
        </w:tc>
        <w:tc>
          <w:tcPr>
            <w:tcW w:w="1213" w:type="pct"/>
            <w:vAlign w:val="center"/>
          </w:tcPr>
          <w:p>
            <w:pPr>
              <w:pStyle w:val="53"/>
              <w:rPr>
                <w:rFonts w:eastAsia="仿宋_GB2312"/>
              </w:rPr>
            </w:pPr>
            <w:r>
              <w:rPr>
                <w:rFonts w:eastAsia="仿宋_GB2312"/>
              </w:rPr>
              <w:t>照相法</w:t>
            </w:r>
          </w:p>
        </w:tc>
        <w:tc>
          <w:tcPr>
            <w:tcW w:w="1196" w:type="pct"/>
            <w:vAlign w:val="center"/>
          </w:tcPr>
          <w:p>
            <w:pPr>
              <w:pStyle w:val="53"/>
              <w:rPr>
                <w:rFonts w:eastAsia="仿宋_GB2312"/>
              </w:rPr>
            </w:pPr>
            <w:r>
              <w:rPr>
                <w:rFonts w:eastAsia="仿宋_GB2312"/>
              </w:rPr>
              <w:t>应每年在植被生长最茂盛的季节监测1次</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91"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临时措施监测</w:t>
            </w:r>
          </w:p>
        </w:tc>
        <w:tc>
          <w:tcPr>
            <w:tcW w:w="1213" w:type="pct"/>
            <w:vAlign w:val="center"/>
          </w:tcPr>
          <w:p>
            <w:pPr>
              <w:pStyle w:val="53"/>
              <w:rPr>
                <w:rFonts w:eastAsia="仿宋_GB2312"/>
              </w:rPr>
            </w:pPr>
            <w:r>
              <w:rPr>
                <w:rFonts w:eastAsia="仿宋_GB2312"/>
              </w:rPr>
              <w:t>查阅工程施工、监理等资料的基础上，实地调查，并拍摄照片或录像等影像资料</w:t>
            </w:r>
          </w:p>
        </w:tc>
        <w:tc>
          <w:tcPr>
            <w:tcW w:w="1196" w:type="pct"/>
            <w:vAlign w:val="center"/>
          </w:tcPr>
          <w:p>
            <w:pPr>
              <w:pStyle w:val="53"/>
              <w:rPr>
                <w:rFonts w:eastAsia="仿宋_GB2312"/>
              </w:rPr>
            </w:pPr>
            <w:r>
              <w:rPr>
                <w:rFonts w:eastAsia="仿宋_GB2312"/>
              </w:rPr>
              <w:t>应每季度统计1次。</w:t>
            </w:r>
          </w:p>
        </w:tc>
        <w:tc>
          <w:tcPr>
            <w:tcW w:w="263" w:type="pct"/>
            <w:vMerge w:val="continue"/>
            <w:vAlign w:val="center"/>
          </w:tcPr>
          <w:p>
            <w:pPr>
              <w:pStyle w:val="53"/>
              <w:rPr>
                <w:rFonts w:eastAsia="仿宋_GB2312"/>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92" w:hRule="atLeast"/>
        </w:trPr>
        <w:tc>
          <w:tcPr>
            <w:tcW w:w="686" w:type="pct"/>
            <w:vMerge w:val="continue"/>
            <w:vAlign w:val="center"/>
          </w:tcPr>
          <w:p>
            <w:pPr>
              <w:pStyle w:val="53"/>
              <w:rPr>
                <w:rFonts w:eastAsia="仿宋_GB2312"/>
              </w:rPr>
            </w:pPr>
          </w:p>
        </w:tc>
        <w:tc>
          <w:tcPr>
            <w:tcW w:w="1639" w:type="pct"/>
            <w:vAlign w:val="center"/>
          </w:tcPr>
          <w:p>
            <w:pPr>
              <w:pStyle w:val="53"/>
              <w:rPr>
                <w:rFonts w:eastAsia="仿宋_GB2312"/>
              </w:rPr>
            </w:pPr>
            <w:r>
              <w:rPr>
                <w:rFonts w:eastAsia="仿宋_GB2312"/>
              </w:rPr>
              <w:t>水土保持措施对主体工程安全建设和运行发挥的作用、水土保持措施对周边水土保持生态环境发挥的作用</w:t>
            </w:r>
          </w:p>
        </w:tc>
        <w:tc>
          <w:tcPr>
            <w:tcW w:w="1213" w:type="pct"/>
            <w:vAlign w:val="center"/>
          </w:tcPr>
          <w:p>
            <w:pPr>
              <w:pStyle w:val="53"/>
              <w:rPr>
                <w:rFonts w:eastAsia="仿宋_GB2312"/>
              </w:rPr>
            </w:pPr>
            <w:r>
              <w:rPr>
                <w:rFonts w:eastAsia="仿宋_GB2312"/>
              </w:rPr>
              <w:t>巡查法</w:t>
            </w:r>
          </w:p>
        </w:tc>
        <w:tc>
          <w:tcPr>
            <w:tcW w:w="1196" w:type="pct"/>
            <w:vAlign w:val="center"/>
          </w:tcPr>
          <w:p>
            <w:pPr>
              <w:pStyle w:val="53"/>
              <w:rPr>
                <w:rFonts w:eastAsia="仿宋_GB2312"/>
              </w:rPr>
            </w:pPr>
            <w:r>
              <w:rPr>
                <w:rFonts w:eastAsia="仿宋_GB2312"/>
              </w:rPr>
              <w:t>每年汛期前后及大风、暴雨后进行调查</w:t>
            </w:r>
          </w:p>
        </w:tc>
        <w:tc>
          <w:tcPr>
            <w:tcW w:w="263" w:type="pct"/>
            <w:vMerge w:val="continue"/>
            <w:vAlign w:val="center"/>
          </w:tcPr>
          <w:p>
            <w:pPr>
              <w:pStyle w:val="53"/>
              <w:rPr>
                <w:rFonts w:eastAsia="仿宋_GB2312"/>
              </w:rPr>
            </w:pPr>
          </w:p>
        </w:tc>
      </w:tr>
    </w:tbl>
    <w:p>
      <w:pPr>
        <w:ind w:firstLine="480"/>
        <w:sectPr>
          <w:headerReference r:id="rId34" w:type="default"/>
          <w:headerReference r:id="rId35" w:type="even"/>
          <w:pgSz w:w="16838" w:h="11905" w:orient="landscape"/>
          <w:pgMar w:top="1417" w:right="1417" w:bottom="1417" w:left="1417" w:header="850" w:footer="992" w:gutter="0"/>
          <w:cols w:space="720" w:num="1"/>
          <w:docGrid w:linePitch="312" w:charSpace="0"/>
        </w:sectPr>
      </w:pPr>
    </w:p>
    <w:p>
      <w:pPr>
        <w:pStyle w:val="5"/>
      </w:pPr>
      <w:bookmarkStart w:id="103" w:name="_Toc11327"/>
      <w:r>
        <w:t>6.4监测实施条件和成果</w:t>
      </w:r>
      <w:bookmarkEnd w:id="102"/>
      <w:bookmarkEnd w:id="103"/>
    </w:p>
    <w:p>
      <w:pPr>
        <w:pStyle w:val="6"/>
      </w:pPr>
      <w:r>
        <w:t>6.4.1监测实施条件</w:t>
      </w:r>
    </w:p>
    <w:p>
      <w:pPr>
        <w:pStyle w:val="7"/>
        <w:tabs>
          <w:tab w:val="left" w:pos="480"/>
        </w:tabs>
      </w:pPr>
      <w:r>
        <w:t>6.4.1.1监测人员</w:t>
      </w:r>
    </w:p>
    <w:p>
      <w:pPr>
        <w:ind w:firstLine="480"/>
      </w:pPr>
      <w:r>
        <w:t>本园区水土保持监测，园区管理委员会可自行监测或委托具有水土保持监测资质的监测单位进行监测。根据《生产建设项目水土保持监测规程》办水保〔2015〕139号规定，监测单位应在现场设立监测园区部，负责监测园区的组织、协调及实施，按监测相关规程规范编制监测计划和细则并组织监测人员实施水土流失监测工作。落实监测人员6名，即总监测工程师1名、监测工程师2名、监测员各3名。总监测工程师为监测项目负责人，全面负责项目监测工作的组织、协调、实施和监测成果质量、负责监测数据的采集、整理、汇总、校核，编制监测实施方案、监测季度报告、监测年度报告、监测总结报告等。监测工程师、监测员协助总监测工程师完成监测数据的采集和整理，并负责监测原始记录、文档、图件、成果的管理。</w:t>
      </w:r>
    </w:p>
    <w:p>
      <w:pPr>
        <w:pStyle w:val="7"/>
        <w:tabs>
          <w:tab w:val="left" w:pos="480"/>
        </w:tabs>
      </w:pPr>
      <w:r>
        <w:t>6.4.1.2监测设施设备</w:t>
      </w:r>
    </w:p>
    <w:p>
      <w:pPr>
        <w:ind w:firstLine="480"/>
      </w:pPr>
      <w:r>
        <w:t>在水土保持监测时，根据本项目监测计划和实施方案，无需修建简易径流场区及侵蚀沟调查场区，据初步设计，仅需利用项目建设的沉沙池即可，本项目监测需要的监测仪器设备设施详见表6.4-1。</w:t>
      </w:r>
    </w:p>
    <w:p>
      <w:pPr>
        <w:pStyle w:val="68"/>
        <w:spacing w:after="120"/>
      </w:pPr>
      <w:r>
        <w:t>表6.4-1水土保持监测仪器、设施设备清单</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101"/>
        <w:gridCol w:w="3828"/>
        <w:gridCol w:w="1453"/>
        <w:gridCol w:w="1257"/>
        <w:gridCol w:w="164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b/>
                <w:bCs/>
              </w:rPr>
            </w:pPr>
            <w:r>
              <w:rPr>
                <w:rFonts w:eastAsia="仿宋_GB2312"/>
                <w:b/>
                <w:bCs/>
              </w:rPr>
              <w:t>序号</w:t>
            </w:r>
          </w:p>
        </w:tc>
        <w:tc>
          <w:tcPr>
            <w:tcW w:w="3828" w:type="dxa"/>
            <w:vAlign w:val="center"/>
          </w:tcPr>
          <w:p>
            <w:pPr>
              <w:pStyle w:val="53"/>
              <w:rPr>
                <w:rFonts w:eastAsia="仿宋_GB2312"/>
                <w:b/>
                <w:bCs/>
              </w:rPr>
            </w:pPr>
            <w:r>
              <w:rPr>
                <w:rFonts w:eastAsia="仿宋_GB2312"/>
                <w:b/>
                <w:bCs/>
              </w:rPr>
              <w:t>监测设备</w:t>
            </w:r>
          </w:p>
        </w:tc>
        <w:tc>
          <w:tcPr>
            <w:tcW w:w="1453" w:type="dxa"/>
            <w:vAlign w:val="center"/>
          </w:tcPr>
          <w:p>
            <w:pPr>
              <w:pStyle w:val="53"/>
              <w:rPr>
                <w:rFonts w:eastAsia="仿宋_GB2312"/>
                <w:b/>
                <w:bCs/>
              </w:rPr>
            </w:pPr>
            <w:r>
              <w:rPr>
                <w:rFonts w:eastAsia="仿宋_GB2312"/>
                <w:b/>
                <w:bCs/>
              </w:rPr>
              <w:t>单位</w:t>
            </w:r>
          </w:p>
        </w:tc>
        <w:tc>
          <w:tcPr>
            <w:tcW w:w="1257" w:type="dxa"/>
            <w:vAlign w:val="center"/>
          </w:tcPr>
          <w:p>
            <w:pPr>
              <w:pStyle w:val="53"/>
              <w:rPr>
                <w:rFonts w:eastAsia="仿宋_GB2312"/>
                <w:b/>
                <w:bCs/>
              </w:rPr>
            </w:pPr>
            <w:r>
              <w:rPr>
                <w:rFonts w:eastAsia="仿宋_GB2312"/>
                <w:b/>
                <w:bCs/>
              </w:rPr>
              <w:t>数量</w:t>
            </w:r>
          </w:p>
        </w:tc>
        <w:tc>
          <w:tcPr>
            <w:tcW w:w="1648" w:type="dxa"/>
            <w:vAlign w:val="center"/>
          </w:tcPr>
          <w:p>
            <w:pPr>
              <w:pStyle w:val="53"/>
              <w:rPr>
                <w:rFonts w:eastAsia="仿宋_GB2312"/>
                <w:b/>
                <w:bCs/>
              </w:rPr>
            </w:pPr>
            <w:r>
              <w:rPr>
                <w:rFonts w:eastAsia="仿宋_GB2312"/>
                <w:b/>
                <w:bCs/>
              </w:rPr>
              <w:t>备注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w:t>
            </w:r>
          </w:p>
        </w:tc>
        <w:tc>
          <w:tcPr>
            <w:tcW w:w="3828" w:type="dxa"/>
            <w:vAlign w:val="center"/>
          </w:tcPr>
          <w:p>
            <w:pPr>
              <w:pStyle w:val="53"/>
              <w:rPr>
                <w:rFonts w:eastAsia="仿宋_GB2312"/>
              </w:rPr>
            </w:pPr>
            <w:r>
              <w:rPr>
                <w:rFonts w:eastAsia="仿宋_GB2312"/>
              </w:rPr>
              <w:t>计算机</w:t>
            </w:r>
          </w:p>
        </w:tc>
        <w:tc>
          <w:tcPr>
            <w:tcW w:w="1453" w:type="dxa"/>
            <w:vAlign w:val="center"/>
          </w:tcPr>
          <w:p>
            <w:pPr>
              <w:pStyle w:val="53"/>
              <w:rPr>
                <w:rFonts w:eastAsia="仿宋_GB2312"/>
              </w:rPr>
            </w:pPr>
            <w:r>
              <w:rPr>
                <w:rFonts w:eastAsia="仿宋_GB2312"/>
              </w:rPr>
              <w:t>台</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2</w:t>
            </w:r>
          </w:p>
        </w:tc>
        <w:tc>
          <w:tcPr>
            <w:tcW w:w="3828" w:type="dxa"/>
            <w:vAlign w:val="center"/>
          </w:tcPr>
          <w:p>
            <w:pPr>
              <w:pStyle w:val="53"/>
              <w:rPr>
                <w:rFonts w:eastAsia="仿宋_GB2312"/>
              </w:rPr>
            </w:pPr>
            <w:r>
              <w:rPr>
                <w:rFonts w:eastAsia="仿宋_GB2312"/>
              </w:rPr>
              <w:t>手持式GPS</w:t>
            </w:r>
          </w:p>
        </w:tc>
        <w:tc>
          <w:tcPr>
            <w:tcW w:w="1453" w:type="dxa"/>
            <w:vAlign w:val="center"/>
          </w:tcPr>
          <w:p>
            <w:pPr>
              <w:pStyle w:val="53"/>
              <w:rPr>
                <w:rFonts w:eastAsia="仿宋_GB2312"/>
              </w:rPr>
            </w:pPr>
            <w:r>
              <w:rPr>
                <w:rFonts w:eastAsia="仿宋_GB2312"/>
              </w:rPr>
              <w:t>部</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3</w:t>
            </w:r>
          </w:p>
        </w:tc>
        <w:tc>
          <w:tcPr>
            <w:tcW w:w="3828" w:type="dxa"/>
            <w:vAlign w:val="center"/>
          </w:tcPr>
          <w:p>
            <w:pPr>
              <w:pStyle w:val="53"/>
              <w:rPr>
                <w:rFonts w:eastAsia="仿宋_GB2312"/>
              </w:rPr>
            </w:pPr>
            <w:r>
              <w:rPr>
                <w:rFonts w:eastAsia="仿宋_GB2312"/>
              </w:rPr>
              <w:t>数码照相机</w:t>
            </w:r>
          </w:p>
        </w:tc>
        <w:tc>
          <w:tcPr>
            <w:tcW w:w="1453" w:type="dxa"/>
            <w:vAlign w:val="center"/>
          </w:tcPr>
          <w:p>
            <w:pPr>
              <w:pStyle w:val="53"/>
              <w:rPr>
                <w:rFonts w:eastAsia="仿宋_GB2312"/>
              </w:rPr>
            </w:pPr>
            <w:r>
              <w:rPr>
                <w:rFonts w:eastAsia="仿宋_GB2312"/>
              </w:rPr>
              <w:t>台</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4</w:t>
            </w:r>
          </w:p>
        </w:tc>
        <w:tc>
          <w:tcPr>
            <w:tcW w:w="3828" w:type="dxa"/>
            <w:vAlign w:val="center"/>
          </w:tcPr>
          <w:p>
            <w:pPr>
              <w:pStyle w:val="53"/>
              <w:rPr>
                <w:rFonts w:eastAsia="仿宋_GB2312"/>
              </w:rPr>
            </w:pPr>
            <w:r>
              <w:rPr>
                <w:rFonts w:eastAsia="仿宋_GB2312"/>
              </w:rPr>
              <w:t>红外测距仪</w:t>
            </w:r>
          </w:p>
        </w:tc>
        <w:tc>
          <w:tcPr>
            <w:tcW w:w="1453" w:type="dxa"/>
            <w:vAlign w:val="center"/>
          </w:tcPr>
          <w:p>
            <w:pPr>
              <w:pStyle w:val="53"/>
              <w:rPr>
                <w:rFonts w:eastAsia="仿宋_GB2312"/>
              </w:rPr>
            </w:pPr>
            <w:r>
              <w:rPr>
                <w:rFonts w:eastAsia="仿宋_GB2312"/>
              </w:rPr>
              <w:t>部</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5</w:t>
            </w:r>
          </w:p>
        </w:tc>
        <w:tc>
          <w:tcPr>
            <w:tcW w:w="3828" w:type="dxa"/>
            <w:vAlign w:val="center"/>
          </w:tcPr>
          <w:p>
            <w:pPr>
              <w:pStyle w:val="53"/>
              <w:rPr>
                <w:rFonts w:eastAsia="仿宋_GB2312"/>
              </w:rPr>
            </w:pPr>
            <w:r>
              <w:rPr>
                <w:rFonts w:eastAsia="仿宋_GB2312"/>
              </w:rPr>
              <w:t>烘箱</w:t>
            </w:r>
          </w:p>
        </w:tc>
        <w:tc>
          <w:tcPr>
            <w:tcW w:w="1453" w:type="dxa"/>
            <w:vAlign w:val="center"/>
          </w:tcPr>
          <w:p>
            <w:pPr>
              <w:pStyle w:val="53"/>
              <w:rPr>
                <w:rFonts w:eastAsia="仿宋_GB2312"/>
              </w:rPr>
            </w:pPr>
            <w:r>
              <w:rPr>
                <w:rFonts w:eastAsia="仿宋_GB2312"/>
              </w:rPr>
              <w:t>台</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6</w:t>
            </w:r>
          </w:p>
        </w:tc>
        <w:tc>
          <w:tcPr>
            <w:tcW w:w="3828" w:type="dxa"/>
            <w:vAlign w:val="center"/>
          </w:tcPr>
          <w:p>
            <w:pPr>
              <w:pStyle w:val="53"/>
              <w:rPr>
                <w:rFonts w:eastAsia="仿宋_GB2312"/>
              </w:rPr>
            </w:pPr>
            <w:r>
              <w:rPr>
                <w:rFonts w:eastAsia="仿宋_GB2312"/>
              </w:rPr>
              <w:t>干燥箱</w:t>
            </w:r>
          </w:p>
        </w:tc>
        <w:tc>
          <w:tcPr>
            <w:tcW w:w="1453" w:type="dxa"/>
            <w:vAlign w:val="center"/>
          </w:tcPr>
          <w:p>
            <w:pPr>
              <w:pStyle w:val="53"/>
              <w:rPr>
                <w:rFonts w:eastAsia="仿宋_GB2312"/>
              </w:rPr>
            </w:pPr>
            <w:r>
              <w:rPr>
                <w:rFonts w:eastAsia="仿宋_GB2312"/>
              </w:rPr>
              <w:t>台</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7</w:t>
            </w:r>
          </w:p>
        </w:tc>
        <w:tc>
          <w:tcPr>
            <w:tcW w:w="3828" w:type="dxa"/>
            <w:vAlign w:val="center"/>
          </w:tcPr>
          <w:p>
            <w:pPr>
              <w:pStyle w:val="53"/>
              <w:rPr>
                <w:rFonts w:eastAsia="仿宋_GB2312"/>
              </w:rPr>
            </w:pPr>
            <w:r>
              <w:rPr>
                <w:rFonts w:eastAsia="仿宋_GB2312"/>
              </w:rPr>
              <w:t>天平</w:t>
            </w:r>
          </w:p>
        </w:tc>
        <w:tc>
          <w:tcPr>
            <w:tcW w:w="1453" w:type="dxa"/>
            <w:vAlign w:val="center"/>
          </w:tcPr>
          <w:p>
            <w:pPr>
              <w:pStyle w:val="53"/>
              <w:rPr>
                <w:rFonts w:eastAsia="仿宋_GB2312"/>
              </w:rPr>
            </w:pPr>
            <w:r>
              <w:rPr>
                <w:rFonts w:eastAsia="仿宋_GB2312"/>
              </w:rPr>
              <w:t>台</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8</w:t>
            </w:r>
          </w:p>
        </w:tc>
        <w:tc>
          <w:tcPr>
            <w:tcW w:w="3828" w:type="dxa"/>
            <w:vAlign w:val="center"/>
          </w:tcPr>
          <w:p>
            <w:pPr>
              <w:pStyle w:val="53"/>
              <w:rPr>
                <w:rFonts w:eastAsia="仿宋_GB2312"/>
              </w:rPr>
            </w:pPr>
            <w:r>
              <w:rPr>
                <w:rFonts w:eastAsia="仿宋_GB2312"/>
              </w:rPr>
              <w:t>计算器</w:t>
            </w:r>
          </w:p>
        </w:tc>
        <w:tc>
          <w:tcPr>
            <w:tcW w:w="1453" w:type="dxa"/>
            <w:vAlign w:val="center"/>
          </w:tcPr>
          <w:p>
            <w:pPr>
              <w:pStyle w:val="53"/>
              <w:rPr>
                <w:rFonts w:eastAsia="仿宋_GB2312"/>
              </w:rPr>
            </w:pPr>
            <w:r>
              <w:rPr>
                <w:rFonts w:eastAsia="仿宋_GB2312"/>
              </w:rPr>
              <w:t>件</w:t>
            </w:r>
          </w:p>
        </w:tc>
        <w:tc>
          <w:tcPr>
            <w:tcW w:w="1257" w:type="dxa"/>
            <w:vAlign w:val="center"/>
          </w:tcPr>
          <w:p>
            <w:pPr>
              <w:pStyle w:val="53"/>
              <w:rPr>
                <w:rFonts w:eastAsia="仿宋_GB2312"/>
              </w:rPr>
            </w:pPr>
            <w:r>
              <w:rPr>
                <w:rFonts w:eastAsia="仿宋_GB2312"/>
              </w:rPr>
              <w:t>2</w:t>
            </w:r>
          </w:p>
        </w:tc>
        <w:tc>
          <w:tcPr>
            <w:tcW w:w="1648" w:type="dxa"/>
            <w:vAlign w:val="center"/>
          </w:tcPr>
          <w:p>
            <w:pPr>
              <w:pStyle w:val="53"/>
              <w:rPr>
                <w:rFonts w:eastAsia="仿宋_GB2312"/>
              </w:rPr>
            </w:pPr>
            <w:r>
              <w:rPr>
                <w:rFonts w:eastAsia="仿宋_GB2312"/>
              </w:rPr>
              <w:t>折旧</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101" w:type="dxa"/>
            <w:vAlign w:val="center"/>
          </w:tcPr>
          <w:p>
            <w:pPr>
              <w:pStyle w:val="53"/>
              <w:rPr>
                <w:rFonts w:eastAsia="仿宋_GB2312"/>
              </w:rPr>
            </w:pPr>
            <w:r>
              <w:rPr>
                <w:rFonts w:eastAsia="仿宋_GB2312"/>
              </w:rPr>
              <w:t>9</w:t>
            </w:r>
          </w:p>
        </w:tc>
        <w:tc>
          <w:tcPr>
            <w:tcW w:w="3828" w:type="dxa"/>
            <w:vAlign w:val="center"/>
          </w:tcPr>
          <w:p>
            <w:pPr>
              <w:pStyle w:val="53"/>
              <w:rPr>
                <w:rFonts w:eastAsia="仿宋_GB2312"/>
              </w:rPr>
            </w:pPr>
            <w:r>
              <w:rPr>
                <w:rFonts w:eastAsia="仿宋_GB2312"/>
              </w:rPr>
              <w:t>2m抽式标杆</w:t>
            </w:r>
          </w:p>
        </w:tc>
        <w:tc>
          <w:tcPr>
            <w:tcW w:w="1453" w:type="dxa"/>
            <w:vAlign w:val="center"/>
          </w:tcPr>
          <w:p>
            <w:pPr>
              <w:pStyle w:val="53"/>
              <w:rPr>
                <w:rFonts w:eastAsia="仿宋_GB2312"/>
              </w:rPr>
            </w:pPr>
            <w:r>
              <w:rPr>
                <w:rFonts w:eastAsia="仿宋_GB2312"/>
              </w:rPr>
              <w:t>支</w:t>
            </w:r>
          </w:p>
        </w:tc>
        <w:tc>
          <w:tcPr>
            <w:tcW w:w="1257" w:type="dxa"/>
            <w:vAlign w:val="center"/>
          </w:tcPr>
          <w:p>
            <w:pPr>
              <w:pStyle w:val="53"/>
              <w:rPr>
                <w:rFonts w:eastAsia="仿宋_GB2312"/>
              </w:rPr>
            </w:pPr>
            <w:r>
              <w:rPr>
                <w:rFonts w:eastAsia="仿宋_GB2312"/>
              </w:rPr>
              <w:t>4</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10</w:t>
            </w:r>
          </w:p>
        </w:tc>
        <w:tc>
          <w:tcPr>
            <w:tcW w:w="3828" w:type="dxa"/>
            <w:vAlign w:val="center"/>
          </w:tcPr>
          <w:p>
            <w:pPr>
              <w:pStyle w:val="53"/>
              <w:rPr>
                <w:rFonts w:eastAsia="仿宋_GB2312"/>
              </w:rPr>
            </w:pPr>
            <w:r>
              <w:rPr>
                <w:rFonts w:eastAsia="仿宋_GB2312"/>
              </w:rPr>
              <w:t>30m皮尺子</w:t>
            </w:r>
          </w:p>
        </w:tc>
        <w:tc>
          <w:tcPr>
            <w:tcW w:w="1453" w:type="dxa"/>
            <w:vAlign w:val="center"/>
          </w:tcPr>
          <w:p>
            <w:pPr>
              <w:pStyle w:val="53"/>
              <w:rPr>
                <w:rFonts w:eastAsia="仿宋_GB2312"/>
              </w:rPr>
            </w:pPr>
            <w:r>
              <w:rPr>
                <w:rFonts w:eastAsia="仿宋_GB2312"/>
              </w:rPr>
              <w:t>支</w:t>
            </w:r>
          </w:p>
        </w:tc>
        <w:tc>
          <w:tcPr>
            <w:tcW w:w="1257" w:type="dxa"/>
            <w:vAlign w:val="center"/>
          </w:tcPr>
          <w:p>
            <w:pPr>
              <w:pStyle w:val="53"/>
              <w:rPr>
                <w:rFonts w:eastAsia="仿宋_GB2312"/>
              </w:rPr>
            </w:pPr>
            <w:r>
              <w:rPr>
                <w:rFonts w:eastAsia="仿宋_GB2312"/>
              </w:rPr>
              <w:t>2</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11</w:t>
            </w:r>
          </w:p>
        </w:tc>
        <w:tc>
          <w:tcPr>
            <w:tcW w:w="3828" w:type="dxa"/>
            <w:vAlign w:val="center"/>
          </w:tcPr>
          <w:p>
            <w:pPr>
              <w:pStyle w:val="53"/>
              <w:rPr>
                <w:rFonts w:eastAsia="仿宋_GB2312"/>
              </w:rPr>
            </w:pPr>
            <w:r>
              <w:rPr>
                <w:rFonts w:eastAsia="仿宋_GB2312"/>
              </w:rPr>
              <w:t>50m皮尺</w:t>
            </w:r>
          </w:p>
        </w:tc>
        <w:tc>
          <w:tcPr>
            <w:tcW w:w="1453" w:type="dxa"/>
            <w:vAlign w:val="center"/>
          </w:tcPr>
          <w:p>
            <w:pPr>
              <w:pStyle w:val="53"/>
              <w:rPr>
                <w:rFonts w:eastAsia="仿宋_GB2312"/>
              </w:rPr>
            </w:pPr>
            <w:r>
              <w:rPr>
                <w:rFonts w:eastAsia="仿宋_GB2312"/>
              </w:rPr>
              <w:t>支</w:t>
            </w:r>
          </w:p>
        </w:tc>
        <w:tc>
          <w:tcPr>
            <w:tcW w:w="1257" w:type="dxa"/>
            <w:vAlign w:val="center"/>
          </w:tcPr>
          <w:p>
            <w:pPr>
              <w:pStyle w:val="53"/>
              <w:rPr>
                <w:rFonts w:eastAsia="仿宋_GB2312"/>
              </w:rPr>
            </w:pPr>
            <w:r>
              <w:rPr>
                <w:rFonts w:eastAsia="仿宋_GB2312"/>
              </w:rPr>
              <w:t>2</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12</w:t>
            </w:r>
          </w:p>
        </w:tc>
        <w:tc>
          <w:tcPr>
            <w:tcW w:w="3828" w:type="dxa"/>
            <w:vAlign w:val="center"/>
          </w:tcPr>
          <w:p>
            <w:pPr>
              <w:pStyle w:val="53"/>
              <w:rPr>
                <w:rFonts w:eastAsia="仿宋_GB2312"/>
              </w:rPr>
            </w:pPr>
            <w:r>
              <w:rPr>
                <w:rFonts w:eastAsia="仿宋_GB2312"/>
              </w:rPr>
              <w:t>1000ml量筒</w:t>
            </w:r>
          </w:p>
        </w:tc>
        <w:tc>
          <w:tcPr>
            <w:tcW w:w="1453" w:type="dxa"/>
            <w:vAlign w:val="center"/>
          </w:tcPr>
          <w:p>
            <w:pPr>
              <w:pStyle w:val="53"/>
              <w:rPr>
                <w:rFonts w:eastAsia="仿宋_GB2312"/>
              </w:rPr>
            </w:pPr>
            <w:r>
              <w:rPr>
                <w:rFonts w:eastAsia="仿宋_GB2312"/>
              </w:rPr>
              <w:t>个</w:t>
            </w:r>
          </w:p>
        </w:tc>
        <w:tc>
          <w:tcPr>
            <w:tcW w:w="1257" w:type="dxa"/>
            <w:vAlign w:val="center"/>
          </w:tcPr>
          <w:p>
            <w:pPr>
              <w:pStyle w:val="53"/>
              <w:rPr>
                <w:rFonts w:eastAsia="仿宋_GB2312"/>
              </w:rPr>
            </w:pPr>
            <w:r>
              <w:rPr>
                <w:rFonts w:eastAsia="仿宋_GB2312"/>
              </w:rPr>
              <w:t>10</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13</w:t>
            </w:r>
          </w:p>
        </w:tc>
        <w:tc>
          <w:tcPr>
            <w:tcW w:w="3828" w:type="dxa"/>
            <w:vAlign w:val="center"/>
          </w:tcPr>
          <w:p>
            <w:pPr>
              <w:pStyle w:val="53"/>
              <w:rPr>
                <w:rFonts w:eastAsia="仿宋_GB2312"/>
              </w:rPr>
            </w:pPr>
            <w:r>
              <w:rPr>
                <w:rFonts w:eastAsia="仿宋_GB2312"/>
              </w:rPr>
              <w:t>自计雨量计</w:t>
            </w:r>
          </w:p>
        </w:tc>
        <w:tc>
          <w:tcPr>
            <w:tcW w:w="1453" w:type="dxa"/>
            <w:vAlign w:val="center"/>
          </w:tcPr>
          <w:p>
            <w:pPr>
              <w:pStyle w:val="53"/>
              <w:rPr>
                <w:rFonts w:eastAsia="仿宋_GB2312"/>
              </w:rPr>
            </w:pPr>
            <w:r>
              <w:rPr>
                <w:rFonts w:eastAsia="仿宋_GB2312"/>
              </w:rPr>
              <w:t>个</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14</w:t>
            </w:r>
          </w:p>
        </w:tc>
        <w:tc>
          <w:tcPr>
            <w:tcW w:w="3828" w:type="dxa"/>
            <w:vAlign w:val="center"/>
          </w:tcPr>
          <w:p>
            <w:pPr>
              <w:pStyle w:val="53"/>
              <w:rPr>
                <w:rFonts w:eastAsia="仿宋_GB2312"/>
              </w:rPr>
            </w:pPr>
            <w:r>
              <w:rPr>
                <w:rFonts w:eastAsia="仿宋_GB2312"/>
              </w:rPr>
              <w:t>雨量筒</w:t>
            </w:r>
          </w:p>
        </w:tc>
        <w:tc>
          <w:tcPr>
            <w:tcW w:w="1453" w:type="dxa"/>
            <w:vAlign w:val="center"/>
          </w:tcPr>
          <w:p>
            <w:pPr>
              <w:pStyle w:val="53"/>
              <w:rPr>
                <w:rFonts w:eastAsia="仿宋_GB2312"/>
              </w:rPr>
            </w:pPr>
            <w:r>
              <w:rPr>
                <w:rFonts w:eastAsia="仿宋_GB2312"/>
              </w:rPr>
              <w:t>个</w:t>
            </w:r>
          </w:p>
        </w:tc>
        <w:tc>
          <w:tcPr>
            <w:tcW w:w="1257" w:type="dxa"/>
            <w:vAlign w:val="center"/>
          </w:tcPr>
          <w:p>
            <w:pPr>
              <w:pStyle w:val="53"/>
              <w:rPr>
                <w:rFonts w:eastAsia="仿宋_GB2312"/>
              </w:rPr>
            </w:pPr>
            <w:r>
              <w:rPr>
                <w:rFonts w:eastAsia="仿宋_GB2312"/>
              </w:rPr>
              <w:t>10</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15</w:t>
            </w:r>
          </w:p>
        </w:tc>
        <w:tc>
          <w:tcPr>
            <w:tcW w:w="3828" w:type="dxa"/>
            <w:vAlign w:val="center"/>
          </w:tcPr>
          <w:p>
            <w:pPr>
              <w:pStyle w:val="53"/>
              <w:rPr>
                <w:rFonts w:eastAsia="仿宋_GB2312"/>
              </w:rPr>
            </w:pPr>
            <w:r>
              <w:rPr>
                <w:rFonts w:eastAsia="仿宋_GB2312"/>
              </w:rPr>
              <w:t>大张滤纸</w:t>
            </w:r>
          </w:p>
        </w:tc>
        <w:tc>
          <w:tcPr>
            <w:tcW w:w="1453" w:type="dxa"/>
            <w:vAlign w:val="center"/>
          </w:tcPr>
          <w:p>
            <w:pPr>
              <w:pStyle w:val="53"/>
              <w:rPr>
                <w:rFonts w:eastAsia="仿宋_GB2312"/>
              </w:rPr>
            </w:pPr>
            <w:r>
              <w:rPr>
                <w:rFonts w:eastAsia="仿宋_GB2312"/>
              </w:rPr>
              <w:t>张</w:t>
            </w:r>
          </w:p>
        </w:tc>
        <w:tc>
          <w:tcPr>
            <w:tcW w:w="1257" w:type="dxa"/>
            <w:vAlign w:val="center"/>
          </w:tcPr>
          <w:p>
            <w:pPr>
              <w:pStyle w:val="53"/>
              <w:rPr>
                <w:rFonts w:eastAsia="仿宋_GB2312"/>
              </w:rPr>
            </w:pPr>
            <w:r>
              <w:rPr>
                <w:rFonts w:eastAsia="仿宋_GB2312"/>
              </w:rPr>
              <w:t>若干</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16</w:t>
            </w:r>
          </w:p>
        </w:tc>
        <w:tc>
          <w:tcPr>
            <w:tcW w:w="3828" w:type="dxa"/>
            <w:vAlign w:val="center"/>
          </w:tcPr>
          <w:p>
            <w:pPr>
              <w:pStyle w:val="53"/>
              <w:rPr>
                <w:rFonts w:eastAsia="仿宋_GB2312"/>
              </w:rPr>
            </w:pPr>
            <w:r>
              <w:rPr>
                <w:rFonts w:eastAsia="仿宋_GB2312"/>
              </w:rPr>
              <w:t>塑料漏斗</w:t>
            </w:r>
          </w:p>
        </w:tc>
        <w:tc>
          <w:tcPr>
            <w:tcW w:w="1453" w:type="dxa"/>
            <w:vAlign w:val="center"/>
          </w:tcPr>
          <w:p>
            <w:pPr>
              <w:pStyle w:val="53"/>
              <w:rPr>
                <w:rFonts w:eastAsia="仿宋_GB2312"/>
              </w:rPr>
            </w:pPr>
            <w:r>
              <w:rPr>
                <w:rFonts w:eastAsia="仿宋_GB2312"/>
              </w:rPr>
              <w:t>个</w:t>
            </w:r>
          </w:p>
        </w:tc>
        <w:tc>
          <w:tcPr>
            <w:tcW w:w="1257" w:type="dxa"/>
            <w:vAlign w:val="center"/>
          </w:tcPr>
          <w:p>
            <w:pPr>
              <w:pStyle w:val="53"/>
              <w:rPr>
                <w:rFonts w:eastAsia="仿宋_GB2312"/>
              </w:rPr>
            </w:pPr>
            <w:r>
              <w:rPr>
                <w:rFonts w:eastAsia="仿宋_GB2312"/>
              </w:rPr>
              <w:t>3</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17</w:t>
            </w:r>
          </w:p>
        </w:tc>
        <w:tc>
          <w:tcPr>
            <w:tcW w:w="3828" w:type="dxa"/>
            <w:vAlign w:val="center"/>
          </w:tcPr>
          <w:p>
            <w:pPr>
              <w:pStyle w:val="53"/>
              <w:rPr>
                <w:rFonts w:eastAsia="仿宋_GB2312"/>
              </w:rPr>
            </w:pPr>
            <w:r>
              <w:rPr>
                <w:rFonts w:eastAsia="仿宋_GB2312"/>
              </w:rPr>
              <w:t>塑料桶</w:t>
            </w:r>
          </w:p>
        </w:tc>
        <w:tc>
          <w:tcPr>
            <w:tcW w:w="1453" w:type="dxa"/>
            <w:vAlign w:val="center"/>
          </w:tcPr>
          <w:p>
            <w:pPr>
              <w:pStyle w:val="53"/>
              <w:rPr>
                <w:rFonts w:eastAsia="仿宋_GB2312"/>
              </w:rPr>
            </w:pPr>
            <w:r>
              <w:rPr>
                <w:rFonts w:eastAsia="仿宋_GB2312"/>
              </w:rPr>
              <w:t>个</w:t>
            </w:r>
          </w:p>
        </w:tc>
        <w:tc>
          <w:tcPr>
            <w:tcW w:w="1257" w:type="dxa"/>
            <w:vAlign w:val="center"/>
          </w:tcPr>
          <w:p>
            <w:pPr>
              <w:pStyle w:val="53"/>
              <w:rPr>
                <w:rFonts w:eastAsia="仿宋_GB2312"/>
              </w:rPr>
            </w:pPr>
            <w:r>
              <w:rPr>
                <w:rFonts w:eastAsia="仿宋_GB2312"/>
              </w:rPr>
              <w:t>4</w:t>
            </w:r>
          </w:p>
        </w:tc>
        <w:tc>
          <w:tcPr>
            <w:tcW w:w="1648" w:type="dxa"/>
            <w:vAlign w:val="center"/>
          </w:tcPr>
          <w:p>
            <w:pPr>
              <w:pStyle w:val="53"/>
              <w:rPr>
                <w:rFonts w:eastAsia="仿宋_GB2312"/>
              </w:rPr>
            </w:pPr>
            <w:r>
              <w:rPr>
                <w:rFonts w:eastAsia="仿宋_GB2312"/>
              </w:rPr>
              <w:t>购买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101" w:type="dxa"/>
            <w:vAlign w:val="center"/>
          </w:tcPr>
          <w:p>
            <w:pPr>
              <w:pStyle w:val="53"/>
              <w:rPr>
                <w:rFonts w:eastAsia="仿宋_GB2312"/>
              </w:rPr>
            </w:pPr>
            <w:r>
              <w:rPr>
                <w:rFonts w:eastAsia="仿宋_GB2312"/>
              </w:rPr>
              <w:t>18</w:t>
            </w:r>
          </w:p>
        </w:tc>
        <w:tc>
          <w:tcPr>
            <w:tcW w:w="3828" w:type="dxa"/>
            <w:vAlign w:val="center"/>
          </w:tcPr>
          <w:p>
            <w:pPr>
              <w:pStyle w:val="53"/>
              <w:rPr>
                <w:rFonts w:eastAsia="仿宋_GB2312"/>
              </w:rPr>
            </w:pPr>
            <w:r>
              <w:rPr>
                <w:rFonts w:eastAsia="仿宋_GB2312"/>
              </w:rPr>
              <w:t>无人机</w:t>
            </w:r>
          </w:p>
        </w:tc>
        <w:tc>
          <w:tcPr>
            <w:tcW w:w="1453" w:type="dxa"/>
            <w:vAlign w:val="center"/>
          </w:tcPr>
          <w:p>
            <w:pPr>
              <w:pStyle w:val="53"/>
              <w:rPr>
                <w:rFonts w:eastAsia="仿宋_GB2312"/>
              </w:rPr>
            </w:pPr>
            <w:r>
              <w:rPr>
                <w:rFonts w:eastAsia="仿宋_GB2312"/>
              </w:rPr>
              <w:t>台</w:t>
            </w:r>
          </w:p>
        </w:tc>
        <w:tc>
          <w:tcPr>
            <w:tcW w:w="1257" w:type="dxa"/>
            <w:vAlign w:val="center"/>
          </w:tcPr>
          <w:p>
            <w:pPr>
              <w:pStyle w:val="53"/>
              <w:rPr>
                <w:rFonts w:eastAsia="仿宋_GB2312"/>
              </w:rPr>
            </w:pPr>
            <w:r>
              <w:rPr>
                <w:rFonts w:eastAsia="仿宋_GB2312"/>
              </w:rPr>
              <w:t>1</w:t>
            </w:r>
          </w:p>
        </w:tc>
        <w:tc>
          <w:tcPr>
            <w:tcW w:w="1648" w:type="dxa"/>
            <w:vAlign w:val="center"/>
          </w:tcPr>
          <w:p>
            <w:pPr>
              <w:pStyle w:val="53"/>
              <w:rPr>
                <w:rFonts w:eastAsia="仿宋_GB2312"/>
              </w:rPr>
            </w:pPr>
            <w:r>
              <w:rPr>
                <w:rFonts w:eastAsia="仿宋_GB2312"/>
              </w:rPr>
              <w:t>折旧</w:t>
            </w:r>
          </w:p>
        </w:tc>
      </w:tr>
    </w:tbl>
    <w:p>
      <w:pPr>
        <w:pStyle w:val="7"/>
        <w:tabs>
          <w:tab w:val="left" w:pos="480"/>
        </w:tabs>
        <w:spacing w:beforeLines="50"/>
      </w:pPr>
      <w:r>
        <w:t>6.4.1.3监测费用</w:t>
      </w:r>
    </w:p>
    <w:p>
      <w:pPr>
        <w:ind w:firstLine="480"/>
      </w:pPr>
      <w:r>
        <w:t>水土保持监测费应包括消耗性材料费、土建设施费、监测设备折旧费和监测人工费三部分。对监测设备只计折旧费，不计算监测设备购置费；监测人工费参照监理费按人年费用结合年监测次数计取。计费时段应从施工准备期开始，至设计水平年结束。监测设施的投资费用根据以前同类设施的经验单价计算，并参照当地材料进行调整。经计算，本项目监测费用为372.0万元。监测措施费估算详见表6.4-2。</w:t>
      </w:r>
    </w:p>
    <w:p>
      <w:pPr>
        <w:ind w:firstLine="0" w:firstLineChars="0"/>
        <w:jc w:val="center"/>
        <w:rPr>
          <w:b/>
          <w:bCs/>
        </w:rPr>
      </w:pPr>
      <w:r>
        <w:rPr>
          <w:b/>
          <w:bCs/>
        </w:rPr>
        <w:t>表6.4-2监测措施费估算表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2428"/>
        <w:gridCol w:w="2507"/>
        <w:gridCol w:w="2303"/>
        <w:gridCol w:w="2045"/>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307" w:type="pct"/>
            <w:noWrap/>
            <w:vAlign w:val="center"/>
          </w:tcPr>
          <w:p>
            <w:pPr>
              <w:pStyle w:val="99"/>
              <w:rPr>
                <w:b/>
                <w:bCs/>
                <w:sz w:val="21"/>
                <w:szCs w:val="21"/>
              </w:rPr>
            </w:pPr>
            <w:r>
              <w:rPr>
                <w:b/>
                <w:bCs/>
                <w:sz w:val="21"/>
                <w:szCs w:val="21"/>
              </w:rPr>
              <w:t>序号</w:t>
            </w:r>
          </w:p>
        </w:tc>
        <w:tc>
          <w:tcPr>
            <w:tcW w:w="1350" w:type="pct"/>
            <w:noWrap/>
            <w:vAlign w:val="center"/>
          </w:tcPr>
          <w:p>
            <w:pPr>
              <w:pStyle w:val="99"/>
              <w:rPr>
                <w:b/>
                <w:bCs/>
                <w:sz w:val="21"/>
                <w:szCs w:val="21"/>
              </w:rPr>
            </w:pPr>
            <w:r>
              <w:rPr>
                <w:b/>
                <w:bCs/>
                <w:sz w:val="21"/>
                <w:szCs w:val="21"/>
              </w:rPr>
              <w:t>监测措施</w:t>
            </w:r>
          </w:p>
        </w:tc>
        <w:tc>
          <w:tcPr>
            <w:tcW w:w="1240" w:type="pct"/>
            <w:noWrap/>
            <w:vAlign w:val="center"/>
          </w:tcPr>
          <w:p>
            <w:pPr>
              <w:pStyle w:val="99"/>
              <w:rPr>
                <w:b/>
                <w:bCs/>
                <w:sz w:val="21"/>
                <w:szCs w:val="21"/>
              </w:rPr>
            </w:pPr>
            <w:r>
              <w:rPr>
                <w:b/>
                <w:bCs/>
                <w:sz w:val="21"/>
                <w:szCs w:val="21"/>
              </w:rPr>
              <w:t>费用（万元）</w:t>
            </w:r>
          </w:p>
        </w:tc>
        <w:tc>
          <w:tcPr>
            <w:tcW w:w="1101" w:type="pct"/>
            <w:noWrap/>
            <w:vAlign w:val="center"/>
          </w:tcPr>
          <w:p>
            <w:pPr>
              <w:pStyle w:val="99"/>
              <w:rPr>
                <w:b/>
                <w:bCs/>
                <w:sz w:val="21"/>
                <w:szCs w:val="21"/>
              </w:rPr>
            </w:pPr>
            <w:r>
              <w:rPr>
                <w:b/>
                <w:bCs/>
                <w:sz w:val="21"/>
                <w:szCs w:val="21"/>
              </w:rPr>
              <w:t>小计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307" w:type="pct"/>
            <w:noWrap/>
            <w:vAlign w:val="center"/>
          </w:tcPr>
          <w:p>
            <w:pPr>
              <w:pStyle w:val="99"/>
              <w:rPr>
                <w:sz w:val="21"/>
                <w:szCs w:val="21"/>
              </w:rPr>
            </w:pPr>
            <w:r>
              <w:rPr>
                <w:sz w:val="21"/>
                <w:szCs w:val="21"/>
              </w:rPr>
              <w:t>1</w:t>
            </w:r>
          </w:p>
        </w:tc>
        <w:tc>
          <w:tcPr>
            <w:tcW w:w="1350" w:type="pct"/>
            <w:noWrap/>
            <w:vAlign w:val="center"/>
          </w:tcPr>
          <w:p>
            <w:pPr>
              <w:pStyle w:val="99"/>
              <w:rPr>
                <w:sz w:val="21"/>
                <w:szCs w:val="21"/>
              </w:rPr>
            </w:pPr>
            <w:r>
              <w:rPr>
                <w:sz w:val="21"/>
                <w:szCs w:val="21"/>
              </w:rPr>
              <w:t>人工费</w:t>
            </w:r>
          </w:p>
        </w:tc>
        <w:tc>
          <w:tcPr>
            <w:tcW w:w="1240" w:type="pct"/>
            <w:noWrap/>
            <w:vAlign w:val="center"/>
          </w:tcPr>
          <w:p>
            <w:pPr>
              <w:pStyle w:val="99"/>
              <w:rPr>
                <w:sz w:val="21"/>
                <w:szCs w:val="21"/>
              </w:rPr>
            </w:pPr>
            <w:r>
              <w:rPr>
                <w:sz w:val="21"/>
                <w:szCs w:val="21"/>
              </w:rPr>
              <w:t>42.0</w:t>
            </w:r>
          </w:p>
        </w:tc>
        <w:tc>
          <w:tcPr>
            <w:tcW w:w="1101" w:type="pct"/>
            <w:noWrap/>
            <w:vAlign w:val="center"/>
          </w:tcPr>
          <w:p>
            <w:pPr>
              <w:pStyle w:val="99"/>
              <w:rPr>
                <w:sz w:val="21"/>
                <w:szCs w:val="21"/>
              </w:rPr>
            </w:pPr>
            <w:r>
              <w:rPr>
                <w:sz w:val="21"/>
                <w:szCs w:val="21"/>
              </w:rPr>
              <w:t>42.0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307" w:type="pct"/>
            <w:noWrap/>
            <w:vAlign w:val="center"/>
          </w:tcPr>
          <w:p>
            <w:pPr>
              <w:pStyle w:val="99"/>
              <w:rPr>
                <w:sz w:val="21"/>
                <w:szCs w:val="21"/>
              </w:rPr>
            </w:pPr>
            <w:r>
              <w:rPr>
                <w:sz w:val="21"/>
                <w:szCs w:val="21"/>
              </w:rPr>
              <w:t>2</w:t>
            </w:r>
          </w:p>
        </w:tc>
        <w:tc>
          <w:tcPr>
            <w:tcW w:w="1350" w:type="pct"/>
            <w:noWrap/>
            <w:vAlign w:val="center"/>
          </w:tcPr>
          <w:p>
            <w:pPr>
              <w:pStyle w:val="99"/>
              <w:rPr>
                <w:sz w:val="21"/>
                <w:szCs w:val="21"/>
              </w:rPr>
            </w:pPr>
            <w:r>
              <w:rPr>
                <w:sz w:val="21"/>
                <w:szCs w:val="21"/>
              </w:rPr>
              <w:t>土建设施费</w:t>
            </w:r>
          </w:p>
        </w:tc>
        <w:tc>
          <w:tcPr>
            <w:tcW w:w="1240" w:type="pct"/>
            <w:noWrap/>
            <w:vAlign w:val="center"/>
          </w:tcPr>
          <w:p>
            <w:pPr>
              <w:pStyle w:val="99"/>
              <w:rPr>
                <w:sz w:val="21"/>
                <w:szCs w:val="21"/>
              </w:rPr>
            </w:pPr>
            <w:r>
              <w:rPr>
                <w:sz w:val="21"/>
                <w:szCs w:val="21"/>
              </w:rPr>
              <w:t>0</w:t>
            </w:r>
          </w:p>
        </w:tc>
        <w:tc>
          <w:tcPr>
            <w:tcW w:w="1101" w:type="pct"/>
            <w:noWrap/>
            <w:vAlign w:val="center"/>
          </w:tcPr>
          <w:p>
            <w:pPr>
              <w:pStyle w:val="99"/>
              <w:rPr>
                <w:sz w:val="21"/>
                <w:szCs w:val="21"/>
              </w:rPr>
            </w:pPr>
            <w:r>
              <w:rPr>
                <w:sz w:val="21"/>
                <w:szCs w:val="21"/>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307" w:type="pct"/>
            <w:noWrap/>
            <w:vAlign w:val="center"/>
          </w:tcPr>
          <w:p>
            <w:pPr>
              <w:pStyle w:val="99"/>
              <w:rPr>
                <w:sz w:val="21"/>
                <w:szCs w:val="21"/>
              </w:rPr>
            </w:pPr>
            <w:r>
              <w:rPr>
                <w:sz w:val="21"/>
                <w:szCs w:val="21"/>
              </w:rPr>
              <w:t>3</w:t>
            </w:r>
          </w:p>
        </w:tc>
        <w:tc>
          <w:tcPr>
            <w:tcW w:w="1350" w:type="pct"/>
            <w:noWrap/>
            <w:vAlign w:val="center"/>
          </w:tcPr>
          <w:p>
            <w:pPr>
              <w:pStyle w:val="99"/>
              <w:rPr>
                <w:sz w:val="21"/>
                <w:szCs w:val="21"/>
              </w:rPr>
            </w:pPr>
            <w:r>
              <w:rPr>
                <w:sz w:val="21"/>
                <w:szCs w:val="21"/>
              </w:rPr>
              <w:t>监测设备使用费</w:t>
            </w:r>
          </w:p>
        </w:tc>
        <w:tc>
          <w:tcPr>
            <w:tcW w:w="1240" w:type="pct"/>
            <w:noWrap/>
            <w:vAlign w:val="center"/>
          </w:tcPr>
          <w:p>
            <w:pPr>
              <w:pStyle w:val="99"/>
              <w:rPr>
                <w:sz w:val="21"/>
                <w:szCs w:val="21"/>
              </w:rPr>
            </w:pPr>
            <w:r>
              <w:rPr>
                <w:sz w:val="21"/>
                <w:szCs w:val="21"/>
              </w:rPr>
              <w:t>20</w:t>
            </w:r>
          </w:p>
        </w:tc>
        <w:tc>
          <w:tcPr>
            <w:tcW w:w="1101" w:type="pct"/>
            <w:noWrap/>
            <w:vAlign w:val="center"/>
          </w:tcPr>
          <w:p>
            <w:pPr>
              <w:pStyle w:val="99"/>
              <w:rPr>
                <w:sz w:val="21"/>
                <w:szCs w:val="21"/>
              </w:rPr>
            </w:pPr>
            <w:r>
              <w:rPr>
                <w:sz w:val="21"/>
                <w:szCs w:val="21"/>
              </w:rPr>
              <w:t>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307" w:type="pct"/>
            <w:noWrap/>
            <w:vAlign w:val="center"/>
          </w:tcPr>
          <w:p>
            <w:pPr>
              <w:pStyle w:val="99"/>
              <w:rPr>
                <w:sz w:val="21"/>
                <w:szCs w:val="21"/>
              </w:rPr>
            </w:pPr>
            <w:r>
              <w:rPr>
                <w:sz w:val="21"/>
                <w:szCs w:val="21"/>
              </w:rPr>
              <w:t>4</w:t>
            </w:r>
          </w:p>
        </w:tc>
        <w:tc>
          <w:tcPr>
            <w:tcW w:w="1350" w:type="pct"/>
            <w:noWrap/>
            <w:vAlign w:val="center"/>
          </w:tcPr>
          <w:p>
            <w:pPr>
              <w:pStyle w:val="99"/>
              <w:rPr>
                <w:sz w:val="21"/>
                <w:szCs w:val="21"/>
              </w:rPr>
            </w:pPr>
            <w:r>
              <w:rPr>
                <w:sz w:val="21"/>
                <w:szCs w:val="21"/>
              </w:rPr>
              <w:t>消耗型材料费</w:t>
            </w:r>
          </w:p>
        </w:tc>
        <w:tc>
          <w:tcPr>
            <w:tcW w:w="1240" w:type="pct"/>
            <w:noWrap/>
            <w:vAlign w:val="center"/>
          </w:tcPr>
          <w:p>
            <w:pPr>
              <w:pStyle w:val="99"/>
              <w:rPr>
                <w:sz w:val="21"/>
                <w:szCs w:val="21"/>
              </w:rPr>
            </w:pPr>
            <w:r>
              <w:rPr>
                <w:sz w:val="21"/>
                <w:szCs w:val="21"/>
              </w:rPr>
              <w:t>10</w:t>
            </w:r>
          </w:p>
        </w:tc>
        <w:tc>
          <w:tcPr>
            <w:tcW w:w="1101" w:type="pct"/>
            <w:noWrap/>
            <w:vAlign w:val="center"/>
          </w:tcPr>
          <w:p>
            <w:pPr>
              <w:pStyle w:val="99"/>
              <w:rPr>
                <w:sz w:val="21"/>
                <w:szCs w:val="21"/>
              </w:rPr>
            </w:pPr>
            <w:r>
              <w:rPr>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1307" w:type="pct"/>
            <w:noWrap/>
            <w:vAlign w:val="center"/>
          </w:tcPr>
          <w:p>
            <w:pPr>
              <w:pStyle w:val="99"/>
              <w:rPr>
                <w:sz w:val="21"/>
                <w:szCs w:val="21"/>
              </w:rPr>
            </w:pPr>
            <w:r>
              <w:rPr>
                <w:sz w:val="21"/>
                <w:szCs w:val="21"/>
              </w:rPr>
              <w:t>5</w:t>
            </w:r>
          </w:p>
        </w:tc>
        <w:tc>
          <w:tcPr>
            <w:tcW w:w="1350" w:type="pct"/>
            <w:noWrap/>
            <w:vAlign w:val="center"/>
          </w:tcPr>
          <w:p>
            <w:pPr>
              <w:pStyle w:val="99"/>
              <w:rPr>
                <w:sz w:val="21"/>
                <w:szCs w:val="21"/>
              </w:rPr>
            </w:pPr>
            <w:r>
              <w:rPr>
                <w:sz w:val="21"/>
                <w:szCs w:val="21"/>
              </w:rPr>
              <w:t>观测运行费</w:t>
            </w:r>
          </w:p>
        </w:tc>
        <w:tc>
          <w:tcPr>
            <w:tcW w:w="1240" w:type="pct"/>
            <w:noWrap/>
            <w:vAlign w:val="center"/>
          </w:tcPr>
          <w:p>
            <w:pPr>
              <w:pStyle w:val="99"/>
              <w:rPr>
                <w:sz w:val="21"/>
                <w:szCs w:val="21"/>
              </w:rPr>
            </w:pPr>
            <w:r>
              <w:rPr>
                <w:sz w:val="21"/>
                <w:szCs w:val="21"/>
              </w:rPr>
              <w:t>300</w:t>
            </w:r>
          </w:p>
        </w:tc>
        <w:tc>
          <w:tcPr>
            <w:tcW w:w="1101" w:type="pct"/>
            <w:noWrap/>
            <w:vAlign w:val="center"/>
          </w:tcPr>
          <w:p>
            <w:pPr>
              <w:pStyle w:val="99"/>
              <w:rPr>
                <w:sz w:val="21"/>
                <w:szCs w:val="21"/>
              </w:rPr>
            </w:pPr>
            <w:r>
              <w:rPr>
                <w:sz w:val="21"/>
                <w:szCs w:val="21"/>
              </w:rPr>
              <w:t>300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40" w:hRule="atLeast"/>
        </w:trPr>
        <w:tc>
          <w:tcPr>
            <w:tcW w:w="2657" w:type="pct"/>
            <w:gridSpan w:val="2"/>
            <w:noWrap/>
            <w:vAlign w:val="center"/>
          </w:tcPr>
          <w:p>
            <w:pPr>
              <w:pStyle w:val="99"/>
              <w:rPr>
                <w:b/>
                <w:bCs/>
                <w:sz w:val="21"/>
                <w:szCs w:val="21"/>
              </w:rPr>
            </w:pPr>
            <w:r>
              <w:rPr>
                <w:b/>
                <w:bCs/>
                <w:sz w:val="21"/>
                <w:szCs w:val="21"/>
              </w:rPr>
              <w:t>合计</w:t>
            </w:r>
          </w:p>
        </w:tc>
        <w:tc>
          <w:tcPr>
            <w:tcW w:w="1240" w:type="pct"/>
            <w:noWrap/>
            <w:vAlign w:val="center"/>
          </w:tcPr>
          <w:p>
            <w:pPr>
              <w:pStyle w:val="99"/>
              <w:rPr>
                <w:b/>
                <w:bCs/>
                <w:sz w:val="21"/>
                <w:szCs w:val="21"/>
              </w:rPr>
            </w:pPr>
            <w:r>
              <w:rPr>
                <w:b/>
                <w:bCs/>
                <w:sz w:val="21"/>
                <w:szCs w:val="21"/>
              </w:rPr>
              <w:t>372.0</w:t>
            </w:r>
          </w:p>
        </w:tc>
        <w:tc>
          <w:tcPr>
            <w:tcW w:w="1101" w:type="pct"/>
            <w:noWrap/>
            <w:vAlign w:val="center"/>
          </w:tcPr>
          <w:p>
            <w:pPr>
              <w:pStyle w:val="99"/>
              <w:rPr>
                <w:b/>
                <w:bCs/>
                <w:sz w:val="21"/>
                <w:szCs w:val="21"/>
              </w:rPr>
            </w:pPr>
            <w:r>
              <w:rPr>
                <w:b/>
                <w:bCs/>
                <w:sz w:val="21"/>
                <w:szCs w:val="21"/>
              </w:rPr>
              <w:t>372.0</w:t>
            </w:r>
          </w:p>
        </w:tc>
      </w:tr>
    </w:tbl>
    <w:p>
      <w:pPr>
        <w:pStyle w:val="6"/>
        <w:spacing w:beforeLines="50"/>
      </w:pPr>
      <w:r>
        <w:t>6.4.2监测成果</w:t>
      </w:r>
    </w:p>
    <w:p>
      <w:pPr>
        <w:ind w:firstLine="480"/>
      </w:pPr>
      <w:r>
        <w:t>监测单位应及时对监测资料和监测成果进行统计、整理和分析，监测工程结束后，对监测工作作出综合分析和评价。监测成果包括：</w:t>
      </w:r>
    </w:p>
    <w:p>
      <w:pPr>
        <w:ind w:firstLine="480"/>
      </w:pPr>
      <w:r>
        <w:t>1、监测成果需包括水土保持监测实施方案、监测报告、图件、数据表（册）、影像资料等。</w:t>
      </w:r>
    </w:p>
    <w:p>
      <w:pPr>
        <w:ind w:firstLine="480"/>
      </w:pPr>
      <w:r>
        <w:t>2、在新增水土保持措施施工之前需进行现场查勘和调查，并需根据相关技术标准和水土保持方案编制《生产建设项目水土保持监测实施方案》。</w:t>
      </w:r>
    </w:p>
    <w:p>
      <w:pPr>
        <w:ind w:firstLine="480"/>
      </w:pPr>
      <w:r>
        <w:t>3、水土保持监测报告需包括季度报告表、专项报告和总结报告。监测期间，需编制《生产建设项目水土保持监测季度报告表》，监测季度报告应按《水利部办公厅关于进一步加强生产建设项目水土保持监测工作的通知（办水保〔2020〕161号）》文件要求，依据项目实际扰动土地情况、水土流失状况、防治成效及水土流失危害等监测结果，对生产建设项目水土流失防治情况进行评价，在监测季报和总结报告中明确“绿黄红”三色评价结论，三色评价赋分条件及格式参照办水保〔2020〕161号附件1、2。监测季度报告格式参照《生产建设项目水土保持监测与评价标准》（GB/T51240-2018）附录P生产建设项目水土保持监测季度报告表。</w:t>
      </w:r>
    </w:p>
    <w:p>
      <w:pPr>
        <w:ind w:firstLine="480"/>
      </w:pPr>
      <w:r>
        <w:t>在项目发生严重水土流失灾害事件时，需于事件发生后一周内完成专项报告。监测工作完成后，需编制《生产建设项目水土保持监测总结报告》。</w:t>
      </w:r>
    </w:p>
    <w:p>
      <w:pPr>
        <w:ind w:firstLine="480"/>
      </w:pPr>
      <w:r>
        <w:t>4、图件需包括项目区地理位置图、扰动地表分布图、监测分区与监测点分布图、土壤侵蚀强度图、水土保持措施分布图等。</w:t>
      </w:r>
    </w:p>
    <w:p>
      <w:pPr>
        <w:ind w:firstLine="480"/>
      </w:pPr>
      <w:r>
        <w:t>5、数据表（册）需包括原始记录表和汇总分析表。</w:t>
      </w:r>
    </w:p>
    <w:p>
      <w:pPr>
        <w:ind w:firstLine="480"/>
      </w:pPr>
      <w:r>
        <w:t>6、影像资料需包括监测过程中拍摄的反映水土流失动态变化及其治理措施实施情况的照片、录像等。</w:t>
      </w:r>
    </w:p>
    <w:p>
      <w:pPr>
        <w:ind w:firstLine="480"/>
      </w:pPr>
      <w:r>
        <w:t>7、监测成果需采用纸质和电子版形式保存，做好数据备份。</w:t>
      </w:r>
    </w:p>
    <w:p>
      <w:pPr>
        <w:ind w:firstLine="480"/>
      </w:pPr>
      <w:r>
        <w:t>8、通过水土流失监测，全面掌握工程生产过程中水土流失状况。若在监测工程中发现项目现有的各项水保措施的不足应及时反馈给建设单位，避免因措施不当而导致不必要的资源浪费或措施设达不到要求不能充分发挥水土保持作用而造成的水土流失危害；</w:t>
      </w:r>
    </w:p>
    <w:p>
      <w:pPr>
        <w:ind w:firstLine="480"/>
      </w:pPr>
      <w:r>
        <w:t>9、通过水土流失监测结果的分析，评价实施各项水土保持措施所发挥的效益，以及植物措施情况，评价其可行性、科学性和合理性，为水土保持设施竣工验收及下一步工作提供参考依据；</w:t>
      </w:r>
    </w:p>
    <w:p>
      <w:pPr>
        <w:ind w:firstLine="480"/>
      </w:pPr>
      <w:r>
        <w:t>10、通过水土流失监测成果，及时掌握和反馈水保措施效果，编制水土流失监测报告，上报水行政主管部门和填报全国水土保持信息管理系统，可为水行政主管部门的检查、监督和管理提供可靠的依据。同时认真分析水土流失发生、发展规律，为区域生态环境修复、重建提供参考依据。</w:t>
      </w:r>
    </w:p>
    <w:p>
      <w:pPr>
        <w:ind w:firstLine="480"/>
      </w:pPr>
    </w:p>
    <w:p>
      <w:pPr>
        <w:ind w:firstLine="640"/>
        <w:rPr>
          <w:sz w:val="32"/>
          <w:szCs w:val="32"/>
        </w:rPr>
      </w:pPr>
    </w:p>
    <w:p>
      <w:pPr>
        <w:ind w:firstLine="640"/>
        <w:rPr>
          <w:sz w:val="32"/>
          <w:szCs w:val="32"/>
        </w:rPr>
      </w:pPr>
    </w:p>
    <w:p>
      <w:pPr>
        <w:ind w:firstLine="640"/>
        <w:rPr>
          <w:sz w:val="32"/>
          <w:szCs w:val="32"/>
        </w:rPr>
        <w:sectPr>
          <w:headerReference r:id="rId36" w:type="default"/>
          <w:headerReference r:id="rId37" w:type="even"/>
          <w:pgSz w:w="11905" w:h="16838"/>
          <w:pgMar w:top="1417" w:right="1417" w:bottom="1417" w:left="1417" w:header="850" w:footer="992" w:gutter="0"/>
          <w:cols w:space="720" w:num="1"/>
          <w:docGrid w:linePitch="330" w:charSpace="0"/>
        </w:sectPr>
      </w:pPr>
    </w:p>
    <w:p>
      <w:pPr>
        <w:pStyle w:val="4"/>
      </w:pPr>
      <w:bookmarkStart w:id="104" w:name="_Toc13739"/>
      <w:bookmarkStart w:id="105" w:name="_Toc19988"/>
      <w:bookmarkStart w:id="106" w:name="_Toc18360"/>
      <w:bookmarkStart w:id="107" w:name="_Toc4417"/>
      <w:bookmarkStart w:id="108" w:name="_Toc8709"/>
      <w:bookmarkStart w:id="109" w:name="_Toc3206"/>
      <w:bookmarkStart w:id="110" w:name="_Toc18428"/>
      <w:bookmarkStart w:id="111" w:name="_Toc7044"/>
      <w:bookmarkStart w:id="112" w:name="_Toc345252751"/>
      <w:bookmarkStart w:id="113" w:name="_Toc19928"/>
      <w:bookmarkStart w:id="114" w:name="_Toc28842"/>
      <w:bookmarkStart w:id="115" w:name="_Toc333177485"/>
      <w:bookmarkStart w:id="116" w:name="_Toc26099"/>
      <w:bookmarkStart w:id="117" w:name="_Toc22761"/>
      <w:bookmarkStart w:id="118" w:name="_Toc30707"/>
      <w:bookmarkStart w:id="119" w:name="_Toc14941"/>
      <w:bookmarkStart w:id="120" w:name="_Toc154399861"/>
      <w:bookmarkStart w:id="121" w:name="_Toc154408632"/>
      <w:bookmarkStart w:id="122" w:name="_Toc154400339"/>
      <w:bookmarkStart w:id="123" w:name="_Toc154410062"/>
      <w:bookmarkStart w:id="124" w:name="_Toc154408208"/>
      <w:bookmarkStart w:id="125" w:name="_Toc202153897"/>
      <w:bookmarkStart w:id="126" w:name="_Toc154410316"/>
      <w:bookmarkStart w:id="127" w:name="_Toc184050320"/>
      <w:bookmarkStart w:id="128" w:name="_Toc154400210"/>
      <w:bookmarkStart w:id="129" w:name="_Toc154410189"/>
      <w:bookmarkStart w:id="130" w:name="_Toc154408505"/>
      <w:bookmarkStart w:id="131" w:name="_Toc154400081"/>
      <w:bookmarkStart w:id="132" w:name="_Toc154400468"/>
      <w:r>
        <w:t>7水土保持投资估算及效益分析</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pPr>
        <w:pStyle w:val="5"/>
      </w:pPr>
      <w:bookmarkStart w:id="133" w:name="_Toc154410058"/>
      <w:bookmarkStart w:id="134" w:name="_Toc212970109"/>
      <w:bookmarkStart w:id="135" w:name="_Toc154399857"/>
      <w:bookmarkStart w:id="136" w:name="_Toc10259"/>
      <w:bookmarkStart w:id="137" w:name="_Toc32732"/>
      <w:bookmarkStart w:id="138" w:name="_Toc154400335"/>
      <w:bookmarkStart w:id="139" w:name="_Toc24825"/>
      <w:bookmarkStart w:id="140" w:name="_Toc154400206"/>
      <w:bookmarkStart w:id="141" w:name="_Toc28734"/>
      <w:bookmarkStart w:id="142" w:name="_Toc4241"/>
      <w:bookmarkStart w:id="143" w:name="_Toc154400077"/>
      <w:bookmarkStart w:id="144" w:name="_Toc345252752"/>
      <w:bookmarkStart w:id="145" w:name="_Toc24552"/>
      <w:bookmarkStart w:id="146" w:name="_Toc30655"/>
      <w:bookmarkStart w:id="147" w:name="_Toc154408501"/>
      <w:bookmarkStart w:id="148" w:name="_Toc4433"/>
      <w:bookmarkStart w:id="149" w:name="_Toc14934"/>
      <w:bookmarkStart w:id="150" w:name="_Toc15895"/>
      <w:bookmarkStart w:id="151" w:name="_Toc184050316"/>
      <w:bookmarkStart w:id="152" w:name="_Toc154408628"/>
      <w:bookmarkStart w:id="153" w:name="_Toc154410185"/>
      <w:bookmarkStart w:id="154" w:name="_Toc154400464"/>
      <w:bookmarkStart w:id="155" w:name="_Toc154408204"/>
      <w:bookmarkStart w:id="156" w:name="_Toc333177486"/>
      <w:bookmarkStart w:id="157" w:name="_Toc7404"/>
      <w:bookmarkStart w:id="158" w:name="_Toc25511"/>
      <w:bookmarkStart w:id="159" w:name="_Toc154410312"/>
      <w:bookmarkStart w:id="160" w:name="_Toc26333"/>
      <w:bookmarkStart w:id="161" w:name="_Toc10462"/>
      <w:r>
        <w:t>7.1</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t>投资估算</w:t>
      </w:r>
      <w:bookmarkEnd w:id="161"/>
    </w:p>
    <w:p>
      <w:pPr>
        <w:pStyle w:val="6"/>
      </w:pPr>
      <w:bookmarkStart w:id="162" w:name="_Toc154408629"/>
      <w:bookmarkStart w:id="163" w:name="_Toc154410186"/>
      <w:bookmarkStart w:id="164" w:name="_Toc154400078"/>
      <w:bookmarkStart w:id="165" w:name="_Toc154408205"/>
      <w:bookmarkStart w:id="166" w:name="_Toc154400207"/>
      <w:bookmarkStart w:id="167" w:name="_Toc154408502"/>
      <w:bookmarkStart w:id="168" w:name="_Toc154400465"/>
      <w:bookmarkStart w:id="169" w:name="_Toc154399858"/>
      <w:bookmarkStart w:id="170" w:name="_Toc184050317"/>
      <w:bookmarkStart w:id="171" w:name="_Toc212970110"/>
      <w:bookmarkStart w:id="172" w:name="_Toc154410059"/>
      <w:bookmarkStart w:id="173" w:name="_Toc154400336"/>
      <w:bookmarkStart w:id="174" w:name="_Toc154410313"/>
      <w:bookmarkStart w:id="175" w:name="_Toc17520"/>
      <w:r>
        <w:t>7.1.1编制原则</w:t>
      </w:r>
      <w:bookmarkEnd w:id="162"/>
      <w:bookmarkEnd w:id="163"/>
      <w:bookmarkEnd w:id="164"/>
      <w:bookmarkEnd w:id="165"/>
      <w:bookmarkEnd w:id="166"/>
      <w:bookmarkEnd w:id="167"/>
      <w:bookmarkEnd w:id="168"/>
      <w:bookmarkEnd w:id="169"/>
      <w:bookmarkEnd w:id="170"/>
      <w:bookmarkEnd w:id="171"/>
      <w:bookmarkEnd w:id="172"/>
      <w:bookmarkEnd w:id="173"/>
      <w:bookmarkEnd w:id="174"/>
      <w:r>
        <w:t>及依据</w:t>
      </w:r>
      <w:bookmarkEnd w:id="175"/>
    </w:p>
    <w:p>
      <w:pPr>
        <w:ind w:firstLine="482"/>
        <w:rPr>
          <w:b/>
          <w:bCs/>
        </w:rPr>
      </w:pPr>
      <w:r>
        <w:rPr>
          <w:b/>
          <w:bCs/>
        </w:rPr>
        <w:t>1、编制原则</w:t>
      </w:r>
    </w:p>
    <w:p>
      <w:pPr>
        <w:ind w:firstLine="480"/>
      </w:pPr>
      <w:r>
        <w:t>（1）水土保持方案作为工程建设的一个重要内容，其估算依据与主体工程一致，不足部分按《水土保持工程概（估）算编制规定》计列；</w:t>
      </w:r>
    </w:p>
    <w:p>
      <w:pPr>
        <w:ind w:firstLine="480"/>
      </w:pPr>
      <w:r>
        <w:t>（2）本报告水土保持投资包括主体工程中具有水土保持功能措施的投资和水保报告新增投资两部分；</w:t>
      </w:r>
    </w:p>
    <w:p>
      <w:pPr>
        <w:ind w:firstLine="480"/>
      </w:pPr>
      <w:r>
        <w:t>（3）人工基础单价、主要材料价格与主体工程一致；</w:t>
      </w:r>
    </w:p>
    <w:p>
      <w:pPr>
        <w:ind w:firstLine="480"/>
      </w:pPr>
      <w:r>
        <w:t>（4）本项目水土保持投资估算价格水平年以2022年第三季度计算。</w:t>
      </w:r>
    </w:p>
    <w:p>
      <w:pPr>
        <w:ind w:firstLine="482"/>
        <w:rPr>
          <w:b/>
          <w:bCs/>
        </w:rPr>
      </w:pPr>
      <w:bookmarkStart w:id="176" w:name="_Toc154410060"/>
      <w:bookmarkStart w:id="177" w:name="_Toc212970111"/>
      <w:bookmarkStart w:id="178" w:name="_Toc154400208"/>
      <w:bookmarkStart w:id="179" w:name="_Toc154410314"/>
      <w:bookmarkStart w:id="180" w:name="_Toc184050318"/>
      <w:bookmarkStart w:id="181" w:name="_Toc154400079"/>
      <w:bookmarkStart w:id="182" w:name="_Toc154408503"/>
      <w:bookmarkStart w:id="183" w:name="_Toc154399859"/>
      <w:bookmarkStart w:id="184" w:name="_Toc154408630"/>
      <w:bookmarkStart w:id="185" w:name="_Toc154408206"/>
      <w:bookmarkStart w:id="186" w:name="_Toc154410187"/>
      <w:bookmarkStart w:id="187" w:name="_Toc154400466"/>
      <w:bookmarkStart w:id="188" w:name="_Toc154400337"/>
      <w:r>
        <w:rPr>
          <w:b/>
          <w:bCs/>
        </w:rPr>
        <w:t>2、编制依据</w:t>
      </w:r>
      <w:bookmarkEnd w:id="176"/>
      <w:bookmarkEnd w:id="177"/>
      <w:bookmarkEnd w:id="178"/>
      <w:bookmarkEnd w:id="179"/>
      <w:bookmarkEnd w:id="180"/>
      <w:bookmarkEnd w:id="181"/>
      <w:bookmarkEnd w:id="182"/>
      <w:bookmarkEnd w:id="183"/>
      <w:bookmarkEnd w:id="184"/>
      <w:bookmarkEnd w:id="185"/>
      <w:bookmarkEnd w:id="186"/>
      <w:bookmarkEnd w:id="187"/>
      <w:bookmarkEnd w:id="188"/>
    </w:p>
    <w:p>
      <w:pPr>
        <w:ind w:firstLine="480"/>
      </w:pPr>
      <w:bookmarkStart w:id="189" w:name="_Toc154400080"/>
      <w:bookmarkStart w:id="190" w:name="_Toc30353"/>
      <w:bookmarkStart w:id="191" w:name="_Toc154408631"/>
      <w:bookmarkStart w:id="192" w:name="_Toc154400467"/>
      <w:bookmarkStart w:id="193" w:name="_Toc184050319"/>
      <w:bookmarkStart w:id="194" w:name="_Toc154400338"/>
      <w:bookmarkStart w:id="195" w:name="_Toc154408207"/>
      <w:bookmarkStart w:id="196" w:name="_Toc154400209"/>
      <w:bookmarkStart w:id="197" w:name="_Toc154410188"/>
      <w:bookmarkStart w:id="198" w:name="_Toc154410061"/>
      <w:bookmarkStart w:id="199" w:name="_Toc154410315"/>
      <w:bookmarkStart w:id="200" w:name="_Toc154408504"/>
      <w:bookmarkStart w:id="201" w:name="_Toc154399860"/>
      <w:bookmarkStart w:id="202" w:name="_Toc212970112"/>
      <w:r>
        <w:t>（1）《水土保持工程概（估）算编制规定》、《水土保持工程估算定额》、《水土保持工程施工机械台时费定额》（水利部水总〔2003〕67号）；</w:t>
      </w:r>
    </w:p>
    <w:p>
      <w:pPr>
        <w:ind w:firstLine="480"/>
      </w:pPr>
      <w:r>
        <w:t>（2）《生产建设项目水土保持技术标准》（GB50433-2018）；</w:t>
      </w:r>
    </w:p>
    <w:p>
      <w:pPr>
        <w:ind w:firstLine="480"/>
      </w:pPr>
      <w:r>
        <w:t>（3）《关于印发&lt;水土保持补偿费征收使用管理办法&gt;的通知》（财综〔2014〕8号）；</w:t>
      </w:r>
    </w:p>
    <w:p>
      <w:pPr>
        <w:ind w:firstLine="477" w:firstLineChars="199"/>
        <w:rPr>
          <w:lang w:val="en-GB"/>
        </w:rPr>
      </w:pPr>
      <w:r>
        <w:t>（4）《国家发展改革委财政部关于降低电信网码号资源占用费等部分行政事业性收费标准的通知》（发改价格〔2017〕1186号）；</w:t>
      </w:r>
    </w:p>
    <w:p>
      <w:pPr>
        <w:ind w:firstLine="477" w:firstLineChars="199"/>
        <w:rPr>
          <w:lang w:val="en-GB"/>
        </w:rPr>
      </w:pPr>
      <w:r>
        <w:rPr>
          <w:lang w:val="en-GB"/>
        </w:rPr>
        <w:t>（</w:t>
      </w:r>
      <w:r>
        <w:t>5</w:t>
      </w:r>
      <w:r>
        <w:rPr>
          <w:lang w:val="en-GB"/>
        </w:rPr>
        <w:t>）《四川省水土保持补偿费征收使用管理实施办法》（川财综〔2014〕6号）；</w:t>
      </w:r>
    </w:p>
    <w:p>
      <w:pPr>
        <w:ind w:firstLine="480"/>
      </w:pPr>
      <w:r>
        <w:t>（6）《四川省水利厅关于发布&lt;四川省水利水电工程概（估）算编制规定&gt;的通知》（川水发</w:t>
      </w:r>
      <w:r>
        <w:rPr>
          <w:lang w:val="en-GB"/>
        </w:rPr>
        <w:t>〔201</w:t>
      </w:r>
      <w:r>
        <w:t>5</w:t>
      </w:r>
      <w:r>
        <w:rPr>
          <w:lang w:val="en-GB"/>
        </w:rPr>
        <w:t>〕</w:t>
      </w:r>
      <w:r>
        <w:t>9号）；</w:t>
      </w:r>
    </w:p>
    <w:p>
      <w:pPr>
        <w:ind w:firstLine="480"/>
      </w:pPr>
      <w:r>
        <w:rPr>
          <w:kern w:val="0"/>
          <w:szCs w:val="24"/>
        </w:rPr>
        <w:t>（7）《四川省发展和改革委员会四川省财政厅&lt;关于制定水土保持补偿费收费标准的通知&gt;》（川发改价格〔2017〕347号）；</w:t>
      </w:r>
    </w:p>
    <w:p>
      <w:pPr>
        <w:ind w:firstLine="480"/>
        <w:rPr>
          <w:kern w:val="0"/>
          <w:szCs w:val="24"/>
        </w:rPr>
      </w:pPr>
      <w:r>
        <w:rPr>
          <w:kern w:val="0"/>
          <w:szCs w:val="24"/>
        </w:rPr>
        <w:t>（8）《四川省水利厅关于印发«增值税税率调整后&lt;四川省水利水电工程设计概（估）算编制规定&gt;相应调整办法»的通知》（</w:t>
      </w:r>
      <w:r>
        <w:t>川水函</w:t>
      </w:r>
      <w:r>
        <w:rPr>
          <w:lang w:val="en-GB"/>
        </w:rPr>
        <w:t>〔201</w:t>
      </w:r>
      <w:r>
        <w:t>9</w:t>
      </w:r>
      <w:r>
        <w:rPr>
          <w:lang w:val="en-GB"/>
        </w:rPr>
        <w:t>〕</w:t>
      </w:r>
      <w:r>
        <w:t>610号</w:t>
      </w:r>
      <w:r>
        <w:rPr>
          <w:kern w:val="0"/>
          <w:szCs w:val="24"/>
        </w:rPr>
        <w:t>）。</w:t>
      </w:r>
    </w:p>
    <w:p>
      <w:pPr>
        <w:pStyle w:val="6"/>
      </w:pPr>
      <w:r>
        <w:t>7.1.2编制</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r>
        <w:t>说明与估算成果</w:t>
      </w:r>
    </w:p>
    <w:p>
      <w:pPr>
        <w:ind w:firstLine="482"/>
        <w:rPr>
          <w:b/>
          <w:bCs/>
        </w:rPr>
      </w:pPr>
      <w:r>
        <w:rPr>
          <w:b/>
          <w:bCs/>
        </w:rPr>
        <w:t>1、基础单价</w:t>
      </w:r>
    </w:p>
    <w:p>
      <w:pPr>
        <w:adjustRightInd w:val="0"/>
        <w:snapToGrid w:val="0"/>
        <w:ind w:firstLine="480"/>
      </w:pPr>
      <w:r>
        <w:t>（1）人工单价</w:t>
      </w:r>
    </w:p>
    <w:p>
      <w:pPr>
        <w:adjustRightInd w:val="0"/>
        <w:snapToGrid w:val="0"/>
        <w:ind w:firstLine="480"/>
      </w:pPr>
      <w:r>
        <w:t>根据《四川省建设工程工程量清单计价定额人工费调整的批复（川建价发【2022】14号）规定，水土保持投资估算中的工程措施、植物措施、监测措施、临时措施人工预算单价为158元/工日，即19.75元/工时。</w:t>
      </w:r>
    </w:p>
    <w:p>
      <w:pPr>
        <w:ind w:firstLine="480"/>
      </w:pPr>
      <w:r>
        <w:t>（2）材料预算单价及施工机械台时费</w:t>
      </w:r>
    </w:p>
    <w:p>
      <w:pPr>
        <w:ind w:firstLine="480"/>
      </w:pPr>
      <w:r>
        <w:t>本项目材料预算价格来源于乐山市住房和城乡建设局8月建筑材料市场信息价（https://szjj.leshan.gov.cn/）。材料供应及预算价格详见下表。施工机械台时汇总详见表7</w:t>
      </w:r>
      <w:r>
        <w:rPr>
          <w:rFonts w:hint="eastAsia"/>
          <w:lang w:val="en-US" w:eastAsia="zh-CN"/>
        </w:rPr>
        <w:t>.1</w:t>
      </w:r>
      <w:r>
        <w:t>-2。</w:t>
      </w:r>
    </w:p>
    <w:p>
      <w:pPr>
        <w:pStyle w:val="68"/>
        <w:spacing w:after="120"/>
      </w:pPr>
      <w:r>
        <w:t>表7.1-1主要材料价格预算表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771"/>
        <w:gridCol w:w="2856"/>
        <w:gridCol w:w="2100"/>
        <w:gridCol w:w="2553"/>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90" w:hRule="atLeast"/>
        </w:trPr>
        <w:tc>
          <w:tcPr>
            <w:tcW w:w="954" w:type="pct"/>
            <w:vAlign w:val="center"/>
          </w:tcPr>
          <w:p>
            <w:pPr>
              <w:adjustRightInd w:val="0"/>
              <w:snapToGrid w:val="0"/>
              <w:spacing w:line="240" w:lineRule="auto"/>
              <w:ind w:firstLine="0" w:firstLineChars="0"/>
              <w:jc w:val="center"/>
              <w:rPr>
                <w:b/>
                <w:bCs/>
                <w:sz w:val="21"/>
                <w:szCs w:val="21"/>
                <w:lang w:val="zh-CN"/>
              </w:rPr>
            </w:pPr>
            <w:bookmarkStart w:id="203" w:name="_Toc97910687"/>
            <w:r>
              <w:rPr>
                <w:b/>
                <w:bCs/>
                <w:sz w:val="21"/>
                <w:szCs w:val="21"/>
                <w:lang w:val="zh-CN"/>
              </w:rPr>
              <w:t>序号</w:t>
            </w:r>
          </w:p>
        </w:tc>
        <w:tc>
          <w:tcPr>
            <w:tcW w:w="1538" w:type="pct"/>
            <w:vAlign w:val="center"/>
          </w:tcPr>
          <w:p>
            <w:pPr>
              <w:adjustRightInd w:val="0"/>
              <w:snapToGrid w:val="0"/>
              <w:spacing w:line="240" w:lineRule="auto"/>
              <w:ind w:firstLine="0" w:firstLineChars="0"/>
              <w:jc w:val="center"/>
              <w:rPr>
                <w:b/>
                <w:bCs/>
                <w:sz w:val="21"/>
                <w:szCs w:val="21"/>
                <w:lang w:val="zh-CN"/>
              </w:rPr>
            </w:pPr>
            <w:r>
              <w:rPr>
                <w:b/>
                <w:bCs/>
                <w:sz w:val="21"/>
                <w:szCs w:val="21"/>
                <w:lang w:val="zh-CN"/>
              </w:rPr>
              <w:t>名称及规格</w:t>
            </w:r>
          </w:p>
        </w:tc>
        <w:tc>
          <w:tcPr>
            <w:tcW w:w="1131" w:type="pct"/>
            <w:vAlign w:val="center"/>
          </w:tcPr>
          <w:p>
            <w:pPr>
              <w:adjustRightInd w:val="0"/>
              <w:snapToGrid w:val="0"/>
              <w:spacing w:line="240" w:lineRule="auto"/>
              <w:ind w:firstLine="0" w:firstLineChars="0"/>
              <w:jc w:val="center"/>
              <w:rPr>
                <w:b/>
                <w:bCs/>
                <w:sz w:val="21"/>
                <w:szCs w:val="21"/>
                <w:lang w:val="zh-CN"/>
              </w:rPr>
            </w:pPr>
            <w:r>
              <w:rPr>
                <w:b/>
                <w:bCs/>
                <w:sz w:val="21"/>
                <w:szCs w:val="21"/>
                <w:lang w:val="zh-CN"/>
              </w:rPr>
              <w:t>单位</w:t>
            </w:r>
          </w:p>
        </w:tc>
        <w:tc>
          <w:tcPr>
            <w:tcW w:w="1375" w:type="pct"/>
            <w:vAlign w:val="center"/>
          </w:tcPr>
          <w:p>
            <w:pPr>
              <w:adjustRightInd w:val="0"/>
              <w:snapToGrid w:val="0"/>
              <w:spacing w:line="240" w:lineRule="auto"/>
              <w:ind w:firstLine="0" w:firstLineChars="0"/>
              <w:jc w:val="center"/>
              <w:rPr>
                <w:b/>
                <w:bCs/>
                <w:sz w:val="21"/>
                <w:szCs w:val="21"/>
                <w:lang w:val="zh-CN"/>
              </w:rPr>
            </w:pPr>
            <w:r>
              <w:rPr>
                <w:b/>
                <w:bCs/>
                <w:sz w:val="21"/>
                <w:szCs w:val="21"/>
                <w:lang w:val="zh-CN"/>
              </w:rPr>
              <w:t>预算价格（元）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lang w:val="zh-CN"/>
              </w:rPr>
            </w:pPr>
            <w:r>
              <w:rPr>
                <w:sz w:val="21"/>
                <w:szCs w:val="21"/>
                <w:lang w:val="zh-CN"/>
              </w:rPr>
              <w:t>1</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rPr>
              <w:t>M32.5（袋装）</w:t>
            </w:r>
            <w:r>
              <w:rPr>
                <w:sz w:val="21"/>
                <w:szCs w:val="21"/>
                <w:lang w:val="zh-CN"/>
              </w:rPr>
              <w:t>水泥</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T</w:t>
            </w:r>
          </w:p>
        </w:tc>
        <w:tc>
          <w:tcPr>
            <w:tcW w:w="1375" w:type="pct"/>
            <w:vAlign w:val="center"/>
          </w:tcPr>
          <w:p>
            <w:pPr>
              <w:adjustRightInd w:val="0"/>
              <w:snapToGrid w:val="0"/>
              <w:spacing w:line="240" w:lineRule="auto"/>
              <w:ind w:firstLine="0" w:firstLineChars="0"/>
              <w:jc w:val="center"/>
              <w:rPr>
                <w:sz w:val="21"/>
                <w:szCs w:val="21"/>
              </w:rPr>
            </w:pPr>
            <w:r>
              <w:rPr>
                <w:sz w:val="21"/>
                <w:szCs w:val="21"/>
              </w:rPr>
              <w:t>367.47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lang w:val="zh-CN"/>
              </w:rPr>
            </w:pPr>
            <w:r>
              <w:rPr>
                <w:sz w:val="21"/>
                <w:szCs w:val="21"/>
                <w:lang w:val="zh-CN"/>
              </w:rPr>
              <w:t>2</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lang w:val="zh-CN"/>
              </w:rPr>
              <w:t>细砂</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m</w:t>
            </w:r>
            <w:r>
              <w:rPr>
                <w:sz w:val="21"/>
                <w:szCs w:val="21"/>
                <w:vertAlign w:val="superscript"/>
                <w:lang w:val="zh-CN"/>
              </w:rPr>
              <w:t>3</w:t>
            </w:r>
          </w:p>
        </w:tc>
        <w:tc>
          <w:tcPr>
            <w:tcW w:w="1375" w:type="pct"/>
            <w:vAlign w:val="center"/>
          </w:tcPr>
          <w:p>
            <w:pPr>
              <w:adjustRightInd w:val="0"/>
              <w:snapToGrid w:val="0"/>
              <w:spacing w:line="240" w:lineRule="auto"/>
              <w:ind w:firstLine="0" w:firstLineChars="0"/>
              <w:jc w:val="center"/>
              <w:rPr>
                <w:sz w:val="21"/>
                <w:szCs w:val="21"/>
              </w:rPr>
            </w:pPr>
            <w:r>
              <w:rPr>
                <w:kern w:val="0"/>
                <w:sz w:val="21"/>
                <w:szCs w:val="21"/>
              </w:rPr>
              <w:t>169.70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lang w:val="zh-CN"/>
              </w:rPr>
            </w:pPr>
            <w:r>
              <w:rPr>
                <w:sz w:val="21"/>
                <w:szCs w:val="21"/>
                <w:lang w:val="zh-CN"/>
              </w:rPr>
              <w:t>3</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lang w:val="zh-CN"/>
              </w:rPr>
              <w:t>电</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度</w:t>
            </w:r>
          </w:p>
        </w:tc>
        <w:tc>
          <w:tcPr>
            <w:tcW w:w="1375" w:type="pct"/>
            <w:vAlign w:val="center"/>
          </w:tcPr>
          <w:p>
            <w:pPr>
              <w:adjustRightInd w:val="0"/>
              <w:snapToGrid w:val="0"/>
              <w:spacing w:line="240" w:lineRule="auto"/>
              <w:ind w:firstLine="0" w:firstLineChars="0"/>
              <w:jc w:val="center"/>
              <w:rPr>
                <w:sz w:val="21"/>
                <w:szCs w:val="21"/>
              </w:rPr>
            </w:pPr>
            <w:r>
              <w:rPr>
                <w:kern w:val="0"/>
                <w:sz w:val="21"/>
                <w:szCs w:val="21"/>
              </w:rPr>
              <w:t>0.89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lang w:val="zh-CN"/>
              </w:rPr>
            </w:pPr>
            <w:r>
              <w:rPr>
                <w:sz w:val="21"/>
                <w:szCs w:val="21"/>
                <w:lang w:val="zh-CN"/>
              </w:rPr>
              <w:t>4</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lang w:val="zh-CN"/>
              </w:rPr>
              <w:t>水</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m</w:t>
            </w:r>
            <w:r>
              <w:rPr>
                <w:sz w:val="21"/>
                <w:szCs w:val="21"/>
                <w:vertAlign w:val="superscript"/>
                <w:lang w:val="zh-CN"/>
              </w:rPr>
              <w:t>3</w:t>
            </w:r>
          </w:p>
        </w:tc>
        <w:tc>
          <w:tcPr>
            <w:tcW w:w="1375" w:type="pct"/>
            <w:vAlign w:val="center"/>
          </w:tcPr>
          <w:p>
            <w:pPr>
              <w:adjustRightInd w:val="0"/>
              <w:snapToGrid w:val="0"/>
              <w:spacing w:line="240" w:lineRule="auto"/>
              <w:ind w:firstLine="0" w:firstLineChars="0"/>
              <w:jc w:val="center"/>
              <w:rPr>
                <w:sz w:val="21"/>
                <w:szCs w:val="21"/>
              </w:rPr>
            </w:pPr>
            <w:r>
              <w:rPr>
                <w:kern w:val="0"/>
                <w:sz w:val="21"/>
                <w:szCs w:val="21"/>
              </w:rPr>
              <w:t>2.11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rPr>
            </w:pPr>
            <w:r>
              <w:rPr>
                <w:sz w:val="21"/>
                <w:szCs w:val="21"/>
              </w:rPr>
              <w:t>5</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lang w:val="zh-CN"/>
              </w:rPr>
              <w:t>柴油</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Kg</w:t>
            </w:r>
          </w:p>
        </w:tc>
        <w:tc>
          <w:tcPr>
            <w:tcW w:w="1375" w:type="pct"/>
            <w:vAlign w:val="center"/>
          </w:tcPr>
          <w:p>
            <w:pPr>
              <w:adjustRightInd w:val="0"/>
              <w:snapToGrid w:val="0"/>
              <w:spacing w:line="240" w:lineRule="auto"/>
              <w:ind w:firstLine="0" w:firstLineChars="0"/>
              <w:jc w:val="center"/>
              <w:rPr>
                <w:sz w:val="21"/>
                <w:szCs w:val="21"/>
              </w:rPr>
            </w:pPr>
            <w:r>
              <w:rPr>
                <w:kern w:val="0"/>
                <w:sz w:val="21"/>
                <w:szCs w:val="21"/>
              </w:rPr>
              <w:t>8.30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7"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6</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rPr>
              <w:t>92#</w:t>
            </w:r>
            <w:r>
              <w:rPr>
                <w:sz w:val="21"/>
                <w:szCs w:val="21"/>
                <w:lang w:val="zh-CN"/>
              </w:rPr>
              <w:t>汽油</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Kg</w:t>
            </w:r>
          </w:p>
        </w:tc>
        <w:tc>
          <w:tcPr>
            <w:tcW w:w="1375" w:type="pct"/>
            <w:vAlign w:val="center"/>
          </w:tcPr>
          <w:p>
            <w:pPr>
              <w:adjustRightInd w:val="0"/>
              <w:snapToGrid w:val="0"/>
              <w:spacing w:line="240" w:lineRule="auto"/>
              <w:ind w:firstLine="0" w:firstLineChars="0"/>
              <w:jc w:val="center"/>
              <w:rPr>
                <w:sz w:val="21"/>
                <w:szCs w:val="21"/>
              </w:rPr>
            </w:pPr>
            <w:r>
              <w:rPr>
                <w:sz w:val="21"/>
                <w:szCs w:val="21"/>
              </w:rPr>
              <w:t>10.19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rPr>
            </w:pPr>
            <w:r>
              <w:rPr>
                <w:sz w:val="21"/>
                <w:szCs w:val="21"/>
              </w:rPr>
              <w:t>7</w:t>
            </w:r>
          </w:p>
        </w:tc>
        <w:tc>
          <w:tcPr>
            <w:tcW w:w="1538" w:type="pct"/>
            <w:vAlign w:val="center"/>
          </w:tcPr>
          <w:p>
            <w:pPr>
              <w:adjustRightInd w:val="0"/>
              <w:snapToGrid w:val="0"/>
              <w:spacing w:line="240" w:lineRule="auto"/>
              <w:ind w:firstLine="0" w:firstLineChars="0"/>
              <w:jc w:val="center"/>
              <w:rPr>
                <w:sz w:val="21"/>
                <w:szCs w:val="21"/>
                <w:lang w:val="zh-CN"/>
              </w:rPr>
            </w:pPr>
            <w:r>
              <w:rPr>
                <w:sz w:val="21"/>
                <w:szCs w:val="21"/>
              </w:rPr>
              <w:t>M7.5</w:t>
            </w:r>
            <w:r>
              <w:rPr>
                <w:sz w:val="21"/>
                <w:szCs w:val="21"/>
                <w:lang w:val="zh-CN"/>
              </w:rPr>
              <w:t>砂浆</w:t>
            </w:r>
          </w:p>
        </w:tc>
        <w:tc>
          <w:tcPr>
            <w:tcW w:w="1131" w:type="pct"/>
            <w:vAlign w:val="center"/>
          </w:tcPr>
          <w:p>
            <w:pPr>
              <w:adjustRightInd w:val="0"/>
              <w:snapToGrid w:val="0"/>
              <w:spacing w:line="240" w:lineRule="auto"/>
              <w:ind w:firstLine="0" w:firstLineChars="0"/>
              <w:jc w:val="center"/>
              <w:rPr>
                <w:kern w:val="0"/>
                <w:sz w:val="21"/>
                <w:szCs w:val="21"/>
              </w:rPr>
            </w:pPr>
            <w:r>
              <w:rPr>
                <w:sz w:val="21"/>
                <w:szCs w:val="21"/>
                <w:lang w:val="zh-CN"/>
              </w:rPr>
              <w:t>m</w:t>
            </w:r>
            <w:r>
              <w:rPr>
                <w:sz w:val="21"/>
                <w:szCs w:val="21"/>
                <w:vertAlign w:val="superscript"/>
                <w:lang w:val="zh-CN"/>
              </w:rPr>
              <w:t>3</w:t>
            </w:r>
          </w:p>
        </w:tc>
        <w:tc>
          <w:tcPr>
            <w:tcW w:w="1375" w:type="pct"/>
            <w:vAlign w:val="center"/>
          </w:tcPr>
          <w:p>
            <w:pPr>
              <w:adjustRightInd w:val="0"/>
              <w:snapToGrid w:val="0"/>
              <w:spacing w:line="240" w:lineRule="auto"/>
              <w:ind w:firstLine="0" w:firstLineChars="0"/>
              <w:jc w:val="center"/>
              <w:rPr>
                <w:kern w:val="0"/>
                <w:sz w:val="21"/>
                <w:szCs w:val="21"/>
              </w:rPr>
            </w:pPr>
            <w:r>
              <w:rPr>
                <w:kern w:val="0"/>
                <w:sz w:val="21"/>
                <w:szCs w:val="21"/>
              </w:rPr>
              <w:t>453.66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8</w:t>
            </w:r>
          </w:p>
        </w:tc>
        <w:tc>
          <w:tcPr>
            <w:tcW w:w="1538" w:type="pct"/>
            <w:vAlign w:val="center"/>
          </w:tcPr>
          <w:p>
            <w:pPr>
              <w:adjustRightInd w:val="0"/>
              <w:snapToGrid w:val="0"/>
              <w:spacing w:line="240" w:lineRule="auto"/>
              <w:ind w:firstLine="0" w:firstLineChars="0"/>
              <w:jc w:val="center"/>
              <w:rPr>
                <w:sz w:val="21"/>
                <w:szCs w:val="21"/>
              </w:rPr>
            </w:pPr>
            <w:r>
              <w:rPr>
                <w:sz w:val="21"/>
                <w:szCs w:val="21"/>
              </w:rPr>
              <w:t>配砖</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千块</w:t>
            </w:r>
          </w:p>
        </w:tc>
        <w:tc>
          <w:tcPr>
            <w:tcW w:w="1375" w:type="pct"/>
            <w:vAlign w:val="center"/>
          </w:tcPr>
          <w:p>
            <w:pPr>
              <w:adjustRightInd w:val="0"/>
              <w:snapToGrid w:val="0"/>
              <w:spacing w:line="240" w:lineRule="auto"/>
              <w:ind w:firstLine="0" w:firstLineChars="0"/>
              <w:jc w:val="center"/>
              <w:rPr>
                <w:kern w:val="0"/>
                <w:sz w:val="21"/>
                <w:szCs w:val="21"/>
              </w:rPr>
            </w:pPr>
            <w:r>
              <w:rPr>
                <w:kern w:val="0"/>
                <w:sz w:val="21"/>
                <w:szCs w:val="21"/>
              </w:rPr>
              <w:t>496.15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954" w:type="pct"/>
            <w:vAlign w:val="center"/>
          </w:tcPr>
          <w:p>
            <w:pPr>
              <w:adjustRightInd w:val="0"/>
              <w:snapToGrid w:val="0"/>
              <w:spacing w:line="240" w:lineRule="auto"/>
              <w:ind w:firstLine="0" w:firstLineChars="0"/>
              <w:jc w:val="center"/>
              <w:rPr>
                <w:sz w:val="21"/>
                <w:szCs w:val="21"/>
              </w:rPr>
            </w:pPr>
            <w:r>
              <w:rPr>
                <w:sz w:val="21"/>
                <w:szCs w:val="21"/>
              </w:rPr>
              <w:t>9</w:t>
            </w:r>
          </w:p>
        </w:tc>
        <w:tc>
          <w:tcPr>
            <w:tcW w:w="1538" w:type="pct"/>
            <w:vAlign w:val="center"/>
          </w:tcPr>
          <w:p>
            <w:pPr>
              <w:adjustRightInd w:val="0"/>
              <w:snapToGrid w:val="0"/>
              <w:spacing w:line="240" w:lineRule="auto"/>
              <w:ind w:firstLine="0" w:firstLineChars="0"/>
              <w:jc w:val="center"/>
              <w:rPr>
                <w:sz w:val="21"/>
                <w:szCs w:val="21"/>
              </w:rPr>
            </w:pPr>
            <w:r>
              <w:rPr>
                <w:sz w:val="21"/>
                <w:szCs w:val="21"/>
              </w:rPr>
              <w:t>M10</w:t>
            </w:r>
            <w:r>
              <w:rPr>
                <w:sz w:val="21"/>
                <w:szCs w:val="21"/>
                <w:lang w:val="zh-CN"/>
              </w:rPr>
              <w:t>砂浆</w:t>
            </w:r>
          </w:p>
        </w:tc>
        <w:tc>
          <w:tcPr>
            <w:tcW w:w="1131" w:type="pct"/>
            <w:vAlign w:val="center"/>
          </w:tcPr>
          <w:p>
            <w:pPr>
              <w:adjustRightInd w:val="0"/>
              <w:snapToGrid w:val="0"/>
              <w:spacing w:line="240" w:lineRule="auto"/>
              <w:ind w:firstLine="0" w:firstLineChars="0"/>
              <w:jc w:val="center"/>
              <w:rPr>
                <w:sz w:val="21"/>
                <w:szCs w:val="21"/>
                <w:lang w:val="zh-CN"/>
              </w:rPr>
            </w:pPr>
            <w:r>
              <w:rPr>
                <w:sz w:val="21"/>
                <w:szCs w:val="21"/>
                <w:lang w:val="zh-CN"/>
              </w:rPr>
              <w:t>m</w:t>
            </w:r>
            <w:r>
              <w:rPr>
                <w:sz w:val="21"/>
                <w:szCs w:val="21"/>
                <w:vertAlign w:val="superscript"/>
                <w:lang w:val="zh-CN"/>
              </w:rPr>
              <w:t>3</w:t>
            </w:r>
          </w:p>
        </w:tc>
        <w:tc>
          <w:tcPr>
            <w:tcW w:w="1375" w:type="pct"/>
            <w:vAlign w:val="center"/>
          </w:tcPr>
          <w:p>
            <w:pPr>
              <w:adjustRightInd w:val="0"/>
              <w:snapToGrid w:val="0"/>
              <w:spacing w:line="240" w:lineRule="auto"/>
              <w:ind w:firstLine="0" w:firstLineChars="0"/>
              <w:jc w:val="center"/>
              <w:rPr>
                <w:kern w:val="0"/>
                <w:sz w:val="21"/>
                <w:szCs w:val="21"/>
              </w:rPr>
            </w:pPr>
            <w:r>
              <w:rPr>
                <w:kern w:val="0"/>
                <w:sz w:val="21"/>
                <w:szCs w:val="21"/>
              </w:rPr>
              <w:t>461.0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10</w:t>
            </w:r>
          </w:p>
        </w:tc>
        <w:tc>
          <w:tcPr>
            <w:tcW w:w="1538" w:type="pct"/>
            <w:vAlign w:val="center"/>
          </w:tcPr>
          <w:p>
            <w:pPr>
              <w:widowControl/>
              <w:adjustRightInd w:val="0"/>
              <w:snapToGrid w:val="0"/>
              <w:spacing w:line="240" w:lineRule="auto"/>
              <w:ind w:firstLine="0" w:firstLineChars="0"/>
              <w:jc w:val="center"/>
              <w:rPr>
                <w:sz w:val="21"/>
                <w:szCs w:val="21"/>
              </w:rPr>
            </w:pPr>
            <w:r>
              <w:rPr>
                <w:sz w:val="21"/>
                <w:szCs w:val="21"/>
              </w:rPr>
              <w:t>草籽（</w:t>
            </w:r>
            <w:r>
              <w:rPr>
                <w:kern w:val="24"/>
                <w:sz w:val="21"/>
                <w:szCs w:val="21"/>
              </w:rPr>
              <w:t>狗牙根</w:t>
            </w:r>
            <w:r>
              <w:rPr>
                <w:sz w:val="21"/>
                <w:szCs w:val="21"/>
              </w:rPr>
              <w:t>）</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kg</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11</w:t>
            </w:r>
          </w:p>
        </w:tc>
        <w:tc>
          <w:tcPr>
            <w:tcW w:w="1538" w:type="pct"/>
            <w:vAlign w:val="center"/>
          </w:tcPr>
          <w:p>
            <w:pPr>
              <w:widowControl/>
              <w:adjustRightInd w:val="0"/>
              <w:snapToGrid w:val="0"/>
              <w:spacing w:line="240" w:lineRule="auto"/>
              <w:ind w:firstLine="0" w:firstLineChars="0"/>
              <w:jc w:val="center"/>
              <w:rPr>
                <w:sz w:val="21"/>
                <w:szCs w:val="21"/>
              </w:rPr>
            </w:pPr>
            <w:r>
              <w:rPr>
                <w:kern w:val="0"/>
                <w:sz w:val="21"/>
                <w:szCs w:val="21"/>
              </w:rPr>
              <w:t>锯材</w:t>
            </w:r>
          </w:p>
        </w:tc>
        <w:tc>
          <w:tcPr>
            <w:tcW w:w="1131" w:type="pct"/>
            <w:vAlign w:val="center"/>
          </w:tcPr>
          <w:p>
            <w:pPr>
              <w:widowControl/>
              <w:adjustRightInd w:val="0"/>
              <w:snapToGrid w:val="0"/>
              <w:spacing w:line="240" w:lineRule="auto"/>
              <w:ind w:firstLine="0" w:firstLineChars="0"/>
              <w:jc w:val="center"/>
              <w:rPr>
                <w:kern w:val="0"/>
                <w:sz w:val="21"/>
                <w:szCs w:val="21"/>
                <w:lang w:val="zh-CN"/>
              </w:rPr>
            </w:pPr>
            <w:r>
              <w:rPr>
                <w:kern w:val="0"/>
                <w:sz w:val="21"/>
                <w:szCs w:val="21"/>
              </w:rPr>
              <w:t>m</w:t>
            </w:r>
            <w:r>
              <w:rPr>
                <w:kern w:val="0"/>
                <w:sz w:val="21"/>
                <w:szCs w:val="21"/>
                <w:vertAlign w:val="superscript"/>
              </w:rPr>
              <w:t>3</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1869.99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12</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钢模板</w:t>
            </w:r>
          </w:p>
        </w:tc>
        <w:tc>
          <w:tcPr>
            <w:tcW w:w="1131" w:type="pct"/>
            <w:vAlign w:val="center"/>
          </w:tcPr>
          <w:p>
            <w:pPr>
              <w:widowControl/>
              <w:adjustRightInd w:val="0"/>
              <w:snapToGrid w:val="0"/>
              <w:spacing w:line="240" w:lineRule="auto"/>
              <w:ind w:firstLine="0" w:firstLineChars="0"/>
              <w:jc w:val="center"/>
              <w:rPr>
                <w:kern w:val="0"/>
                <w:sz w:val="21"/>
                <w:szCs w:val="21"/>
                <w:lang w:val="zh-CN"/>
              </w:rPr>
            </w:pPr>
            <w:r>
              <w:rPr>
                <w:kern w:val="0"/>
                <w:sz w:val="21"/>
                <w:szCs w:val="21"/>
              </w:rPr>
              <w:t>kg</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13</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铁件</w:t>
            </w:r>
          </w:p>
        </w:tc>
        <w:tc>
          <w:tcPr>
            <w:tcW w:w="1131" w:type="pct"/>
            <w:vAlign w:val="center"/>
          </w:tcPr>
          <w:p>
            <w:pPr>
              <w:widowControl/>
              <w:adjustRightInd w:val="0"/>
              <w:snapToGrid w:val="0"/>
              <w:spacing w:line="240" w:lineRule="auto"/>
              <w:ind w:firstLine="0" w:firstLineChars="0"/>
              <w:jc w:val="center"/>
              <w:rPr>
                <w:kern w:val="0"/>
                <w:sz w:val="21"/>
                <w:szCs w:val="21"/>
                <w:lang w:val="zh-CN"/>
              </w:rPr>
            </w:pPr>
            <w:r>
              <w:rPr>
                <w:kern w:val="0"/>
                <w:sz w:val="21"/>
                <w:szCs w:val="21"/>
              </w:rPr>
              <w:t>kg</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14</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C20混凝土</w:t>
            </w:r>
          </w:p>
        </w:tc>
        <w:tc>
          <w:tcPr>
            <w:tcW w:w="1131" w:type="pct"/>
            <w:vAlign w:val="center"/>
          </w:tcPr>
          <w:p>
            <w:pPr>
              <w:widowControl/>
              <w:adjustRightInd w:val="0"/>
              <w:snapToGrid w:val="0"/>
              <w:spacing w:line="240" w:lineRule="auto"/>
              <w:ind w:firstLine="0" w:firstLineChars="0"/>
              <w:jc w:val="center"/>
              <w:rPr>
                <w:kern w:val="0"/>
                <w:sz w:val="21"/>
                <w:szCs w:val="21"/>
                <w:lang w:val="zh-CN"/>
              </w:rPr>
            </w:pPr>
            <w:r>
              <w:rPr>
                <w:kern w:val="0"/>
                <w:sz w:val="21"/>
                <w:szCs w:val="21"/>
              </w:rPr>
              <w:t>m</w:t>
            </w:r>
            <w:r>
              <w:rPr>
                <w:kern w:val="0"/>
                <w:sz w:val="21"/>
                <w:szCs w:val="21"/>
                <w:vertAlign w:val="superscript"/>
              </w:rPr>
              <w:t>3</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432.36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15</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防雨布</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m</w:t>
            </w:r>
            <w:r>
              <w:rPr>
                <w:kern w:val="0"/>
                <w:sz w:val="21"/>
                <w:szCs w:val="21"/>
                <w:vertAlign w:val="superscript"/>
              </w:rPr>
              <w:t>2</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5.79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16</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密目网</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m</w:t>
            </w:r>
            <w:r>
              <w:rPr>
                <w:kern w:val="0"/>
                <w:sz w:val="21"/>
                <w:szCs w:val="21"/>
                <w:vertAlign w:val="superscript"/>
              </w:rPr>
              <w:t>2</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17</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农家土杂肥</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m</w:t>
            </w:r>
            <w:r>
              <w:rPr>
                <w:kern w:val="0"/>
                <w:sz w:val="21"/>
                <w:szCs w:val="21"/>
                <w:vertAlign w:val="superscript"/>
              </w:rPr>
              <w:t>3</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18</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编织袋</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个</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19</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合金钻头</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个</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13.25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20</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炸药</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kg</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80.75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21</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C25混凝土</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m</w:t>
            </w:r>
            <w:r>
              <w:rPr>
                <w:kern w:val="0"/>
                <w:sz w:val="21"/>
                <w:szCs w:val="21"/>
                <w:vertAlign w:val="superscript"/>
              </w:rPr>
              <w:t>3</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441.96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22</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钢筋</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t</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4235.08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23</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铁丝</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kg</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24</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电焊条</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kg</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25</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卵石</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m</w:t>
            </w:r>
            <w:r>
              <w:rPr>
                <w:kern w:val="0"/>
                <w:sz w:val="21"/>
                <w:szCs w:val="21"/>
                <w:vertAlign w:val="superscript"/>
              </w:rPr>
              <w:t>3</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149.28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26</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碎石</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m</w:t>
            </w:r>
            <w:r>
              <w:rPr>
                <w:kern w:val="0"/>
                <w:sz w:val="21"/>
                <w:szCs w:val="21"/>
                <w:vertAlign w:val="superscript"/>
              </w:rPr>
              <w:t>3</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164.59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954" w:type="pct"/>
            <w:vAlign w:val="center"/>
          </w:tcPr>
          <w:p>
            <w:pPr>
              <w:adjustRightInd w:val="0"/>
              <w:snapToGrid w:val="0"/>
              <w:spacing w:line="240" w:lineRule="auto"/>
              <w:ind w:firstLine="0" w:firstLineChars="0"/>
              <w:jc w:val="center"/>
              <w:rPr>
                <w:sz w:val="21"/>
                <w:szCs w:val="21"/>
              </w:rPr>
            </w:pPr>
            <w:r>
              <w:rPr>
                <w:sz w:val="21"/>
                <w:szCs w:val="21"/>
              </w:rPr>
              <w:t>27</w:t>
            </w:r>
          </w:p>
        </w:tc>
        <w:tc>
          <w:tcPr>
            <w:tcW w:w="1538"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块石</w:t>
            </w:r>
          </w:p>
        </w:tc>
        <w:tc>
          <w:tcPr>
            <w:tcW w:w="1131"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千块</w:t>
            </w:r>
          </w:p>
        </w:tc>
        <w:tc>
          <w:tcPr>
            <w:tcW w:w="137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744.07</w:t>
            </w:r>
          </w:p>
        </w:tc>
      </w:tr>
    </w:tbl>
    <w:p>
      <w:pPr>
        <w:adjustRightInd w:val="0"/>
        <w:snapToGrid w:val="0"/>
        <w:spacing w:beforeLines="50"/>
        <w:ind w:firstLine="482"/>
        <w:jc w:val="center"/>
        <w:rPr>
          <w:b/>
          <w:bCs/>
        </w:rPr>
        <w:sectPr>
          <w:headerReference r:id="rId38" w:type="default"/>
          <w:headerReference r:id="rId39" w:type="even"/>
          <w:pgSz w:w="11905" w:h="16838"/>
          <w:pgMar w:top="1417" w:right="1417" w:bottom="1417" w:left="1417" w:header="850" w:footer="992" w:gutter="0"/>
          <w:cols w:space="720" w:num="1"/>
          <w:docGrid w:linePitch="330" w:charSpace="0"/>
        </w:sectPr>
      </w:pPr>
    </w:p>
    <w:p>
      <w:pPr>
        <w:adjustRightInd w:val="0"/>
        <w:snapToGrid w:val="0"/>
        <w:spacing w:beforeLines="50"/>
        <w:ind w:firstLine="482"/>
        <w:jc w:val="center"/>
        <w:rPr>
          <w:b/>
          <w:bCs/>
        </w:rPr>
      </w:pPr>
      <w:r>
        <w:rPr>
          <w:b/>
          <w:bCs/>
        </w:rPr>
        <w:t>表7.1-2施工机械台时汇总表单位：元</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684"/>
        <w:gridCol w:w="1698"/>
        <w:gridCol w:w="1110"/>
        <w:gridCol w:w="1020"/>
        <w:gridCol w:w="1020"/>
        <w:gridCol w:w="1020"/>
        <w:gridCol w:w="1020"/>
        <w:gridCol w:w="990"/>
        <w:gridCol w:w="743"/>
        <w:gridCol w:w="757"/>
        <w:gridCol w:w="830"/>
        <w:gridCol w:w="830"/>
        <w:gridCol w:w="830"/>
        <w:gridCol w:w="830"/>
        <w:gridCol w:w="83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Merge w:val="restart"/>
            <w:vAlign w:val="center"/>
          </w:tcPr>
          <w:p>
            <w:pPr>
              <w:widowControl/>
              <w:spacing w:line="240" w:lineRule="auto"/>
              <w:ind w:firstLine="0" w:firstLineChars="0"/>
              <w:jc w:val="center"/>
              <w:rPr>
                <w:b/>
                <w:bCs/>
                <w:kern w:val="0"/>
                <w:sz w:val="21"/>
                <w:szCs w:val="21"/>
              </w:rPr>
            </w:pPr>
            <w:r>
              <w:rPr>
                <w:b/>
                <w:bCs/>
                <w:kern w:val="0"/>
                <w:sz w:val="21"/>
                <w:szCs w:val="21"/>
              </w:rPr>
              <w:t>定额编号</w:t>
            </w:r>
          </w:p>
        </w:tc>
        <w:tc>
          <w:tcPr>
            <w:tcW w:w="1698" w:type="dxa"/>
            <w:vMerge w:val="restart"/>
            <w:vAlign w:val="center"/>
          </w:tcPr>
          <w:p>
            <w:pPr>
              <w:widowControl/>
              <w:spacing w:line="240" w:lineRule="auto"/>
              <w:ind w:firstLine="0" w:firstLineChars="0"/>
              <w:jc w:val="center"/>
              <w:rPr>
                <w:b/>
                <w:bCs/>
                <w:kern w:val="0"/>
                <w:sz w:val="21"/>
                <w:szCs w:val="21"/>
              </w:rPr>
            </w:pPr>
            <w:r>
              <w:rPr>
                <w:b/>
                <w:bCs/>
                <w:kern w:val="0"/>
                <w:sz w:val="21"/>
                <w:szCs w:val="21"/>
              </w:rPr>
              <w:t>机械名称及型号</w:t>
            </w:r>
          </w:p>
        </w:tc>
        <w:tc>
          <w:tcPr>
            <w:tcW w:w="1110" w:type="dxa"/>
            <w:vMerge w:val="restart"/>
            <w:vAlign w:val="center"/>
          </w:tcPr>
          <w:p>
            <w:pPr>
              <w:widowControl/>
              <w:spacing w:line="240" w:lineRule="auto"/>
              <w:ind w:firstLine="0" w:firstLineChars="0"/>
              <w:jc w:val="center"/>
              <w:rPr>
                <w:b/>
                <w:bCs/>
                <w:kern w:val="0"/>
                <w:sz w:val="21"/>
                <w:szCs w:val="21"/>
              </w:rPr>
            </w:pPr>
            <w:r>
              <w:rPr>
                <w:b/>
                <w:bCs/>
                <w:kern w:val="0"/>
                <w:sz w:val="21"/>
                <w:szCs w:val="21"/>
              </w:rPr>
              <w:t>台时费</w:t>
            </w:r>
          </w:p>
        </w:tc>
        <w:tc>
          <w:tcPr>
            <w:tcW w:w="4080" w:type="dxa"/>
            <w:gridSpan w:val="4"/>
            <w:vAlign w:val="center"/>
          </w:tcPr>
          <w:p>
            <w:pPr>
              <w:widowControl/>
              <w:spacing w:line="240" w:lineRule="auto"/>
              <w:ind w:firstLine="0" w:firstLineChars="0"/>
              <w:jc w:val="center"/>
              <w:rPr>
                <w:b/>
                <w:bCs/>
                <w:kern w:val="0"/>
                <w:sz w:val="21"/>
                <w:szCs w:val="21"/>
              </w:rPr>
            </w:pPr>
            <w:r>
              <w:rPr>
                <w:b/>
                <w:bCs/>
                <w:kern w:val="0"/>
                <w:sz w:val="21"/>
                <w:szCs w:val="21"/>
              </w:rPr>
              <w:t>一类费用</w:t>
            </w:r>
          </w:p>
        </w:tc>
        <w:tc>
          <w:tcPr>
            <w:tcW w:w="6646" w:type="dxa"/>
            <w:gridSpan w:val="8"/>
            <w:vAlign w:val="center"/>
          </w:tcPr>
          <w:p>
            <w:pPr>
              <w:widowControl/>
              <w:spacing w:line="240" w:lineRule="auto"/>
              <w:ind w:firstLine="0" w:firstLineChars="0"/>
              <w:jc w:val="center"/>
              <w:rPr>
                <w:b/>
                <w:bCs/>
                <w:kern w:val="0"/>
                <w:sz w:val="21"/>
                <w:szCs w:val="21"/>
              </w:rPr>
            </w:pPr>
            <w:r>
              <w:rPr>
                <w:b/>
                <w:bCs/>
                <w:kern w:val="0"/>
                <w:sz w:val="21"/>
                <w:szCs w:val="21"/>
              </w:rPr>
              <w:t>二类费用</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Merge w:val="continue"/>
            <w:vAlign w:val="center"/>
          </w:tcPr>
          <w:p>
            <w:pPr>
              <w:widowControl/>
              <w:spacing w:line="240" w:lineRule="auto"/>
              <w:ind w:firstLine="0" w:firstLineChars="0"/>
              <w:jc w:val="center"/>
              <w:rPr>
                <w:b/>
                <w:bCs/>
                <w:kern w:val="0"/>
                <w:sz w:val="21"/>
                <w:szCs w:val="21"/>
              </w:rPr>
            </w:pPr>
          </w:p>
        </w:tc>
        <w:tc>
          <w:tcPr>
            <w:tcW w:w="1698" w:type="dxa"/>
            <w:vMerge w:val="continue"/>
            <w:vAlign w:val="center"/>
          </w:tcPr>
          <w:p>
            <w:pPr>
              <w:widowControl/>
              <w:spacing w:line="240" w:lineRule="auto"/>
              <w:ind w:firstLine="0" w:firstLineChars="0"/>
              <w:jc w:val="center"/>
              <w:rPr>
                <w:b/>
                <w:bCs/>
                <w:kern w:val="0"/>
                <w:sz w:val="21"/>
                <w:szCs w:val="21"/>
              </w:rPr>
            </w:pPr>
          </w:p>
        </w:tc>
        <w:tc>
          <w:tcPr>
            <w:tcW w:w="1110" w:type="dxa"/>
            <w:vMerge w:val="continue"/>
            <w:vAlign w:val="center"/>
          </w:tcPr>
          <w:p>
            <w:pPr>
              <w:widowControl/>
              <w:spacing w:line="240" w:lineRule="auto"/>
              <w:ind w:firstLine="0" w:firstLineChars="0"/>
              <w:jc w:val="center"/>
              <w:rPr>
                <w:b/>
                <w:bCs/>
                <w:kern w:val="0"/>
                <w:sz w:val="21"/>
                <w:szCs w:val="21"/>
              </w:rPr>
            </w:pPr>
          </w:p>
        </w:tc>
        <w:tc>
          <w:tcPr>
            <w:tcW w:w="1020" w:type="dxa"/>
            <w:vAlign w:val="center"/>
          </w:tcPr>
          <w:p>
            <w:pPr>
              <w:widowControl/>
              <w:spacing w:line="240" w:lineRule="auto"/>
              <w:ind w:firstLine="0" w:firstLineChars="0"/>
              <w:jc w:val="center"/>
              <w:rPr>
                <w:b/>
                <w:bCs/>
                <w:kern w:val="0"/>
                <w:sz w:val="21"/>
                <w:szCs w:val="21"/>
              </w:rPr>
            </w:pPr>
            <w:r>
              <w:rPr>
                <w:b/>
                <w:bCs/>
                <w:kern w:val="0"/>
                <w:sz w:val="21"/>
                <w:szCs w:val="21"/>
              </w:rPr>
              <w:t>1.13</w:t>
            </w:r>
          </w:p>
        </w:tc>
        <w:tc>
          <w:tcPr>
            <w:tcW w:w="1020" w:type="dxa"/>
            <w:vAlign w:val="center"/>
          </w:tcPr>
          <w:p>
            <w:pPr>
              <w:widowControl/>
              <w:spacing w:line="240" w:lineRule="auto"/>
              <w:ind w:firstLine="0" w:firstLineChars="0"/>
              <w:jc w:val="center"/>
              <w:rPr>
                <w:b/>
                <w:bCs/>
                <w:kern w:val="0"/>
                <w:sz w:val="21"/>
                <w:szCs w:val="21"/>
              </w:rPr>
            </w:pPr>
            <w:r>
              <w:rPr>
                <w:b/>
                <w:bCs/>
                <w:kern w:val="0"/>
                <w:sz w:val="21"/>
                <w:szCs w:val="21"/>
              </w:rPr>
              <w:t>1.09</w:t>
            </w:r>
          </w:p>
        </w:tc>
        <w:tc>
          <w:tcPr>
            <w:tcW w:w="1020" w:type="dxa"/>
            <w:vAlign w:val="center"/>
          </w:tcPr>
          <w:p>
            <w:pPr>
              <w:widowControl/>
              <w:spacing w:line="240" w:lineRule="auto"/>
              <w:ind w:firstLine="0" w:firstLineChars="0"/>
              <w:jc w:val="center"/>
              <w:rPr>
                <w:b/>
                <w:bCs/>
                <w:kern w:val="0"/>
                <w:sz w:val="21"/>
                <w:szCs w:val="21"/>
              </w:rPr>
            </w:pPr>
            <w:r>
              <w:rPr>
                <w:b/>
                <w:bCs/>
                <w:kern w:val="0"/>
                <w:sz w:val="21"/>
                <w:szCs w:val="21"/>
              </w:rPr>
              <w:t>1.0</w:t>
            </w:r>
          </w:p>
        </w:tc>
        <w:tc>
          <w:tcPr>
            <w:tcW w:w="1020" w:type="dxa"/>
            <w:vAlign w:val="center"/>
          </w:tcPr>
          <w:p>
            <w:pPr>
              <w:widowControl/>
              <w:spacing w:line="240" w:lineRule="auto"/>
              <w:ind w:firstLine="0" w:firstLineChars="0"/>
              <w:jc w:val="center"/>
              <w:rPr>
                <w:b/>
                <w:bCs/>
                <w:kern w:val="0"/>
                <w:sz w:val="21"/>
                <w:szCs w:val="21"/>
              </w:rPr>
            </w:pPr>
            <w:r>
              <w:rPr>
                <w:b/>
                <w:bCs/>
                <w:sz w:val="21"/>
                <w:szCs w:val="21"/>
              </w:rPr>
              <w:t>系数</w:t>
            </w:r>
          </w:p>
        </w:tc>
        <w:tc>
          <w:tcPr>
            <w:tcW w:w="99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19.75</w:t>
            </w:r>
          </w:p>
        </w:tc>
        <w:tc>
          <w:tcPr>
            <w:tcW w:w="743"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10.19</w:t>
            </w:r>
          </w:p>
        </w:tc>
        <w:tc>
          <w:tcPr>
            <w:tcW w:w="757"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8.30</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0.89</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0.16</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2.11</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1.0</w:t>
            </w:r>
          </w:p>
        </w:tc>
        <w:tc>
          <w:tcPr>
            <w:tcW w:w="836"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系数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Merge w:val="continue"/>
            <w:vAlign w:val="center"/>
          </w:tcPr>
          <w:p>
            <w:pPr>
              <w:widowControl/>
              <w:spacing w:line="240" w:lineRule="auto"/>
              <w:ind w:firstLine="0" w:firstLineChars="0"/>
              <w:jc w:val="center"/>
              <w:rPr>
                <w:b/>
                <w:bCs/>
                <w:kern w:val="0"/>
                <w:sz w:val="21"/>
                <w:szCs w:val="21"/>
              </w:rPr>
            </w:pPr>
          </w:p>
        </w:tc>
        <w:tc>
          <w:tcPr>
            <w:tcW w:w="1698" w:type="dxa"/>
            <w:vMerge w:val="continue"/>
            <w:vAlign w:val="center"/>
          </w:tcPr>
          <w:p>
            <w:pPr>
              <w:widowControl/>
              <w:spacing w:line="240" w:lineRule="auto"/>
              <w:ind w:firstLine="0" w:firstLineChars="0"/>
              <w:jc w:val="center"/>
              <w:rPr>
                <w:b/>
                <w:bCs/>
                <w:kern w:val="0"/>
                <w:sz w:val="21"/>
                <w:szCs w:val="21"/>
              </w:rPr>
            </w:pPr>
          </w:p>
        </w:tc>
        <w:tc>
          <w:tcPr>
            <w:tcW w:w="1110" w:type="dxa"/>
            <w:vMerge w:val="continue"/>
            <w:vAlign w:val="center"/>
          </w:tcPr>
          <w:p>
            <w:pPr>
              <w:widowControl/>
              <w:spacing w:line="240" w:lineRule="auto"/>
              <w:ind w:firstLine="0" w:firstLineChars="0"/>
              <w:jc w:val="center"/>
              <w:rPr>
                <w:b/>
                <w:bCs/>
                <w:kern w:val="0"/>
                <w:sz w:val="21"/>
                <w:szCs w:val="21"/>
              </w:rPr>
            </w:pPr>
          </w:p>
        </w:tc>
        <w:tc>
          <w:tcPr>
            <w:tcW w:w="1020" w:type="dxa"/>
            <w:vAlign w:val="center"/>
          </w:tcPr>
          <w:p>
            <w:pPr>
              <w:spacing w:line="240" w:lineRule="auto"/>
              <w:ind w:firstLine="0" w:firstLineChars="0"/>
              <w:jc w:val="center"/>
              <w:rPr>
                <w:b/>
                <w:bCs/>
                <w:kern w:val="0"/>
                <w:sz w:val="21"/>
                <w:szCs w:val="21"/>
              </w:rPr>
            </w:pPr>
            <w:r>
              <w:rPr>
                <w:b/>
                <w:bCs/>
                <w:sz w:val="21"/>
                <w:szCs w:val="21"/>
              </w:rPr>
              <w:t>折旧费</w:t>
            </w:r>
          </w:p>
        </w:tc>
        <w:tc>
          <w:tcPr>
            <w:tcW w:w="1020" w:type="dxa"/>
            <w:vAlign w:val="center"/>
          </w:tcPr>
          <w:p>
            <w:pPr>
              <w:spacing w:line="240" w:lineRule="auto"/>
              <w:ind w:firstLine="0" w:firstLineChars="0"/>
              <w:jc w:val="center"/>
              <w:rPr>
                <w:b/>
                <w:bCs/>
                <w:sz w:val="21"/>
                <w:szCs w:val="21"/>
              </w:rPr>
            </w:pPr>
            <w:r>
              <w:rPr>
                <w:b/>
                <w:bCs/>
                <w:sz w:val="21"/>
                <w:szCs w:val="21"/>
              </w:rPr>
              <w:t>修理及替换设备费</w:t>
            </w:r>
          </w:p>
        </w:tc>
        <w:tc>
          <w:tcPr>
            <w:tcW w:w="1020" w:type="dxa"/>
            <w:vAlign w:val="center"/>
          </w:tcPr>
          <w:p>
            <w:pPr>
              <w:spacing w:line="240" w:lineRule="auto"/>
              <w:ind w:firstLine="0" w:firstLineChars="0"/>
              <w:jc w:val="center"/>
              <w:rPr>
                <w:b/>
                <w:bCs/>
                <w:sz w:val="21"/>
                <w:szCs w:val="21"/>
              </w:rPr>
            </w:pPr>
            <w:r>
              <w:rPr>
                <w:b/>
                <w:bCs/>
                <w:sz w:val="21"/>
                <w:szCs w:val="21"/>
              </w:rPr>
              <w:t>安装</w:t>
            </w:r>
          </w:p>
          <w:p>
            <w:pPr>
              <w:spacing w:line="240" w:lineRule="auto"/>
              <w:ind w:firstLine="0" w:firstLineChars="0"/>
              <w:jc w:val="center"/>
              <w:rPr>
                <w:b/>
                <w:bCs/>
                <w:sz w:val="21"/>
                <w:szCs w:val="21"/>
              </w:rPr>
            </w:pPr>
            <w:r>
              <w:rPr>
                <w:b/>
                <w:bCs/>
                <w:sz w:val="21"/>
                <w:szCs w:val="21"/>
              </w:rPr>
              <w:t>拆卸费</w:t>
            </w:r>
          </w:p>
        </w:tc>
        <w:tc>
          <w:tcPr>
            <w:tcW w:w="1020" w:type="dxa"/>
            <w:vAlign w:val="center"/>
          </w:tcPr>
          <w:p>
            <w:pPr>
              <w:spacing w:line="240" w:lineRule="auto"/>
              <w:ind w:firstLine="0" w:firstLineChars="0"/>
              <w:jc w:val="center"/>
              <w:rPr>
                <w:b/>
                <w:bCs/>
                <w:sz w:val="21"/>
                <w:szCs w:val="21"/>
              </w:rPr>
            </w:pPr>
            <w:r>
              <w:rPr>
                <w:b/>
                <w:bCs/>
                <w:sz w:val="21"/>
                <w:szCs w:val="21"/>
              </w:rPr>
              <w:t>小计</w:t>
            </w:r>
          </w:p>
        </w:tc>
        <w:tc>
          <w:tcPr>
            <w:tcW w:w="99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人工费</w:t>
            </w:r>
          </w:p>
        </w:tc>
        <w:tc>
          <w:tcPr>
            <w:tcW w:w="743"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汽油（kg）</w:t>
            </w:r>
          </w:p>
        </w:tc>
        <w:tc>
          <w:tcPr>
            <w:tcW w:w="757"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柴油（kg）</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电（kw.h）</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风（m</w:t>
            </w:r>
            <w:r>
              <w:rPr>
                <w:b/>
                <w:bCs/>
                <w:kern w:val="0"/>
                <w:sz w:val="21"/>
                <w:szCs w:val="21"/>
                <w:vertAlign w:val="superscript"/>
              </w:rPr>
              <w:t>3</w:t>
            </w:r>
            <w:r>
              <w:rPr>
                <w:b/>
                <w:bCs/>
                <w:kern w:val="0"/>
                <w:sz w:val="21"/>
                <w:szCs w:val="21"/>
              </w:rPr>
              <w:t>）</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水（m</w:t>
            </w:r>
            <w:r>
              <w:rPr>
                <w:b/>
                <w:bCs/>
                <w:kern w:val="0"/>
                <w:sz w:val="21"/>
                <w:szCs w:val="21"/>
                <w:vertAlign w:val="superscript"/>
              </w:rPr>
              <w:t>3</w:t>
            </w:r>
            <w:r>
              <w:rPr>
                <w:b/>
                <w:bCs/>
                <w:kern w:val="0"/>
                <w:sz w:val="21"/>
                <w:szCs w:val="21"/>
              </w:rPr>
              <w:t>）</w:t>
            </w:r>
          </w:p>
        </w:tc>
        <w:tc>
          <w:tcPr>
            <w:tcW w:w="830"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煤（kg）</w:t>
            </w:r>
          </w:p>
        </w:tc>
        <w:tc>
          <w:tcPr>
            <w:tcW w:w="836" w:type="dxa"/>
            <w:vAlign w:val="center"/>
          </w:tcPr>
          <w:p>
            <w:pPr>
              <w:widowControl/>
              <w:spacing w:line="240" w:lineRule="auto"/>
              <w:ind w:firstLine="0" w:firstLineChars="0"/>
              <w:jc w:val="center"/>
              <w:textAlignment w:val="bottom"/>
              <w:rPr>
                <w:b/>
                <w:bCs/>
                <w:kern w:val="0"/>
                <w:sz w:val="21"/>
                <w:szCs w:val="21"/>
              </w:rPr>
            </w:pPr>
            <w:r>
              <w:rPr>
                <w:b/>
                <w:bCs/>
                <w:kern w:val="0"/>
                <w:sz w:val="21"/>
                <w:szCs w:val="21"/>
              </w:rPr>
              <w:t>小计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kern w:val="0"/>
                <w:sz w:val="21"/>
                <w:szCs w:val="21"/>
              </w:rPr>
              <w:t>6020</w:t>
            </w:r>
          </w:p>
        </w:tc>
        <w:tc>
          <w:tcPr>
            <w:tcW w:w="1698" w:type="dxa"/>
            <w:vAlign w:val="center"/>
          </w:tcPr>
          <w:p>
            <w:pPr>
              <w:widowControl/>
              <w:spacing w:line="240" w:lineRule="auto"/>
              <w:ind w:firstLine="0" w:firstLineChars="0"/>
              <w:jc w:val="center"/>
              <w:rPr>
                <w:kern w:val="0"/>
                <w:sz w:val="21"/>
                <w:szCs w:val="21"/>
              </w:rPr>
            </w:pPr>
            <w:r>
              <w:rPr>
                <w:kern w:val="0"/>
                <w:sz w:val="21"/>
                <w:szCs w:val="21"/>
              </w:rPr>
              <w:t>泥浆搅拌机0.4m</w:t>
            </w:r>
            <w:r>
              <w:rPr>
                <w:kern w:val="0"/>
                <w:sz w:val="21"/>
                <w:szCs w:val="21"/>
                <w:vertAlign w:val="superscript"/>
              </w:rPr>
              <w:t>3</w:t>
            </w:r>
          </w:p>
        </w:tc>
        <w:tc>
          <w:tcPr>
            <w:tcW w:w="1110" w:type="dxa"/>
            <w:vAlign w:val="center"/>
          </w:tcPr>
          <w:p>
            <w:pPr>
              <w:widowControl/>
              <w:spacing w:line="240" w:lineRule="auto"/>
              <w:ind w:firstLine="0" w:firstLineChars="0"/>
              <w:jc w:val="center"/>
              <w:rPr>
                <w:kern w:val="0"/>
                <w:sz w:val="21"/>
                <w:szCs w:val="21"/>
              </w:rPr>
            </w:pPr>
            <w:r>
              <w:rPr>
                <w:kern w:val="0"/>
                <w:sz w:val="21"/>
                <w:szCs w:val="21"/>
              </w:rPr>
              <w:t>48.46</w:t>
            </w:r>
          </w:p>
        </w:tc>
        <w:tc>
          <w:tcPr>
            <w:tcW w:w="1020" w:type="dxa"/>
            <w:vAlign w:val="center"/>
          </w:tcPr>
          <w:p>
            <w:pPr>
              <w:spacing w:line="240" w:lineRule="auto"/>
              <w:ind w:firstLine="0" w:firstLineChars="0"/>
              <w:jc w:val="center"/>
              <w:rPr>
                <w:kern w:val="0"/>
                <w:sz w:val="21"/>
                <w:szCs w:val="21"/>
              </w:rPr>
            </w:pPr>
            <w:r>
              <w:rPr>
                <w:kern w:val="0"/>
                <w:sz w:val="21"/>
                <w:szCs w:val="21"/>
              </w:rPr>
              <w:t>3.21</w:t>
            </w:r>
          </w:p>
        </w:tc>
        <w:tc>
          <w:tcPr>
            <w:tcW w:w="1020" w:type="dxa"/>
            <w:vAlign w:val="center"/>
          </w:tcPr>
          <w:p>
            <w:pPr>
              <w:spacing w:line="240" w:lineRule="auto"/>
              <w:ind w:firstLine="0" w:firstLineChars="0"/>
              <w:jc w:val="center"/>
              <w:rPr>
                <w:sz w:val="21"/>
                <w:szCs w:val="21"/>
              </w:rPr>
            </w:pPr>
            <w:r>
              <w:rPr>
                <w:sz w:val="21"/>
                <w:szCs w:val="21"/>
              </w:rPr>
              <w:t>6.51</w:t>
            </w:r>
          </w:p>
        </w:tc>
        <w:tc>
          <w:tcPr>
            <w:tcW w:w="1020" w:type="dxa"/>
            <w:vAlign w:val="center"/>
          </w:tcPr>
          <w:p>
            <w:pPr>
              <w:spacing w:line="240" w:lineRule="auto"/>
              <w:ind w:firstLine="0" w:firstLineChars="0"/>
              <w:jc w:val="center"/>
              <w:rPr>
                <w:sz w:val="21"/>
                <w:szCs w:val="21"/>
              </w:rPr>
            </w:pPr>
            <w:r>
              <w:rPr>
                <w:sz w:val="21"/>
                <w:szCs w:val="21"/>
              </w:rPr>
              <w:t>0.58</w:t>
            </w:r>
          </w:p>
        </w:tc>
        <w:tc>
          <w:tcPr>
            <w:tcW w:w="1020" w:type="dxa"/>
            <w:vAlign w:val="center"/>
          </w:tcPr>
          <w:p>
            <w:pPr>
              <w:spacing w:line="240" w:lineRule="auto"/>
              <w:ind w:firstLine="0" w:firstLineChars="0"/>
              <w:jc w:val="center"/>
              <w:rPr>
                <w:sz w:val="21"/>
                <w:szCs w:val="21"/>
              </w:rPr>
            </w:pPr>
            <w:r>
              <w:rPr>
                <w:sz w:val="21"/>
                <w:szCs w:val="21"/>
              </w:rPr>
              <w:t>11.30</w:t>
            </w:r>
          </w:p>
        </w:tc>
        <w:tc>
          <w:tcPr>
            <w:tcW w:w="990" w:type="dxa"/>
            <w:vAlign w:val="center"/>
          </w:tcPr>
          <w:p>
            <w:pPr>
              <w:widowControl/>
              <w:spacing w:line="240" w:lineRule="auto"/>
              <w:ind w:firstLine="0" w:firstLineChars="0"/>
              <w:jc w:val="center"/>
              <w:textAlignment w:val="center"/>
              <w:rPr>
                <w:kern w:val="0"/>
                <w:sz w:val="21"/>
                <w:szCs w:val="21"/>
              </w:rPr>
            </w:pPr>
            <w:r>
              <w:rPr>
                <w:kern w:val="0"/>
                <w:sz w:val="21"/>
                <w:szCs w:val="21"/>
              </w:rPr>
              <w:t>1.30</w:t>
            </w: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r>
              <w:rPr>
                <w:kern w:val="0"/>
                <w:sz w:val="21"/>
                <w:szCs w:val="21"/>
              </w:rPr>
              <w:t>12.90</w:t>
            </w: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37.16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sz w:val="21"/>
                <w:szCs w:val="21"/>
              </w:rPr>
              <w:t>3059</w:t>
            </w:r>
          </w:p>
        </w:tc>
        <w:tc>
          <w:tcPr>
            <w:tcW w:w="1698" w:type="dxa"/>
            <w:vAlign w:val="center"/>
          </w:tcPr>
          <w:p>
            <w:pPr>
              <w:widowControl/>
              <w:spacing w:line="240" w:lineRule="auto"/>
              <w:ind w:firstLine="0" w:firstLineChars="0"/>
              <w:jc w:val="center"/>
              <w:rPr>
                <w:kern w:val="0"/>
                <w:sz w:val="21"/>
                <w:szCs w:val="21"/>
              </w:rPr>
            </w:pPr>
            <w:r>
              <w:rPr>
                <w:kern w:val="0"/>
                <w:sz w:val="21"/>
                <w:szCs w:val="21"/>
              </w:rPr>
              <w:t>胶轮车</w:t>
            </w:r>
          </w:p>
        </w:tc>
        <w:tc>
          <w:tcPr>
            <w:tcW w:w="1110" w:type="dxa"/>
            <w:vAlign w:val="center"/>
          </w:tcPr>
          <w:p>
            <w:pPr>
              <w:widowControl/>
              <w:spacing w:line="240" w:lineRule="auto"/>
              <w:ind w:firstLine="0" w:firstLineChars="0"/>
              <w:jc w:val="center"/>
              <w:rPr>
                <w:kern w:val="0"/>
                <w:sz w:val="21"/>
                <w:szCs w:val="21"/>
              </w:rPr>
            </w:pPr>
            <w:r>
              <w:rPr>
                <w:kern w:val="0"/>
                <w:sz w:val="21"/>
                <w:szCs w:val="21"/>
              </w:rPr>
              <w:t>0.99</w:t>
            </w:r>
          </w:p>
        </w:tc>
        <w:tc>
          <w:tcPr>
            <w:tcW w:w="1020" w:type="dxa"/>
            <w:vAlign w:val="center"/>
          </w:tcPr>
          <w:p>
            <w:pPr>
              <w:spacing w:line="240" w:lineRule="auto"/>
              <w:ind w:firstLine="0" w:firstLineChars="0"/>
              <w:jc w:val="center"/>
              <w:rPr>
                <w:kern w:val="0"/>
                <w:sz w:val="21"/>
                <w:szCs w:val="21"/>
              </w:rPr>
            </w:pPr>
            <w:r>
              <w:rPr>
                <w:kern w:val="0"/>
                <w:sz w:val="21"/>
                <w:szCs w:val="21"/>
              </w:rPr>
              <w:t>0.26</w:t>
            </w:r>
          </w:p>
        </w:tc>
        <w:tc>
          <w:tcPr>
            <w:tcW w:w="1020" w:type="dxa"/>
            <w:vAlign w:val="center"/>
          </w:tcPr>
          <w:p>
            <w:pPr>
              <w:spacing w:line="240" w:lineRule="auto"/>
              <w:ind w:firstLine="0" w:firstLineChars="0"/>
              <w:jc w:val="center"/>
              <w:rPr>
                <w:sz w:val="21"/>
                <w:szCs w:val="21"/>
              </w:rPr>
            </w:pPr>
            <w:r>
              <w:rPr>
                <w:sz w:val="21"/>
                <w:szCs w:val="21"/>
              </w:rPr>
              <w:t>0.64</w:t>
            </w:r>
          </w:p>
        </w:tc>
        <w:tc>
          <w:tcPr>
            <w:tcW w:w="1020" w:type="dxa"/>
            <w:vAlign w:val="center"/>
          </w:tcPr>
          <w:p>
            <w:pPr>
              <w:spacing w:line="240" w:lineRule="auto"/>
              <w:ind w:firstLine="0" w:firstLineChars="0"/>
              <w:jc w:val="center"/>
              <w:rPr>
                <w:sz w:val="21"/>
                <w:szCs w:val="21"/>
              </w:rPr>
            </w:pPr>
          </w:p>
        </w:tc>
        <w:tc>
          <w:tcPr>
            <w:tcW w:w="1020" w:type="dxa"/>
            <w:vAlign w:val="center"/>
          </w:tcPr>
          <w:p>
            <w:pPr>
              <w:spacing w:line="240" w:lineRule="auto"/>
              <w:ind w:firstLine="0" w:firstLineChars="0"/>
              <w:jc w:val="center"/>
              <w:rPr>
                <w:sz w:val="21"/>
                <w:szCs w:val="21"/>
              </w:rPr>
            </w:pPr>
            <w:r>
              <w:rPr>
                <w:sz w:val="21"/>
                <w:szCs w:val="21"/>
              </w:rPr>
              <w:t>0.99</w:t>
            </w:r>
          </w:p>
        </w:tc>
        <w:tc>
          <w:tcPr>
            <w:tcW w:w="990" w:type="dxa"/>
            <w:vAlign w:val="center"/>
          </w:tcPr>
          <w:p>
            <w:pPr>
              <w:widowControl/>
              <w:spacing w:line="240" w:lineRule="auto"/>
              <w:ind w:firstLine="0" w:firstLineChars="0"/>
              <w:jc w:val="center"/>
              <w:textAlignment w:val="center"/>
              <w:rPr>
                <w:kern w:val="0"/>
                <w:sz w:val="21"/>
                <w:szCs w:val="21"/>
              </w:rPr>
            </w:pP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sz w:val="21"/>
                <w:szCs w:val="21"/>
              </w:rPr>
            </w:pPr>
            <w:r>
              <w:rPr>
                <w:sz w:val="21"/>
                <w:szCs w:val="21"/>
              </w:rPr>
              <w:t>2030</w:t>
            </w:r>
          </w:p>
        </w:tc>
        <w:tc>
          <w:tcPr>
            <w:tcW w:w="1698" w:type="dxa"/>
            <w:vAlign w:val="center"/>
          </w:tcPr>
          <w:p>
            <w:pPr>
              <w:widowControl/>
              <w:spacing w:line="240" w:lineRule="auto"/>
              <w:ind w:firstLine="0" w:firstLineChars="0"/>
              <w:jc w:val="center"/>
              <w:rPr>
                <w:kern w:val="0"/>
                <w:sz w:val="21"/>
                <w:szCs w:val="21"/>
              </w:rPr>
            </w:pPr>
            <w:r>
              <w:rPr>
                <w:kern w:val="0"/>
                <w:sz w:val="21"/>
                <w:szCs w:val="21"/>
              </w:rPr>
              <w:t>振捣器1.1KW</w:t>
            </w:r>
          </w:p>
        </w:tc>
        <w:tc>
          <w:tcPr>
            <w:tcW w:w="1110" w:type="dxa"/>
            <w:vAlign w:val="center"/>
          </w:tcPr>
          <w:p>
            <w:pPr>
              <w:widowControl/>
              <w:spacing w:line="240" w:lineRule="auto"/>
              <w:ind w:firstLine="0" w:firstLineChars="0"/>
              <w:jc w:val="center"/>
              <w:rPr>
                <w:kern w:val="0"/>
                <w:sz w:val="21"/>
                <w:szCs w:val="21"/>
              </w:rPr>
            </w:pPr>
            <w:r>
              <w:rPr>
                <w:kern w:val="0"/>
                <w:sz w:val="21"/>
                <w:szCs w:val="21"/>
              </w:rPr>
              <w:t>2.40</w:t>
            </w:r>
          </w:p>
        </w:tc>
        <w:tc>
          <w:tcPr>
            <w:tcW w:w="1020" w:type="dxa"/>
            <w:vAlign w:val="center"/>
          </w:tcPr>
          <w:p>
            <w:pPr>
              <w:spacing w:line="240" w:lineRule="auto"/>
              <w:ind w:firstLine="0" w:firstLineChars="0"/>
              <w:jc w:val="center"/>
              <w:rPr>
                <w:sz w:val="21"/>
                <w:szCs w:val="21"/>
              </w:rPr>
            </w:pPr>
            <w:r>
              <w:rPr>
                <w:sz w:val="21"/>
                <w:szCs w:val="21"/>
              </w:rPr>
              <w:t>0.32</w:t>
            </w:r>
          </w:p>
        </w:tc>
        <w:tc>
          <w:tcPr>
            <w:tcW w:w="1020" w:type="dxa"/>
            <w:vAlign w:val="center"/>
          </w:tcPr>
          <w:p>
            <w:pPr>
              <w:spacing w:line="240" w:lineRule="auto"/>
              <w:ind w:firstLine="0" w:firstLineChars="0"/>
              <w:jc w:val="center"/>
              <w:rPr>
                <w:sz w:val="21"/>
                <w:szCs w:val="21"/>
              </w:rPr>
            </w:pPr>
            <w:r>
              <w:rPr>
                <w:sz w:val="21"/>
                <w:szCs w:val="21"/>
              </w:rPr>
              <w:t>1.22</w:t>
            </w:r>
          </w:p>
        </w:tc>
        <w:tc>
          <w:tcPr>
            <w:tcW w:w="1020" w:type="dxa"/>
            <w:vAlign w:val="center"/>
          </w:tcPr>
          <w:p>
            <w:pPr>
              <w:adjustRightInd w:val="0"/>
              <w:snapToGrid w:val="0"/>
              <w:spacing w:line="240" w:lineRule="auto"/>
              <w:ind w:firstLine="0" w:firstLineChars="0"/>
              <w:jc w:val="center"/>
              <w:rPr>
                <w:sz w:val="21"/>
                <w:szCs w:val="21"/>
              </w:rPr>
            </w:pPr>
          </w:p>
        </w:tc>
        <w:tc>
          <w:tcPr>
            <w:tcW w:w="1020" w:type="dxa"/>
            <w:vAlign w:val="center"/>
          </w:tcPr>
          <w:p>
            <w:pPr>
              <w:adjustRightInd w:val="0"/>
              <w:snapToGrid w:val="0"/>
              <w:spacing w:line="240" w:lineRule="auto"/>
              <w:ind w:firstLine="0" w:firstLineChars="0"/>
              <w:jc w:val="center"/>
              <w:rPr>
                <w:sz w:val="21"/>
                <w:szCs w:val="21"/>
              </w:rPr>
            </w:pPr>
            <w:r>
              <w:rPr>
                <w:sz w:val="21"/>
                <w:szCs w:val="21"/>
              </w:rPr>
              <w:t>1.69</w:t>
            </w:r>
          </w:p>
        </w:tc>
        <w:tc>
          <w:tcPr>
            <w:tcW w:w="990" w:type="dxa"/>
            <w:vAlign w:val="center"/>
          </w:tcPr>
          <w:p>
            <w:pPr>
              <w:widowControl/>
              <w:adjustRightInd w:val="0"/>
              <w:snapToGrid w:val="0"/>
              <w:spacing w:line="240" w:lineRule="auto"/>
              <w:ind w:firstLine="0" w:firstLineChars="0"/>
              <w:jc w:val="center"/>
              <w:textAlignment w:val="center"/>
              <w:rPr>
                <w:kern w:val="0"/>
                <w:sz w:val="21"/>
                <w:szCs w:val="21"/>
              </w:rPr>
            </w:pPr>
          </w:p>
        </w:tc>
        <w:tc>
          <w:tcPr>
            <w:tcW w:w="743" w:type="dxa"/>
            <w:vAlign w:val="center"/>
          </w:tcPr>
          <w:p>
            <w:pPr>
              <w:adjustRightInd w:val="0"/>
              <w:snapToGrid w:val="0"/>
              <w:spacing w:line="240" w:lineRule="auto"/>
              <w:ind w:firstLine="0" w:firstLineChars="0"/>
              <w:jc w:val="center"/>
              <w:rPr>
                <w:kern w:val="0"/>
                <w:sz w:val="21"/>
                <w:szCs w:val="21"/>
              </w:rPr>
            </w:pPr>
          </w:p>
        </w:tc>
        <w:tc>
          <w:tcPr>
            <w:tcW w:w="757"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r>
              <w:rPr>
                <w:kern w:val="0"/>
                <w:sz w:val="21"/>
                <w:szCs w:val="21"/>
              </w:rPr>
              <w:t>0.89</w:t>
            </w: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6" w:type="dxa"/>
            <w:vAlign w:val="center"/>
          </w:tcPr>
          <w:p>
            <w:pPr>
              <w:widowControl/>
              <w:adjustRightInd w:val="0"/>
              <w:snapToGrid w:val="0"/>
              <w:spacing w:line="240" w:lineRule="auto"/>
              <w:ind w:firstLine="0" w:firstLineChars="0"/>
              <w:jc w:val="center"/>
              <w:textAlignment w:val="center"/>
              <w:rPr>
                <w:kern w:val="0"/>
                <w:sz w:val="21"/>
                <w:szCs w:val="21"/>
              </w:rPr>
            </w:pPr>
            <w:r>
              <w:rPr>
                <w:kern w:val="0"/>
                <w:sz w:val="21"/>
                <w:szCs w:val="21"/>
              </w:rPr>
              <w:t>0.71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sz w:val="21"/>
                <w:szCs w:val="21"/>
              </w:rPr>
            </w:pPr>
            <w:r>
              <w:rPr>
                <w:sz w:val="21"/>
                <w:szCs w:val="21"/>
              </w:rPr>
              <w:t>2050</w:t>
            </w:r>
          </w:p>
        </w:tc>
        <w:tc>
          <w:tcPr>
            <w:tcW w:w="1698" w:type="dxa"/>
            <w:vAlign w:val="center"/>
          </w:tcPr>
          <w:p>
            <w:pPr>
              <w:widowControl/>
              <w:spacing w:line="240" w:lineRule="auto"/>
              <w:ind w:firstLine="0" w:firstLineChars="0"/>
              <w:jc w:val="center"/>
              <w:rPr>
                <w:kern w:val="0"/>
                <w:sz w:val="21"/>
                <w:szCs w:val="21"/>
              </w:rPr>
            </w:pPr>
            <w:r>
              <w:rPr>
                <w:kern w:val="0"/>
                <w:sz w:val="21"/>
                <w:szCs w:val="21"/>
              </w:rPr>
              <w:t>风水（砂）枪</w:t>
            </w:r>
          </w:p>
        </w:tc>
        <w:tc>
          <w:tcPr>
            <w:tcW w:w="1110" w:type="dxa"/>
            <w:vAlign w:val="center"/>
          </w:tcPr>
          <w:p>
            <w:pPr>
              <w:widowControl/>
              <w:spacing w:line="240" w:lineRule="auto"/>
              <w:ind w:firstLine="0" w:firstLineChars="0"/>
              <w:jc w:val="center"/>
              <w:rPr>
                <w:kern w:val="0"/>
                <w:sz w:val="21"/>
                <w:szCs w:val="21"/>
              </w:rPr>
            </w:pPr>
            <w:r>
              <w:rPr>
                <w:kern w:val="0"/>
                <w:sz w:val="21"/>
                <w:szCs w:val="21"/>
              </w:rPr>
              <w:t>41.78</w:t>
            </w:r>
          </w:p>
        </w:tc>
        <w:tc>
          <w:tcPr>
            <w:tcW w:w="1020" w:type="dxa"/>
            <w:vAlign w:val="center"/>
          </w:tcPr>
          <w:p>
            <w:pPr>
              <w:spacing w:line="240" w:lineRule="auto"/>
              <w:ind w:firstLine="0" w:firstLineChars="0"/>
              <w:jc w:val="center"/>
              <w:rPr>
                <w:sz w:val="21"/>
                <w:szCs w:val="21"/>
              </w:rPr>
            </w:pPr>
            <w:r>
              <w:rPr>
                <w:sz w:val="21"/>
                <w:szCs w:val="21"/>
              </w:rPr>
              <w:t>0.24</w:t>
            </w:r>
          </w:p>
        </w:tc>
        <w:tc>
          <w:tcPr>
            <w:tcW w:w="1020" w:type="dxa"/>
            <w:vAlign w:val="center"/>
          </w:tcPr>
          <w:p>
            <w:pPr>
              <w:spacing w:line="240" w:lineRule="auto"/>
              <w:ind w:firstLine="0" w:firstLineChars="0"/>
              <w:jc w:val="center"/>
              <w:rPr>
                <w:sz w:val="21"/>
                <w:szCs w:val="21"/>
              </w:rPr>
            </w:pPr>
            <w:r>
              <w:rPr>
                <w:sz w:val="21"/>
                <w:szCs w:val="21"/>
              </w:rPr>
              <w:t>0.42</w:t>
            </w:r>
          </w:p>
        </w:tc>
        <w:tc>
          <w:tcPr>
            <w:tcW w:w="1020" w:type="dxa"/>
            <w:vAlign w:val="center"/>
          </w:tcPr>
          <w:p>
            <w:pPr>
              <w:adjustRightInd w:val="0"/>
              <w:snapToGrid w:val="0"/>
              <w:spacing w:line="240" w:lineRule="auto"/>
              <w:ind w:firstLine="0" w:firstLineChars="0"/>
              <w:jc w:val="center"/>
              <w:rPr>
                <w:sz w:val="21"/>
                <w:szCs w:val="21"/>
              </w:rPr>
            </w:pPr>
          </w:p>
        </w:tc>
        <w:tc>
          <w:tcPr>
            <w:tcW w:w="1020" w:type="dxa"/>
            <w:vAlign w:val="center"/>
          </w:tcPr>
          <w:p>
            <w:pPr>
              <w:adjustRightInd w:val="0"/>
              <w:snapToGrid w:val="0"/>
              <w:spacing w:line="240" w:lineRule="auto"/>
              <w:ind w:firstLine="0" w:firstLineChars="0"/>
              <w:jc w:val="center"/>
              <w:rPr>
                <w:sz w:val="21"/>
                <w:szCs w:val="21"/>
              </w:rPr>
            </w:pPr>
            <w:r>
              <w:rPr>
                <w:sz w:val="21"/>
                <w:szCs w:val="21"/>
              </w:rPr>
              <w:t>0.73</w:t>
            </w:r>
          </w:p>
        </w:tc>
        <w:tc>
          <w:tcPr>
            <w:tcW w:w="990" w:type="dxa"/>
            <w:vAlign w:val="center"/>
          </w:tcPr>
          <w:p>
            <w:pPr>
              <w:widowControl/>
              <w:adjustRightInd w:val="0"/>
              <w:snapToGrid w:val="0"/>
              <w:spacing w:line="240" w:lineRule="auto"/>
              <w:ind w:firstLine="0" w:firstLineChars="0"/>
              <w:jc w:val="center"/>
              <w:textAlignment w:val="center"/>
              <w:rPr>
                <w:kern w:val="0"/>
                <w:sz w:val="21"/>
                <w:szCs w:val="21"/>
              </w:rPr>
            </w:pPr>
          </w:p>
        </w:tc>
        <w:tc>
          <w:tcPr>
            <w:tcW w:w="743" w:type="dxa"/>
            <w:vAlign w:val="center"/>
          </w:tcPr>
          <w:p>
            <w:pPr>
              <w:adjustRightInd w:val="0"/>
              <w:snapToGrid w:val="0"/>
              <w:spacing w:line="240" w:lineRule="auto"/>
              <w:ind w:firstLine="0" w:firstLineChars="0"/>
              <w:jc w:val="center"/>
              <w:rPr>
                <w:kern w:val="0"/>
                <w:sz w:val="21"/>
                <w:szCs w:val="21"/>
              </w:rPr>
            </w:pPr>
          </w:p>
        </w:tc>
        <w:tc>
          <w:tcPr>
            <w:tcW w:w="757"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r>
              <w:rPr>
                <w:kern w:val="0"/>
                <w:sz w:val="21"/>
                <w:szCs w:val="21"/>
              </w:rPr>
              <w:t>202.50</w:t>
            </w:r>
          </w:p>
        </w:tc>
        <w:tc>
          <w:tcPr>
            <w:tcW w:w="830" w:type="dxa"/>
            <w:vAlign w:val="center"/>
          </w:tcPr>
          <w:p>
            <w:pPr>
              <w:adjustRightInd w:val="0"/>
              <w:snapToGrid w:val="0"/>
              <w:spacing w:line="240" w:lineRule="auto"/>
              <w:ind w:firstLine="0" w:firstLineChars="0"/>
              <w:jc w:val="center"/>
              <w:rPr>
                <w:kern w:val="0"/>
                <w:sz w:val="21"/>
                <w:szCs w:val="21"/>
              </w:rPr>
            </w:pPr>
            <w:r>
              <w:rPr>
                <w:kern w:val="0"/>
                <w:sz w:val="21"/>
                <w:szCs w:val="21"/>
              </w:rPr>
              <w:t>4.10</w:t>
            </w:r>
          </w:p>
        </w:tc>
        <w:tc>
          <w:tcPr>
            <w:tcW w:w="830" w:type="dxa"/>
            <w:vAlign w:val="center"/>
          </w:tcPr>
          <w:p>
            <w:pPr>
              <w:adjustRightInd w:val="0"/>
              <w:snapToGrid w:val="0"/>
              <w:spacing w:line="240" w:lineRule="auto"/>
              <w:ind w:firstLine="0" w:firstLineChars="0"/>
              <w:jc w:val="center"/>
              <w:rPr>
                <w:kern w:val="0"/>
                <w:sz w:val="21"/>
                <w:szCs w:val="21"/>
              </w:rPr>
            </w:pPr>
          </w:p>
        </w:tc>
        <w:tc>
          <w:tcPr>
            <w:tcW w:w="836" w:type="dxa"/>
            <w:vAlign w:val="center"/>
          </w:tcPr>
          <w:p>
            <w:pPr>
              <w:widowControl/>
              <w:adjustRightInd w:val="0"/>
              <w:snapToGrid w:val="0"/>
              <w:spacing w:line="240" w:lineRule="auto"/>
              <w:ind w:firstLine="0" w:firstLineChars="0"/>
              <w:jc w:val="center"/>
              <w:textAlignment w:val="center"/>
              <w:rPr>
                <w:kern w:val="0"/>
                <w:sz w:val="21"/>
                <w:szCs w:val="21"/>
              </w:rPr>
            </w:pPr>
            <w:r>
              <w:rPr>
                <w:kern w:val="0"/>
                <w:sz w:val="21"/>
                <w:szCs w:val="21"/>
              </w:rPr>
              <w:t>41.05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sz w:val="21"/>
                <w:szCs w:val="21"/>
              </w:rPr>
            </w:pPr>
            <w:r>
              <w:rPr>
                <w:sz w:val="21"/>
                <w:szCs w:val="21"/>
              </w:rPr>
              <w:t>1043</w:t>
            </w:r>
          </w:p>
        </w:tc>
        <w:tc>
          <w:tcPr>
            <w:tcW w:w="1698" w:type="dxa"/>
            <w:vAlign w:val="center"/>
          </w:tcPr>
          <w:p>
            <w:pPr>
              <w:widowControl/>
              <w:spacing w:line="240" w:lineRule="auto"/>
              <w:ind w:firstLine="0" w:firstLineChars="0"/>
              <w:jc w:val="center"/>
              <w:rPr>
                <w:kern w:val="0"/>
                <w:sz w:val="21"/>
                <w:szCs w:val="21"/>
              </w:rPr>
            </w:pPr>
            <w:r>
              <w:rPr>
                <w:kern w:val="0"/>
                <w:sz w:val="21"/>
                <w:szCs w:val="21"/>
              </w:rPr>
              <w:t>轮式拖拉机37kw</w:t>
            </w:r>
          </w:p>
        </w:tc>
        <w:tc>
          <w:tcPr>
            <w:tcW w:w="1110" w:type="dxa"/>
            <w:vAlign w:val="center"/>
          </w:tcPr>
          <w:p>
            <w:pPr>
              <w:widowControl/>
              <w:spacing w:line="240" w:lineRule="auto"/>
              <w:ind w:firstLine="0" w:firstLineChars="0"/>
              <w:jc w:val="center"/>
              <w:rPr>
                <w:kern w:val="0"/>
                <w:sz w:val="21"/>
                <w:szCs w:val="21"/>
              </w:rPr>
            </w:pPr>
            <w:r>
              <w:rPr>
                <w:kern w:val="0"/>
                <w:sz w:val="21"/>
                <w:szCs w:val="21"/>
              </w:rPr>
              <w:t>74.75</w:t>
            </w:r>
          </w:p>
        </w:tc>
        <w:tc>
          <w:tcPr>
            <w:tcW w:w="1020" w:type="dxa"/>
            <w:vAlign w:val="center"/>
          </w:tcPr>
          <w:p>
            <w:pPr>
              <w:spacing w:line="240" w:lineRule="auto"/>
              <w:ind w:firstLine="0" w:firstLineChars="0"/>
              <w:jc w:val="center"/>
              <w:rPr>
                <w:sz w:val="21"/>
                <w:szCs w:val="21"/>
              </w:rPr>
            </w:pPr>
            <w:r>
              <w:rPr>
                <w:sz w:val="21"/>
                <w:szCs w:val="21"/>
              </w:rPr>
              <w:t>3.04</w:t>
            </w:r>
          </w:p>
        </w:tc>
        <w:tc>
          <w:tcPr>
            <w:tcW w:w="1020" w:type="dxa"/>
            <w:vAlign w:val="center"/>
          </w:tcPr>
          <w:p>
            <w:pPr>
              <w:spacing w:line="240" w:lineRule="auto"/>
              <w:ind w:firstLine="0" w:firstLineChars="0"/>
              <w:jc w:val="center"/>
              <w:rPr>
                <w:sz w:val="21"/>
                <w:szCs w:val="21"/>
              </w:rPr>
            </w:pPr>
            <w:r>
              <w:rPr>
                <w:sz w:val="21"/>
                <w:szCs w:val="21"/>
              </w:rPr>
              <w:t>3.65</w:t>
            </w:r>
          </w:p>
        </w:tc>
        <w:tc>
          <w:tcPr>
            <w:tcW w:w="1020" w:type="dxa"/>
            <w:vAlign w:val="center"/>
          </w:tcPr>
          <w:p>
            <w:pPr>
              <w:adjustRightInd w:val="0"/>
              <w:snapToGrid w:val="0"/>
              <w:spacing w:line="240" w:lineRule="auto"/>
              <w:ind w:firstLine="0" w:firstLineChars="0"/>
              <w:jc w:val="center"/>
              <w:rPr>
                <w:sz w:val="21"/>
                <w:szCs w:val="21"/>
              </w:rPr>
            </w:pPr>
            <w:r>
              <w:rPr>
                <w:sz w:val="21"/>
                <w:szCs w:val="21"/>
              </w:rPr>
              <w:t>0.16</w:t>
            </w:r>
          </w:p>
        </w:tc>
        <w:tc>
          <w:tcPr>
            <w:tcW w:w="1020" w:type="dxa"/>
            <w:vAlign w:val="center"/>
          </w:tcPr>
          <w:p>
            <w:pPr>
              <w:adjustRightInd w:val="0"/>
              <w:snapToGrid w:val="0"/>
              <w:spacing w:line="240" w:lineRule="auto"/>
              <w:ind w:firstLine="0" w:firstLineChars="0"/>
              <w:jc w:val="center"/>
              <w:rPr>
                <w:sz w:val="21"/>
                <w:szCs w:val="21"/>
              </w:rPr>
            </w:pPr>
            <w:r>
              <w:rPr>
                <w:sz w:val="21"/>
                <w:szCs w:val="21"/>
              </w:rPr>
              <w:t>7.57</w:t>
            </w:r>
          </w:p>
        </w:tc>
        <w:tc>
          <w:tcPr>
            <w:tcW w:w="990" w:type="dxa"/>
            <w:vAlign w:val="center"/>
          </w:tcPr>
          <w:p>
            <w:pPr>
              <w:widowControl/>
              <w:adjustRightInd w:val="0"/>
              <w:snapToGrid w:val="0"/>
              <w:spacing w:line="240" w:lineRule="auto"/>
              <w:ind w:firstLine="0" w:firstLineChars="0"/>
              <w:jc w:val="center"/>
              <w:textAlignment w:val="center"/>
              <w:rPr>
                <w:kern w:val="0"/>
                <w:sz w:val="21"/>
                <w:szCs w:val="21"/>
              </w:rPr>
            </w:pPr>
            <w:r>
              <w:rPr>
                <w:kern w:val="0"/>
                <w:sz w:val="21"/>
                <w:szCs w:val="21"/>
              </w:rPr>
              <w:t>1.30</w:t>
            </w:r>
          </w:p>
        </w:tc>
        <w:tc>
          <w:tcPr>
            <w:tcW w:w="743" w:type="dxa"/>
            <w:vAlign w:val="center"/>
          </w:tcPr>
          <w:p>
            <w:pPr>
              <w:adjustRightInd w:val="0"/>
              <w:snapToGrid w:val="0"/>
              <w:spacing w:line="240" w:lineRule="auto"/>
              <w:ind w:firstLine="0" w:firstLineChars="0"/>
              <w:jc w:val="center"/>
              <w:rPr>
                <w:kern w:val="0"/>
                <w:sz w:val="21"/>
                <w:szCs w:val="21"/>
              </w:rPr>
            </w:pPr>
          </w:p>
        </w:tc>
        <w:tc>
          <w:tcPr>
            <w:tcW w:w="757" w:type="dxa"/>
            <w:vAlign w:val="center"/>
          </w:tcPr>
          <w:p>
            <w:pPr>
              <w:adjustRightInd w:val="0"/>
              <w:snapToGrid w:val="0"/>
              <w:spacing w:line="240" w:lineRule="auto"/>
              <w:ind w:firstLine="0" w:firstLineChars="0"/>
              <w:jc w:val="center"/>
              <w:rPr>
                <w:kern w:val="0"/>
                <w:sz w:val="21"/>
                <w:szCs w:val="21"/>
              </w:rPr>
            </w:pPr>
            <w:r>
              <w:rPr>
                <w:kern w:val="0"/>
                <w:sz w:val="21"/>
                <w:szCs w:val="21"/>
              </w:rPr>
              <w:t>5.0</w:t>
            </w: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6" w:type="dxa"/>
            <w:vAlign w:val="center"/>
          </w:tcPr>
          <w:p>
            <w:pPr>
              <w:widowControl/>
              <w:adjustRightInd w:val="0"/>
              <w:snapToGrid w:val="0"/>
              <w:spacing w:line="240" w:lineRule="auto"/>
              <w:ind w:firstLine="0" w:firstLineChars="0"/>
              <w:jc w:val="center"/>
              <w:textAlignment w:val="center"/>
              <w:rPr>
                <w:kern w:val="0"/>
                <w:sz w:val="21"/>
                <w:szCs w:val="21"/>
              </w:rPr>
            </w:pPr>
            <w:r>
              <w:rPr>
                <w:kern w:val="0"/>
                <w:sz w:val="21"/>
                <w:szCs w:val="21"/>
              </w:rPr>
              <w:t>67.18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sz w:val="21"/>
                <w:szCs w:val="21"/>
              </w:rPr>
            </w:pPr>
            <w:r>
              <w:rPr>
                <w:sz w:val="21"/>
                <w:szCs w:val="21"/>
              </w:rPr>
              <w:t>2002</w:t>
            </w:r>
          </w:p>
        </w:tc>
        <w:tc>
          <w:tcPr>
            <w:tcW w:w="1698" w:type="dxa"/>
            <w:vAlign w:val="center"/>
          </w:tcPr>
          <w:p>
            <w:pPr>
              <w:widowControl/>
              <w:spacing w:line="240" w:lineRule="auto"/>
              <w:ind w:firstLine="0" w:firstLineChars="0"/>
              <w:jc w:val="center"/>
              <w:rPr>
                <w:kern w:val="0"/>
                <w:sz w:val="21"/>
                <w:szCs w:val="21"/>
              </w:rPr>
            </w:pPr>
            <w:r>
              <w:rPr>
                <w:kern w:val="0"/>
                <w:sz w:val="21"/>
                <w:szCs w:val="21"/>
              </w:rPr>
              <w:t>混凝土搅拌机0.4m</w:t>
            </w:r>
          </w:p>
        </w:tc>
        <w:tc>
          <w:tcPr>
            <w:tcW w:w="1110" w:type="dxa"/>
            <w:vAlign w:val="center"/>
          </w:tcPr>
          <w:p>
            <w:pPr>
              <w:widowControl/>
              <w:spacing w:line="240" w:lineRule="auto"/>
              <w:ind w:firstLine="0" w:firstLineChars="0"/>
              <w:jc w:val="center"/>
              <w:rPr>
                <w:kern w:val="0"/>
                <w:sz w:val="21"/>
                <w:szCs w:val="21"/>
              </w:rPr>
            </w:pPr>
            <w:r>
              <w:rPr>
                <w:kern w:val="0"/>
                <w:sz w:val="21"/>
                <w:szCs w:val="21"/>
              </w:rPr>
              <w:t>43.94</w:t>
            </w:r>
          </w:p>
        </w:tc>
        <w:tc>
          <w:tcPr>
            <w:tcW w:w="1020" w:type="dxa"/>
            <w:vAlign w:val="center"/>
          </w:tcPr>
          <w:p>
            <w:pPr>
              <w:spacing w:line="240" w:lineRule="auto"/>
              <w:ind w:firstLine="0" w:firstLineChars="0"/>
              <w:jc w:val="center"/>
              <w:rPr>
                <w:sz w:val="21"/>
                <w:szCs w:val="21"/>
              </w:rPr>
            </w:pPr>
            <w:r>
              <w:rPr>
                <w:sz w:val="21"/>
                <w:szCs w:val="21"/>
              </w:rPr>
              <w:t>3.29</w:t>
            </w:r>
          </w:p>
        </w:tc>
        <w:tc>
          <w:tcPr>
            <w:tcW w:w="1020" w:type="dxa"/>
            <w:vAlign w:val="center"/>
          </w:tcPr>
          <w:p>
            <w:pPr>
              <w:spacing w:line="240" w:lineRule="auto"/>
              <w:ind w:firstLine="0" w:firstLineChars="0"/>
              <w:jc w:val="center"/>
              <w:rPr>
                <w:sz w:val="21"/>
                <w:szCs w:val="21"/>
              </w:rPr>
            </w:pPr>
            <w:r>
              <w:rPr>
                <w:sz w:val="21"/>
                <w:szCs w:val="21"/>
              </w:rPr>
              <w:t>5.34</w:t>
            </w:r>
          </w:p>
        </w:tc>
        <w:tc>
          <w:tcPr>
            <w:tcW w:w="1020" w:type="dxa"/>
            <w:vAlign w:val="center"/>
          </w:tcPr>
          <w:p>
            <w:pPr>
              <w:adjustRightInd w:val="0"/>
              <w:snapToGrid w:val="0"/>
              <w:spacing w:line="240" w:lineRule="auto"/>
              <w:ind w:firstLine="0" w:firstLineChars="0"/>
              <w:jc w:val="center"/>
              <w:rPr>
                <w:sz w:val="21"/>
                <w:szCs w:val="21"/>
              </w:rPr>
            </w:pPr>
            <w:r>
              <w:rPr>
                <w:sz w:val="21"/>
                <w:szCs w:val="21"/>
              </w:rPr>
              <w:t>1.07</w:t>
            </w:r>
          </w:p>
        </w:tc>
        <w:tc>
          <w:tcPr>
            <w:tcW w:w="1020" w:type="dxa"/>
            <w:vAlign w:val="center"/>
          </w:tcPr>
          <w:p>
            <w:pPr>
              <w:adjustRightInd w:val="0"/>
              <w:snapToGrid w:val="0"/>
              <w:spacing w:line="240" w:lineRule="auto"/>
              <w:ind w:firstLine="0" w:firstLineChars="0"/>
              <w:jc w:val="center"/>
              <w:rPr>
                <w:sz w:val="21"/>
                <w:szCs w:val="21"/>
              </w:rPr>
            </w:pPr>
            <w:r>
              <w:rPr>
                <w:sz w:val="21"/>
                <w:szCs w:val="21"/>
              </w:rPr>
              <w:t>10.61</w:t>
            </w:r>
          </w:p>
        </w:tc>
        <w:tc>
          <w:tcPr>
            <w:tcW w:w="990" w:type="dxa"/>
            <w:vAlign w:val="center"/>
          </w:tcPr>
          <w:p>
            <w:pPr>
              <w:widowControl/>
              <w:adjustRightInd w:val="0"/>
              <w:snapToGrid w:val="0"/>
              <w:spacing w:line="240" w:lineRule="auto"/>
              <w:ind w:firstLine="0" w:firstLineChars="0"/>
              <w:jc w:val="center"/>
              <w:textAlignment w:val="center"/>
              <w:rPr>
                <w:kern w:val="0"/>
                <w:sz w:val="21"/>
                <w:szCs w:val="21"/>
              </w:rPr>
            </w:pPr>
          </w:p>
        </w:tc>
        <w:tc>
          <w:tcPr>
            <w:tcW w:w="743" w:type="dxa"/>
            <w:vAlign w:val="center"/>
          </w:tcPr>
          <w:p>
            <w:pPr>
              <w:adjustRightInd w:val="0"/>
              <w:snapToGrid w:val="0"/>
              <w:spacing w:line="240" w:lineRule="auto"/>
              <w:ind w:firstLine="0" w:firstLineChars="0"/>
              <w:jc w:val="center"/>
              <w:rPr>
                <w:kern w:val="0"/>
                <w:sz w:val="21"/>
                <w:szCs w:val="21"/>
              </w:rPr>
            </w:pPr>
          </w:p>
        </w:tc>
        <w:tc>
          <w:tcPr>
            <w:tcW w:w="757"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r>
              <w:rPr>
                <w:kern w:val="0"/>
                <w:sz w:val="21"/>
                <w:szCs w:val="21"/>
              </w:rPr>
              <w:t>8.60</w:t>
            </w: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0" w:type="dxa"/>
            <w:vAlign w:val="center"/>
          </w:tcPr>
          <w:p>
            <w:pPr>
              <w:adjustRightInd w:val="0"/>
              <w:snapToGrid w:val="0"/>
              <w:spacing w:line="240" w:lineRule="auto"/>
              <w:ind w:firstLine="0" w:firstLineChars="0"/>
              <w:jc w:val="center"/>
              <w:rPr>
                <w:kern w:val="0"/>
                <w:sz w:val="21"/>
                <w:szCs w:val="21"/>
              </w:rPr>
            </w:pPr>
          </w:p>
        </w:tc>
        <w:tc>
          <w:tcPr>
            <w:tcW w:w="836" w:type="dxa"/>
            <w:vAlign w:val="center"/>
          </w:tcPr>
          <w:p>
            <w:pPr>
              <w:widowControl/>
              <w:adjustRightInd w:val="0"/>
              <w:snapToGrid w:val="0"/>
              <w:spacing w:line="240" w:lineRule="auto"/>
              <w:ind w:firstLine="0" w:firstLineChars="0"/>
              <w:jc w:val="center"/>
              <w:textAlignment w:val="center"/>
              <w:rPr>
                <w:kern w:val="0"/>
                <w:sz w:val="21"/>
                <w:szCs w:val="21"/>
              </w:rPr>
            </w:pPr>
            <w:r>
              <w:rPr>
                <w:kern w:val="0"/>
                <w:sz w:val="21"/>
                <w:szCs w:val="21"/>
              </w:rPr>
              <w:t>33.33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sz w:val="21"/>
                <w:szCs w:val="21"/>
              </w:rPr>
            </w:pPr>
            <w:r>
              <w:rPr>
                <w:kern w:val="0"/>
                <w:sz w:val="21"/>
                <w:szCs w:val="21"/>
              </w:rPr>
              <w:t>1031</w:t>
            </w:r>
          </w:p>
        </w:tc>
        <w:tc>
          <w:tcPr>
            <w:tcW w:w="1698" w:type="dxa"/>
            <w:vAlign w:val="center"/>
          </w:tcPr>
          <w:p>
            <w:pPr>
              <w:widowControl/>
              <w:spacing w:line="240" w:lineRule="auto"/>
              <w:ind w:firstLine="0" w:firstLineChars="0"/>
              <w:jc w:val="center"/>
              <w:textAlignment w:val="center"/>
              <w:rPr>
                <w:kern w:val="0"/>
                <w:sz w:val="21"/>
                <w:szCs w:val="21"/>
              </w:rPr>
            </w:pPr>
            <w:r>
              <w:rPr>
                <w:kern w:val="0"/>
                <w:sz w:val="21"/>
                <w:szCs w:val="21"/>
              </w:rPr>
              <w:t>推土机74KW</w:t>
            </w:r>
          </w:p>
        </w:tc>
        <w:tc>
          <w:tcPr>
            <w:tcW w:w="1110" w:type="dxa"/>
            <w:vAlign w:val="center"/>
          </w:tcPr>
          <w:p>
            <w:pPr>
              <w:widowControl/>
              <w:spacing w:line="240" w:lineRule="auto"/>
              <w:ind w:firstLine="0" w:firstLineChars="0"/>
              <w:jc w:val="center"/>
              <w:rPr>
                <w:kern w:val="0"/>
                <w:sz w:val="21"/>
                <w:szCs w:val="21"/>
              </w:rPr>
            </w:pPr>
            <w:r>
              <w:rPr>
                <w:kern w:val="0"/>
                <w:sz w:val="21"/>
                <w:szCs w:val="21"/>
              </w:rPr>
              <w:t>182.57</w:t>
            </w:r>
          </w:p>
        </w:tc>
        <w:tc>
          <w:tcPr>
            <w:tcW w:w="1020" w:type="dxa"/>
            <w:vAlign w:val="center"/>
          </w:tcPr>
          <w:p>
            <w:pPr>
              <w:spacing w:line="240" w:lineRule="auto"/>
              <w:ind w:firstLine="0" w:firstLineChars="0"/>
              <w:jc w:val="center"/>
              <w:rPr>
                <w:sz w:val="21"/>
                <w:szCs w:val="21"/>
              </w:rPr>
            </w:pPr>
            <w:r>
              <w:rPr>
                <w:kern w:val="0"/>
                <w:sz w:val="21"/>
                <w:szCs w:val="21"/>
              </w:rPr>
              <w:t>19.0</w:t>
            </w:r>
          </w:p>
        </w:tc>
        <w:tc>
          <w:tcPr>
            <w:tcW w:w="1020" w:type="dxa"/>
            <w:vAlign w:val="center"/>
          </w:tcPr>
          <w:p>
            <w:pPr>
              <w:spacing w:line="240" w:lineRule="auto"/>
              <w:ind w:firstLine="0" w:firstLineChars="0"/>
              <w:jc w:val="center"/>
              <w:rPr>
                <w:sz w:val="21"/>
                <w:szCs w:val="21"/>
              </w:rPr>
            </w:pPr>
            <w:r>
              <w:rPr>
                <w:sz w:val="21"/>
                <w:szCs w:val="21"/>
              </w:rPr>
              <w:t>22.81</w:t>
            </w:r>
          </w:p>
        </w:tc>
        <w:tc>
          <w:tcPr>
            <w:tcW w:w="1020" w:type="dxa"/>
            <w:vAlign w:val="center"/>
          </w:tcPr>
          <w:p>
            <w:pPr>
              <w:spacing w:line="240" w:lineRule="auto"/>
              <w:ind w:firstLine="0" w:firstLineChars="0"/>
              <w:jc w:val="center"/>
              <w:rPr>
                <w:sz w:val="21"/>
                <w:szCs w:val="21"/>
              </w:rPr>
            </w:pPr>
            <w:r>
              <w:rPr>
                <w:sz w:val="21"/>
                <w:szCs w:val="21"/>
              </w:rPr>
              <w:t>0.86</w:t>
            </w:r>
          </w:p>
        </w:tc>
        <w:tc>
          <w:tcPr>
            <w:tcW w:w="1020" w:type="dxa"/>
            <w:vAlign w:val="center"/>
          </w:tcPr>
          <w:p>
            <w:pPr>
              <w:spacing w:line="240" w:lineRule="auto"/>
              <w:ind w:firstLine="0" w:firstLineChars="0"/>
              <w:jc w:val="center"/>
              <w:rPr>
                <w:sz w:val="21"/>
                <w:szCs w:val="21"/>
              </w:rPr>
            </w:pPr>
            <w:r>
              <w:rPr>
                <w:sz w:val="21"/>
                <w:szCs w:val="21"/>
              </w:rPr>
              <w:t>47.19</w:t>
            </w:r>
          </w:p>
        </w:tc>
        <w:tc>
          <w:tcPr>
            <w:tcW w:w="990" w:type="dxa"/>
            <w:vAlign w:val="center"/>
          </w:tcPr>
          <w:p>
            <w:pPr>
              <w:widowControl/>
              <w:spacing w:line="240" w:lineRule="auto"/>
              <w:ind w:firstLine="0" w:firstLineChars="0"/>
              <w:jc w:val="center"/>
              <w:textAlignment w:val="center"/>
              <w:rPr>
                <w:kern w:val="0"/>
                <w:sz w:val="21"/>
                <w:szCs w:val="21"/>
              </w:rPr>
            </w:pPr>
            <w:r>
              <w:rPr>
                <w:kern w:val="0"/>
                <w:sz w:val="21"/>
                <w:szCs w:val="21"/>
              </w:rPr>
              <w:t>2.40</w:t>
            </w: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r>
              <w:rPr>
                <w:kern w:val="0"/>
                <w:sz w:val="21"/>
                <w:szCs w:val="21"/>
              </w:rPr>
              <w:t>10.60</w:t>
            </w: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135.38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kern w:val="0"/>
                <w:sz w:val="21"/>
                <w:szCs w:val="21"/>
              </w:rPr>
              <w:t>1078</w:t>
            </w:r>
          </w:p>
        </w:tc>
        <w:tc>
          <w:tcPr>
            <w:tcW w:w="1698" w:type="dxa"/>
            <w:vAlign w:val="center"/>
          </w:tcPr>
          <w:p>
            <w:pPr>
              <w:widowControl/>
              <w:spacing w:line="240" w:lineRule="auto"/>
              <w:ind w:firstLine="0" w:firstLineChars="0"/>
              <w:jc w:val="center"/>
              <w:textAlignment w:val="center"/>
              <w:rPr>
                <w:kern w:val="0"/>
                <w:sz w:val="21"/>
                <w:szCs w:val="21"/>
              </w:rPr>
            </w:pPr>
            <w:r>
              <w:rPr>
                <w:kern w:val="0"/>
                <w:sz w:val="21"/>
                <w:szCs w:val="21"/>
              </w:rPr>
              <w:t>手持式风钻</w:t>
            </w:r>
          </w:p>
        </w:tc>
        <w:tc>
          <w:tcPr>
            <w:tcW w:w="1110" w:type="dxa"/>
            <w:vAlign w:val="center"/>
          </w:tcPr>
          <w:p>
            <w:pPr>
              <w:widowControl/>
              <w:spacing w:line="240" w:lineRule="auto"/>
              <w:ind w:firstLine="0" w:firstLineChars="0"/>
              <w:jc w:val="center"/>
              <w:rPr>
                <w:kern w:val="0"/>
                <w:sz w:val="21"/>
                <w:szCs w:val="21"/>
              </w:rPr>
            </w:pPr>
            <w:r>
              <w:rPr>
                <w:kern w:val="0"/>
                <w:sz w:val="21"/>
                <w:szCs w:val="21"/>
              </w:rPr>
              <w:t>32.12</w:t>
            </w:r>
          </w:p>
        </w:tc>
        <w:tc>
          <w:tcPr>
            <w:tcW w:w="1020" w:type="dxa"/>
            <w:vAlign w:val="center"/>
          </w:tcPr>
          <w:p>
            <w:pPr>
              <w:spacing w:line="240" w:lineRule="auto"/>
              <w:ind w:firstLine="0" w:firstLineChars="0"/>
              <w:jc w:val="center"/>
              <w:rPr>
                <w:kern w:val="0"/>
                <w:sz w:val="21"/>
                <w:szCs w:val="21"/>
              </w:rPr>
            </w:pPr>
            <w:r>
              <w:rPr>
                <w:kern w:val="0"/>
                <w:sz w:val="21"/>
                <w:szCs w:val="21"/>
              </w:rPr>
              <w:t>0.54</w:t>
            </w:r>
          </w:p>
        </w:tc>
        <w:tc>
          <w:tcPr>
            <w:tcW w:w="1020" w:type="dxa"/>
            <w:vAlign w:val="center"/>
          </w:tcPr>
          <w:p>
            <w:pPr>
              <w:spacing w:line="240" w:lineRule="auto"/>
              <w:ind w:firstLine="0" w:firstLineChars="0"/>
              <w:jc w:val="center"/>
              <w:rPr>
                <w:sz w:val="21"/>
                <w:szCs w:val="21"/>
              </w:rPr>
            </w:pPr>
            <w:r>
              <w:rPr>
                <w:sz w:val="21"/>
                <w:szCs w:val="21"/>
              </w:rPr>
              <w:t>1.89</w:t>
            </w:r>
          </w:p>
        </w:tc>
        <w:tc>
          <w:tcPr>
            <w:tcW w:w="1020" w:type="dxa"/>
            <w:vAlign w:val="center"/>
          </w:tcPr>
          <w:p>
            <w:pPr>
              <w:spacing w:line="240" w:lineRule="auto"/>
              <w:ind w:firstLine="0" w:firstLineChars="0"/>
              <w:jc w:val="center"/>
              <w:rPr>
                <w:sz w:val="21"/>
                <w:szCs w:val="21"/>
              </w:rPr>
            </w:pPr>
          </w:p>
        </w:tc>
        <w:tc>
          <w:tcPr>
            <w:tcW w:w="1020" w:type="dxa"/>
            <w:vAlign w:val="center"/>
          </w:tcPr>
          <w:p>
            <w:pPr>
              <w:spacing w:line="240" w:lineRule="auto"/>
              <w:ind w:firstLine="0" w:firstLineChars="0"/>
              <w:jc w:val="center"/>
              <w:rPr>
                <w:sz w:val="21"/>
                <w:szCs w:val="21"/>
              </w:rPr>
            </w:pPr>
            <w:r>
              <w:rPr>
                <w:sz w:val="21"/>
                <w:szCs w:val="21"/>
              </w:rPr>
              <w:t>2.67</w:t>
            </w:r>
          </w:p>
        </w:tc>
        <w:tc>
          <w:tcPr>
            <w:tcW w:w="990" w:type="dxa"/>
            <w:vAlign w:val="center"/>
          </w:tcPr>
          <w:p>
            <w:pPr>
              <w:widowControl/>
              <w:spacing w:line="240" w:lineRule="auto"/>
              <w:ind w:firstLine="0" w:firstLineChars="0"/>
              <w:jc w:val="center"/>
              <w:textAlignment w:val="center"/>
              <w:rPr>
                <w:kern w:val="0"/>
                <w:sz w:val="21"/>
                <w:szCs w:val="21"/>
              </w:rPr>
            </w:pP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r>
              <w:rPr>
                <w:kern w:val="0"/>
                <w:sz w:val="21"/>
                <w:szCs w:val="21"/>
              </w:rPr>
              <w:t>180.10</w:t>
            </w:r>
          </w:p>
        </w:tc>
        <w:tc>
          <w:tcPr>
            <w:tcW w:w="830" w:type="dxa"/>
            <w:vAlign w:val="center"/>
          </w:tcPr>
          <w:p>
            <w:pPr>
              <w:spacing w:line="240" w:lineRule="auto"/>
              <w:ind w:firstLine="0" w:firstLineChars="0"/>
              <w:jc w:val="center"/>
              <w:rPr>
                <w:kern w:val="0"/>
                <w:sz w:val="21"/>
                <w:szCs w:val="21"/>
              </w:rPr>
            </w:pPr>
            <w:r>
              <w:rPr>
                <w:kern w:val="0"/>
                <w:sz w:val="21"/>
                <w:szCs w:val="21"/>
              </w:rPr>
              <w:t>0.30</w:t>
            </w: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29.45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kern w:val="0"/>
                <w:sz w:val="21"/>
                <w:szCs w:val="21"/>
              </w:rPr>
              <w:t>8030</w:t>
            </w:r>
          </w:p>
        </w:tc>
        <w:tc>
          <w:tcPr>
            <w:tcW w:w="1698" w:type="dxa"/>
            <w:vAlign w:val="center"/>
          </w:tcPr>
          <w:p>
            <w:pPr>
              <w:widowControl/>
              <w:spacing w:line="240" w:lineRule="auto"/>
              <w:ind w:firstLine="0" w:firstLineChars="0"/>
              <w:jc w:val="center"/>
              <w:textAlignment w:val="center"/>
              <w:rPr>
                <w:kern w:val="0"/>
                <w:sz w:val="21"/>
                <w:szCs w:val="21"/>
              </w:rPr>
            </w:pPr>
            <w:r>
              <w:rPr>
                <w:kern w:val="0"/>
                <w:sz w:val="21"/>
                <w:szCs w:val="21"/>
              </w:rPr>
              <w:t>钢筋调直机4~14kw</w:t>
            </w:r>
          </w:p>
        </w:tc>
        <w:tc>
          <w:tcPr>
            <w:tcW w:w="1110" w:type="dxa"/>
            <w:vAlign w:val="center"/>
          </w:tcPr>
          <w:p>
            <w:pPr>
              <w:widowControl/>
              <w:spacing w:line="240" w:lineRule="auto"/>
              <w:ind w:firstLine="0" w:firstLineChars="0"/>
              <w:jc w:val="center"/>
              <w:rPr>
                <w:kern w:val="0"/>
                <w:sz w:val="21"/>
                <w:szCs w:val="21"/>
              </w:rPr>
            </w:pPr>
            <w:r>
              <w:rPr>
                <w:kern w:val="0"/>
                <w:sz w:val="21"/>
                <w:szCs w:val="21"/>
              </w:rPr>
              <w:t>37.26</w:t>
            </w:r>
          </w:p>
        </w:tc>
        <w:tc>
          <w:tcPr>
            <w:tcW w:w="1020" w:type="dxa"/>
            <w:vAlign w:val="center"/>
          </w:tcPr>
          <w:p>
            <w:pPr>
              <w:spacing w:line="240" w:lineRule="auto"/>
              <w:ind w:firstLine="0" w:firstLineChars="0"/>
              <w:jc w:val="center"/>
              <w:rPr>
                <w:kern w:val="0"/>
                <w:sz w:val="21"/>
                <w:szCs w:val="21"/>
              </w:rPr>
            </w:pPr>
            <w:r>
              <w:rPr>
                <w:kern w:val="0"/>
                <w:sz w:val="21"/>
                <w:szCs w:val="21"/>
              </w:rPr>
              <w:t>1.60</w:t>
            </w:r>
          </w:p>
        </w:tc>
        <w:tc>
          <w:tcPr>
            <w:tcW w:w="1020" w:type="dxa"/>
            <w:vAlign w:val="center"/>
          </w:tcPr>
          <w:p>
            <w:pPr>
              <w:spacing w:line="240" w:lineRule="auto"/>
              <w:ind w:firstLine="0" w:firstLineChars="0"/>
              <w:jc w:val="center"/>
              <w:rPr>
                <w:sz w:val="21"/>
                <w:szCs w:val="21"/>
              </w:rPr>
            </w:pPr>
            <w:r>
              <w:rPr>
                <w:sz w:val="21"/>
                <w:szCs w:val="21"/>
              </w:rPr>
              <w:t>2.69</w:t>
            </w:r>
          </w:p>
        </w:tc>
        <w:tc>
          <w:tcPr>
            <w:tcW w:w="1020" w:type="dxa"/>
            <w:vAlign w:val="center"/>
          </w:tcPr>
          <w:p>
            <w:pPr>
              <w:spacing w:line="240" w:lineRule="auto"/>
              <w:ind w:firstLine="0" w:firstLineChars="0"/>
              <w:jc w:val="center"/>
              <w:rPr>
                <w:sz w:val="21"/>
                <w:szCs w:val="21"/>
              </w:rPr>
            </w:pPr>
            <w:r>
              <w:rPr>
                <w:sz w:val="21"/>
                <w:szCs w:val="21"/>
              </w:rPr>
              <w:t>0.44</w:t>
            </w:r>
          </w:p>
        </w:tc>
        <w:tc>
          <w:tcPr>
            <w:tcW w:w="1020" w:type="dxa"/>
            <w:vAlign w:val="center"/>
          </w:tcPr>
          <w:p>
            <w:pPr>
              <w:spacing w:line="240" w:lineRule="auto"/>
              <w:ind w:firstLine="0" w:firstLineChars="0"/>
              <w:jc w:val="center"/>
              <w:rPr>
                <w:sz w:val="21"/>
                <w:szCs w:val="21"/>
              </w:rPr>
            </w:pPr>
            <w:r>
              <w:rPr>
                <w:sz w:val="21"/>
                <w:szCs w:val="21"/>
              </w:rPr>
              <w:t>5.18</w:t>
            </w:r>
          </w:p>
        </w:tc>
        <w:tc>
          <w:tcPr>
            <w:tcW w:w="990" w:type="dxa"/>
            <w:vAlign w:val="center"/>
          </w:tcPr>
          <w:p>
            <w:pPr>
              <w:widowControl/>
              <w:spacing w:line="240" w:lineRule="auto"/>
              <w:ind w:firstLine="0" w:firstLineChars="0"/>
              <w:jc w:val="center"/>
              <w:textAlignment w:val="center"/>
              <w:rPr>
                <w:kern w:val="0"/>
                <w:sz w:val="21"/>
                <w:szCs w:val="21"/>
              </w:rPr>
            </w:pPr>
            <w:r>
              <w:rPr>
                <w:kern w:val="0"/>
                <w:sz w:val="21"/>
                <w:szCs w:val="21"/>
              </w:rPr>
              <w:t>1.30</w:t>
            </w: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r>
              <w:rPr>
                <w:kern w:val="0"/>
                <w:sz w:val="21"/>
                <w:szCs w:val="21"/>
              </w:rPr>
              <w:t>7.20</w:t>
            </w: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32.08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kern w:val="0"/>
                <w:sz w:val="21"/>
                <w:szCs w:val="21"/>
              </w:rPr>
              <w:t>8029</w:t>
            </w:r>
          </w:p>
        </w:tc>
        <w:tc>
          <w:tcPr>
            <w:tcW w:w="1698" w:type="dxa"/>
            <w:vAlign w:val="center"/>
          </w:tcPr>
          <w:p>
            <w:pPr>
              <w:widowControl/>
              <w:spacing w:line="240" w:lineRule="auto"/>
              <w:ind w:firstLine="0" w:firstLineChars="0"/>
              <w:jc w:val="center"/>
              <w:textAlignment w:val="center"/>
              <w:rPr>
                <w:kern w:val="0"/>
                <w:sz w:val="21"/>
                <w:szCs w:val="21"/>
              </w:rPr>
            </w:pPr>
            <w:r>
              <w:rPr>
                <w:kern w:val="0"/>
                <w:sz w:val="21"/>
                <w:szCs w:val="21"/>
              </w:rPr>
              <w:t>钢筋切断机20kw</w:t>
            </w:r>
          </w:p>
        </w:tc>
        <w:tc>
          <w:tcPr>
            <w:tcW w:w="1110" w:type="dxa"/>
            <w:vAlign w:val="center"/>
          </w:tcPr>
          <w:p>
            <w:pPr>
              <w:widowControl/>
              <w:spacing w:line="240" w:lineRule="auto"/>
              <w:ind w:firstLine="0" w:firstLineChars="0"/>
              <w:jc w:val="center"/>
              <w:rPr>
                <w:kern w:val="0"/>
                <w:sz w:val="21"/>
                <w:szCs w:val="21"/>
              </w:rPr>
            </w:pPr>
            <w:r>
              <w:rPr>
                <w:kern w:val="0"/>
                <w:sz w:val="21"/>
                <w:szCs w:val="21"/>
              </w:rPr>
              <w:t>44.46</w:t>
            </w:r>
          </w:p>
        </w:tc>
        <w:tc>
          <w:tcPr>
            <w:tcW w:w="1020" w:type="dxa"/>
            <w:vAlign w:val="center"/>
          </w:tcPr>
          <w:p>
            <w:pPr>
              <w:spacing w:line="240" w:lineRule="auto"/>
              <w:ind w:firstLine="0" w:firstLineChars="0"/>
              <w:jc w:val="center"/>
              <w:rPr>
                <w:kern w:val="0"/>
                <w:sz w:val="21"/>
                <w:szCs w:val="21"/>
              </w:rPr>
            </w:pPr>
            <w:r>
              <w:rPr>
                <w:kern w:val="0"/>
                <w:sz w:val="21"/>
                <w:szCs w:val="21"/>
              </w:rPr>
              <w:t>1.18</w:t>
            </w:r>
          </w:p>
        </w:tc>
        <w:tc>
          <w:tcPr>
            <w:tcW w:w="1020" w:type="dxa"/>
            <w:vAlign w:val="center"/>
          </w:tcPr>
          <w:p>
            <w:pPr>
              <w:spacing w:line="240" w:lineRule="auto"/>
              <w:ind w:firstLine="0" w:firstLineChars="0"/>
              <w:jc w:val="center"/>
              <w:rPr>
                <w:sz w:val="21"/>
                <w:szCs w:val="21"/>
              </w:rPr>
            </w:pPr>
            <w:r>
              <w:rPr>
                <w:sz w:val="21"/>
                <w:szCs w:val="21"/>
              </w:rPr>
              <w:t>1.71</w:t>
            </w:r>
          </w:p>
        </w:tc>
        <w:tc>
          <w:tcPr>
            <w:tcW w:w="1020" w:type="dxa"/>
            <w:vAlign w:val="center"/>
          </w:tcPr>
          <w:p>
            <w:pPr>
              <w:spacing w:line="240" w:lineRule="auto"/>
              <w:ind w:firstLine="0" w:firstLineChars="0"/>
              <w:jc w:val="center"/>
              <w:rPr>
                <w:sz w:val="21"/>
                <w:szCs w:val="21"/>
              </w:rPr>
            </w:pPr>
            <w:r>
              <w:rPr>
                <w:sz w:val="21"/>
                <w:szCs w:val="21"/>
              </w:rPr>
              <w:t>0.28</w:t>
            </w:r>
          </w:p>
        </w:tc>
        <w:tc>
          <w:tcPr>
            <w:tcW w:w="1020" w:type="dxa"/>
            <w:vAlign w:val="center"/>
          </w:tcPr>
          <w:p>
            <w:pPr>
              <w:spacing w:line="240" w:lineRule="auto"/>
              <w:ind w:firstLine="0" w:firstLineChars="0"/>
              <w:jc w:val="center"/>
              <w:rPr>
                <w:sz w:val="21"/>
                <w:szCs w:val="21"/>
              </w:rPr>
            </w:pPr>
            <w:r>
              <w:rPr>
                <w:sz w:val="21"/>
                <w:szCs w:val="21"/>
              </w:rPr>
              <w:t>3.48</w:t>
            </w:r>
          </w:p>
        </w:tc>
        <w:tc>
          <w:tcPr>
            <w:tcW w:w="990" w:type="dxa"/>
            <w:vAlign w:val="center"/>
          </w:tcPr>
          <w:p>
            <w:pPr>
              <w:widowControl/>
              <w:spacing w:line="240" w:lineRule="auto"/>
              <w:ind w:firstLine="0" w:firstLineChars="0"/>
              <w:jc w:val="center"/>
              <w:textAlignment w:val="center"/>
              <w:rPr>
                <w:kern w:val="0"/>
                <w:sz w:val="21"/>
                <w:szCs w:val="21"/>
              </w:rPr>
            </w:pPr>
            <w:r>
              <w:rPr>
                <w:kern w:val="0"/>
                <w:sz w:val="21"/>
                <w:szCs w:val="21"/>
              </w:rPr>
              <w:t>1.30</w:t>
            </w: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r>
              <w:rPr>
                <w:kern w:val="0"/>
                <w:sz w:val="21"/>
                <w:szCs w:val="21"/>
              </w:rPr>
              <w:t>17.20</w:t>
            </w: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40.98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kern w:val="0"/>
                <w:sz w:val="21"/>
                <w:szCs w:val="21"/>
              </w:rPr>
              <w:t>8026</w:t>
            </w:r>
          </w:p>
        </w:tc>
        <w:tc>
          <w:tcPr>
            <w:tcW w:w="1698" w:type="dxa"/>
            <w:vAlign w:val="center"/>
          </w:tcPr>
          <w:p>
            <w:pPr>
              <w:widowControl/>
              <w:spacing w:line="240" w:lineRule="auto"/>
              <w:ind w:firstLine="0" w:firstLineChars="0"/>
              <w:jc w:val="center"/>
              <w:textAlignment w:val="center"/>
              <w:rPr>
                <w:kern w:val="0"/>
                <w:sz w:val="21"/>
                <w:szCs w:val="21"/>
              </w:rPr>
            </w:pPr>
            <w:r>
              <w:rPr>
                <w:kern w:val="0"/>
                <w:sz w:val="21"/>
                <w:szCs w:val="21"/>
              </w:rPr>
              <w:t>钢筋弯曲机Φ6~40</w:t>
            </w:r>
          </w:p>
        </w:tc>
        <w:tc>
          <w:tcPr>
            <w:tcW w:w="1110" w:type="dxa"/>
            <w:vAlign w:val="center"/>
          </w:tcPr>
          <w:p>
            <w:pPr>
              <w:widowControl/>
              <w:spacing w:line="240" w:lineRule="auto"/>
              <w:ind w:firstLine="0" w:firstLineChars="0"/>
              <w:jc w:val="center"/>
              <w:rPr>
                <w:kern w:val="0"/>
                <w:sz w:val="21"/>
                <w:szCs w:val="21"/>
              </w:rPr>
            </w:pPr>
            <w:r>
              <w:rPr>
                <w:kern w:val="0"/>
                <w:sz w:val="21"/>
                <w:szCs w:val="21"/>
              </w:rPr>
              <w:t>33.43</w:t>
            </w:r>
          </w:p>
        </w:tc>
        <w:tc>
          <w:tcPr>
            <w:tcW w:w="1020" w:type="dxa"/>
            <w:vAlign w:val="center"/>
          </w:tcPr>
          <w:p>
            <w:pPr>
              <w:spacing w:line="240" w:lineRule="auto"/>
              <w:ind w:firstLine="0" w:firstLineChars="0"/>
              <w:jc w:val="center"/>
              <w:rPr>
                <w:kern w:val="0"/>
                <w:sz w:val="21"/>
                <w:szCs w:val="21"/>
              </w:rPr>
            </w:pPr>
            <w:r>
              <w:rPr>
                <w:kern w:val="0"/>
                <w:sz w:val="21"/>
                <w:szCs w:val="21"/>
              </w:rPr>
              <w:t>0.53</w:t>
            </w:r>
          </w:p>
        </w:tc>
        <w:tc>
          <w:tcPr>
            <w:tcW w:w="1020" w:type="dxa"/>
            <w:vAlign w:val="center"/>
          </w:tcPr>
          <w:p>
            <w:pPr>
              <w:spacing w:line="240" w:lineRule="auto"/>
              <w:ind w:firstLine="0" w:firstLineChars="0"/>
              <w:jc w:val="center"/>
              <w:rPr>
                <w:sz w:val="21"/>
                <w:szCs w:val="21"/>
              </w:rPr>
            </w:pPr>
            <w:r>
              <w:rPr>
                <w:sz w:val="21"/>
                <w:szCs w:val="21"/>
              </w:rPr>
              <w:t>1.45</w:t>
            </w:r>
          </w:p>
        </w:tc>
        <w:tc>
          <w:tcPr>
            <w:tcW w:w="1020" w:type="dxa"/>
            <w:vAlign w:val="center"/>
          </w:tcPr>
          <w:p>
            <w:pPr>
              <w:spacing w:line="240" w:lineRule="auto"/>
              <w:ind w:firstLine="0" w:firstLineChars="0"/>
              <w:jc w:val="center"/>
              <w:rPr>
                <w:sz w:val="21"/>
                <w:szCs w:val="21"/>
              </w:rPr>
            </w:pPr>
            <w:r>
              <w:rPr>
                <w:sz w:val="21"/>
                <w:szCs w:val="21"/>
              </w:rPr>
              <w:t>0.24</w:t>
            </w:r>
          </w:p>
        </w:tc>
        <w:tc>
          <w:tcPr>
            <w:tcW w:w="1020" w:type="dxa"/>
            <w:vAlign w:val="center"/>
          </w:tcPr>
          <w:p>
            <w:pPr>
              <w:spacing w:line="240" w:lineRule="auto"/>
              <w:ind w:firstLine="0" w:firstLineChars="0"/>
              <w:jc w:val="center"/>
              <w:rPr>
                <w:sz w:val="21"/>
                <w:szCs w:val="21"/>
              </w:rPr>
            </w:pPr>
            <w:r>
              <w:rPr>
                <w:sz w:val="21"/>
                <w:szCs w:val="21"/>
              </w:rPr>
              <w:t>2.42</w:t>
            </w:r>
          </w:p>
        </w:tc>
        <w:tc>
          <w:tcPr>
            <w:tcW w:w="990" w:type="dxa"/>
            <w:vAlign w:val="center"/>
          </w:tcPr>
          <w:p>
            <w:pPr>
              <w:widowControl/>
              <w:spacing w:line="240" w:lineRule="auto"/>
              <w:ind w:firstLine="0" w:firstLineChars="0"/>
              <w:jc w:val="center"/>
              <w:textAlignment w:val="center"/>
              <w:rPr>
                <w:kern w:val="0"/>
                <w:sz w:val="21"/>
                <w:szCs w:val="21"/>
              </w:rPr>
            </w:pPr>
            <w:r>
              <w:rPr>
                <w:kern w:val="0"/>
                <w:sz w:val="21"/>
                <w:szCs w:val="21"/>
              </w:rPr>
              <w:t>1.30</w:t>
            </w: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r>
              <w:rPr>
                <w:kern w:val="0"/>
                <w:sz w:val="21"/>
                <w:szCs w:val="21"/>
              </w:rPr>
              <w:t>6.0</w:t>
            </w: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31.02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 w:hRule="atLeast"/>
        </w:trPr>
        <w:tc>
          <w:tcPr>
            <w:tcW w:w="684" w:type="dxa"/>
            <w:vAlign w:val="center"/>
          </w:tcPr>
          <w:p>
            <w:pPr>
              <w:widowControl/>
              <w:spacing w:line="240" w:lineRule="auto"/>
              <w:ind w:firstLine="0" w:firstLineChars="0"/>
              <w:jc w:val="center"/>
              <w:rPr>
                <w:kern w:val="0"/>
                <w:sz w:val="21"/>
                <w:szCs w:val="21"/>
              </w:rPr>
            </w:pPr>
            <w:r>
              <w:rPr>
                <w:kern w:val="0"/>
                <w:sz w:val="21"/>
                <w:szCs w:val="21"/>
              </w:rPr>
              <w:t>8024</w:t>
            </w:r>
          </w:p>
        </w:tc>
        <w:tc>
          <w:tcPr>
            <w:tcW w:w="1698" w:type="dxa"/>
            <w:vAlign w:val="center"/>
          </w:tcPr>
          <w:p>
            <w:pPr>
              <w:widowControl/>
              <w:spacing w:line="240" w:lineRule="auto"/>
              <w:ind w:firstLine="0" w:firstLineChars="0"/>
              <w:jc w:val="center"/>
              <w:textAlignment w:val="center"/>
              <w:rPr>
                <w:kern w:val="0"/>
                <w:sz w:val="21"/>
                <w:szCs w:val="21"/>
              </w:rPr>
            </w:pPr>
            <w:r>
              <w:rPr>
                <w:kern w:val="0"/>
                <w:sz w:val="21"/>
                <w:szCs w:val="21"/>
              </w:rPr>
              <w:t>交流电焊机25KVA</w:t>
            </w:r>
          </w:p>
        </w:tc>
        <w:tc>
          <w:tcPr>
            <w:tcW w:w="1110" w:type="dxa"/>
            <w:vAlign w:val="center"/>
          </w:tcPr>
          <w:p>
            <w:pPr>
              <w:widowControl/>
              <w:spacing w:line="240" w:lineRule="auto"/>
              <w:ind w:firstLine="0" w:firstLineChars="0"/>
              <w:jc w:val="center"/>
              <w:rPr>
                <w:kern w:val="0"/>
                <w:sz w:val="21"/>
                <w:szCs w:val="21"/>
              </w:rPr>
            </w:pPr>
            <w:r>
              <w:rPr>
                <w:kern w:val="0"/>
                <w:sz w:val="21"/>
                <w:szCs w:val="21"/>
              </w:rPr>
              <w:t>13.69</w:t>
            </w:r>
          </w:p>
        </w:tc>
        <w:tc>
          <w:tcPr>
            <w:tcW w:w="1020" w:type="dxa"/>
            <w:vAlign w:val="center"/>
          </w:tcPr>
          <w:p>
            <w:pPr>
              <w:spacing w:line="240" w:lineRule="auto"/>
              <w:ind w:firstLine="0" w:firstLineChars="0"/>
              <w:jc w:val="center"/>
              <w:rPr>
                <w:kern w:val="0"/>
                <w:sz w:val="21"/>
                <w:szCs w:val="21"/>
              </w:rPr>
            </w:pPr>
            <w:r>
              <w:rPr>
                <w:kern w:val="0"/>
                <w:sz w:val="21"/>
                <w:szCs w:val="21"/>
              </w:rPr>
              <w:t>0.33</w:t>
            </w:r>
          </w:p>
        </w:tc>
        <w:tc>
          <w:tcPr>
            <w:tcW w:w="1020" w:type="dxa"/>
            <w:vAlign w:val="center"/>
          </w:tcPr>
          <w:p>
            <w:pPr>
              <w:spacing w:line="240" w:lineRule="auto"/>
              <w:ind w:firstLine="0" w:firstLineChars="0"/>
              <w:jc w:val="center"/>
              <w:rPr>
                <w:sz w:val="21"/>
                <w:szCs w:val="21"/>
              </w:rPr>
            </w:pPr>
            <w:r>
              <w:rPr>
                <w:sz w:val="21"/>
                <w:szCs w:val="21"/>
              </w:rPr>
              <w:t>0.30</w:t>
            </w:r>
          </w:p>
        </w:tc>
        <w:tc>
          <w:tcPr>
            <w:tcW w:w="1020" w:type="dxa"/>
            <w:vAlign w:val="center"/>
          </w:tcPr>
          <w:p>
            <w:pPr>
              <w:spacing w:line="240" w:lineRule="auto"/>
              <w:ind w:firstLine="0" w:firstLineChars="0"/>
              <w:jc w:val="center"/>
              <w:rPr>
                <w:sz w:val="21"/>
                <w:szCs w:val="21"/>
              </w:rPr>
            </w:pPr>
            <w:r>
              <w:rPr>
                <w:sz w:val="21"/>
                <w:szCs w:val="21"/>
              </w:rPr>
              <w:t>0.09</w:t>
            </w:r>
          </w:p>
        </w:tc>
        <w:tc>
          <w:tcPr>
            <w:tcW w:w="1020" w:type="dxa"/>
            <w:vAlign w:val="center"/>
          </w:tcPr>
          <w:p>
            <w:pPr>
              <w:spacing w:line="240" w:lineRule="auto"/>
              <w:ind w:firstLine="0" w:firstLineChars="0"/>
              <w:jc w:val="center"/>
              <w:rPr>
                <w:sz w:val="21"/>
                <w:szCs w:val="21"/>
              </w:rPr>
            </w:pPr>
            <w:r>
              <w:rPr>
                <w:sz w:val="21"/>
                <w:szCs w:val="21"/>
              </w:rPr>
              <w:t>0.79</w:t>
            </w:r>
          </w:p>
        </w:tc>
        <w:tc>
          <w:tcPr>
            <w:tcW w:w="990" w:type="dxa"/>
            <w:vAlign w:val="center"/>
          </w:tcPr>
          <w:p>
            <w:pPr>
              <w:widowControl/>
              <w:spacing w:line="240" w:lineRule="auto"/>
              <w:ind w:firstLine="0" w:firstLineChars="0"/>
              <w:jc w:val="center"/>
              <w:textAlignment w:val="center"/>
              <w:rPr>
                <w:kern w:val="0"/>
                <w:sz w:val="21"/>
                <w:szCs w:val="21"/>
              </w:rPr>
            </w:pPr>
          </w:p>
        </w:tc>
        <w:tc>
          <w:tcPr>
            <w:tcW w:w="743" w:type="dxa"/>
            <w:vAlign w:val="center"/>
          </w:tcPr>
          <w:p>
            <w:pPr>
              <w:spacing w:line="240" w:lineRule="auto"/>
              <w:ind w:firstLine="0" w:firstLineChars="0"/>
              <w:jc w:val="center"/>
              <w:rPr>
                <w:kern w:val="0"/>
                <w:sz w:val="21"/>
                <w:szCs w:val="21"/>
              </w:rPr>
            </w:pPr>
          </w:p>
        </w:tc>
        <w:tc>
          <w:tcPr>
            <w:tcW w:w="757" w:type="dxa"/>
            <w:vAlign w:val="center"/>
          </w:tcPr>
          <w:p>
            <w:pPr>
              <w:widowControl/>
              <w:spacing w:line="240" w:lineRule="auto"/>
              <w:ind w:firstLine="0" w:firstLineChars="0"/>
              <w:jc w:val="center"/>
              <w:textAlignment w:val="center"/>
              <w:rPr>
                <w:kern w:val="0"/>
                <w:sz w:val="21"/>
                <w:szCs w:val="21"/>
              </w:rPr>
            </w:pPr>
          </w:p>
        </w:tc>
        <w:tc>
          <w:tcPr>
            <w:tcW w:w="830" w:type="dxa"/>
            <w:vAlign w:val="center"/>
          </w:tcPr>
          <w:p>
            <w:pPr>
              <w:spacing w:line="240" w:lineRule="auto"/>
              <w:ind w:firstLine="0" w:firstLineChars="0"/>
              <w:jc w:val="center"/>
              <w:rPr>
                <w:kern w:val="0"/>
                <w:sz w:val="21"/>
                <w:szCs w:val="21"/>
              </w:rPr>
            </w:pPr>
            <w:r>
              <w:rPr>
                <w:kern w:val="0"/>
                <w:sz w:val="21"/>
                <w:szCs w:val="21"/>
              </w:rPr>
              <w:t>14.50</w:t>
            </w: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0" w:type="dxa"/>
            <w:vAlign w:val="center"/>
          </w:tcPr>
          <w:p>
            <w:pPr>
              <w:spacing w:line="240" w:lineRule="auto"/>
              <w:ind w:firstLine="0" w:firstLineChars="0"/>
              <w:jc w:val="center"/>
              <w:rPr>
                <w:kern w:val="0"/>
                <w:sz w:val="21"/>
                <w:szCs w:val="21"/>
              </w:rPr>
            </w:pPr>
          </w:p>
        </w:tc>
        <w:tc>
          <w:tcPr>
            <w:tcW w:w="836" w:type="dxa"/>
            <w:vAlign w:val="center"/>
          </w:tcPr>
          <w:p>
            <w:pPr>
              <w:widowControl/>
              <w:spacing w:line="240" w:lineRule="auto"/>
              <w:ind w:firstLine="0" w:firstLineChars="0"/>
              <w:jc w:val="center"/>
              <w:textAlignment w:val="center"/>
              <w:rPr>
                <w:kern w:val="0"/>
                <w:sz w:val="21"/>
                <w:szCs w:val="21"/>
              </w:rPr>
            </w:pPr>
            <w:r>
              <w:rPr>
                <w:kern w:val="0"/>
                <w:sz w:val="21"/>
                <w:szCs w:val="21"/>
              </w:rPr>
              <w:t>12.91</w:t>
            </w:r>
          </w:p>
        </w:tc>
      </w:tr>
    </w:tbl>
    <w:p>
      <w:pPr>
        <w:spacing w:beforeLines="50"/>
        <w:ind w:firstLine="482"/>
        <w:rPr>
          <w:b/>
          <w:bCs/>
        </w:rPr>
        <w:sectPr>
          <w:pgSz w:w="16838" w:h="11905" w:orient="landscape"/>
          <w:pgMar w:top="1417" w:right="1417" w:bottom="1417" w:left="1417" w:header="850" w:footer="992" w:gutter="0"/>
          <w:cols w:space="720" w:num="1"/>
          <w:docGrid w:linePitch="330" w:charSpace="0"/>
        </w:sectPr>
      </w:pPr>
    </w:p>
    <w:p>
      <w:pPr>
        <w:ind w:firstLine="482"/>
        <w:rPr>
          <w:b/>
          <w:bCs/>
        </w:rPr>
      </w:pPr>
      <w:r>
        <w:rPr>
          <w:b/>
          <w:bCs/>
        </w:rPr>
        <w:t>2、</w:t>
      </w:r>
      <w:bookmarkEnd w:id="203"/>
      <w:r>
        <w:rPr>
          <w:b/>
          <w:bCs/>
        </w:rPr>
        <w:t>费率取费标准</w:t>
      </w:r>
    </w:p>
    <w:p>
      <w:pPr>
        <w:ind w:firstLine="480"/>
      </w:pPr>
      <w:r>
        <w:t>依据《水土保持工程概（估）算编制规定》（水总〔2003〕67号）和</w:t>
      </w:r>
      <w:r>
        <w:rPr>
          <w:kern w:val="0"/>
          <w:szCs w:val="24"/>
        </w:rPr>
        <w:t>《四川省水利厅关于印发«增值税税率调整后&lt;四川省水利水电工程设计概（估）算编制规定&gt;相应调整办法»的通知》（</w:t>
      </w:r>
      <w:r>
        <w:t>川水函</w:t>
      </w:r>
      <w:r>
        <w:rPr>
          <w:lang w:val="en-GB"/>
        </w:rPr>
        <w:t>〔201</w:t>
      </w:r>
      <w:r>
        <w:t>9</w:t>
      </w:r>
      <w:r>
        <w:rPr>
          <w:lang w:val="en-GB"/>
        </w:rPr>
        <w:t>〕</w:t>
      </w:r>
      <w:r>
        <w:t>610号</w:t>
      </w:r>
      <w:r>
        <w:rPr>
          <w:kern w:val="0"/>
          <w:szCs w:val="24"/>
        </w:rPr>
        <w:t>）</w:t>
      </w:r>
      <w:r>
        <w:t>等文件的规定，本项目费率取费标准详见下表。</w:t>
      </w:r>
    </w:p>
    <w:p>
      <w:pPr>
        <w:pStyle w:val="68"/>
        <w:spacing w:afterLines="0"/>
      </w:pPr>
      <w:r>
        <w:t>表7.1-3费率取费标准表</w:t>
      </w:r>
    </w:p>
    <w:tbl>
      <w:tblPr>
        <w:tblStyle w:val="110"/>
        <w:tblW w:w="0" w:type="auto"/>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1330"/>
        <w:gridCol w:w="2708"/>
        <w:gridCol w:w="2522"/>
        <w:gridCol w:w="272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 w:hRule="atLeast"/>
        </w:trPr>
        <w:tc>
          <w:tcPr>
            <w:tcW w:w="1330" w:type="dxa"/>
            <w:vAlign w:val="center"/>
          </w:tcPr>
          <w:p>
            <w:pPr>
              <w:adjustRightInd w:val="0"/>
              <w:snapToGrid w:val="0"/>
              <w:spacing w:line="240" w:lineRule="auto"/>
              <w:ind w:firstLine="0" w:firstLineChars="0"/>
              <w:jc w:val="center"/>
              <w:rPr>
                <w:b/>
                <w:sz w:val="21"/>
                <w:szCs w:val="21"/>
              </w:rPr>
            </w:pPr>
            <w:r>
              <w:rPr>
                <w:b/>
                <w:sz w:val="21"/>
                <w:szCs w:val="21"/>
              </w:rPr>
              <w:t>序号</w:t>
            </w:r>
          </w:p>
        </w:tc>
        <w:tc>
          <w:tcPr>
            <w:tcW w:w="2708" w:type="dxa"/>
            <w:vAlign w:val="center"/>
          </w:tcPr>
          <w:p>
            <w:pPr>
              <w:adjustRightInd w:val="0"/>
              <w:snapToGrid w:val="0"/>
              <w:spacing w:line="240" w:lineRule="auto"/>
              <w:ind w:firstLine="0" w:firstLineChars="0"/>
              <w:jc w:val="center"/>
              <w:rPr>
                <w:b/>
                <w:sz w:val="21"/>
                <w:szCs w:val="21"/>
              </w:rPr>
            </w:pPr>
            <w:r>
              <w:rPr>
                <w:b/>
                <w:sz w:val="21"/>
                <w:szCs w:val="21"/>
              </w:rPr>
              <w:t>费率名称</w:t>
            </w:r>
          </w:p>
        </w:tc>
        <w:tc>
          <w:tcPr>
            <w:tcW w:w="2522" w:type="dxa"/>
            <w:vAlign w:val="center"/>
          </w:tcPr>
          <w:p>
            <w:pPr>
              <w:adjustRightInd w:val="0"/>
              <w:snapToGrid w:val="0"/>
              <w:spacing w:line="240" w:lineRule="auto"/>
              <w:ind w:firstLine="0" w:firstLineChars="0"/>
              <w:jc w:val="center"/>
              <w:rPr>
                <w:b/>
                <w:sz w:val="21"/>
                <w:szCs w:val="21"/>
              </w:rPr>
            </w:pPr>
            <w:r>
              <w:rPr>
                <w:b/>
                <w:sz w:val="21"/>
                <w:szCs w:val="21"/>
              </w:rPr>
              <w:t>工程措施（%）</w:t>
            </w:r>
          </w:p>
        </w:tc>
        <w:tc>
          <w:tcPr>
            <w:tcW w:w="2726" w:type="dxa"/>
            <w:vAlign w:val="center"/>
          </w:tcPr>
          <w:p>
            <w:pPr>
              <w:adjustRightInd w:val="0"/>
              <w:snapToGrid w:val="0"/>
              <w:spacing w:line="240" w:lineRule="auto"/>
              <w:ind w:firstLine="0" w:firstLineChars="0"/>
              <w:jc w:val="center"/>
              <w:rPr>
                <w:b/>
                <w:sz w:val="21"/>
                <w:szCs w:val="21"/>
              </w:rPr>
            </w:pPr>
            <w:r>
              <w:rPr>
                <w:b/>
                <w:sz w:val="21"/>
                <w:szCs w:val="21"/>
              </w:rPr>
              <w:t>植物措施（%）</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1330" w:type="dxa"/>
            <w:vAlign w:val="center"/>
          </w:tcPr>
          <w:p>
            <w:pPr>
              <w:adjustRightInd w:val="0"/>
              <w:snapToGrid w:val="0"/>
              <w:spacing w:line="240" w:lineRule="auto"/>
              <w:ind w:firstLine="0" w:firstLineChars="0"/>
              <w:jc w:val="center"/>
              <w:rPr>
                <w:sz w:val="21"/>
                <w:szCs w:val="21"/>
              </w:rPr>
            </w:pPr>
            <w:r>
              <w:rPr>
                <w:sz w:val="21"/>
                <w:szCs w:val="21"/>
              </w:rPr>
              <w:t>1</w:t>
            </w:r>
          </w:p>
        </w:tc>
        <w:tc>
          <w:tcPr>
            <w:tcW w:w="2708" w:type="dxa"/>
            <w:vAlign w:val="center"/>
          </w:tcPr>
          <w:p>
            <w:pPr>
              <w:adjustRightInd w:val="0"/>
              <w:snapToGrid w:val="0"/>
              <w:spacing w:line="240" w:lineRule="auto"/>
              <w:ind w:firstLine="0" w:firstLineChars="0"/>
              <w:jc w:val="center"/>
              <w:rPr>
                <w:sz w:val="21"/>
                <w:szCs w:val="21"/>
              </w:rPr>
            </w:pPr>
            <w:r>
              <w:rPr>
                <w:sz w:val="21"/>
                <w:szCs w:val="21"/>
              </w:rPr>
              <w:t>其他直接费</w:t>
            </w:r>
          </w:p>
        </w:tc>
        <w:tc>
          <w:tcPr>
            <w:tcW w:w="2522" w:type="dxa"/>
            <w:vAlign w:val="center"/>
          </w:tcPr>
          <w:p>
            <w:pPr>
              <w:adjustRightInd w:val="0"/>
              <w:snapToGrid w:val="0"/>
              <w:spacing w:line="240" w:lineRule="auto"/>
              <w:ind w:firstLine="0" w:firstLineChars="0"/>
              <w:jc w:val="center"/>
              <w:rPr>
                <w:sz w:val="21"/>
                <w:szCs w:val="21"/>
              </w:rPr>
            </w:pPr>
            <w:r>
              <w:rPr>
                <w:sz w:val="21"/>
                <w:szCs w:val="21"/>
              </w:rPr>
              <w:t>4.20</w:t>
            </w:r>
          </w:p>
        </w:tc>
        <w:tc>
          <w:tcPr>
            <w:tcW w:w="2726" w:type="dxa"/>
            <w:vAlign w:val="center"/>
          </w:tcPr>
          <w:p>
            <w:pPr>
              <w:adjustRightInd w:val="0"/>
              <w:snapToGrid w:val="0"/>
              <w:spacing w:line="240" w:lineRule="auto"/>
              <w:ind w:firstLine="0" w:firstLineChars="0"/>
              <w:jc w:val="center"/>
              <w:rPr>
                <w:sz w:val="21"/>
                <w:szCs w:val="21"/>
              </w:rPr>
            </w:pPr>
            <w:r>
              <w:rPr>
                <w:sz w:val="21"/>
                <w:szCs w:val="21"/>
              </w:rPr>
              <w:t>3.90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 w:hRule="atLeast"/>
        </w:trPr>
        <w:tc>
          <w:tcPr>
            <w:tcW w:w="1330" w:type="dxa"/>
            <w:vAlign w:val="center"/>
          </w:tcPr>
          <w:p>
            <w:pPr>
              <w:adjustRightInd w:val="0"/>
              <w:snapToGrid w:val="0"/>
              <w:spacing w:line="240" w:lineRule="auto"/>
              <w:ind w:firstLine="0" w:firstLineChars="0"/>
              <w:jc w:val="center"/>
              <w:rPr>
                <w:sz w:val="21"/>
                <w:szCs w:val="21"/>
              </w:rPr>
            </w:pPr>
            <w:r>
              <w:rPr>
                <w:sz w:val="21"/>
                <w:szCs w:val="21"/>
              </w:rPr>
              <w:t>2</w:t>
            </w:r>
          </w:p>
        </w:tc>
        <w:tc>
          <w:tcPr>
            <w:tcW w:w="2708" w:type="dxa"/>
            <w:vAlign w:val="center"/>
          </w:tcPr>
          <w:p>
            <w:pPr>
              <w:adjustRightInd w:val="0"/>
              <w:snapToGrid w:val="0"/>
              <w:spacing w:line="240" w:lineRule="auto"/>
              <w:ind w:firstLine="0" w:firstLineChars="0"/>
              <w:jc w:val="center"/>
              <w:rPr>
                <w:sz w:val="21"/>
                <w:szCs w:val="21"/>
              </w:rPr>
            </w:pPr>
            <w:r>
              <w:rPr>
                <w:sz w:val="21"/>
                <w:szCs w:val="21"/>
              </w:rPr>
              <w:t>间接费</w:t>
            </w:r>
          </w:p>
        </w:tc>
        <w:tc>
          <w:tcPr>
            <w:tcW w:w="2522" w:type="dxa"/>
            <w:vAlign w:val="center"/>
          </w:tcPr>
          <w:p>
            <w:pPr>
              <w:adjustRightInd w:val="0"/>
              <w:snapToGrid w:val="0"/>
              <w:spacing w:line="240" w:lineRule="auto"/>
              <w:ind w:firstLine="0" w:firstLineChars="0"/>
              <w:jc w:val="center"/>
              <w:rPr>
                <w:sz w:val="21"/>
                <w:szCs w:val="21"/>
              </w:rPr>
            </w:pPr>
            <w:r>
              <w:rPr>
                <w:sz w:val="21"/>
                <w:szCs w:val="21"/>
              </w:rPr>
              <w:t>4.50</w:t>
            </w:r>
          </w:p>
        </w:tc>
        <w:tc>
          <w:tcPr>
            <w:tcW w:w="2726" w:type="dxa"/>
            <w:vAlign w:val="center"/>
          </w:tcPr>
          <w:p>
            <w:pPr>
              <w:adjustRightInd w:val="0"/>
              <w:snapToGrid w:val="0"/>
              <w:spacing w:line="240" w:lineRule="auto"/>
              <w:ind w:firstLine="0" w:firstLineChars="0"/>
              <w:jc w:val="center"/>
              <w:rPr>
                <w:sz w:val="21"/>
                <w:szCs w:val="21"/>
              </w:rPr>
            </w:pPr>
            <w:r>
              <w:rPr>
                <w:sz w:val="21"/>
                <w:szCs w:val="21"/>
              </w:rPr>
              <w:t>4.50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 w:hRule="atLeast"/>
        </w:trPr>
        <w:tc>
          <w:tcPr>
            <w:tcW w:w="1330" w:type="dxa"/>
            <w:vAlign w:val="center"/>
          </w:tcPr>
          <w:p>
            <w:pPr>
              <w:adjustRightInd w:val="0"/>
              <w:snapToGrid w:val="0"/>
              <w:spacing w:line="240" w:lineRule="auto"/>
              <w:ind w:firstLine="0" w:firstLineChars="0"/>
              <w:jc w:val="center"/>
              <w:rPr>
                <w:sz w:val="21"/>
                <w:szCs w:val="21"/>
              </w:rPr>
            </w:pPr>
            <w:r>
              <w:rPr>
                <w:sz w:val="21"/>
                <w:szCs w:val="21"/>
              </w:rPr>
              <w:t>3</w:t>
            </w:r>
          </w:p>
        </w:tc>
        <w:tc>
          <w:tcPr>
            <w:tcW w:w="2708" w:type="dxa"/>
            <w:vAlign w:val="center"/>
          </w:tcPr>
          <w:p>
            <w:pPr>
              <w:adjustRightInd w:val="0"/>
              <w:snapToGrid w:val="0"/>
              <w:spacing w:line="240" w:lineRule="auto"/>
              <w:ind w:firstLine="0" w:firstLineChars="0"/>
              <w:jc w:val="center"/>
              <w:rPr>
                <w:sz w:val="21"/>
                <w:szCs w:val="21"/>
              </w:rPr>
            </w:pPr>
            <w:r>
              <w:rPr>
                <w:sz w:val="21"/>
                <w:szCs w:val="21"/>
              </w:rPr>
              <w:t>企业利润</w:t>
            </w:r>
          </w:p>
        </w:tc>
        <w:tc>
          <w:tcPr>
            <w:tcW w:w="2522" w:type="dxa"/>
            <w:vAlign w:val="center"/>
          </w:tcPr>
          <w:p>
            <w:pPr>
              <w:adjustRightInd w:val="0"/>
              <w:snapToGrid w:val="0"/>
              <w:spacing w:line="240" w:lineRule="auto"/>
              <w:ind w:firstLine="0" w:firstLineChars="0"/>
              <w:jc w:val="center"/>
              <w:rPr>
                <w:sz w:val="21"/>
                <w:szCs w:val="21"/>
              </w:rPr>
            </w:pPr>
            <w:r>
              <w:rPr>
                <w:sz w:val="21"/>
                <w:szCs w:val="21"/>
              </w:rPr>
              <w:t>7.0</w:t>
            </w:r>
          </w:p>
        </w:tc>
        <w:tc>
          <w:tcPr>
            <w:tcW w:w="2726" w:type="dxa"/>
            <w:vAlign w:val="center"/>
          </w:tcPr>
          <w:p>
            <w:pPr>
              <w:adjustRightInd w:val="0"/>
              <w:snapToGrid w:val="0"/>
              <w:spacing w:line="240" w:lineRule="auto"/>
              <w:ind w:firstLine="0" w:firstLineChars="0"/>
              <w:jc w:val="center"/>
              <w:rPr>
                <w:sz w:val="21"/>
                <w:szCs w:val="21"/>
              </w:rPr>
            </w:pPr>
            <w:r>
              <w:rPr>
                <w:sz w:val="21"/>
                <w:szCs w:val="21"/>
              </w:rPr>
              <w:t>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 w:hRule="atLeast"/>
        </w:trPr>
        <w:tc>
          <w:tcPr>
            <w:tcW w:w="1330" w:type="dxa"/>
            <w:vAlign w:val="center"/>
          </w:tcPr>
          <w:p>
            <w:pPr>
              <w:adjustRightInd w:val="0"/>
              <w:snapToGrid w:val="0"/>
              <w:spacing w:line="240" w:lineRule="auto"/>
              <w:ind w:firstLine="0" w:firstLineChars="0"/>
              <w:jc w:val="center"/>
              <w:rPr>
                <w:sz w:val="21"/>
                <w:szCs w:val="21"/>
              </w:rPr>
            </w:pPr>
            <w:r>
              <w:rPr>
                <w:sz w:val="21"/>
                <w:szCs w:val="21"/>
              </w:rPr>
              <w:t>4</w:t>
            </w:r>
          </w:p>
        </w:tc>
        <w:tc>
          <w:tcPr>
            <w:tcW w:w="2708" w:type="dxa"/>
            <w:vAlign w:val="center"/>
          </w:tcPr>
          <w:p>
            <w:pPr>
              <w:adjustRightInd w:val="0"/>
              <w:snapToGrid w:val="0"/>
              <w:spacing w:line="240" w:lineRule="auto"/>
              <w:ind w:firstLine="0" w:firstLineChars="0"/>
              <w:jc w:val="center"/>
              <w:rPr>
                <w:sz w:val="21"/>
                <w:szCs w:val="21"/>
              </w:rPr>
            </w:pPr>
            <w:r>
              <w:rPr>
                <w:sz w:val="21"/>
                <w:szCs w:val="21"/>
              </w:rPr>
              <w:t>税率</w:t>
            </w:r>
          </w:p>
        </w:tc>
        <w:tc>
          <w:tcPr>
            <w:tcW w:w="2522" w:type="dxa"/>
            <w:vAlign w:val="center"/>
          </w:tcPr>
          <w:p>
            <w:pPr>
              <w:adjustRightInd w:val="0"/>
              <w:snapToGrid w:val="0"/>
              <w:spacing w:line="240" w:lineRule="auto"/>
              <w:ind w:firstLine="0" w:firstLineChars="0"/>
              <w:jc w:val="center"/>
              <w:rPr>
                <w:sz w:val="21"/>
                <w:szCs w:val="21"/>
              </w:rPr>
            </w:pPr>
            <w:r>
              <w:rPr>
                <w:sz w:val="21"/>
                <w:szCs w:val="21"/>
              </w:rPr>
              <w:t>9.0</w:t>
            </w:r>
          </w:p>
        </w:tc>
        <w:tc>
          <w:tcPr>
            <w:tcW w:w="2726" w:type="dxa"/>
            <w:vAlign w:val="center"/>
          </w:tcPr>
          <w:p>
            <w:pPr>
              <w:adjustRightInd w:val="0"/>
              <w:snapToGrid w:val="0"/>
              <w:spacing w:line="240" w:lineRule="auto"/>
              <w:ind w:firstLine="0" w:firstLineChars="0"/>
              <w:jc w:val="center"/>
              <w:rPr>
                <w:sz w:val="21"/>
                <w:szCs w:val="21"/>
              </w:rPr>
            </w:pPr>
            <w:r>
              <w:rPr>
                <w:sz w:val="21"/>
                <w:szCs w:val="21"/>
              </w:rPr>
              <w:t>9.0</w:t>
            </w:r>
          </w:p>
        </w:tc>
      </w:tr>
    </w:tbl>
    <w:p>
      <w:pPr>
        <w:spacing w:beforeLines="50"/>
        <w:ind w:firstLine="482"/>
        <w:rPr>
          <w:b/>
          <w:bCs/>
        </w:rPr>
      </w:pPr>
      <w:r>
        <w:rPr>
          <w:b/>
          <w:bCs/>
        </w:rPr>
        <w:t>3、工程、植物措施单价</w:t>
      </w:r>
    </w:p>
    <w:p>
      <w:pPr>
        <w:ind w:firstLine="480"/>
      </w:pPr>
      <w:r>
        <w:t>工程措施单价由直接工程费、间接费、企业利润、税金和扩大系数组成，其中直接工程费包括人工费、材料费、机械费、其他直接费组成。</w:t>
      </w:r>
    </w:p>
    <w:p>
      <w:pPr>
        <w:ind w:firstLine="480"/>
      </w:pPr>
      <w:r>
        <w:t>①其他直接费：直接费与其他直接费费率之和的乘积，工程措施其它直接费费率为4.20%。</w:t>
      </w:r>
    </w:p>
    <w:p>
      <w:pPr>
        <w:ind w:firstLine="480"/>
      </w:pPr>
      <w:r>
        <w:t>②间接费：直接工程费与间接费率的乘积，工程措施间接费费率为4.50%。</w:t>
      </w:r>
    </w:p>
    <w:p>
      <w:pPr>
        <w:ind w:firstLine="480"/>
      </w:pPr>
      <w:r>
        <w:t>③企业利润：直接工程费与间接费之和与企业利润率的乘积，本报告工程措施的企业利润率取7.0%。</w:t>
      </w:r>
    </w:p>
    <w:p>
      <w:pPr>
        <w:ind w:firstLine="480"/>
      </w:pPr>
      <w:r>
        <w:t>④税金：直接工程费、间接费与企业利润之和与计算税率的乘积，本报告取9.0%。</w:t>
      </w:r>
    </w:p>
    <w:p>
      <w:pPr>
        <w:ind w:firstLine="480"/>
      </w:pPr>
      <w:bookmarkStart w:id="204" w:name="_Toc97910689"/>
      <w:r>
        <w:t>⑤扩大系数：直接工程费、间接费、企业利润与税金之和与扩大系数的乘积，本报告取10.0%。</w:t>
      </w:r>
    </w:p>
    <w:p>
      <w:pPr>
        <w:ind w:firstLine="480"/>
      </w:pPr>
      <w:r>
        <w:t>（2）植物措施单价</w:t>
      </w:r>
      <w:bookmarkEnd w:id="204"/>
    </w:p>
    <w:p>
      <w:pPr>
        <w:ind w:firstLine="480"/>
      </w:pPr>
      <w:r>
        <w:t>植物单价由直接工程费、间接费、企业利润、税金和扩大系数组成。中直接工程费包括人工费、材料费、机械费、其他直接费和现场经费组成。</w:t>
      </w:r>
    </w:p>
    <w:p>
      <w:pPr>
        <w:ind w:firstLine="480"/>
      </w:pPr>
      <w:r>
        <w:t>①其他直接费：直接费与其他直接费费率之和的乘积，本报告取3.90%。</w:t>
      </w:r>
    </w:p>
    <w:p>
      <w:pPr>
        <w:ind w:firstLine="480"/>
      </w:pPr>
      <w:r>
        <w:t>②间接费：直接工程费与间接费率的乘积，本报告取4.50%。</w:t>
      </w:r>
    </w:p>
    <w:p>
      <w:pPr>
        <w:ind w:left="137" w:leftChars="57" w:firstLineChars="150"/>
      </w:pPr>
      <w:r>
        <w:t>③企业利润：直接工程费与间接费之和与企业利润率的乘积，本报告植物措施的企业利润率取7.0%。</w:t>
      </w:r>
    </w:p>
    <w:p>
      <w:pPr>
        <w:ind w:firstLine="480"/>
      </w:pPr>
      <w:r>
        <w:t>④税金：直接工程费、间接费与企业利润之和与计算税率的乘积，本报告取9.0%。</w:t>
      </w:r>
    </w:p>
    <w:p>
      <w:pPr>
        <w:ind w:firstLine="480"/>
      </w:pPr>
      <w:r>
        <w:t>⑤扩大系数：直接工程费、间接费、企业利润与税金之和与扩大系数的乘积，本报告取10.0%。</w:t>
      </w:r>
    </w:p>
    <w:p>
      <w:pPr>
        <w:ind w:firstLine="0" w:firstLineChars="0"/>
        <w:rPr>
          <w:b/>
          <w:bCs/>
        </w:rPr>
        <w:sectPr>
          <w:pgSz w:w="11905" w:h="16838"/>
          <w:pgMar w:top="1417" w:right="1417" w:bottom="1417" w:left="1417" w:header="850" w:footer="992" w:gutter="0"/>
          <w:cols w:space="720" w:num="1"/>
          <w:docGrid w:linePitch="330" w:charSpace="0"/>
        </w:sectPr>
      </w:pPr>
    </w:p>
    <w:p>
      <w:pPr>
        <w:ind w:firstLine="0" w:firstLineChars="0"/>
        <w:jc w:val="center"/>
        <w:rPr>
          <w:b/>
          <w:bCs/>
        </w:rPr>
      </w:pPr>
      <w:r>
        <w:rPr>
          <w:b/>
          <w:bCs/>
        </w:rPr>
        <w:t>表7.1-4</w:t>
      </w:r>
      <w:r>
        <w:rPr>
          <w:b/>
          <w:bCs/>
          <w:szCs w:val="22"/>
        </w:rPr>
        <w:t>水土保持措施单价汇总表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752"/>
        <w:gridCol w:w="2157"/>
        <w:gridCol w:w="763"/>
        <w:gridCol w:w="1205"/>
        <w:gridCol w:w="1035"/>
        <w:gridCol w:w="1035"/>
        <w:gridCol w:w="1035"/>
        <w:gridCol w:w="1035"/>
        <w:gridCol w:w="1035"/>
        <w:gridCol w:w="1035"/>
        <w:gridCol w:w="1035"/>
        <w:gridCol w:w="1035"/>
        <w:gridCol w:w="105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Merge w:val="restar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序号</w:t>
            </w:r>
          </w:p>
        </w:tc>
        <w:tc>
          <w:tcPr>
            <w:tcW w:w="759" w:type="pct"/>
            <w:vMerge w:val="restar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工程名称</w:t>
            </w:r>
          </w:p>
        </w:tc>
        <w:tc>
          <w:tcPr>
            <w:tcW w:w="268" w:type="pct"/>
            <w:vMerge w:val="restar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单位</w:t>
            </w:r>
          </w:p>
        </w:tc>
        <w:tc>
          <w:tcPr>
            <w:tcW w:w="424" w:type="pct"/>
            <w:vMerge w:val="restar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单价</w:t>
            </w:r>
          </w:p>
        </w:tc>
        <w:tc>
          <w:tcPr>
            <w:tcW w:w="3282" w:type="pct"/>
            <w:gridSpan w:val="9"/>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其中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Merge w:val="continue"/>
            <w:vAlign w:val="center"/>
          </w:tcPr>
          <w:p>
            <w:pPr>
              <w:widowControl/>
              <w:adjustRightInd w:val="0"/>
              <w:snapToGrid w:val="0"/>
              <w:spacing w:line="240" w:lineRule="auto"/>
              <w:ind w:firstLine="0" w:firstLineChars="0"/>
              <w:jc w:val="center"/>
              <w:rPr>
                <w:b/>
                <w:bCs/>
                <w:kern w:val="0"/>
                <w:sz w:val="21"/>
                <w:szCs w:val="21"/>
              </w:rPr>
            </w:pPr>
          </w:p>
        </w:tc>
        <w:tc>
          <w:tcPr>
            <w:tcW w:w="759" w:type="pct"/>
            <w:vMerge w:val="continue"/>
            <w:vAlign w:val="center"/>
          </w:tcPr>
          <w:p>
            <w:pPr>
              <w:widowControl/>
              <w:adjustRightInd w:val="0"/>
              <w:snapToGrid w:val="0"/>
              <w:spacing w:line="240" w:lineRule="auto"/>
              <w:ind w:firstLine="0" w:firstLineChars="0"/>
              <w:jc w:val="center"/>
              <w:rPr>
                <w:b/>
                <w:bCs/>
                <w:kern w:val="0"/>
                <w:sz w:val="21"/>
                <w:szCs w:val="21"/>
              </w:rPr>
            </w:pPr>
          </w:p>
        </w:tc>
        <w:tc>
          <w:tcPr>
            <w:tcW w:w="268" w:type="pct"/>
            <w:vMerge w:val="continue"/>
            <w:vAlign w:val="center"/>
          </w:tcPr>
          <w:p>
            <w:pPr>
              <w:widowControl/>
              <w:adjustRightInd w:val="0"/>
              <w:snapToGrid w:val="0"/>
              <w:spacing w:line="240" w:lineRule="auto"/>
              <w:ind w:firstLine="0" w:firstLineChars="0"/>
              <w:jc w:val="center"/>
              <w:rPr>
                <w:b/>
                <w:bCs/>
                <w:kern w:val="0"/>
                <w:sz w:val="21"/>
                <w:szCs w:val="21"/>
              </w:rPr>
            </w:pPr>
          </w:p>
        </w:tc>
        <w:tc>
          <w:tcPr>
            <w:tcW w:w="424" w:type="pct"/>
            <w:vMerge w:val="continue"/>
            <w:vAlign w:val="center"/>
          </w:tcPr>
          <w:p>
            <w:pPr>
              <w:widowControl/>
              <w:adjustRightInd w:val="0"/>
              <w:snapToGrid w:val="0"/>
              <w:spacing w:line="240" w:lineRule="auto"/>
              <w:ind w:firstLine="0" w:firstLineChars="0"/>
              <w:jc w:val="center"/>
              <w:rPr>
                <w:b/>
                <w:bCs/>
                <w:kern w:val="0"/>
                <w:sz w:val="21"/>
                <w:szCs w:val="21"/>
              </w:rPr>
            </w:pP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人工费</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材料费</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机械费</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其他</w:t>
            </w:r>
          </w:p>
          <w:p>
            <w:pPr>
              <w:widowControl/>
              <w:adjustRightInd w:val="0"/>
              <w:snapToGrid w:val="0"/>
              <w:spacing w:line="240" w:lineRule="auto"/>
              <w:ind w:firstLine="0" w:firstLineChars="0"/>
              <w:jc w:val="center"/>
              <w:rPr>
                <w:b/>
                <w:bCs/>
                <w:kern w:val="0"/>
                <w:sz w:val="21"/>
                <w:szCs w:val="21"/>
              </w:rPr>
            </w:pPr>
            <w:r>
              <w:rPr>
                <w:b/>
                <w:bCs/>
                <w:kern w:val="0"/>
                <w:sz w:val="21"/>
                <w:szCs w:val="21"/>
              </w:rPr>
              <w:t>直接费</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间接费</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利润</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价差</w:t>
            </w:r>
          </w:p>
        </w:tc>
        <w:tc>
          <w:tcPr>
            <w:tcW w:w="36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税金</w:t>
            </w:r>
          </w:p>
        </w:tc>
        <w:tc>
          <w:tcPr>
            <w:tcW w:w="369"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扩大</w:t>
            </w:r>
          </w:p>
          <w:p>
            <w:pPr>
              <w:widowControl/>
              <w:adjustRightInd w:val="0"/>
              <w:snapToGrid w:val="0"/>
              <w:spacing w:line="240" w:lineRule="auto"/>
              <w:ind w:firstLine="0" w:firstLineChars="0"/>
              <w:jc w:val="center"/>
              <w:rPr>
                <w:b/>
                <w:bCs/>
                <w:kern w:val="0"/>
                <w:sz w:val="21"/>
                <w:szCs w:val="21"/>
              </w:rPr>
            </w:pPr>
            <w:r>
              <w:rPr>
                <w:b/>
                <w:bCs/>
                <w:kern w:val="0"/>
                <w:sz w:val="21"/>
                <w:szCs w:val="21"/>
              </w:rPr>
              <w:t>系数</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759" w:type="pct"/>
            <w:vAlign w:val="center"/>
          </w:tcPr>
          <w:p>
            <w:pPr>
              <w:spacing w:line="240" w:lineRule="auto"/>
              <w:ind w:firstLine="0" w:firstLineChars="0"/>
              <w:jc w:val="center"/>
              <w:rPr>
                <w:kern w:val="0"/>
                <w:sz w:val="21"/>
                <w:szCs w:val="21"/>
              </w:rPr>
            </w:pPr>
            <w:r>
              <w:rPr>
                <w:sz w:val="21"/>
                <w:szCs w:val="21"/>
              </w:rPr>
              <w:t>土方开挖</w:t>
            </w:r>
          </w:p>
        </w:tc>
        <w:tc>
          <w:tcPr>
            <w:tcW w:w="268" w:type="pct"/>
            <w:vAlign w:val="center"/>
          </w:tcPr>
          <w:p>
            <w:pPr>
              <w:spacing w:line="240" w:lineRule="auto"/>
              <w:ind w:firstLine="0" w:firstLineChars="0"/>
              <w:jc w:val="center"/>
              <w:rPr>
                <w:kern w:val="0"/>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6075.74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4222.55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126.68</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182.67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203.94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331.51</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456.06</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552.34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w:t>
            </w:r>
          </w:p>
        </w:tc>
        <w:tc>
          <w:tcPr>
            <w:tcW w:w="759" w:type="pct"/>
            <w:vAlign w:val="center"/>
          </w:tcPr>
          <w:p>
            <w:pPr>
              <w:spacing w:line="240" w:lineRule="auto"/>
              <w:ind w:firstLine="0" w:firstLineChars="0"/>
              <w:jc w:val="center"/>
              <w:rPr>
                <w:kern w:val="0"/>
                <w:sz w:val="21"/>
                <w:szCs w:val="21"/>
              </w:rPr>
            </w:pPr>
            <w:r>
              <w:rPr>
                <w:sz w:val="21"/>
                <w:szCs w:val="21"/>
              </w:rPr>
              <w:t>M7.5水泥砂浆砌砖</w:t>
            </w:r>
          </w:p>
        </w:tc>
        <w:tc>
          <w:tcPr>
            <w:tcW w:w="268" w:type="pct"/>
            <w:vAlign w:val="center"/>
          </w:tcPr>
          <w:p>
            <w:pPr>
              <w:spacing w:line="240" w:lineRule="auto"/>
              <w:ind w:firstLine="0" w:firstLineChars="0"/>
              <w:jc w:val="center"/>
              <w:rPr>
                <w:kern w:val="0"/>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80336.30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17561.70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38025.09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276.50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2346.26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2619.43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4258.03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1915.75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6030.25</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7303.30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w:t>
            </w:r>
          </w:p>
        </w:tc>
        <w:tc>
          <w:tcPr>
            <w:tcW w:w="759" w:type="pct"/>
            <w:vAlign w:val="center"/>
          </w:tcPr>
          <w:p>
            <w:pPr>
              <w:spacing w:line="240" w:lineRule="auto"/>
              <w:ind w:firstLine="0" w:firstLineChars="0"/>
              <w:jc w:val="center"/>
              <w:rPr>
                <w:kern w:val="0"/>
                <w:sz w:val="21"/>
                <w:szCs w:val="21"/>
              </w:rPr>
            </w:pPr>
            <w:r>
              <w:rPr>
                <w:kern w:val="0"/>
                <w:sz w:val="21"/>
                <w:szCs w:val="21"/>
              </w:rPr>
              <w:t>M10水泥砂浆抹面</w:t>
            </w:r>
          </w:p>
        </w:tc>
        <w:tc>
          <w:tcPr>
            <w:tcW w:w="268" w:type="pct"/>
            <w:vAlign w:val="center"/>
          </w:tcPr>
          <w:p>
            <w:pPr>
              <w:spacing w:line="240" w:lineRule="auto"/>
              <w:ind w:firstLine="0" w:firstLineChars="0"/>
              <w:jc w:val="center"/>
              <w:rPr>
                <w:kern w:val="0"/>
                <w:sz w:val="21"/>
                <w:szCs w:val="21"/>
              </w:rPr>
            </w:pPr>
            <w:r>
              <w:rPr>
                <w:sz w:val="21"/>
                <w:szCs w:val="21"/>
              </w:rPr>
              <w:t>100m</w:t>
            </w:r>
            <w:r>
              <w:rPr>
                <w:sz w:val="21"/>
                <w:szCs w:val="21"/>
                <w:vertAlign w:val="superscript"/>
              </w:rPr>
              <w:t>2</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4223.81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1694.55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1145.12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25.66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120.34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134.36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218.40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184.35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317.05</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383.98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w:t>
            </w:r>
          </w:p>
        </w:tc>
        <w:tc>
          <w:tcPr>
            <w:tcW w:w="759" w:type="pct"/>
            <w:vAlign w:val="center"/>
          </w:tcPr>
          <w:p>
            <w:pPr>
              <w:spacing w:line="240" w:lineRule="auto"/>
              <w:ind w:firstLine="0" w:firstLineChars="0"/>
              <w:jc w:val="center"/>
              <w:rPr>
                <w:kern w:val="0"/>
                <w:sz w:val="21"/>
                <w:szCs w:val="21"/>
              </w:rPr>
            </w:pPr>
            <w:r>
              <w:rPr>
                <w:sz w:val="21"/>
                <w:szCs w:val="21"/>
              </w:rPr>
              <w:t>砌砖拆除</w:t>
            </w:r>
          </w:p>
        </w:tc>
        <w:tc>
          <w:tcPr>
            <w:tcW w:w="268" w:type="pct"/>
            <w:vAlign w:val="center"/>
          </w:tcPr>
          <w:p>
            <w:pPr>
              <w:spacing w:line="240" w:lineRule="auto"/>
              <w:ind w:firstLine="0" w:firstLineChars="0"/>
              <w:jc w:val="center"/>
              <w:rPr>
                <w:kern w:val="0"/>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2290.23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1449.65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15.95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173.83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68.86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76.87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124.96</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171.91</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208.20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w:t>
            </w:r>
          </w:p>
        </w:tc>
        <w:tc>
          <w:tcPr>
            <w:tcW w:w="759" w:type="pct"/>
            <w:vAlign w:val="center"/>
          </w:tcPr>
          <w:p>
            <w:pPr>
              <w:spacing w:line="240" w:lineRule="auto"/>
              <w:ind w:firstLine="0" w:firstLineChars="0"/>
              <w:jc w:val="center"/>
              <w:rPr>
                <w:sz w:val="21"/>
                <w:szCs w:val="21"/>
              </w:rPr>
            </w:pPr>
            <w:r>
              <w:rPr>
                <w:kern w:val="0"/>
                <w:sz w:val="21"/>
                <w:szCs w:val="21"/>
              </w:rPr>
              <w:t>C20砼底板</w:t>
            </w:r>
          </w:p>
        </w:tc>
        <w:tc>
          <w:tcPr>
            <w:tcW w:w="268" w:type="pct"/>
            <w:vAlign w:val="center"/>
          </w:tcPr>
          <w:p>
            <w:pPr>
              <w:spacing w:line="240" w:lineRule="auto"/>
              <w:ind w:firstLine="0" w:firstLineChars="0"/>
              <w:jc w:val="center"/>
              <w:rPr>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139597.81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17942.88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52275.59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242.51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2959.36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3303.92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5370.70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26256.68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9751.65</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12690.71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w:t>
            </w:r>
          </w:p>
        </w:tc>
        <w:tc>
          <w:tcPr>
            <w:tcW w:w="759" w:type="pct"/>
            <w:vAlign w:val="center"/>
          </w:tcPr>
          <w:p>
            <w:pPr>
              <w:spacing w:line="240" w:lineRule="auto"/>
              <w:ind w:firstLine="0" w:firstLineChars="0"/>
              <w:jc w:val="center"/>
              <w:rPr>
                <w:sz w:val="21"/>
                <w:szCs w:val="21"/>
              </w:rPr>
            </w:pPr>
            <w:r>
              <w:rPr>
                <w:sz w:val="21"/>
                <w:szCs w:val="21"/>
              </w:rPr>
              <w:t>砌砖及</w:t>
            </w:r>
            <w:r>
              <w:rPr>
                <w:kern w:val="0"/>
                <w:sz w:val="21"/>
                <w:szCs w:val="21"/>
              </w:rPr>
              <w:t>砼</w:t>
            </w:r>
            <w:r>
              <w:rPr>
                <w:sz w:val="21"/>
                <w:szCs w:val="21"/>
              </w:rPr>
              <w:t>拆除</w:t>
            </w:r>
          </w:p>
        </w:tc>
        <w:tc>
          <w:tcPr>
            <w:tcW w:w="268" w:type="pct"/>
            <w:vAlign w:val="center"/>
          </w:tcPr>
          <w:p>
            <w:pPr>
              <w:spacing w:line="240" w:lineRule="auto"/>
              <w:ind w:firstLine="0" w:firstLineChars="0"/>
              <w:jc w:val="center"/>
              <w:rPr>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13183.50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2350.25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3922.73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521.85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285.38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318.61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517.92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3078.66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989.59</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1198.50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w:t>
            </w:r>
          </w:p>
        </w:tc>
        <w:tc>
          <w:tcPr>
            <w:tcW w:w="759" w:type="pct"/>
            <w:vAlign w:val="center"/>
          </w:tcPr>
          <w:p>
            <w:pPr>
              <w:pStyle w:val="68"/>
              <w:adjustRightInd/>
              <w:snapToGrid/>
              <w:spacing w:afterLines="0"/>
              <w:jc w:val="center"/>
              <w:rPr>
                <w:sz w:val="21"/>
                <w:szCs w:val="21"/>
              </w:rPr>
            </w:pPr>
            <w:r>
              <w:rPr>
                <w:b w:val="0"/>
                <w:bCs/>
                <w:sz w:val="21"/>
                <w:szCs w:val="21"/>
              </w:rPr>
              <w:t>素土夯实</w:t>
            </w:r>
          </w:p>
        </w:tc>
        <w:tc>
          <w:tcPr>
            <w:tcW w:w="268" w:type="pct"/>
            <w:vAlign w:val="center"/>
          </w:tcPr>
          <w:p>
            <w:pPr>
              <w:pStyle w:val="68"/>
              <w:adjustRightInd/>
              <w:snapToGrid/>
              <w:spacing w:afterLines="0"/>
              <w:jc w:val="center"/>
              <w:rPr>
                <w:b w:val="0"/>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9264.22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6438.50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193.16</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278.53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310.96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505.48</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695.40</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842.20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w:t>
            </w:r>
          </w:p>
        </w:tc>
        <w:tc>
          <w:tcPr>
            <w:tcW w:w="759" w:type="pct"/>
            <w:vAlign w:val="center"/>
          </w:tcPr>
          <w:p>
            <w:pPr>
              <w:pStyle w:val="68"/>
              <w:adjustRightInd/>
              <w:snapToGrid/>
              <w:spacing w:afterLines="0"/>
              <w:jc w:val="center"/>
              <w:rPr>
                <w:sz w:val="21"/>
                <w:szCs w:val="21"/>
              </w:rPr>
            </w:pPr>
            <w:r>
              <w:rPr>
                <w:b w:val="0"/>
                <w:bCs/>
                <w:sz w:val="21"/>
                <w:szCs w:val="21"/>
              </w:rPr>
              <w:t>砂砾石回填（反滤层）</w:t>
            </w:r>
          </w:p>
        </w:tc>
        <w:tc>
          <w:tcPr>
            <w:tcW w:w="268" w:type="pct"/>
            <w:vAlign w:val="center"/>
          </w:tcPr>
          <w:p>
            <w:pPr>
              <w:pStyle w:val="68"/>
              <w:adjustRightInd/>
              <w:snapToGrid/>
              <w:spacing w:afterLines="0"/>
              <w:jc w:val="center"/>
              <w:rPr>
                <w:b w:val="0"/>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40277.57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10025.10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17061.35</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1137.63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1270.08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2064.59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2033.88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3023.34</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3661.60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w:t>
            </w:r>
          </w:p>
        </w:tc>
        <w:tc>
          <w:tcPr>
            <w:tcW w:w="759" w:type="pct"/>
            <w:vAlign w:val="center"/>
          </w:tcPr>
          <w:p>
            <w:pPr>
              <w:pStyle w:val="68"/>
              <w:adjustRightInd/>
              <w:snapToGrid/>
              <w:spacing w:afterLines="0"/>
              <w:jc w:val="center"/>
              <w:rPr>
                <w:sz w:val="21"/>
                <w:szCs w:val="21"/>
              </w:rPr>
            </w:pPr>
            <w:r>
              <w:rPr>
                <w:b w:val="0"/>
                <w:bCs/>
                <w:sz w:val="21"/>
                <w:szCs w:val="21"/>
              </w:rPr>
              <w:t>C25砼现浇</w:t>
            </w:r>
          </w:p>
        </w:tc>
        <w:tc>
          <w:tcPr>
            <w:tcW w:w="268" w:type="pct"/>
            <w:vAlign w:val="center"/>
          </w:tcPr>
          <w:p>
            <w:pPr>
              <w:pStyle w:val="68"/>
              <w:adjustRightInd/>
              <w:snapToGrid/>
              <w:spacing w:afterLines="0"/>
              <w:jc w:val="center"/>
              <w:rPr>
                <w:b w:val="0"/>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142441.20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17942.88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53379.91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242.51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3005.74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3355.70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5454.87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27341.48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9965.08</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12949.20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4" w:hRule="atLeast"/>
        </w:trPr>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w:t>
            </w:r>
          </w:p>
        </w:tc>
        <w:tc>
          <w:tcPr>
            <w:tcW w:w="759" w:type="pct"/>
            <w:vAlign w:val="center"/>
          </w:tcPr>
          <w:p>
            <w:pPr>
              <w:pStyle w:val="68"/>
              <w:adjustRightInd/>
              <w:snapToGrid/>
              <w:spacing w:afterLines="0"/>
              <w:jc w:val="center"/>
              <w:rPr>
                <w:sz w:val="21"/>
                <w:szCs w:val="21"/>
              </w:rPr>
            </w:pPr>
            <w:r>
              <w:rPr>
                <w:b w:val="0"/>
                <w:bCs/>
                <w:sz w:val="21"/>
                <w:szCs w:val="21"/>
              </w:rPr>
              <w:t>钢筋制安</w:t>
            </w:r>
          </w:p>
        </w:tc>
        <w:tc>
          <w:tcPr>
            <w:tcW w:w="268" w:type="pct"/>
            <w:vAlign w:val="center"/>
          </w:tcPr>
          <w:p>
            <w:pPr>
              <w:pStyle w:val="68"/>
              <w:adjustRightInd/>
              <w:snapToGrid/>
              <w:spacing w:afterLines="0"/>
              <w:jc w:val="center"/>
              <w:rPr>
                <w:b w:val="0"/>
                <w:sz w:val="21"/>
                <w:szCs w:val="21"/>
              </w:rPr>
            </w:pPr>
            <w:r>
              <w:rPr>
                <w:b w:val="0"/>
                <w:sz w:val="21"/>
                <w:szCs w:val="21"/>
              </w:rPr>
              <w:t>1t</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11892.79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2054.00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4613.25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358.46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295.08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329.44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535.52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1733.18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892.70</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1081.16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w:t>
            </w:r>
          </w:p>
        </w:tc>
        <w:tc>
          <w:tcPr>
            <w:tcW w:w="759" w:type="pct"/>
            <w:vAlign w:val="center"/>
          </w:tcPr>
          <w:p>
            <w:pPr>
              <w:pStyle w:val="68"/>
              <w:adjustRightInd/>
              <w:snapToGrid/>
              <w:spacing w:afterLines="0"/>
              <w:jc w:val="center"/>
              <w:rPr>
                <w:b w:val="0"/>
                <w:bCs/>
                <w:sz w:val="21"/>
                <w:szCs w:val="21"/>
              </w:rPr>
            </w:pPr>
            <w:r>
              <w:rPr>
                <w:b w:val="0"/>
                <w:bCs/>
                <w:sz w:val="21"/>
                <w:szCs w:val="21"/>
              </w:rPr>
              <w:t>编织袋装土填筑</w:t>
            </w:r>
          </w:p>
        </w:tc>
        <w:tc>
          <w:tcPr>
            <w:tcW w:w="268" w:type="pct"/>
            <w:vAlign w:val="center"/>
          </w:tcPr>
          <w:p>
            <w:pPr>
              <w:pStyle w:val="68"/>
              <w:adjustRightInd/>
              <w:snapToGrid/>
              <w:spacing w:afterLines="0"/>
              <w:jc w:val="center"/>
              <w:rPr>
                <w:b w:val="0"/>
                <w:bCs/>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36715.85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22949.50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3333.00</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1103.87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1232.39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2003.31</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2755.99</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3337.80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w:t>
            </w:r>
          </w:p>
        </w:tc>
        <w:tc>
          <w:tcPr>
            <w:tcW w:w="759" w:type="pct"/>
            <w:vAlign w:val="center"/>
          </w:tcPr>
          <w:p>
            <w:pPr>
              <w:pStyle w:val="68"/>
              <w:adjustRightInd/>
              <w:snapToGrid/>
              <w:spacing w:afterLines="0"/>
              <w:jc w:val="center"/>
              <w:rPr>
                <w:b w:val="0"/>
                <w:bCs/>
                <w:sz w:val="21"/>
                <w:szCs w:val="21"/>
              </w:rPr>
            </w:pPr>
            <w:r>
              <w:rPr>
                <w:b w:val="0"/>
                <w:bCs/>
                <w:sz w:val="21"/>
                <w:szCs w:val="21"/>
              </w:rPr>
              <w:t>土袋拆除</w:t>
            </w:r>
          </w:p>
        </w:tc>
        <w:tc>
          <w:tcPr>
            <w:tcW w:w="268" w:type="pct"/>
            <w:vAlign w:val="center"/>
          </w:tcPr>
          <w:p>
            <w:pPr>
              <w:pStyle w:val="68"/>
              <w:adjustRightInd/>
              <w:snapToGrid/>
              <w:spacing w:afterLines="0"/>
              <w:jc w:val="center"/>
              <w:rPr>
                <w:b w:val="0"/>
                <w:bCs/>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4774.20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3318.00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99.54</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143.54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160.25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260.49</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358.36</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434.02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13</w:t>
            </w:r>
          </w:p>
        </w:tc>
        <w:tc>
          <w:tcPr>
            <w:tcW w:w="759" w:type="pct"/>
            <w:vAlign w:val="center"/>
          </w:tcPr>
          <w:p>
            <w:pPr>
              <w:pStyle w:val="68"/>
              <w:adjustRightInd/>
              <w:snapToGrid/>
              <w:spacing w:afterLines="0"/>
              <w:jc w:val="center"/>
              <w:rPr>
                <w:b w:val="0"/>
                <w:bCs/>
                <w:sz w:val="21"/>
                <w:szCs w:val="21"/>
              </w:rPr>
            </w:pPr>
            <w:r>
              <w:rPr>
                <w:b w:val="0"/>
                <w:bCs/>
                <w:sz w:val="21"/>
                <w:szCs w:val="21"/>
              </w:rPr>
              <w:t>防雨布苫盖</w:t>
            </w:r>
          </w:p>
        </w:tc>
        <w:tc>
          <w:tcPr>
            <w:tcW w:w="268" w:type="pct"/>
            <w:vAlign w:val="center"/>
          </w:tcPr>
          <w:p>
            <w:pPr>
              <w:pStyle w:val="68"/>
              <w:adjustRightInd/>
              <w:snapToGrid/>
              <w:spacing w:afterLines="0"/>
              <w:jc w:val="center"/>
              <w:rPr>
                <w:b w:val="0"/>
                <w:sz w:val="21"/>
                <w:szCs w:val="21"/>
              </w:rPr>
            </w:pPr>
            <w:r>
              <w:rPr>
                <w:b w:val="0"/>
                <w:bCs/>
                <w:sz w:val="21"/>
                <w:szCs w:val="21"/>
              </w:rPr>
              <w:t>100m</w:t>
            </w:r>
            <w:r>
              <w:rPr>
                <w:b w:val="0"/>
                <w:bCs/>
                <w:sz w:val="21"/>
                <w:szCs w:val="21"/>
                <w:vertAlign w:val="superscript"/>
              </w:rPr>
              <w:t>2</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1199.04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197.50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660.81</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36.05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40.25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65.42</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90.00</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109.00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14</w:t>
            </w:r>
          </w:p>
        </w:tc>
        <w:tc>
          <w:tcPr>
            <w:tcW w:w="759" w:type="pct"/>
            <w:vAlign w:val="center"/>
          </w:tcPr>
          <w:p>
            <w:pPr>
              <w:spacing w:line="240" w:lineRule="auto"/>
              <w:ind w:firstLine="0" w:firstLineChars="0"/>
              <w:jc w:val="center"/>
              <w:rPr>
                <w:bCs/>
                <w:sz w:val="21"/>
                <w:szCs w:val="21"/>
              </w:rPr>
            </w:pPr>
            <w:r>
              <w:rPr>
                <w:sz w:val="21"/>
                <w:szCs w:val="21"/>
              </w:rPr>
              <w:t>密目网苫盖</w:t>
            </w:r>
          </w:p>
        </w:tc>
        <w:tc>
          <w:tcPr>
            <w:tcW w:w="268" w:type="pct"/>
            <w:vAlign w:val="center"/>
          </w:tcPr>
          <w:p>
            <w:pPr>
              <w:spacing w:line="240" w:lineRule="auto"/>
              <w:ind w:firstLine="0" w:firstLineChars="0"/>
              <w:jc w:val="center"/>
              <w:rPr>
                <w:bCs/>
                <w:sz w:val="21"/>
                <w:szCs w:val="21"/>
              </w:rPr>
            </w:pPr>
            <w:r>
              <w:rPr>
                <w:sz w:val="21"/>
                <w:szCs w:val="21"/>
              </w:rPr>
              <w:t>100m</w:t>
            </w:r>
            <w:r>
              <w:rPr>
                <w:sz w:val="21"/>
                <w:szCs w:val="21"/>
                <w:vertAlign w:val="superscript"/>
              </w:rPr>
              <w:t>2</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460.85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197.50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132.39</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13.86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15.47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25.15</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34.59</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41.90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15</w:t>
            </w:r>
          </w:p>
        </w:tc>
        <w:tc>
          <w:tcPr>
            <w:tcW w:w="759" w:type="pct"/>
            <w:vAlign w:val="center"/>
          </w:tcPr>
          <w:p>
            <w:pPr>
              <w:spacing w:line="240" w:lineRule="auto"/>
              <w:ind w:firstLine="0" w:firstLineChars="0"/>
              <w:jc w:val="center"/>
              <w:rPr>
                <w:bCs/>
                <w:sz w:val="21"/>
                <w:szCs w:val="21"/>
              </w:rPr>
            </w:pPr>
            <w:r>
              <w:rPr>
                <w:sz w:val="21"/>
                <w:szCs w:val="21"/>
              </w:rPr>
              <w:t>M10浆砌石挡墙</w:t>
            </w:r>
          </w:p>
        </w:tc>
        <w:tc>
          <w:tcPr>
            <w:tcW w:w="268" w:type="pct"/>
            <w:vAlign w:val="center"/>
          </w:tcPr>
          <w:p>
            <w:pPr>
              <w:spacing w:line="240" w:lineRule="auto"/>
              <w:ind w:firstLine="0" w:firstLineChars="0"/>
              <w:jc w:val="center"/>
              <w:rPr>
                <w:bCs/>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161573.35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16483.35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96445.29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468.74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4762.69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5317.20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8643.41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2636.07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12128.11</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14688.49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16</w:t>
            </w:r>
          </w:p>
        </w:tc>
        <w:tc>
          <w:tcPr>
            <w:tcW w:w="759" w:type="pct"/>
            <w:vAlign w:val="center"/>
          </w:tcPr>
          <w:p>
            <w:pPr>
              <w:spacing w:line="240" w:lineRule="auto"/>
              <w:ind w:firstLine="0" w:firstLineChars="0"/>
              <w:jc w:val="center"/>
              <w:rPr>
                <w:sz w:val="21"/>
                <w:szCs w:val="21"/>
              </w:rPr>
            </w:pPr>
            <w:r>
              <w:rPr>
                <w:kern w:val="0"/>
                <w:sz w:val="21"/>
                <w:szCs w:val="21"/>
              </w:rPr>
              <w:t>干砌卵石</w:t>
            </w:r>
          </w:p>
        </w:tc>
        <w:tc>
          <w:tcPr>
            <w:tcW w:w="268" w:type="pct"/>
            <w:vAlign w:val="center"/>
          </w:tcPr>
          <w:p>
            <w:pPr>
              <w:spacing w:line="240" w:lineRule="auto"/>
              <w:ind w:firstLine="0" w:firstLineChars="0"/>
              <w:jc w:val="center"/>
              <w:rPr>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41972.46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11557.70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18391.30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96.37</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1261.91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1408.83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2290.13</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3150.56</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3815.68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17</w:t>
            </w:r>
          </w:p>
        </w:tc>
        <w:tc>
          <w:tcPr>
            <w:tcW w:w="759" w:type="pct"/>
            <w:vAlign w:val="center"/>
          </w:tcPr>
          <w:p>
            <w:pPr>
              <w:spacing w:line="240" w:lineRule="auto"/>
              <w:ind w:firstLine="0" w:firstLineChars="0"/>
              <w:jc w:val="center"/>
              <w:rPr>
                <w:bCs/>
                <w:sz w:val="21"/>
                <w:szCs w:val="21"/>
              </w:rPr>
            </w:pPr>
            <w:r>
              <w:rPr>
                <w:sz w:val="21"/>
                <w:szCs w:val="21"/>
              </w:rPr>
              <w:t>土方回填</w:t>
            </w:r>
          </w:p>
        </w:tc>
        <w:tc>
          <w:tcPr>
            <w:tcW w:w="268" w:type="pct"/>
            <w:vAlign w:val="center"/>
          </w:tcPr>
          <w:p>
            <w:pPr>
              <w:spacing w:line="240" w:lineRule="auto"/>
              <w:ind w:firstLine="0" w:firstLineChars="0"/>
              <w:jc w:val="center"/>
              <w:rPr>
                <w:bCs/>
                <w:sz w:val="21"/>
                <w:szCs w:val="21"/>
              </w:rPr>
            </w:pPr>
            <w:r>
              <w:rPr>
                <w:sz w:val="21"/>
                <w:szCs w:val="21"/>
              </w:rPr>
              <w:t>100m</w:t>
            </w:r>
            <w:r>
              <w:rPr>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10841.41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7534.63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226.04</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325.95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363.90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591.54</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813.78</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985.58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18</w:t>
            </w:r>
          </w:p>
        </w:tc>
        <w:tc>
          <w:tcPr>
            <w:tcW w:w="759" w:type="pct"/>
            <w:vAlign w:val="center"/>
          </w:tcPr>
          <w:p>
            <w:pPr>
              <w:spacing w:line="240" w:lineRule="auto"/>
              <w:ind w:firstLine="0" w:firstLineChars="0"/>
              <w:jc w:val="center"/>
              <w:rPr>
                <w:kern w:val="0"/>
                <w:sz w:val="21"/>
                <w:szCs w:val="21"/>
              </w:rPr>
            </w:pPr>
            <w:r>
              <w:rPr>
                <w:sz w:val="21"/>
                <w:szCs w:val="21"/>
                <w:lang w:val="zh-CN"/>
              </w:rPr>
              <w:t>撒播草籽</w:t>
            </w:r>
          </w:p>
        </w:tc>
        <w:tc>
          <w:tcPr>
            <w:tcW w:w="268" w:type="pct"/>
            <w:vAlign w:val="center"/>
          </w:tcPr>
          <w:p>
            <w:pPr>
              <w:spacing w:line="240" w:lineRule="auto"/>
              <w:ind w:firstLine="0" w:firstLineChars="0"/>
              <w:jc w:val="center"/>
              <w:rPr>
                <w:sz w:val="21"/>
                <w:szCs w:val="21"/>
              </w:rPr>
            </w:pPr>
            <w:r>
              <w:rPr>
                <w:sz w:val="21"/>
                <w:szCs w:val="21"/>
              </w:rPr>
              <w:t>1hm</w:t>
            </w:r>
            <w:r>
              <w:rPr>
                <w:sz w:val="21"/>
                <w:szCs w:val="21"/>
                <w:vertAlign w:val="superscript"/>
              </w:rPr>
              <w:t>2</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1499.30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293.55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782.80</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41.98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50.32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81.81</w:t>
            </w:r>
          </w:p>
        </w:tc>
        <w:tc>
          <w:tcPr>
            <w:tcW w:w="364" w:type="pct"/>
            <w:vAlign w:val="center"/>
          </w:tcPr>
          <w:p>
            <w:pPr>
              <w:widowControl/>
              <w:adjustRightInd w:val="0"/>
              <w:snapToGrid w:val="0"/>
              <w:spacing w:line="240" w:lineRule="auto"/>
              <w:ind w:firstLine="0" w:firstLineChars="0"/>
              <w:jc w:val="center"/>
              <w:rPr>
                <w:kern w:val="0"/>
                <w:sz w:val="21"/>
                <w:szCs w:val="21"/>
              </w:rPr>
            </w:pP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112.54</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136.30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19</w:t>
            </w:r>
          </w:p>
        </w:tc>
        <w:tc>
          <w:tcPr>
            <w:tcW w:w="759" w:type="pct"/>
            <w:vAlign w:val="center"/>
          </w:tcPr>
          <w:p>
            <w:pPr>
              <w:pStyle w:val="68"/>
              <w:adjustRightInd/>
              <w:snapToGrid/>
              <w:spacing w:afterLines="0"/>
              <w:jc w:val="center"/>
              <w:rPr>
                <w:sz w:val="21"/>
                <w:szCs w:val="21"/>
                <w:lang w:val="zh-CN"/>
              </w:rPr>
            </w:pPr>
            <w:r>
              <w:rPr>
                <w:b w:val="0"/>
                <w:sz w:val="21"/>
                <w:szCs w:val="21"/>
              </w:rPr>
              <w:t>表土剥离</w:t>
            </w:r>
          </w:p>
        </w:tc>
        <w:tc>
          <w:tcPr>
            <w:tcW w:w="268" w:type="pct"/>
            <w:vAlign w:val="center"/>
          </w:tcPr>
          <w:p>
            <w:pPr>
              <w:pStyle w:val="68"/>
              <w:adjustRightInd/>
              <w:snapToGrid/>
              <w:spacing w:afterLines="0"/>
              <w:jc w:val="center"/>
              <w:rPr>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743.80</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61.23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6.73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416.26</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20.34</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22.71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36.91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56.18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55.83</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67.62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265"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20</w:t>
            </w:r>
          </w:p>
        </w:tc>
        <w:tc>
          <w:tcPr>
            <w:tcW w:w="759" w:type="pct"/>
            <w:vAlign w:val="center"/>
          </w:tcPr>
          <w:p>
            <w:pPr>
              <w:pStyle w:val="68"/>
              <w:adjustRightInd/>
              <w:snapToGrid/>
              <w:spacing w:afterLines="0"/>
              <w:jc w:val="center"/>
              <w:rPr>
                <w:sz w:val="21"/>
                <w:szCs w:val="21"/>
                <w:lang w:val="zh-CN"/>
              </w:rPr>
            </w:pPr>
            <w:r>
              <w:rPr>
                <w:b w:val="0"/>
                <w:sz w:val="21"/>
                <w:szCs w:val="21"/>
              </w:rPr>
              <w:t>表土回覆</w:t>
            </w:r>
          </w:p>
        </w:tc>
        <w:tc>
          <w:tcPr>
            <w:tcW w:w="268" w:type="pct"/>
            <w:vAlign w:val="center"/>
          </w:tcPr>
          <w:p>
            <w:pPr>
              <w:pStyle w:val="68"/>
              <w:adjustRightInd/>
              <w:snapToGrid/>
              <w:spacing w:afterLines="0"/>
              <w:jc w:val="center"/>
              <w:rPr>
                <w:sz w:val="21"/>
                <w:szCs w:val="21"/>
              </w:rPr>
            </w:pPr>
            <w:r>
              <w:rPr>
                <w:b w:val="0"/>
                <w:sz w:val="21"/>
                <w:szCs w:val="21"/>
              </w:rPr>
              <w:t>100m</w:t>
            </w:r>
            <w:r>
              <w:rPr>
                <w:b w:val="0"/>
                <w:sz w:val="21"/>
                <w:szCs w:val="21"/>
                <w:vertAlign w:val="superscript"/>
              </w:rPr>
              <w:t>3</w:t>
            </w:r>
          </w:p>
        </w:tc>
        <w:tc>
          <w:tcPr>
            <w:tcW w:w="424" w:type="pct"/>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1288.61</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96.78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10.65</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766.79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36.72</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40.99</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66.63</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56.18</w:t>
            </w:r>
          </w:p>
        </w:tc>
        <w:tc>
          <w:tcPr>
            <w:tcW w:w="364"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96.73</w:t>
            </w:r>
          </w:p>
        </w:tc>
        <w:tc>
          <w:tcPr>
            <w:tcW w:w="369" w:type="pct"/>
            <w:vAlign w:val="center"/>
          </w:tcPr>
          <w:p>
            <w:pPr>
              <w:widowControl/>
              <w:adjustRightInd w:val="0"/>
              <w:snapToGrid w:val="0"/>
              <w:spacing w:line="240" w:lineRule="auto"/>
              <w:ind w:firstLine="0" w:firstLineChars="0"/>
              <w:jc w:val="center"/>
              <w:rPr>
                <w:kern w:val="0"/>
                <w:sz w:val="21"/>
                <w:szCs w:val="21"/>
              </w:rPr>
            </w:pPr>
            <w:r>
              <w:rPr>
                <w:kern w:val="0"/>
                <w:sz w:val="21"/>
                <w:szCs w:val="21"/>
              </w:rPr>
              <w:t>117.15</w:t>
            </w:r>
          </w:p>
        </w:tc>
      </w:tr>
    </w:tbl>
    <w:p>
      <w:pPr>
        <w:spacing w:beforeLines="50"/>
        <w:ind w:firstLine="482"/>
        <w:rPr>
          <w:b/>
          <w:bCs/>
        </w:rPr>
        <w:sectPr>
          <w:pgSz w:w="16838" w:h="11905" w:orient="landscape"/>
          <w:pgMar w:top="1417" w:right="1417" w:bottom="1417" w:left="1417" w:header="850" w:footer="992" w:gutter="0"/>
          <w:cols w:space="720" w:num="1"/>
          <w:docGrid w:linePitch="330" w:charSpace="0"/>
        </w:sectPr>
      </w:pPr>
    </w:p>
    <w:p>
      <w:pPr>
        <w:spacing w:beforeLines="50"/>
        <w:ind w:firstLine="482"/>
        <w:rPr>
          <w:b/>
          <w:bCs/>
        </w:rPr>
      </w:pPr>
      <w:r>
        <w:rPr>
          <w:b/>
          <w:bCs/>
        </w:rPr>
        <w:t>4、费用组成</w:t>
      </w:r>
    </w:p>
    <w:p>
      <w:pPr>
        <w:ind w:firstLine="480"/>
      </w:pPr>
      <w:bookmarkStart w:id="205" w:name="_Toc97910691"/>
      <w:r>
        <w:t>（1）工程措施</w:t>
      </w:r>
    </w:p>
    <w:p>
      <w:pPr>
        <w:ind w:firstLine="480"/>
      </w:pPr>
      <w:r>
        <w:t>工程措施估算按设计工程量乘以工程单价进行编制。</w:t>
      </w:r>
    </w:p>
    <w:p>
      <w:pPr>
        <w:ind w:firstLine="480"/>
      </w:pPr>
      <w:r>
        <w:t>（2）植物措施</w:t>
      </w:r>
    </w:p>
    <w:p>
      <w:pPr>
        <w:ind w:firstLine="480"/>
      </w:pPr>
      <w:r>
        <w:t>植物措施费由苗木、草、种子等材料费及种植费组成。</w:t>
      </w:r>
    </w:p>
    <w:p>
      <w:pPr>
        <w:ind w:firstLine="480"/>
      </w:pPr>
      <w:r>
        <w:t>①植物措施材料费由苗木、草、种子的估算价格乘以数量进行编制。</w:t>
      </w:r>
    </w:p>
    <w:p>
      <w:pPr>
        <w:ind w:firstLine="480"/>
      </w:pPr>
      <w:r>
        <w:t>②栽（种）植费按《水土保持工程估算定额》进行编制。</w:t>
      </w:r>
    </w:p>
    <w:p>
      <w:pPr>
        <w:ind w:firstLine="480"/>
      </w:pPr>
      <w:r>
        <w:t>（3）施工临时工程</w:t>
      </w:r>
    </w:p>
    <w:p>
      <w:pPr>
        <w:pStyle w:val="10"/>
        <w:ind w:firstLine="510"/>
        <w:rPr>
          <w:rFonts w:eastAsia="仿宋_GB2312"/>
          <w:sz w:val="24"/>
        </w:rPr>
      </w:pPr>
      <w:r>
        <w:rPr>
          <w:rFonts w:eastAsia="仿宋_GB2312"/>
          <w:sz w:val="24"/>
        </w:rPr>
        <w:t>临时防护工程按实际工作量计列。</w:t>
      </w:r>
    </w:p>
    <w:bookmarkEnd w:id="205"/>
    <w:p>
      <w:pPr>
        <w:ind w:firstLine="480"/>
      </w:pPr>
      <w:bookmarkStart w:id="206" w:name="_Toc97910693"/>
      <w:r>
        <w:t>（4）独立费用</w:t>
      </w:r>
    </w:p>
    <w:p>
      <w:pPr>
        <w:ind w:firstLine="480"/>
      </w:pPr>
      <w:r>
        <w:t>包括建设管理费、水土保持监理费、科研勘测设计费、竣工验收技术评估费、招标代理服务费、经济技术咨询费六项组成。</w:t>
      </w:r>
    </w:p>
    <w:p>
      <w:pPr>
        <w:ind w:firstLine="480"/>
      </w:pPr>
      <w:r>
        <w:t>①建设管理费：按水土保持投资中工程措施、植物措施、临时措施之和的2%计算。</w:t>
      </w:r>
    </w:p>
    <w:p>
      <w:pPr>
        <w:ind w:firstLine="480"/>
      </w:pPr>
      <w:r>
        <w:t>②科研勘测设计费：结合本项目实际情况，本项目取49.0万元。</w:t>
      </w:r>
    </w:p>
    <w:p>
      <w:pPr>
        <w:ind w:firstLine="480"/>
      </w:pPr>
      <w:r>
        <w:t>③水土保持监理费：</w:t>
      </w:r>
      <w:r>
        <w:rPr>
          <w:szCs w:val="24"/>
        </w:rPr>
        <w:t>本项目</w:t>
      </w:r>
      <w:r>
        <w:t>水土保持监理费根据市场价格取40万元。</w:t>
      </w:r>
    </w:p>
    <w:p>
      <w:pPr>
        <w:ind w:firstLine="480"/>
      </w:pPr>
      <w:r>
        <w:t>④水土保持监测费：本项目监测措施费用为土地设施费、设备及安装费、建设期观测运行费三部分之和，共计372万元。</w:t>
      </w:r>
    </w:p>
    <w:p>
      <w:pPr>
        <w:ind w:firstLine="480"/>
      </w:pPr>
      <w:bookmarkStart w:id="207" w:name="_Toc97910692"/>
      <w:r>
        <w:t>⑤水土保持设施验收费：本项目水土保持设施验收费根据市场价格取39.20万元。</w:t>
      </w:r>
    </w:p>
    <w:p>
      <w:pPr>
        <w:ind w:firstLine="480"/>
      </w:pPr>
      <w:r>
        <w:t>⑥招标代理服务费：结合本项目实际情况计列，本项目取10万元。</w:t>
      </w:r>
    </w:p>
    <w:p>
      <w:pPr>
        <w:ind w:firstLine="480"/>
      </w:pPr>
      <w:r>
        <w:t>⑦经济技术咨询费：结合本项目实际情况计列，本项目取0万元。</w:t>
      </w:r>
    </w:p>
    <w:p>
      <w:pPr>
        <w:ind w:firstLine="480"/>
      </w:pPr>
      <w:r>
        <w:t>（6）基本预备费</w:t>
      </w:r>
      <w:bookmarkEnd w:id="207"/>
    </w:p>
    <w:p>
      <w:pPr>
        <w:ind w:firstLine="480"/>
      </w:pPr>
      <w:r>
        <w:t>基本预备费按工程措施、植物措施、施工临时工程和独立费用4项之和的10%计列。</w:t>
      </w:r>
    </w:p>
    <w:p>
      <w:pPr>
        <w:ind w:firstLine="480"/>
      </w:pPr>
      <w:r>
        <w:t>（7）</w:t>
      </w:r>
      <w:bookmarkEnd w:id="206"/>
      <w:r>
        <w:t>水土保持补偿费</w:t>
      </w:r>
    </w:p>
    <w:p>
      <w:pPr>
        <w:tabs>
          <w:tab w:val="left" w:pos="3108"/>
        </w:tabs>
        <w:ind w:firstLine="480"/>
      </w:pPr>
      <w:r>
        <w:t>根据《四川省水利厅四川省财政厅四川省发展和改革委员会中国人民银行成都分行关于进一步做好水土保持补偿费征收工作的通知》（川水函〔2019〕1237号），对于2014年6月30日（含）以前已批复水土保持方案但未缴纳水土保持补偿费的项目，缴费标准按“川价字非〔1995〕118号”规定执行，经向当地水行政主管部门、税务部门确认，水土保持补偿费按2.0元/m</w:t>
      </w:r>
      <w:r>
        <w:rPr>
          <w:vertAlign w:val="superscript"/>
        </w:rPr>
        <w:t>2</w:t>
      </w:r>
      <w:r>
        <w:t>计征。对于2017年7月1日前已批复水土保持方案但未缴纳水土保持补偿费的项目，根据“发改价格〔2017〕1186号”相关规定，缴费标准按原标准执行。对于补报水土保持方案的项目，按项目开工前执行的标准征收。2017年7月1日以前开工的项目，缴费标准根据开工时间参照“川发改价格〔2014〕1041号”和“川价字非〔1995〕118号”执行，按征占地面积2.0元/m</w:t>
      </w:r>
      <w:r>
        <w:rPr>
          <w:vertAlign w:val="superscript"/>
        </w:rPr>
        <w:t>2</w:t>
      </w:r>
      <w:r>
        <w:t>计征；对于2017年7月1日以后开工的项目，根据四川省发展和改革委员会、四川省财政厅《关于制定水土保持补偿收费标准的通知》（川发改价格〔2017〕347号），水土保持补偿费按征占地1.3元/m</w:t>
      </w:r>
      <w:r>
        <w:rPr>
          <w:vertAlign w:val="superscript"/>
        </w:rPr>
        <w:t>2</w:t>
      </w:r>
      <w:r>
        <w:t>计征。</w:t>
      </w:r>
    </w:p>
    <w:p>
      <w:pPr>
        <w:tabs>
          <w:tab w:val="left" w:pos="3108"/>
        </w:tabs>
        <w:ind w:firstLine="480"/>
      </w:pPr>
      <w:r>
        <w:t>根据调查，园区内所有项目均为2017年7月1日以后开工的项目，故水土保持补偿费均按征占地1.3元/m</w:t>
      </w:r>
      <w:r>
        <w:rPr>
          <w:vertAlign w:val="superscript"/>
        </w:rPr>
        <w:t>2</w:t>
      </w:r>
      <w:r>
        <w:t>计征。</w:t>
      </w:r>
    </w:p>
    <w:p>
      <w:pPr>
        <w:tabs>
          <w:tab w:val="left" w:pos="3108"/>
        </w:tabs>
        <w:ind w:firstLine="480"/>
      </w:pPr>
      <w:r>
        <w:t>化工园区总占地面积1129.18hm</w:t>
      </w:r>
      <w:r>
        <w:rPr>
          <w:vertAlign w:val="superscript"/>
        </w:rPr>
        <w:t>2</w:t>
      </w:r>
      <w:r>
        <w:t>，根据已缴纳水土保持补偿费情况，因四川永祥新能源有限公司的2.5万吨高纯晶硅项目在方案阶</w:t>
      </w:r>
      <w:r>
        <w:rPr>
          <w:szCs w:val="24"/>
        </w:rPr>
        <w:t>段批复总占地（即缴纳补偿费计征面积）57.06hm</w:t>
      </w:r>
      <w:r>
        <w:rPr>
          <w:szCs w:val="24"/>
          <w:vertAlign w:val="superscript"/>
        </w:rPr>
        <w:t>2</w:t>
      </w:r>
      <w:r>
        <w:rPr>
          <w:szCs w:val="24"/>
        </w:rPr>
        <w:t>，在该项目验收阶段，验收占地56.98hm</w:t>
      </w:r>
      <w:r>
        <w:rPr>
          <w:szCs w:val="24"/>
          <w:vertAlign w:val="superscript"/>
        </w:rPr>
        <w:t>2</w:t>
      </w:r>
      <w:r>
        <w:rPr>
          <w:szCs w:val="24"/>
        </w:rPr>
        <w:t>，其中永久占地52.95hm</w:t>
      </w:r>
      <w:r>
        <w:rPr>
          <w:szCs w:val="24"/>
          <w:vertAlign w:val="superscript"/>
        </w:rPr>
        <w:t>2</w:t>
      </w:r>
      <w:r>
        <w:rPr>
          <w:szCs w:val="24"/>
        </w:rPr>
        <w:t>（含厂外铺设管道的永久占地0.24hm</w:t>
      </w:r>
      <w:r>
        <w:rPr>
          <w:szCs w:val="24"/>
          <w:vertAlign w:val="superscript"/>
        </w:rPr>
        <w:t>2</w:t>
      </w:r>
      <w:r>
        <w:rPr>
          <w:szCs w:val="24"/>
        </w:rPr>
        <w:t>），临时占地4.03hm</w:t>
      </w:r>
      <w:r>
        <w:rPr>
          <w:szCs w:val="24"/>
          <w:vertAlign w:val="superscript"/>
        </w:rPr>
        <w:t>2</w:t>
      </w:r>
      <w:r>
        <w:rPr>
          <w:szCs w:val="24"/>
        </w:rPr>
        <w:t>。占地减少原因为：由于项目水土保持方案编制阶段为可研阶段，相应的数据通过地形图勾绘得出，项目建设区的面积相对粗糙，实际施工中严格控制施工征地，故项目建设区的面积减少0.08hm</w:t>
      </w:r>
      <w:r>
        <w:rPr>
          <w:szCs w:val="24"/>
          <w:vertAlign w:val="superscript"/>
        </w:rPr>
        <w:t>2</w:t>
      </w:r>
      <w:r>
        <w:rPr>
          <w:szCs w:val="24"/>
        </w:rPr>
        <w:t>。厂内永久占地为52.71hm</w:t>
      </w:r>
      <w:r>
        <w:rPr>
          <w:szCs w:val="24"/>
          <w:vertAlign w:val="superscript"/>
        </w:rPr>
        <w:t>2</w:t>
      </w:r>
      <w:r>
        <w:rPr>
          <w:szCs w:val="24"/>
        </w:rPr>
        <w:t>。根据乐山五通桥化工园区己缴纳水土保持补偿费情况统计表（详见附件25 ），</w:t>
      </w:r>
      <w:r>
        <w:t>扣除已计征面积，本次水土保持补偿费计征面积923.14hm</w:t>
      </w:r>
      <w:r>
        <w:rPr>
          <w:vertAlign w:val="superscript"/>
        </w:rPr>
        <w:t>2</w:t>
      </w:r>
      <w:r>
        <w:t>，计征标准1.3元/m</w:t>
      </w:r>
      <w:r>
        <w:rPr>
          <w:vertAlign w:val="superscript"/>
        </w:rPr>
        <w:t>2</w:t>
      </w:r>
      <w:r>
        <w:t>，共计1200.082万元（其中管理机构应缴纳216.723万元，入驻项目应缴纳983.359万元）。</w:t>
      </w:r>
    </w:p>
    <w:p>
      <w:pPr>
        <w:tabs>
          <w:tab w:val="left" w:pos="3108"/>
        </w:tabs>
        <w:ind w:firstLine="480"/>
        <w:sectPr>
          <w:pgSz w:w="11905" w:h="16838"/>
          <w:pgMar w:top="1417" w:right="1417" w:bottom="1417" w:left="1417" w:header="850" w:footer="992" w:gutter="0"/>
          <w:cols w:space="720" w:num="1"/>
          <w:docGrid w:linePitch="330" w:charSpace="0"/>
        </w:sectPr>
      </w:pPr>
      <w:r>
        <w:t>化工园区水土保持补偿费计征情况统计详见表7.1-5。化工园区已缴纳水土保持补偿费情况统计详见表7.1-6。</w:t>
      </w:r>
    </w:p>
    <w:bookmarkEnd w:id="120"/>
    <w:bookmarkEnd w:id="121"/>
    <w:bookmarkEnd w:id="122"/>
    <w:bookmarkEnd w:id="123"/>
    <w:bookmarkEnd w:id="124"/>
    <w:bookmarkEnd w:id="125"/>
    <w:bookmarkEnd w:id="126"/>
    <w:bookmarkEnd w:id="127"/>
    <w:bookmarkEnd w:id="128"/>
    <w:bookmarkEnd w:id="129"/>
    <w:bookmarkEnd w:id="130"/>
    <w:bookmarkEnd w:id="131"/>
    <w:bookmarkEnd w:id="132"/>
    <w:p>
      <w:pPr>
        <w:ind w:firstLine="0" w:firstLineChars="0"/>
        <w:jc w:val="center"/>
        <w:rPr>
          <w:b/>
          <w:bCs/>
        </w:rPr>
      </w:pPr>
      <w:bookmarkStart w:id="208" w:name="_Toc228013341"/>
      <w:r>
        <w:rPr>
          <w:b/>
          <w:bCs/>
        </w:rPr>
        <w:t>表7.1-5化工园区水土保持补偿费计征情况统计表</w:t>
      </w:r>
    </w:p>
    <w:tbl>
      <w:tblPr>
        <w:tblStyle w:val="110"/>
        <w:tblW w:w="4997"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1229"/>
        <w:gridCol w:w="2497"/>
        <w:gridCol w:w="1484"/>
        <w:gridCol w:w="1445"/>
        <w:gridCol w:w="1952"/>
        <w:gridCol w:w="920"/>
        <w:gridCol w:w="920"/>
        <w:gridCol w:w="920"/>
        <w:gridCol w:w="920"/>
        <w:gridCol w:w="920"/>
        <w:gridCol w:w="1004"/>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41" w:type="pct"/>
            <w:gridSpan w:val="3"/>
            <w:vAlign w:val="center"/>
          </w:tcPr>
          <w:p>
            <w:pPr>
              <w:pStyle w:val="53"/>
              <w:jc w:val="center"/>
              <w:rPr>
                <w:rFonts w:eastAsia="仿宋_GB2312"/>
                <w:b/>
                <w:bCs/>
              </w:rPr>
            </w:pPr>
            <w:r>
              <w:rPr>
                <w:rFonts w:eastAsia="仿宋_GB2312"/>
                <w:b/>
                <w:bCs/>
              </w:rPr>
              <w:t>防治分区</w:t>
            </w:r>
          </w:p>
        </w:tc>
        <w:tc>
          <w:tcPr>
            <w:tcW w:w="511" w:type="pct"/>
            <w:vMerge w:val="restart"/>
            <w:vAlign w:val="center"/>
          </w:tcPr>
          <w:p>
            <w:pPr>
              <w:pStyle w:val="53"/>
              <w:jc w:val="center"/>
              <w:rPr>
                <w:rFonts w:eastAsia="仿宋_GB2312"/>
                <w:b/>
                <w:bCs/>
              </w:rPr>
            </w:pPr>
            <w:r>
              <w:rPr>
                <w:rFonts w:eastAsia="仿宋_GB2312"/>
                <w:b/>
                <w:bCs/>
              </w:rPr>
              <w:t>征占土地面积（hm</w:t>
            </w:r>
            <w:r>
              <w:rPr>
                <w:rFonts w:eastAsia="仿宋_GB2312"/>
                <w:b/>
                <w:bCs/>
                <w:vertAlign w:val="superscript"/>
              </w:rPr>
              <w:t>2</w:t>
            </w:r>
            <w:r>
              <w:rPr>
                <w:rFonts w:eastAsia="仿宋_GB2312"/>
                <w:b/>
                <w:bCs/>
              </w:rPr>
              <w:t>）</w:t>
            </w:r>
          </w:p>
        </w:tc>
        <w:tc>
          <w:tcPr>
            <w:tcW w:w="689" w:type="pct"/>
            <w:vMerge w:val="restart"/>
            <w:vAlign w:val="center"/>
          </w:tcPr>
          <w:p>
            <w:pPr>
              <w:pStyle w:val="53"/>
              <w:jc w:val="center"/>
              <w:rPr>
                <w:rFonts w:eastAsia="仿宋_GB2312"/>
                <w:b/>
                <w:bCs/>
              </w:rPr>
            </w:pPr>
            <w:r>
              <w:rPr>
                <w:rFonts w:eastAsia="仿宋_GB2312"/>
                <w:b/>
                <w:bCs/>
              </w:rPr>
              <w:t>已缴纳水土保持补偿费面积（hm</w:t>
            </w:r>
            <w:r>
              <w:rPr>
                <w:rFonts w:eastAsia="仿宋_GB2312"/>
                <w:b/>
                <w:bCs/>
                <w:vertAlign w:val="superscript"/>
              </w:rPr>
              <w:t>2</w:t>
            </w:r>
            <w:r>
              <w:rPr>
                <w:rFonts w:eastAsia="仿宋_GB2312"/>
                <w:b/>
                <w:bCs/>
              </w:rPr>
              <w:t>）</w:t>
            </w:r>
          </w:p>
        </w:tc>
        <w:tc>
          <w:tcPr>
            <w:tcW w:w="1958" w:type="pct"/>
            <w:gridSpan w:val="6"/>
            <w:vAlign w:val="center"/>
          </w:tcPr>
          <w:p>
            <w:pPr>
              <w:pStyle w:val="53"/>
              <w:jc w:val="center"/>
              <w:rPr>
                <w:rFonts w:eastAsia="仿宋_GB2312"/>
                <w:b/>
                <w:bCs/>
              </w:rPr>
            </w:pPr>
            <w:r>
              <w:rPr>
                <w:rFonts w:eastAsia="仿宋_GB2312"/>
                <w:b/>
                <w:bCs/>
              </w:rPr>
              <w:t>待缴纳水土保持补偿费情况</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3" w:hRule="atLeast"/>
        </w:trPr>
        <w:tc>
          <w:tcPr>
            <w:tcW w:w="435" w:type="pct"/>
            <w:vMerge w:val="restart"/>
            <w:vAlign w:val="center"/>
          </w:tcPr>
          <w:p>
            <w:pPr>
              <w:pStyle w:val="53"/>
              <w:jc w:val="center"/>
              <w:rPr>
                <w:rFonts w:eastAsia="仿宋_GB2312"/>
                <w:b/>
                <w:bCs/>
              </w:rPr>
            </w:pPr>
            <w:r>
              <w:rPr>
                <w:rFonts w:eastAsia="仿宋_GB2312"/>
                <w:b/>
                <w:bCs/>
              </w:rPr>
              <w:t>一级分区</w:t>
            </w:r>
          </w:p>
        </w:tc>
        <w:tc>
          <w:tcPr>
            <w:tcW w:w="881" w:type="pct"/>
            <w:vMerge w:val="restart"/>
            <w:vAlign w:val="center"/>
          </w:tcPr>
          <w:p>
            <w:pPr>
              <w:pStyle w:val="53"/>
              <w:jc w:val="center"/>
              <w:rPr>
                <w:rFonts w:eastAsia="仿宋_GB2312"/>
                <w:b/>
                <w:bCs/>
              </w:rPr>
            </w:pPr>
            <w:r>
              <w:rPr>
                <w:rFonts w:eastAsia="仿宋_GB2312"/>
                <w:b/>
                <w:bCs/>
              </w:rPr>
              <w:t>二级分区</w:t>
            </w:r>
          </w:p>
        </w:tc>
        <w:tc>
          <w:tcPr>
            <w:tcW w:w="523" w:type="pct"/>
            <w:vMerge w:val="restart"/>
            <w:vAlign w:val="center"/>
          </w:tcPr>
          <w:p>
            <w:pPr>
              <w:pStyle w:val="53"/>
              <w:jc w:val="center"/>
              <w:rPr>
                <w:rFonts w:eastAsia="仿宋_GB2312"/>
                <w:b/>
                <w:bCs/>
              </w:rPr>
            </w:pPr>
            <w:r>
              <w:rPr>
                <w:rFonts w:eastAsia="仿宋_GB2312"/>
                <w:b/>
                <w:bCs/>
              </w:rPr>
              <w:t>三级分区</w:t>
            </w:r>
          </w:p>
        </w:tc>
        <w:tc>
          <w:tcPr>
            <w:tcW w:w="511" w:type="pct"/>
            <w:vMerge w:val="continue"/>
            <w:vAlign w:val="center"/>
          </w:tcPr>
          <w:p>
            <w:pPr>
              <w:pStyle w:val="53"/>
              <w:jc w:val="center"/>
              <w:rPr>
                <w:rFonts w:eastAsia="仿宋_GB2312"/>
                <w:b/>
                <w:bCs/>
              </w:rPr>
            </w:pPr>
          </w:p>
        </w:tc>
        <w:tc>
          <w:tcPr>
            <w:tcW w:w="689" w:type="pct"/>
            <w:vMerge w:val="continue"/>
            <w:vAlign w:val="center"/>
          </w:tcPr>
          <w:p>
            <w:pPr>
              <w:pStyle w:val="53"/>
              <w:jc w:val="center"/>
              <w:rPr>
                <w:rFonts w:eastAsia="仿宋_GB2312"/>
                <w:b/>
                <w:bCs/>
              </w:rPr>
            </w:pPr>
          </w:p>
        </w:tc>
        <w:tc>
          <w:tcPr>
            <w:tcW w:w="978" w:type="pct"/>
            <w:gridSpan w:val="3"/>
            <w:vAlign w:val="center"/>
          </w:tcPr>
          <w:p>
            <w:pPr>
              <w:pStyle w:val="53"/>
              <w:jc w:val="center"/>
              <w:rPr>
                <w:rFonts w:eastAsia="仿宋_GB2312"/>
                <w:b/>
                <w:bCs/>
              </w:rPr>
            </w:pPr>
            <w:r>
              <w:rPr>
                <w:rFonts w:eastAsia="仿宋_GB2312"/>
                <w:b/>
                <w:bCs/>
              </w:rPr>
              <w:t>计征面积（hm</w:t>
            </w:r>
            <w:r>
              <w:rPr>
                <w:rFonts w:eastAsia="仿宋_GB2312"/>
                <w:b/>
                <w:bCs/>
                <w:vertAlign w:val="superscript"/>
              </w:rPr>
              <w:t>2</w:t>
            </w:r>
            <w:r>
              <w:rPr>
                <w:rFonts w:eastAsia="仿宋_GB2312"/>
                <w:b/>
                <w:bCs/>
              </w:rPr>
              <w:t>）</w:t>
            </w:r>
          </w:p>
        </w:tc>
        <w:tc>
          <w:tcPr>
            <w:tcW w:w="979" w:type="pct"/>
            <w:gridSpan w:val="3"/>
            <w:vAlign w:val="center"/>
          </w:tcPr>
          <w:p>
            <w:pPr>
              <w:pStyle w:val="53"/>
              <w:jc w:val="center"/>
              <w:rPr>
                <w:rFonts w:eastAsia="仿宋_GB2312"/>
                <w:b/>
                <w:bCs/>
              </w:rPr>
            </w:pPr>
            <w:r>
              <w:rPr>
                <w:rFonts w:eastAsia="仿宋_GB2312"/>
                <w:b/>
                <w:bCs/>
              </w:rPr>
              <w:t>缴纳费用（万元）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4"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pStyle w:val="53"/>
              <w:jc w:val="center"/>
              <w:rPr>
                <w:rFonts w:eastAsia="仿宋_GB2312"/>
                <w:b/>
                <w:bCs/>
              </w:rPr>
            </w:pPr>
          </w:p>
        </w:tc>
        <w:tc>
          <w:tcPr>
            <w:tcW w:w="523" w:type="pct"/>
            <w:vMerge w:val="continue"/>
            <w:vAlign w:val="center"/>
          </w:tcPr>
          <w:p>
            <w:pPr>
              <w:pStyle w:val="53"/>
              <w:jc w:val="center"/>
              <w:rPr>
                <w:rFonts w:eastAsia="仿宋_GB2312"/>
                <w:b/>
                <w:bCs/>
              </w:rPr>
            </w:pPr>
          </w:p>
        </w:tc>
        <w:tc>
          <w:tcPr>
            <w:tcW w:w="511" w:type="pct"/>
            <w:vMerge w:val="continue"/>
            <w:vAlign w:val="center"/>
          </w:tcPr>
          <w:p>
            <w:pPr>
              <w:pStyle w:val="53"/>
              <w:jc w:val="center"/>
              <w:rPr>
                <w:rFonts w:eastAsia="仿宋_GB2312"/>
                <w:b/>
                <w:bCs/>
              </w:rPr>
            </w:pPr>
          </w:p>
        </w:tc>
        <w:tc>
          <w:tcPr>
            <w:tcW w:w="689" w:type="pct"/>
            <w:vMerge w:val="continue"/>
            <w:vAlign w:val="center"/>
          </w:tcPr>
          <w:p>
            <w:pPr>
              <w:pStyle w:val="53"/>
              <w:jc w:val="center"/>
              <w:rPr>
                <w:rFonts w:eastAsia="仿宋_GB2312"/>
                <w:b/>
                <w:bCs/>
              </w:rPr>
            </w:pPr>
          </w:p>
        </w:tc>
        <w:tc>
          <w:tcPr>
            <w:tcW w:w="326" w:type="pct"/>
            <w:vAlign w:val="center"/>
          </w:tcPr>
          <w:p>
            <w:pPr>
              <w:pStyle w:val="53"/>
              <w:jc w:val="center"/>
              <w:rPr>
                <w:rFonts w:eastAsia="仿宋_GB2312"/>
                <w:b/>
                <w:bCs/>
              </w:rPr>
            </w:pPr>
            <w:r>
              <w:rPr>
                <w:rFonts w:eastAsia="仿宋_GB2312"/>
                <w:b/>
                <w:bCs/>
              </w:rPr>
              <w:t>管理机构</w:t>
            </w:r>
          </w:p>
        </w:tc>
        <w:tc>
          <w:tcPr>
            <w:tcW w:w="326" w:type="pct"/>
            <w:vAlign w:val="center"/>
          </w:tcPr>
          <w:p>
            <w:pPr>
              <w:pStyle w:val="53"/>
              <w:jc w:val="center"/>
              <w:rPr>
                <w:rFonts w:eastAsia="仿宋_GB2312"/>
                <w:b/>
                <w:bCs/>
              </w:rPr>
            </w:pPr>
            <w:r>
              <w:rPr>
                <w:rFonts w:eastAsia="仿宋_GB2312"/>
                <w:b/>
                <w:bCs/>
              </w:rPr>
              <w:t>入驻企业</w:t>
            </w:r>
          </w:p>
        </w:tc>
        <w:tc>
          <w:tcPr>
            <w:tcW w:w="326" w:type="pct"/>
            <w:vAlign w:val="center"/>
          </w:tcPr>
          <w:p>
            <w:pPr>
              <w:pStyle w:val="53"/>
              <w:jc w:val="center"/>
              <w:rPr>
                <w:rFonts w:eastAsia="仿宋_GB2312"/>
                <w:b/>
                <w:bCs/>
              </w:rPr>
            </w:pPr>
            <w:r>
              <w:rPr>
                <w:rFonts w:eastAsia="仿宋_GB2312"/>
                <w:b/>
                <w:bCs/>
              </w:rPr>
              <w:t>小计</w:t>
            </w:r>
          </w:p>
        </w:tc>
        <w:tc>
          <w:tcPr>
            <w:tcW w:w="326" w:type="pct"/>
            <w:vAlign w:val="center"/>
          </w:tcPr>
          <w:p>
            <w:pPr>
              <w:pStyle w:val="53"/>
              <w:jc w:val="center"/>
              <w:rPr>
                <w:rFonts w:eastAsia="仿宋_GB2312"/>
                <w:b/>
                <w:bCs/>
              </w:rPr>
            </w:pPr>
            <w:r>
              <w:rPr>
                <w:rFonts w:eastAsia="仿宋_GB2312"/>
                <w:b/>
                <w:bCs/>
              </w:rPr>
              <w:t>管理机构</w:t>
            </w:r>
          </w:p>
        </w:tc>
        <w:tc>
          <w:tcPr>
            <w:tcW w:w="326" w:type="pct"/>
            <w:vAlign w:val="center"/>
          </w:tcPr>
          <w:p>
            <w:pPr>
              <w:pStyle w:val="53"/>
              <w:jc w:val="center"/>
              <w:rPr>
                <w:rFonts w:eastAsia="仿宋_GB2312"/>
                <w:b/>
                <w:bCs/>
              </w:rPr>
            </w:pPr>
            <w:r>
              <w:rPr>
                <w:rFonts w:eastAsia="仿宋_GB2312"/>
                <w:b/>
                <w:bCs/>
              </w:rPr>
              <w:t>入驻企业</w:t>
            </w:r>
          </w:p>
        </w:tc>
        <w:tc>
          <w:tcPr>
            <w:tcW w:w="327" w:type="pct"/>
            <w:vAlign w:val="center"/>
          </w:tcPr>
          <w:p>
            <w:pPr>
              <w:pStyle w:val="53"/>
              <w:jc w:val="center"/>
              <w:rPr>
                <w:rFonts w:eastAsia="仿宋_GB2312"/>
                <w:b/>
                <w:bCs/>
              </w:rPr>
            </w:pPr>
            <w:r>
              <w:rPr>
                <w:rFonts w:eastAsia="仿宋_GB2312"/>
                <w:b/>
                <w:bCs/>
              </w:rPr>
              <w:t>小计</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4" w:hRule="atLeast"/>
        </w:trPr>
        <w:tc>
          <w:tcPr>
            <w:tcW w:w="435" w:type="pct"/>
            <w:vMerge w:val="restart"/>
            <w:vAlign w:val="center"/>
          </w:tcPr>
          <w:p>
            <w:pPr>
              <w:pStyle w:val="53"/>
              <w:jc w:val="center"/>
              <w:rPr>
                <w:rFonts w:eastAsia="仿宋_GB2312"/>
                <w:b/>
                <w:bCs/>
              </w:rPr>
            </w:pPr>
            <w:r>
              <w:rPr>
                <w:rFonts w:eastAsia="仿宋_GB2312"/>
              </w:rPr>
              <w:t>近期建设区</w:t>
            </w:r>
          </w:p>
        </w:tc>
        <w:tc>
          <w:tcPr>
            <w:tcW w:w="881" w:type="pct"/>
            <w:vMerge w:val="restart"/>
            <w:vAlign w:val="center"/>
          </w:tcPr>
          <w:p>
            <w:pPr>
              <w:pStyle w:val="53"/>
              <w:jc w:val="center"/>
              <w:rPr>
                <w:rFonts w:eastAsia="仿宋_GB2312"/>
              </w:rPr>
            </w:pPr>
            <w:r>
              <w:rPr>
                <w:rFonts w:eastAsia="仿宋_GB2312"/>
              </w:rPr>
              <w:t>工业用地区</w:t>
            </w:r>
          </w:p>
        </w:tc>
        <w:tc>
          <w:tcPr>
            <w:tcW w:w="523" w:type="pct"/>
            <w:vAlign w:val="center"/>
          </w:tcPr>
          <w:p>
            <w:pPr>
              <w:tabs>
                <w:tab w:val="left" w:pos="1050"/>
              </w:tabs>
              <w:spacing w:line="240" w:lineRule="auto"/>
              <w:ind w:firstLine="0" w:firstLineChars="0"/>
              <w:jc w:val="center"/>
              <w:rPr>
                <w:sz w:val="21"/>
                <w:szCs w:val="21"/>
              </w:rPr>
            </w:pPr>
            <w:r>
              <w:rPr>
                <w:sz w:val="21"/>
                <w:szCs w:val="21"/>
              </w:rPr>
              <w:t>已建区</w:t>
            </w:r>
          </w:p>
        </w:tc>
        <w:tc>
          <w:tcPr>
            <w:tcW w:w="1434" w:type="dxa"/>
            <w:vAlign w:val="center"/>
          </w:tcPr>
          <w:p>
            <w:pPr>
              <w:tabs>
                <w:tab w:val="left" w:pos="1050"/>
              </w:tabs>
              <w:spacing w:line="240" w:lineRule="auto"/>
              <w:ind w:firstLine="0" w:firstLineChars="0"/>
              <w:jc w:val="center"/>
              <w:rPr>
                <w:sz w:val="21"/>
                <w:szCs w:val="21"/>
              </w:rPr>
            </w:pPr>
            <w:r>
              <w:rPr>
                <w:sz w:val="21"/>
                <w:szCs w:val="21"/>
              </w:rPr>
              <w:t>52.71</w:t>
            </w:r>
          </w:p>
        </w:tc>
        <w:tc>
          <w:tcPr>
            <w:tcW w:w="1933" w:type="dxa"/>
            <w:vAlign w:val="center"/>
          </w:tcPr>
          <w:p>
            <w:pPr>
              <w:tabs>
                <w:tab w:val="left" w:pos="1050"/>
              </w:tabs>
              <w:spacing w:line="240" w:lineRule="auto"/>
              <w:ind w:firstLine="0" w:firstLineChars="0"/>
              <w:jc w:val="center"/>
              <w:rPr>
                <w:sz w:val="21"/>
                <w:szCs w:val="21"/>
              </w:rPr>
            </w:pPr>
            <w:r>
              <w:rPr>
                <w:sz w:val="21"/>
                <w:szCs w:val="21"/>
              </w:rPr>
              <w:t>57.06</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2" w:hRule="atLeast"/>
        </w:trPr>
        <w:tc>
          <w:tcPr>
            <w:tcW w:w="435" w:type="pct"/>
            <w:vMerge w:val="continue"/>
            <w:vAlign w:val="center"/>
          </w:tcPr>
          <w:p>
            <w:pPr>
              <w:pStyle w:val="53"/>
              <w:jc w:val="center"/>
              <w:rPr>
                <w:rFonts w:eastAsia="仿宋_GB2312"/>
              </w:rPr>
            </w:pPr>
          </w:p>
        </w:tc>
        <w:tc>
          <w:tcPr>
            <w:tcW w:w="881" w:type="pct"/>
            <w:vMerge w:val="continue"/>
            <w:vAlign w:val="center"/>
          </w:tcPr>
          <w:p>
            <w:pPr>
              <w:pStyle w:val="53"/>
              <w:jc w:val="center"/>
              <w:rPr>
                <w:rFonts w:eastAsia="仿宋_GB2312"/>
              </w:rPr>
            </w:pPr>
          </w:p>
        </w:tc>
        <w:tc>
          <w:tcPr>
            <w:tcW w:w="523" w:type="pct"/>
            <w:vAlign w:val="center"/>
          </w:tcPr>
          <w:p>
            <w:pPr>
              <w:tabs>
                <w:tab w:val="left" w:pos="1050"/>
              </w:tabs>
              <w:spacing w:line="240" w:lineRule="auto"/>
              <w:ind w:firstLine="0" w:firstLineChars="0"/>
              <w:jc w:val="center"/>
              <w:rPr>
                <w:sz w:val="21"/>
                <w:szCs w:val="21"/>
              </w:rPr>
            </w:pPr>
            <w:r>
              <w:rPr>
                <w:sz w:val="21"/>
                <w:szCs w:val="21"/>
              </w:rPr>
              <w:t>在建区</w:t>
            </w:r>
          </w:p>
        </w:tc>
        <w:tc>
          <w:tcPr>
            <w:tcW w:w="1434" w:type="dxa"/>
            <w:vAlign w:val="center"/>
          </w:tcPr>
          <w:p>
            <w:pPr>
              <w:tabs>
                <w:tab w:val="left" w:pos="1050"/>
              </w:tabs>
              <w:spacing w:line="240" w:lineRule="auto"/>
              <w:ind w:firstLine="0" w:firstLineChars="0"/>
              <w:jc w:val="center"/>
              <w:rPr>
                <w:sz w:val="21"/>
                <w:szCs w:val="21"/>
              </w:rPr>
            </w:pPr>
            <w:r>
              <w:rPr>
                <w:sz w:val="21"/>
                <w:szCs w:val="21"/>
              </w:rPr>
              <w:t>300.34</w:t>
            </w:r>
          </w:p>
        </w:tc>
        <w:tc>
          <w:tcPr>
            <w:tcW w:w="1933" w:type="dxa"/>
            <w:vAlign w:val="center"/>
          </w:tcPr>
          <w:p>
            <w:pPr>
              <w:tabs>
                <w:tab w:val="left" w:pos="1050"/>
              </w:tabs>
              <w:spacing w:line="240" w:lineRule="auto"/>
              <w:ind w:firstLine="0" w:firstLineChars="0"/>
              <w:jc w:val="center"/>
              <w:rPr>
                <w:sz w:val="21"/>
                <w:szCs w:val="21"/>
              </w:rPr>
            </w:pPr>
            <w:r>
              <w:rPr>
                <w:sz w:val="21"/>
                <w:szCs w:val="21"/>
              </w:rPr>
              <w:t>148.66</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151.68</w:t>
            </w:r>
          </w:p>
        </w:tc>
        <w:tc>
          <w:tcPr>
            <w:tcW w:w="915" w:type="dxa"/>
            <w:vAlign w:val="center"/>
          </w:tcPr>
          <w:p>
            <w:pPr>
              <w:tabs>
                <w:tab w:val="left" w:pos="1050"/>
              </w:tabs>
              <w:spacing w:line="240" w:lineRule="auto"/>
              <w:ind w:firstLine="0" w:firstLineChars="0"/>
              <w:jc w:val="center"/>
              <w:rPr>
                <w:sz w:val="21"/>
                <w:szCs w:val="21"/>
              </w:rPr>
            </w:pPr>
            <w:r>
              <w:rPr>
                <w:sz w:val="21"/>
                <w:szCs w:val="21"/>
              </w:rPr>
              <w:t>151.68</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197.184</w:t>
            </w:r>
          </w:p>
        </w:tc>
        <w:tc>
          <w:tcPr>
            <w:tcW w:w="920" w:type="dxa"/>
            <w:vAlign w:val="center"/>
          </w:tcPr>
          <w:p>
            <w:pPr>
              <w:tabs>
                <w:tab w:val="left" w:pos="1050"/>
              </w:tabs>
              <w:spacing w:line="240" w:lineRule="auto"/>
              <w:ind w:firstLine="0" w:firstLineChars="0"/>
              <w:jc w:val="center"/>
              <w:rPr>
                <w:sz w:val="21"/>
                <w:szCs w:val="21"/>
              </w:rPr>
            </w:pPr>
            <w:r>
              <w:rPr>
                <w:sz w:val="21"/>
                <w:szCs w:val="21"/>
              </w:rPr>
              <w:t>197.184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99" w:hRule="atLeast"/>
        </w:trPr>
        <w:tc>
          <w:tcPr>
            <w:tcW w:w="435" w:type="pct"/>
            <w:vMerge w:val="continue"/>
            <w:vAlign w:val="center"/>
          </w:tcPr>
          <w:p>
            <w:pPr>
              <w:pStyle w:val="53"/>
              <w:jc w:val="center"/>
              <w:rPr>
                <w:rFonts w:eastAsia="仿宋_GB2312"/>
              </w:rPr>
            </w:pPr>
          </w:p>
        </w:tc>
        <w:tc>
          <w:tcPr>
            <w:tcW w:w="881" w:type="pct"/>
            <w:vMerge w:val="continue"/>
            <w:vAlign w:val="center"/>
          </w:tcPr>
          <w:p>
            <w:pPr>
              <w:pStyle w:val="53"/>
              <w:jc w:val="center"/>
              <w:rPr>
                <w:rFonts w:eastAsia="仿宋_GB2312"/>
              </w:rPr>
            </w:pP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245.59</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245.59</w:t>
            </w:r>
          </w:p>
        </w:tc>
        <w:tc>
          <w:tcPr>
            <w:tcW w:w="915" w:type="dxa"/>
            <w:vAlign w:val="center"/>
          </w:tcPr>
          <w:p>
            <w:pPr>
              <w:tabs>
                <w:tab w:val="left" w:pos="1050"/>
              </w:tabs>
              <w:spacing w:line="240" w:lineRule="auto"/>
              <w:ind w:firstLine="0" w:firstLineChars="0"/>
              <w:jc w:val="center"/>
              <w:rPr>
                <w:sz w:val="21"/>
                <w:szCs w:val="21"/>
              </w:rPr>
            </w:pPr>
            <w:r>
              <w:rPr>
                <w:sz w:val="21"/>
                <w:szCs w:val="21"/>
              </w:rPr>
              <w:t>245.59</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319.267</w:t>
            </w:r>
          </w:p>
        </w:tc>
        <w:tc>
          <w:tcPr>
            <w:tcW w:w="920" w:type="dxa"/>
            <w:vAlign w:val="center"/>
          </w:tcPr>
          <w:p>
            <w:pPr>
              <w:tabs>
                <w:tab w:val="left" w:pos="1050"/>
              </w:tabs>
              <w:spacing w:line="240" w:lineRule="auto"/>
              <w:ind w:firstLine="0" w:firstLineChars="0"/>
              <w:jc w:val="center"/>
              <w:rPr>
                <w:sz w:val="21"/>
                <w:szCs w:val="21"/>
              </w:rPr>
            </w:pPr>
            <w:r>
              <w:rPr>
                <w:sz w:val="21"/>
                <w:szCs w:val="21"/>
              </w:rPr>
              <w:t>319.267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7" w:hRule="atLeast"/>
        </w:trPr>
        <w:tc>
          <w:tcPr>
            <w:tcW w:w="435" w:type="pct"/>
            <w:vMerge w:val="continue"/>
            <w:vAlign w:val="center"/>
          </w:tcPr>
          <w:p>
            <w:pPr>
              <w:pStyle w:val="53"/>
              <w:jc w:val="center"/>
              <w:rPr>
                <w:rFonts w:eastAsia="仿宋_GB2312"/>
              </w:rPr>
            </w:pPr>
          </w:p>
        </w:tc>
        <w:tc>
          <w:tcPr>
            <w:tcW w:w="881" w:type="pct"/>
            <w:vMerge w:val="continue"/>
            <w:vAlign w:val="center"/>
          </w:tcPr>
          <w:p>
            <w:pPr>
              <w:pStyle w:val="53"/>
              <w:jc w:val="center"/>
              <w:rPr>
                <w:rFonts w:eastAsia="仿宋_GB2312"/>
              </w:rPr>
            </w:pPr>
          </w:p>
        </w:tc>
        <w:tc>
          <w:tcPr>
            <w:tcW w:w="523" w:type="pct"/>
            <w:vAlign w:val="center"/>
          </w:tcPr>
          <w:p>
            <w:pPr>
              <w:tabs>
                <w:tab w:val="left" w:pos="1050"/>
              </w:tabs>
              <w:spacing w:line="240" w:lineRule="auto"/>
              <w:ind w:firstLine="0" w:firstLineChars="0"/>
              <w:jc w:val="center"/>
              <w:rPr>
                <w:sz w:val="21"/>
                <w:szCs w:val="21"/>
              </w:rPr>
            </w:pPr>
            <w:r>
              <w:rPr>
                <w:sz w:val="21"/>
                <w:szCs w:val="21"/>
              </w:rPr>
              <w:t>小计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598.64</w:t>
            </w:r>
          </w:p>
        </w:tc>
        <w:tc>
          <w:tcPr>
            <w:tcW w:w="1933" w:type="dxa"/>
            <w:vAlign w:val="center"/>
          </w:tcPr>
          <w:p>
            <w:pPr>
              <w:tabs>
                <w:tab w:val="left" w:pos="1050"/>
              </w:tabs>
              <w:spacing w:line="240" w:lineRule="auto"/>
              <w:ind w:firstLine="0" w:firstLineChars="0"/>
              <w:jc w:val="center"/>
              <w:rPr>
                <w:b/>
                <w:bCs/>
                <w:sz w:val="21"/>
                <w:szCs w:val="21"/>
              </w:rPr>
            </w:pPr>
            <w:r>
              <w:rPr>
                <w:b/>
                <w:bCs/>
                <w:sz w:val="21"/>
                <w:szCs w:val="21"/>
              </w:rPr>
              <w:t>205.72</w:t>
            </w:r>
          </w:p>
        </w:tc>
        <w:tc>
          <w:tcPr>
            <w:tcW w:w="915"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397.27</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397.27</w:t>
            </w:r>
          </w:p>
        </w:tc>
        <w:tc>
          <w:tcPr>
            <w:tcW w:w="915"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516.451</w:t>
            </w: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516.451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3" w:hRule="atLeast"/>
        </w:trPr>
        <w:tc>
          <w:tcPr>
            <w:tcW w:w="435" w:type="pct"/>
            <w:vMerge w:val="continue"/>
            <w:vAlign w:val="center"/>
          </w:tcPr>
          <w:p>
            <w:pPr>
              <w:pStyle w:val="53"/>
              <w:jc w:val="center"/>
              <w:rPr>
                <w:rFonts w:eastAsia="仿宋_GB2312"/>
                <w:b/>
                <w:bCs/>
              </w:rPr>
            </w:pPr>
          </w:p>
        </w:tc>
        <w:tc>
          <w:tcPr>
            <w:tcW w:w="881" w:type="pct"/>
            <w:vMerge w:val="restart"/>
            <w:vAlign w:val="center"/>
          </w:tcPr>
          <w:p>
            <w:pPr>
              <w:pStyle w:val="53"/>
              <w:jc w:val="center"/>
              <w:rPr>
                <w:rFonts w:eastAsia="仿宋_GB2312"/>
              </w:rPr>
            </w:pPr>
            <w:r>
              <w:rPr>
                <w:rFonts w:eastAsia="仿宋_GB2312"/>
              </w:rPr>
              <w:t>道路与交通设施用地区</w:t>
            </w:r>
          </w:p>
        </w:tc>
        <w:tc>
          <w:tcPr>
            <w:tcW w:w="523" w:type="pct"/>
            <w:vAlign w:val="center"/>
          </w:tcPr>
          <w:p>
            <w:pPr>
              <w:tabs>
                <w:tab w:val="left" w:pos="1050"/>
              </w:tabs>
              <w:spacing w:line="240" w:lineRule="auto"/>
              <w:ind w:firstLine="0" w:firstLineChars="0"/>
              <w:jc w:val="center"/>
              <w:rPr>
                <w:sz w:val="21"/>
                <w:szCs w:val="21"/>
              </w:rPr>
            </w:pPr>
            <w:r>
              <w:rPr>
                <w:sz w:val="21"/>
                <w:szCs w:val="21"/>
              </w:rPr>
              <w:t>已建区</w:t>
            </w:r>
          </w:p>
        </w:tc>
        <w:tc>
          <w:tcPr>
            <w:tcW w:w="1434" w:type="dxa"/>
            <w:vAlign w:val="center"/>
          </w:tcPr>
          <w:p>
            <w:pPr>
              <w:tabs>
                <w:tab w:val="left" w:pos="1050"/>
              </w:tabs>
              <w:spacing w:line="240" w:lineRule="auto"/>
              <w:ind w:firstLine="0" w:firstLineChars="0"/>
              <w:jc w:val="center"/>
              <w:rPr>
                <w:sz w:val="21"/>
                <w:szCs w:val="21"/>
              </w:rPr>
            </w:pPr>
            <w:r>
              <w:rPr>
                <w:sz w:val="21"/>
                <w:szCs w:val="21"/>
              </w:rPr>
              <w:t>6.29</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6.29</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6.29</w:t>
            </w:r>
          </w:p>
        </w:tc>
        <w:tc>
          <w:tcPr>
            <w:tcW w:w="915" w:type="dxa"/>
            <w:vAlign w:val="center"/>
          </w:tcPr>
          <w:p>
            <w:pPr>
              <w:tabs>
                <w:tab w:val="left" w:pos="1050"/>
              </w:tabs>
              <w:spacing w:line="240" w:lineRule="auto"/>
              <w:ind w:firstLine="0" w:firstLineChars="0"/>
              <w:jc w:val="center"/>
              <w:rPr>
                <w:sz w:val="21"/>
                <w:szCs w:val="21"/>
              </w:rPr>
            </w:pPr>
            <w:r>
              <w:rPr>
                <w:sz w:val="21"/>
                <w:szCs w:val="21"/>
              </w:rPr>
              <w:t>8.177</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8.177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6"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pStyle w:val="53"/>
              <w:jc w:val="center"/>
              <w:rPr>
                <w:rFonts w:eastAsia="仿宋_GB2312"/>
              </w:rPr>
            </w:pPr>
          </w:p>
        </w:tc>
        <w:tc>
          <w:tcPr>
            <w:tcW w:w="523" w:type="pct"/>
            <w:vAlign w:val="center"/>
          </w:tcPr>
          <w:p>
            <w:pPr>
              <w:tabs>
                <w:tab w:val="left" w:pos="1050"/>
              </w:tabs>
              <w:spacing w:line="240" w:lineRule="auto"/>
              <w:ind w:firstLine="0" w:firstLineChars="0"/>
              <w:jc w:val="center"/>
              <w:rPr>
                <w:sz w:val="21"/>
                <w:szCs w:val="21"/>
              </w:rPr>
            </w:pPr>
            <w:r>
              <w:rPr>
                <w:sz w:val="21"/>
                <w:szCs w:val="21"/>
              </w:rPr>
              <w:t>在建区</w:t>
            </w:r>
          </w:p>
        </w:tc>
        <w:tc>
          <w:tcPr>
            <w:tcW w:w="1434" w:type="dxa"/>
            <w:vAlign w:val="center"/>
          </w:tcPr>
          <w:p>
            <w:pPr>
              <w:tabs>
                <w:tab w:val="left" w:pos="1050"/>
              </w:tabs>
              <w:spacing w:line="240" w:lineRule="auto"/>
              <w:ind w:firstLine="0" w:firstLineChars="0"/>
              <w:jc w:val="center"/>
              <w:rPr>
                <w:sz w:val="21"/>
                <w:szCs w:val="21"/>
              </w:rPr>
            </w:pPr>
            <w:r>
              <w:rPr>
                <w:sz w:val="21"/>
                <w:szCs w:val="21"/>
              </w:rPr>
              <w:t>41.43</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41.43</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41.43</w:t>
            </w:r>
          </w:p>
        </w:tc>
        <w:tc>
          <w:tcPr>
            <w:tcW w:w="915" w:type="dxa"/>
            <w:vAlign w:val="center"/>
          </w:tcPr>
          <w:p>
            <w:pPr>
              <w:tabs>
                <w:tab w:val="left" w:pos="1050"/>
              </w:tabs>
              <w:spacing w:line="240" w:lineRule="auto"/>
              <w:ind w:firstLine="0" w:firstLineChars="0"/>
              <w:jc w:val="center"/>
              <w:rPr>
                <w:sz w:val="21"/>
                <w:szCs w:val="21"/>
              </w:rPr>
            </w:pPr>
            <w:r>
              <w:rPr>
                <w:sz w:val="21"/>
                <w:szCs w:val="21"/>
              </w:rPr>
              <w:t>53.859</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53.859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3"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pStyle w:val="53"/>
              <w:jc w:val="center"/>
              <w:rPr>
                <w:rFonts w:eastAsia="仿宋_GB2312"/>
              </w:rPr>
            </w:pP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26.17</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26.17</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26.17</w:t>
            </w:r>
          </w:p>
        </w:tc>
        <w:tc>
          <w:tcPr>
            <w:tcW w:w="915" w:type="dxa"/>
            <w:vAlign w:val="center"/>
          </w:tcPr>
          <w:p>
            <w:pPr>
              <w:tabs>
                <w:tab w:val="left" w:pos="1050"/>
              </w:tabs>
              <w:spacing w:line="240" w:lineRule="auto"/>
              <w:ind w:firstLine="0" w:firstLineChars="0"/>
              <w:jc w:val="center"/>
              <w:rPr>
                <w:sz w:val="21"/>
                <w:szCs w:val="21"/>
              </w:rPr>
            </w:pPr>
            <w:r>
              <w:rPr>
                <w:sz w:val="21"/>
                <w:szCs w:val="21"/>
              </w:rPr>
              <w:t>34.021</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34.021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3"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pStyle w:val="53"/>
              <w:jc w:val="center"/>
              <w:rPr>
                <w:rFonts w:eastAsia="仿宋_GB2312"/>
              </w:rPr>
            </w:pPr>
          </w:p>
        </w:tc>
        <w:tc>
          <w:tcPr>
            <w:tcW w:w="523" w:type="pct"/>
            <w:vAlign w:val="center"/>
          </w:tcPr>
          <w:p>
            <w:pPr>
              <w:tabs>
                <w:tab w:val="left" w:pos="1050"/>
              </w:tabs>
              <w:spacing w:line="240" w:lineRule="auto"/>
              <w:ind w:firstLine="0" w:firstLineChars="0"/>
              <w:jc w:val="center"/>
              <w:rPr>
                <w:sz w:val="21"/>
                <w:szCs w:val="21"/>
              </w:rPr>
            </w:pPr>
            <w:r>
              <w:rPr>
                <w:sz w:val="21"/>
                <w:szCs w:val="21"/>
              </w:rPr>
              <w:t>小计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73.89</w:t>
            </w:r>
          </w:p>
        </w:tc>
        <w:tc>
          <w:tcPr>
            <w:tcW w:w="1933"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73.89</w:t>
            </w:r>
          </w:p>
        </w:tc>
        <w:tc>
          <w:tcPr>
            <w:tcW w:w="915"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73.89</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96.057</w:t>
            </w:r>
          </w:p>
        </w:tc>
        <w:tc>
          <w:tcPr>
            <w:tcW w:w="915" w:type="dxa"/>
            <w:vAlign w:val="center"/>
          </w:tcPr>
          <w:p>
            <w:pPr>
              <w:tabs>
                <w:tab w:val="left" w:pos="1050"/>
              </w:tabs>
              <w:spacing w:line="240" w:lineRule="auto"/>
              <w:ind w:firstLine="0" w:firstLineChars="0"/>
              <w:jc w:val="center"/>
              <w:rPr>
                <w:b/>
                <w:bCs/>
                <w:sz w:val="21"/>
                <w:szCs w:val="21"/>
              </w:rPr>
            </w:pP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96.057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9" w:hRule="atLeast"/>
        </w:trPr>
        <w:tc>
          <w:tcPr>
            <w:tcW w:w="435" w:type="pct"/>
            <w:vMerge w:val="continue"/>
            <w:vAlign w:val="center"/>
          </w:tcPr>
          <w:p>
            <w:pPr>
              <w:pStyle w:val="53"/>
              <w:jc w:val="center"/>
              <w:rPr>
                <w:rFonts w:eastAsia="仿宋_GB2312"/>
                <w:b/>
                <w:bCs/>
              </w:rPr>
            </w:pPr>
          </w:p>
        </w:tc>
        <w:tc>
          <w:tcPr>
            <w:tcW w:w="881" w:type="pct"/>
            <w:vMerge w:val="restart"/>
            <w:vAlign w:val="center"/>
          </w:tcPr>
          <w:p>
            <w:pPr>
              <w:tabs>
                <w:tab w:val="left" w:pos="1050"/>
              </w:tabs>
              <w:spacing w:line="240" w:lineRule="auto"/>
              <w:ind w:firstLine="0" w:firstLineChars="0"/>
              <w:jc w:val="center"/>
              <w:rPr>
                <w:sz w:val="21"/>
                <w:szCs w:val="21"/>
              </w:rPr>
            </w:pPr>
            <w:r>
              <w:rPr>
                <w:sz w:val="21"/>
                <w:szCs w:val="21"/>
              </w:rPr>
              <w:t>公用设施用地区</w:t>
            </w:r>
          </w:p>
        </w:tc>
        <w:tc>
          <w:tcPr>
            <w:tcW w:w="523" w:type="pct"/>
            <w:vAlign w:val="center"/>
          </w:tcPr>
          <w:p>
            <w:pPr>
              <w:tabs>
                <w:tab w:val="left" w:pos="1050"/>
              </w:tabs>
              <w:spacing w:line="240" w:lineRule="auto"/>
              <w:ind w:firstLine="0" w:firstLineChars="0"/>
              <w:jc w:val="center"/>
              <w:rPr>
                <w:sz w:val="21"/>
                <w:szCs w:val="21"/>
              </w:rPr>
            </w:pPr>
            <w:r>
              <w:rPr>
                <w:sz w:val="21"/>
                <w:szCs w:val="21"/>
              </w:rPr>
              <w:t>在建区</w:t>
            </w:r>
          </w:p>
        </w:tc>
        <w:tc>
          <w:tcPr>
            <w:tcW w:w="1434" w:type="dxa"/>
            <w:vAlign w:val="center"/>
          </w:tcPr>
          <w:p>
            <w:pPr>
              <w:tabs>
                <w:tab w:val="left" w:pos="1050"/>
              </w:tabs>
              <w:spacing w:line="240" w:lineRule="auto"/>
              <w:ind w:firstLine="0" w:firstLineChars="0"/>
              <w:jc w:val="center"/>
              <w:rPr>
                <w:sz w:val="21"/>
                <w:szCs w:val="21"/>
              </w:rPr>
            </w:pPr>
            <w:r>
              <w:rPr>
                <w:sz w:val="21"/>
                <w:szCs w:val="21"/>
              </w:rPr>
              <w:t>8.15</w:t>
            </w:r>
          </w:p>
        </w:tc>
        <w:tc>
          <w:tcPr>
            <w:tcW w:w="1933" w:type="dxa"/>
            <w:vAlign w:val="center"/>
          </w:tcPr>
          <w:p>
            <w:pPr>
              <w:tabs>
                <w:tab w:val="left" w:pos="1050"/>
              </w:tabs>
              <w:spacing w:line="240" w:lineRule="auto"/>
              <w:ind w:firstLine="0" w:firstLineChars="0"/>
              <w:jc w:val="center"/>
              <w:rPr>
                <w:sz w:val="21"/>
                <w:szCs w:val="21"/>
              </w:rPr>
            </w:pPr>
            <w:r>
              <w:rPr>
                <w:sz w:val="21"/>
                <w:szCs w:val="21"/>
              </w:rPr>
              <w:t>4.67</w:t>
            </w:r>
          </w:p>
        </w:tc>
        <w:tc>
          <w:tcPr>
            <w:tcW w:w="915" w:type="dxa"/>
            <w:vAlign w:val="center"/>
          </w:tcPr>
          <w:p>
            <w:pPr>
              <w:tabs>
                <w:tab w:val="left" w:pos="1050"/>
              </w:tabs>
              <w:spacing w:line="240" w:lineRule="auto"/>
              <w:ind w:firstLine="0" w:firstLineChars="0"/>
              <w:jc w:val="center"/>
              <w:rPr>
                <w:sz w:val="21"/>
                <w:szCs w:val="21"/>
              </w:rPr>
            </w:pPr>
            <w:r>
              <w:rPr>
                <w:sz w:val="21"/>
                <w:szCs w:val="21"/>
              </w:rPr>
              <w:t>3.48</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3.48</w:t>
            </w:r>
          </w:p>
        </w:tc>
        <w:tc>
          <w:tcPr>
            <w:tcW w:w="915" w:type="dxa"/>
            <w:vAlign w:val="center"/>
          </w:tcPr>
          <w:p>
            <w:pPr>
              <w:tabs>
                <w:tab w:val="left" w:pos="1050"/>
              </w:tabs>
              <w:spacing w:line="240" w:lineRule="auto"/>
              <w:ind w:firstLine="0" w:firstLineChars="0"/>
              <w:jc w:val="center"/>
              <w:rPr>
                <w:sz w:val="21"/>
                <w:szCs w:val="21"/>
              </w:rPr>
            </w:pPr>
            <w:r>
              <w:rPr>
                <w:sz w:val="21"/>
                <w:szCs w:val="21"/>
              </w:rPr>
              <w:t>4.524</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4.524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0"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tabs>
                <w:tab w:val="left" w:pos="1050"/>
              </w:tabs>
              <w:spacing w:line="240" w:lineRule="auto"/>
              <w:ind w:firstLine="0" w:firstLineChars="0"/>
              <w:jc w:val="center"/>
              <w:rPr>
                <w:sz w:val="21"/>
                <w:szCs w:val="21"/>
              </w:rPr>
            </w:pP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23.31</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23.31</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23.31</w:t>
            </w:r>
          </w:p>
        </w:tc>
        <w:tc>
          <w:tcPr>
            <w:tcW w:w="915" w:type="dxa"/>
            <w:vAlign w:val="center"/>
          </w:tcPr>
          <w:p>
            <w:pPr>
              <w:tabs>
                <w:tab w:val="left" w:pos="1050"/>
              </w:tabs>
              <w:spacing w:line="240" w:lineRule="auto"/>
              <w:ind w:firstLine="0" w:firstLineChars="0"/>
              <w:jc w:val="center"/>
              <w:rPr>
                <w:sz w:val="21"/>
                <w:szCs w:val="21"/>
              </w:rPr>
            </w:pPr>
            <w:r>
              <w:rPr>
                <w:sz w:val="21"/>
                <w:szCs w:val="21"/>
              </w:rPr>
              <w:t>30.303</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30.303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06"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tabs>
                <w:tab w:val="left" w:pos="1050"/>
              </w:tabs>
              <w:spacing w:line="240" w:lineRule="auto"/>
              <w:ind w:firstLine="0" w:firstLineChars="0"/>
              <w:jc w:val="center"/>
              <w:rPr>
                <w:sz w:val="21"/>
                <w:szCs w:val="21"/>
              </w:rPr>
            </w:pPr>
          </w:p>
        </w:tc>
        <w:tc>
          <w:tcPr>
            <w:tcW w:w="523" w:type="pct"/>
            <w:vAlign w:val="center"/>
          </w:tcPr>
          <w:p>
            <w:pPr>
              <w:tabs>
                <w:tab w:val="left" w:pos="1050"/>
              </w:tabs>
              <w:spacing w:line="240" w:lineRule="auto"/>
              <w:ind w:firstLine="0" w:firstLineChars="0"/>
              <w:jc w:val="center"/>
              <w:rPr>
                <w:sz w:val="21"/>
                <w:szCs w:val="21"/>
              </w:rPr>
            </w:pPr>
            <w:r>
              <w:rPr>
                <w:sz w:val="21"/>
                <w:szCs w:val="21"/>
              </w:rPr>
              <w:t>小计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31.46</w:t>
            </w:r>
          </w:p>
        </w:tc>
        <w:tc>
          <w:tcPr>
            <w:tcW w:w="1933" w:type="dxa"/>
            <w:vAlign w:val="center"/>
          </w:tcPr>
          <w:p>
            <w:pPr>
              <w:tabs>
                <w:tab w:val="left" w:pos="1050"/>
              </w:tabs>
              <w:spacing w:line="240" w:lineRule="auto"/>
              <w:ind w:firstLine="0" w:firstLineChars="0"/>
              <w:jc w:val="center"/>
              <w:rPr>
                <w:b/>
                <w:bCs/>
                <w:sz w:val="21"/>
                <w:szCs w:val="21"/>
              </w:rPr>
            </w:pPr>
            <w:r>
              <w:rPr>
                <w:b/>
                <w:bCs/>
                <w:sz w:val="21"/>
                <w:szCs w:val="21"/>
              </w:rPr>
              <w:t>4.67</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26.79</w:t>
            </w:r>
          </w:p>
        </w:tc>
        <w:tc>
          <w:tcPr>
            <w:tcW w:w="915"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26.79</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34.827</w:t>
            </w:r>
          </w:p>
        </w:tc>
        <w:tc>
          <w:tcPr>
            <w:tcW w:w="915" w:type="dxa"/>
            <w:vAlign w:val="center"/>
          </w:tcPr>
          <w:p>
            <w:pPr>
              <w:tabs>
                <w:tab w:val="left" w:pos="1050"/>
              </w:tabs>
              <w:spacing w:line="240" w:lineRule="auto"/>
              <w:ind w:firstLine="0" w:firstLineChars="0"/>
              <w:jc w:val="center"/>
              <w:rPr>
                <w:b/>
                <w:bCs/>
                <w:sz w:val="21"/>
                <w:szCs w:val="21"/>
              </w:rPr>
            </w:pP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34.827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435" w:type="pct"/>
            <w:vMerge w:val="continue"/>
            <w:vAlign w:val="center"/>
          </w:tcPr>
          <w:p>
            <w:pPr>
              <w:pStyle w:val="53"/>
              <w:jc w:val="center"/>
              <w:rPr>
                <w:rFonts w:eastAsia="仿宋_GB2312"/>
                <w:b/>
                <w:bCs/>
              </w:rPr>
            </w:pPr>
          </w:p>
        </w:tc>
        <w:tc>
          <w:tcPr>
            <w:tcW w:w="881" w:type="pct"/>
            <w:vMerge w:val="restart"/>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523" w:type="pct"/>
            <w:vAlign w:val="center"/>
          </w:tcPr>
          <w:p>
            <w:pPr>
              <w:tabs>
                <w:tab w:val="left" w:pos="1050"/>
              </w:tabs>
              <w:spacing w:line="240" w:lineRule="auto"/>
              <w:ind w:firstLine="0" w:firstLineChars="0"/>
              <w:jc w:val="center"/>
              <w:rPr>
                <w:sz w:val="21"/>
                <w:szCs w:val="21"/>
              </w:rPr>
            </w:pPr>
            <w:r>
              <w:rPr>
                <w:sz w:val="21"/>
                <w:szCs w:val="21"/>
              </w:rPr>
              <w:t>在建区</w:t>
            </w:r>
          </w:p>
        </w:tc>
        <w:tc>
          <w:tcPr>
            <w:tcW w:w="1434" w:type="dxa"/>
            <w:vAlign w:val="center"/>
          </w:tcPr>
          <w:p>
            <w:pPr>
              <w:tabs>
                <w:tab w:val="left" w:pos="1050"/>
              </w:tabs>
              <w:spacing w:line="240" w:lineRule="auto"/>
              <w:ind w:firstLine="0" w:firstLineChars="0"/>
              <w:jc w:val="center"/>
              <w:rPr>
                <w:sz w:val="21"/>
                <w:szCs w:val="21"/>
              </w:rPr>
            </w:pPr>
            <w:r>
              <w:rPr>
                <w:sz w:val="21"/>
                <w:szCs w:val="21"/>
              </w:rPr>
              <w:t>18.8</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18.8</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18.8</w:t>
            </w:r>
          </w:p>
        </w:tc>
        <w:tc>
          <w:tcPr>
            <w:tcW w:w="915" w:type="dxa"/>
            <w:vAlign w:val="center"/>
          </w:tcPr>
          <w:p>
            <w:pPr>
              <w:tabs>
                <w:tab w:val="left" w:pos="1050"/>
              </w:tabs>
              <w:spacing w:line="240" w:lineRule="auto"/>
              <w:ind w:firstLine="0" w:firstLineChars="0"/>
              <w:jc w:val="center"/>
              <w:rPr>
                <w:sz w:val="21"/>
                <w:szCs w:val="21"/>
              </w:rPr>
            </w:pPr>
            <w:r>
              <w:rPr>
                <w:sz w:val="21"/>
                <w:szCs w:val="21"/>
              </w:rPr>
              <w:t>24.44</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24.44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1"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tabs>
                <w:tab w:val="left" w:pos="1050"/>
              </w:tabs>
              <w:spacing w:line="240" w:lineRule="auto"/>
              <w:ind w:firstLine="0" w:firstLineChars="0"/>
              <w:jc w:val="center"/>
              <w:rPr>
                <w:sz w:val="21"/>
                <w:szCs w:val="21"/>
              </w:rPr>
            </w:pP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22.77</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22.77</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22.77</w:t>
            </w:r>
          </w:p>
        </w:tc>
        <w:tc>
          <w:tcPr>
            <w:tcW w:w="915" w:type="dxa"/>
            <w:vAlign w:val="center"/>
          </w:tcPr>
          <w:p>
            <w:pPr>
              <w:tabs>
                <w:tab w:val="left" w:pos="1050"/>
              </w:tabs>
              <w:spacing w:line="240" w:lineRule="auto"/>
              <w:ind w:firstLine="0" w:firstLineChars="0"/>
              <w:jc w:val="center"/>
              <w:rPr>
                <w:sz w:val="21"/>
                <w:szCs w:val="21"/>
              </w:rPr>
            </w:pPr>
            <w:r>
              <w:rPr>
                <w:sz w:val="21"/>
                <w:szCs w:val="21"/>
              </w:rPr>
              <w:t>29.601</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29.601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9" w:hRule="atLeast"/>
        </w:trPr>
        <w:tc>
          <w:tcPr>
            <w:tcW w:w="435" w:type="pct"/>
            <w:vMerge w:val="continue"/>
            <w:vAlign w:val="center"/>
          </w:tcPr>
          <w:p>
            <w:pPr>
              <w:pStyle w:val="53"/>
              <w:jc w:val="center"/>
              <w:rPr>
                <w:rFonts w:eastAsia="仿宋_GB2312"/>
                <w:b/>
                <w:bCs/>
              </w:rPr>
            </w:pPr>
          </w:p>
        </w:tc>
        <w:tc>
          <w:tcPr>
            <w:tcW w:w="881" w:type="pct"/>
            <w:vMerge w:val="continue"/>
            <w:vAlign w:val="center"/>
          </w:tcPr>
          <w:p>
            <w:pPr>
              <w:tabs>
                <w:tab w:val="left" w:pos="1050"/>
              </w:tabs>
              <w:spacing w:line="240" w:lineRule="auto"/>
              <w:ind w:firstLine="0" w:firstLineChars="0"/>
              <w:jc w:val="center"/>
              <w:rPr>
                <w:sz w:val="21"/>
                <w:szCs w:val="21"/>
              </w:rPr>
            </w:pPr>
          </w:p>
        </w:tc>
        <w:tc>
          <w:tcPr>
            <w:tcW w:w="523" w:type="pct"/>
            <w:vAlign w:val="center"/>
          </w:tcPr>
          <w:p>
            <w:pPr>
              <w:tabs>
                <w:tab w:val="left" w:pos="1050"/>
              </w:tabs>
              <w:spacing w:line="240" w:lineRule="auto"/>
              <w:ind w:firstLine="0" w:firstLineChars="0"/>
              <w:jc w:val="center"/>
              <w:rPr>
                <w:sz w:val="21"/>
                <w:szCs w:val="21"/>
              </w:rPr>
            </w:pPr>
            <w:r>
              <w:rPr>
                <w:sz w:val="21"/>
                <w:szCs w:val="21"/>
              </w:rPr>
              <w:t>小计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41.57</w:t>
            </w:r>
          </w:p>
        </w:tc>
        <w:tc>
          <w:tcPr>
            <w:tcW w:w="1933"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41.57</w:t>
            </w:r>
          </w:p>
        </w:tc>
        <w:tc>
          <w:tcPr>
            <w:tcW w:w="915" w:type="dxa"/>
            <w:vAlign w:val="center"/>
          </w:tcPr>
          <w:p>
            <w:pPr>
              <w:tabs>
                <w:tab w:val="left" w:pos="1050"/>
              </w:tabs>
              <w:spacing w:line="240" w:lineRule="auto"/>
              <w:ind w:firstLine="0" w:firstLineChars="0"/>
              <w:jc w:val="center"/>
              <w:rPr>
                <w:b/>
                <w:bCs/>
                <w:sz w:val="21"/>
                <w:szCs w:val="21"/>
              </w:rPr>
            </w:pP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41.57</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54.041</w:t>
            </w:r>
          </w:p>
        </w:tc>
        <w:tc>
          <w:tcPr>
            <w:tcW w:w="915" w:type="dxa"/>
            <w:vAlign w:val="center"/>
          </w:tcPr>
          <w:p>
            <w:pPr>
              <w:tabs>
                <w:tab w:val="left" w:pos="1050"/>
              </w:tabs>
              <w:spacing w:line="240" w:lineRule="auto"/>
              <w:ind w:firstLine="0" w:firstLineChars="0"/>
              <w:jc w:val="center"/>
              <w:rPr>
                <w:b/>
                <w:bCs/>
                <w:sz w:val="21"/>
                <w:szCs w:val="21"/>
              </w:rPr>
            </w:pP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54.041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7" w:hRule="atLeast"/>
        </w:trPr>
        <w:tc>
          <w:tcPr>
            <w:tcW w:w="435" w:type="pct"/>
            <w:vMerge w:val="continue"/>
            <w:vAlign w:val="center"/>
          </w:tcPr>
          <w:p>
            <w:pPr>
              <w:pStyle w:val="53"/>
              <w:jc w:val="center"/>
              <w:rPr>
                <w:rFonts w:eastAsia="仿宋_GB2312"/>
                <w:b/>
                <w:bCs/>
              </w:rPr>
            </w:pPr>
          </w:p>
        </w:tc>
        <w:tc>
          <w:tcPr>
            <w:tcW w:w="1405" w:type="pct"/>
            <w:gridSpan w:val="2"/>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745.56</w:t>
            </w:r>
          </w:p>
        </w:tc>
        <w:tc>
          <w:tcPr>
            <w:tcW w:w="1933" w:type="dxa"/>
            <w:vAlign w:val="center"/>
          </w:tcPr>
          <w:p>
            <w:pPr>
              <w:tabs>
                <w:tab w:val="left" w:pos="1050"/>
              </w:tabs>
              <w:spacing w:line="240" w:lineRule="auto"/>
              <w:ind w:firstLine="0" w:firstLineChars="0"/>
              <w:jc w:val="center"/>
              <w:rPr>
                <w:b/>
                <w:bCs/>
                <w:sz w:val="21"/>
                <w:szCs w:val="21"/>
              </w:rPr>
            </w:pPr>
            <w:r>
              <w:rPr>
                <w:b/>
                <w:bCs/>
                <w:sz w:val="21"/>
                <w:szCs w:val="21"/>
              </w:rPr>
              <w:t>210.39</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142.25</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397.27</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539.52</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184.925</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516.451</w:t>
            </w: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701.376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41" w:hRule="atLeast"/>
        </w:trPr>
        <w:tc>
          <w:tcPr>
            <w:tcW w:w="435" w:type="pct"/>
            <w:vMerge w:val="restart"/>
            <w:vAlign w:val="center"/>
          </w:tcPr>
          <w:p>
            <w:pPr>
              <w:pStyle w:val="53"/>
              <w:jc w:val="center"/>
              <w:rPr>
                <w:rFonts w:eastAsia="仿宋_GB2312"/>
              </w:rPr>
            </w:pPr>
            <w:r>
              <w:rPr>
                <w:rFonts w:eastAsia="仿宋_GB2312"/>
              </w:rPr>
              <w:t>远期建设区</w:t>
            </w:r>
          </w:p>
        </w:tc>
        <w:tc>
          <w:tcPr>
            <w:tcW w:w="881" w:type="pct"/>
            <w:vAlign w:val="center"/>
          </w:tcPr>
          <w:p>
            <w:pPr>
              <w:tabs>
                <w:tab w:val="left" w:pos="1050"/>
              </w:tabs>
              <w:spacing w:line="240" w:lineRule="auto"/>
              <w:ind w:firstLine="0" w:firstLineChars="0"/>
              <w:jc w:val="center"/>
              <w:rPr>
                <w:sz w:val="21"/>
                <w:szCs w:val="21"/>
              </w:rPr>
            </w:pPr>
            <w:r>
              <w:rPr>
                <w:sz w:val="21"/>
                <w:szCs w:val="21"/>
              </w:rPr>
              <w:t>工业用地区</w:t>
            </w: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359.16</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359.16</w:t>
            </w:r>
          </w:p>
        </w:tc>
        <w:tc>
          <w:tcPr>
            <w:tcW w:w="915" w:type="dxa"/>
            <w:vAlign w:val="center"/>
          </w:tcPr>
          <w:p>
            <w:pPr>
              <w:tabs>
                <w:tab w:val="left" w:pos="1050"/>
              </w:tabs>
              <w:spacing w:line="240" w:lineRule="auto"/>
              <w:ind w:firstLine="0" w:firstLineChars="0"/>
              <w:jc w:val="center"/>
              <w:rPr>
                <w:sz w:val="21"/>
                <w:szCs w:val="21"/>
              </w:rPr>
            </w:pPr>
            <w:r>
              <w:rPr>
                <w:sz w:val="21"/>
                <w:szCs w:val="21"/>
              </w:rPr>
              <w:t>359.16</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466.908</w:t>
            </w:r>
          </w:p>
        </w:tc>
        <w:tc>
          <w:tcPr>
            <w:tcW w:w="920" w:type="dxa"/>
            <w:vAlign w:val="center"/>
          </w:tcPr>
          <w:p>
            <w:pPr>
              <w:tabs>
                <w:tab w:val="left" w:pos="1050"/>
              </w:tabs>
              <w:spacing w:line="240" w:lineRule="auto"/>
              <w:ind w:firstLine="0" w:firstLineChars="0"/>
              <w:jc w:val="center"/>
              <w:rPr>
                <w:sz w:val="21"/>
                <w:szCs w:val="21"/>
              </w:rPr>
            </w:pPr>
            <w:r>
              <w:rPr>
                <w:sz w:val="21"/>
                <w:szCs w:val="21"/>
              </w:rPr>
              <w:t>466.908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1" w:hRule="atLeast"/>
        </w:trPr>
        <w:tc>
          <w:tcPr>
            <w:tcW w:w="435" w:type="pct"/>
            <w:vMerge w:val="continue"/>
            <w:vAlign w:val="center"/>
          </w:tcPr>
          <w:p>
            <w:pPr>
              <w:pStyle w:val="53"/>
              <w:jc w:val="center"/>
              <w:rPr>
                <w:rFonts w:eastAsia="仿宋_GB2312"/>
              </w:rPr>
            </w:pPr>
          </w:p>
        </w:tc>
        <w:tc>
          <w:tcPr>
            <w:tcW w:w="881" w:type="pct"/>
            <w:vAlign w:val="center"/>
          </w:tcPr>
          <w:p>
            <w:pPr>
              <w:tabs>
                <w:tab w:val="left" w:pos="1050"/>
              </w:tabs>
              <w:spacing w:line="240" w:lineRule="auto"/>
              <w:ind w:firstLine="0" w:firstLineChars="0"/>
              <w:jc w:val="center"/>
              <w:rPr>
                <w:sz w:val="21"/>
                <w:szCs w:val="21"/>
              </w:rPr>
            </w:pPr>
            <w:r>
              <w:rPr>
                <w:sz w:val="21"/>
                <w:szCs w:val="21"/>
              </w:rPr>
              <w:t>道路与交通设施用地区</w:t>
            </w: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7.7</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7.7</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7.7</w:t>
            </w:r>
          </w:p>
        </w:tc>
        <w:tc>
          <w:tcPr>
            <w:tcW w:w="915" w:type="dxa"/>
            <w:vAlign w:val="center"/>
          </w:tcPr>
          <w:p>
            <w:pPr>
              <w:tabs>
                <w:tab w:val="left" w:pos="1050"/>
              </w:tabs>
              <w:spacing w:line="240" w:lineRule="auto"/>
              <w:ind w:firstLine="0" w:firstLineChars="0"/>
              <w:jc w:val="center"/>
              <w:rPr>
                <w:sz w:val="21"/>
                <w:szCs w:val="21"/>
              </w:rPr>
            </w:pPr>
            <w:r>
              <w:rPr>
                <w:sz w:val="21"/>
                <w:szCs w:val="21"/>
              </w:rPr>
              <w:t>10.01</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10.01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5" w:hRule="atLeast"/>
        </w:trPr>
        <w:tc>
          <w:tcPr>
            <w:tcW w:w="435" w:type="pct"/>
            <w:vMerge w:val="continue"/>
            <w:vAlign w:val="center"/>
          </w:tcPr>
          <w:p>
            <w:pPr>
              <w:pStyle w:val="53"/>
              <w:jc w:val="center"/>
              <w:rPr>
                <w:rFonts w:eastAsia="仿宋_GB2312"/>
              </w:rPr>
            </w:pPr>
          </w:p>
        </w:tc>
        <w:tc>
          <w:tcPr>
            <w:tcW w:w="881" w:type="pct"/>
            <w:vAlign w:val="center"/>
          </w:tcPr>
          <w:p>
            <w:pPr>
              <w:tabs>
                <w:tab w:val="left" w:pos="1050"/>
              </w:tabs>
              <w:spacing w:line="240" w:lineRule="auto"/>
              <w:ind w:firstLine="0" w:firstLineChars="0"/>
              <w:jc w:val="center"/>
              <w:rPr>
                <w:sz w:val="21"/>
                <w:szCs w:val="21"/>
              </w:rPr>
            </w:pPr>
            <w:r>
              <w:rPr>
                <w:sz w:val="21"/>
                <w:szCs w:val="21"/>
              </w:rPr>
              <w:t>公用设施用地区</w:t>
            </w: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2.88</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2.88</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2.88</w:t>
            </w:r>
          </w:p>
        </w:tc>
        <w:tc>
          <w:tcPr>
            <w:tcW w:w="915" w:type="dxa"/>
            <w:vAlign w:val="center"/>
          </w:tcPr>
          <w:p>
            <w:pPr>
              <w:tabs>
                <w:tab w:val="left" w:pos="1050"/>
              </w:tabs>
              <w:spacing w:line="240" w:lineRule="auto"/>
              <w:ind w:firstLine="0" w:firstLineChars="0"/>
              <w:jc w:val="center"/>
              <w:rPr>
                <w:sz w:val="21"/>
                <w:szCs w:val="21"/>
              </w:rPr>
            </w:pPr>
            <w:r>
              <w:rPr>
                <w:sz w:val="21"/>
                <w:szCs w:val="21"/>
              </w:rPr>
              <w:t>3.744</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3.744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4" w:hRule="atLeast"/>
        </w:trPr>
        <w:tc>
          <w:tcPr>
            <w:tcW w:w="435" w:type="pct"/>
            <w:vMerge w:val="continue"/>
            <w:vAlign w:val="center"/>
          </w:tcPr>
          <w:p>
            <w:pPr>
              <w:pStyle w:val="53"/>
              <w:jc w:val="center"/>
              <w:rPr>
                <w:rFonts w:eastAsia="仿宋_GB2312"/>
              </w:rPr>
            </w:pPr>
          </w:p>
        </w:tc>
        <w:tc>
          <w:tcPr>
            <w:tcW w:w="881" w:type="pct"/>
            <w:vAlign w:val="center"/>
          </w:tcPr>
          <w:p>
            <w:pPr>
              <w:tabs>
                <w:tab w:val="left" w:pos="1050"/>
              </w:tabs>
              <w:spacing w:line="240" w:lineRule="auto"/>
              <w:ind w:firstLine="0" w:firstLineChars="0"/>
              <w:jc w:val="center"/>
              <w:rPr>
                <w:sz w:val="21"/>
                <w:szCs w:val="21"/>
              </w:rPr>
            </w:pPr>
            <w:r>
              <w:rPr>
                <w:sz w:val="21"/>
                <w:szCs w:val="21"/>
              </w:rPr>
              <w:t>绿地与广场用地</w:t>
            </w:r>
          </w:p>
        </w:tc>
        <w:tc>
          <w:tcPr>
            <w:tcW w:w="523" w:type="pct"/>
            <w:vAlign w:val="center"/>
          </w:tcPr>
          <w:p>
            <w:pPr>
              <w:tabs>
                <w:tab w:val="left" w:pos="1050"/>
              </w:tabs>
              <w:spacing w:line="240" w:lineRule="auto"/>
              <w:ind w:firstLine="0" w:firstLineChars="0"/>
              <w:jc w:val="center"/>
              <w:rPr>
                <w:sz w:val="21"/>
                <w:szCs w:val="21"/>
              </w:rPr>
            </w:pPr>
            <w:r>
              <w:rPr>
                <w:sz w:val="21"/>
                <w:szCs w:val="21"/>
              </w:rPr>
              <w:t>未建区</w:t>
            </w:r>
          </w:p>
        </w:tc>
        <w:tc>
          <w:tcPr>
            <w:tcW w:w="1434" w:type="dxa"/>
            <w:vAlign w:val="center"/>
          </w:tcPr>
          <w:p>
            <w:pPr>
              <w:tabs>
                <w:tab w:val="left" w:pos="1050"/>
              </w:tabs>
              <w:spacing w:line="240" w:lineRule="auto"/>
              <w:ind w:firstLine="0" w:firstLineChars="0"/>
              <w:jc w:val="center"/>
              <w:rPr>
                <w:sz w:val="21"/>
                <w:szCs w:val="21"/>
              </w:rPr>
            </w:pPr>
            <w:r>
              <w:rPr>
                <w:sz w:val="21"/>
                <w:szCs w:val="21"/>
              </w:rPr>
              <w:t>13.88</w:t>
            </w:r>
          </w:p>
        </w:tc>
        <w:tc>
          <w:tcPr>
            <w:tcW w:w="1933"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13.88</w:t>
            </w:r>
          </w:p>
        </w:tc>
        <w:tc>
          <w:tcPr>
            <w:tcW w:w="915" w:type="dxa"/>
            <w:vAlign w:val="center"/>
          </w:tcPr>
          <w:p>
            <w:pPr>
              <w:tabs>
                <w:tab w:val="left" w:pos="1050"/>
              </w:tabs>
              <w:spacing w:line="240" w:lineRule="auto"/>
              <w:ind w:firstLine="0" w:firstLineChars="0"/>
              <w:jc w:val="center"/>
              <w:rPr>
                <w:sz w:val="21"/>
                <w:szCs w:val="21"/>
              </w:rPr>
            </w:pPr>
          </w:p>
        </w:tc>
        <w:tc>
          <w:tcPr>
            <w:tcW w:w="915" w:type="dxa"/>
            <w:vAlign w:val="center"/>
          </w:tcPr>
          <w:p>
            <w:pPr>
              <w:tabs>
                <w:tab w:val="left" w:pos="1050"/>
              </w:tabs>
              <w:spacing w:line="240" w:lineRule="auto"/>
              <w:ind w:firstLine="0" w:firstLineChars="0"/>
              <w:jc w:val="center"/>
              <w:rPr>
                <w:sz w:val="21"/>
                <w:szCs w:val="21"/>
              </w:rPr>
            </w:pPr>
            <w:r>
              <w:rPr>
                <w:sz w:val="21"/>
                <w:szCs w:val="21"/>
              </w:rPr>
              <w:t>13.88</w:t>
            </w:r>
          </w:p>
        </w:tc>
        <w:tc>
          <w:tcPr>
            <w:tcW w:w="915" w:type="dxa"/>
            <w:vAlign w:val="center"/>
          </w:tcPr>
          <w:p>
            <w:pPr>
              <w:tabs>
                <w:tab w:val="left" w:pos="1050"/>
              </w:tabs>
              <w:spacing w:line="240" w:lineRule="auto"/>
              <w:ind w:firstLine="0" w:firstLineChars="0"/>
              <w:jc w:val="center"/>
              <w:rPr>
                <w:sz w:val="21"/>
                <w:szCs w:val="21"/>
              </w:rPr>
            </w:pPr>
            <w:r>
              <w:rPr>
                <w:sz w:val="21"/>
                <w:szCs w:val="21"/>
              </w:rPr>
              <w:t>18.044</w:t>
            </w:r>
          </w:p>
        </w:tc>
        <w:tc>
          <w:tcPr>
            <w:tcW w:w="915" w:type="dxa"/>
            <w:vAlign w:val="center"/>
          </w:tcPr>
          <w:p>
            <w:pPr>
              <w:tabs>
                <w:tab w:val="left" w:pos="1050"/>
              </w:tabs>
              <w:spacing w:line="240" w:lineRule="auto"/>
              <w:ind w:firstLine="0" w:firstLineChars="0"/>
              <w:jc w:val="center"/>
              <w:rPr>
                <w:sz w:val="21"/>
                <w:szCs w:val="21"/>
              </w:rPr>
            </w:pPr>
          </w:p>
        </w:tc>
        <w:tc>
          <w:tcPr>
            <w:tcW w:w="920" w:type="dxa"/>
            <w:vAlign w:val="center"/>
          </w:tcPr>
          <w:p>
            <w:pPr>
              <w:tabs>
                <w:tab w:val="left" w:pos="1050"/>
              </w:tabs>
              <w:spacing w:line="240" w:lineRule="auto"/>
              <w:ind w:firstLine="0" w:firstLineChars="0"/>
              <w:jc w:val="center"/>
              <w:rPr>
                <w:sz w:val="21"/>
                <w:szCs w:val="21"/>
              </w:rPr>
            </w:pPr>
            <w:r>
              <w:rPr>
                <w:sz w:val="21"/>
                <w:szCs w:val="21"/>
              </w:rPr>
              <w:t>18.044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12" w:hRule="atLeast"/>
        </w:trPr>
        <w:tc>
          <w:tcPr>
            <w:tcW w:w="435" w:type="pct"/>
            <w:vMerge w:val="continue"/>
            <w:vAlign w:val="center"/>
          </w:tcPr>
          <w:p>
            <w:pPr>
              <w:pStyle w:val="53"/>
              <w:jc w:val="center"/>
              <w:rPr>
                <w:rFonts w:eastAsia="仿宋_GB2312"/>
              </w:rPr>
            </w:pPr>
          </w:p>
        </w:tc>
        <w:tc>
          <w:tcPr>
            <w:tcW w:w="1405" w:type="pct"/>
            <w:gridSpan w:val="2"/>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383.62</w:t>
            </w:r>
          </w:p>
        </w:tc>
        <w:tc>
          <w:tcPr>
            <w:tcW w:w="1933" w:type="dxa"/>
            <w:vAlign w:val="center"/>
          </w:tcPr>
          <w:p>
            <w:pPr>
              <w:tabs>
                <w:tab w:val="left" w:pos="1050"/>
              </w:tabs>
              <w:spacing w:line="240" w:lineRule="auto"/>
              <w:ind w:firstLine="0" w:firstLineChars="0"/>
              <w:jc w:val="center"/>
              <w:rPr>
                <w:b/>
                <w:bCs/>
                <w:sz w:val="21"/>
                <w:szCs w:val="21"/>
              </w:rPr>
            </w:pPr>
            <w:r>
              <w:rPr>
                <w:rFonts w:hint="eastAsia"/>
                <w:b/>
                <w:bCs/>
                <w:sz w:val="21"/>
                <w:szCs w:val="21"/>
              </w:rPr>
              <w:t>0</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24.46</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359.16</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383.62</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31.798</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466.908</w:t>
            </w: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498.706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841" w:type="pct"/>
            <w:gridSpan w:val="3"/>
            <w:vAlign w:val="center"/>
          </w:tcPr>
          <w:p>
            <w:pPr>
              <w:pStyle w:val="53"/>
              <w:jc w:val="center"/>
              <w:rPr>
                <w:rFonts w:eastAsia="仿宋_GB2312"/>
                <w:b/>
                <w:bCs/>
              </w:rPr>
            </w:pPr>
            <w:r>
              <w:rPr>
                <w:rFonts w:eastAsia="仿宋_GB2312"/>
                <w:b/>
                <w:bCs/>
              </w:rPr>
              <w:t>总计</w:t>
            </w:r>
          </w:p>
        </w:tc>
        <w:tc>
          <w:tcPr>
            <w:tcW w:w="1434" w:type="dxa"/>
            <w:vAlign w:val="center"/>
          </w:tcPr>
          <w:p>
            <w:pPr>
              <w:tabs>
                <w:tab w:val="left" w:pos="1050"/>
              </w:tabs>
              <w:spacing w:line="240" w:lineRule="auto"/>
              <w:ind w:firstLine="0" w:firstLineChars="0"/>
              <w:jc w:val="center"/>
              <w:rPr>
                <w:b/>
                <w:bCs/>
                <w:sz w:val="21"/>
                <w:szCs w:val="21"/>
              </w:rPr>
            </w:pPr>
            <w:r>
              <w:rPr>
                <w:b/>
                <w:bCs/>
                <w:sz w:val="21"/>
                <w:szCs w:val="21"/>
              </w:rPr>
              <w:t>1129.18</w:t>
            </w:r>
          </w:p>
        </w:tc>
        <w:tc>
          <w:tcPr>
            <w:tcW w:w="1933" w:type="dxa"/>
            <w:vAlign w:val="center"/>
          </w:tcPr>
          <w:p>
            <w:pPr>
              <w:tabs>
                <w:tab w:val="left" w:pos="1050"/>
              </w:tabs>
              <w:spacing w:line="240" w:lineRule="auto"/>
              <w:ind w:firstLine="0" w:firstLineChars="0"/>
              <w:jc w:val="center"/>
              <w:rPr>
                <w:b/>
                <w:bCs/>
                <w:sz w:val="21"/>
                <w:szCs w:val="21"/>
              </w:rPr>
            </w:pPr>
            <w:r>
              <w:rPr>
                <w:b/>
                <w:bCs/>
                <w:sz w:val="21"/>
                <w:szCs w:val="21"/>
              </w:rPr>
              <w:t>210.39</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166.71</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756.43</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923.14</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216.723</w:t>
            </w:r>
          </w:p>
        </w:tc>
        <w:tc>
          <w:tcPr>
            <w:tcW w:w="915" w:type="dxa"/>
            <w:vAlign w:val="center"/>
          </w:tcPr>
          <w:p>
            <w:pPr>
              <w:tabs>
                <w:tab w:val="left" w:pos="1050"/>
              </w:tabs>
              <w:spacing w:line="240" w:lineRule="auto"/>
              <w:ind w:firstLine="0" w:firstLineChars="0"/>
              <w:jc w:val="center"/>
              <w:rPr>
                <w:b/>
                <w:bCs/>
                <w:sz w:val="21"/>
                <w:szCs w:val="21"/>
              </w:rPr>
            </w:pPr>
            <w:r>
              <w:rPr>
                <w:b/>
                <w:bCs/>
                <w:sz w:val="21"/>
                <w:szCs w:val="21"/>
              </w:rPr>
              <w:t>983.359</w:t>
            </w:r>
          </w:p>
        </w:tc>
        <w:tc>
          <w:tcPr>
            <w:tcW w:w="920" w:type="dxa"/>
            <w:vAlign w:val="center"/>
          </w:tcPr>
          <w:p>
            <w:pPr>
              <w:tabs>
                <w:tab w:val="left" w:pos="1050"/>
              </w:tabs>
              <w:spacing w:line="240" w:lineRule="auto"/>
              <w:ind w:firstLine="0" w:firstLineChars="0"/>
              <w:jc w:val="center"/>
              <w:rPr>
                <w:b/>
                <w:bCs/>
                <w:sz w:val="21"/>
                <w:szCs w:val="21"/>
              </w:rPr>
            </w:pPr>
            <w:r>
              <w:rPr>
                <w:b/>
                <w:bCs/>
                <w:sz w:val="21"/>
                <w:szCs w:val="21"/>
              </w:rPr>
              <w:t>1200.082</w:t>
            </w:r>
          </w:p>
        </w:tc>
      </w:tr>
    </w:tbl>
    <w:p>
      <w:pPr>
        <w:ind w:firstLine="482"/>
        <w:rPr>
          <w:b/>
          <w:bCs/>
        </w:rPr>
        <w:sectPr>
          <w:pgSz w:w="16838" w:h="11905" w:orient="landscape"/>
          <w:pgMar w:top="1417" w:right="1417" w:bottom="1417" w:left="1417" w:header="850" w:footer="992" w:gutter="0"/>
          <w:cols w:space="720" w:num="1"/>
          <w:docGrid w:linePitch="330" w:charSpace="0"/>
        </w:sectPr>
      </w:pPr>
      <w:r>
        <w:rPr>
          <w:b/>
          <w:bCs/>
        </w:rPr>
        <w:t>注：化工园区项目均为2017年7月1日以后开工的项目，根据川水函〔2019〕1237号要求，本表中水土保持补偿费收费标准统一按照《四川省发展和改革委员会四川省财政厅关于制定水土保持补偿费收费标准的通知》（川发改价格〔2017〕347号）中每平方米1.3元一次性计征。</w:t>
      </w:r>
    </w:p>
    <w:p>
      <w:pPr>
        <w:widowControl/>
        <w:ind w:firstLine="0" w:firstLineChars="0"/>
        <w:jc w:val="center"/>
      </w:pPr>
      <w:r>
        <w:rPr>
          <w:b/>
          <w:bCs/>
        </w:rPr>
        <w:t>表7.1-6</w:t>
      </w:r>
      <w:r>
        <w:rPr>
          <w:b/>
          <w:bCs/>
          <w:kern w:val="0"/>
          <w:szCs w:val="24"/>
        </w:rPr>
        <w:t>化工园区已缴纳水土保持补偿费情况统计表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Layout w:type="autofit"/>
        <w:tblCellMar>
          <w:top w:w="0" w:type="dxa"/>
          <w:left w:w="108" w:type="dxa"/>
          <w:bottom w:w="0" w:type="dxa"/>
          <w:right w:w="108" w:type="dxa"/>
        </w:tblCellMar>
      </w:tblPr>
      <w:tblGrid>
        <w:gridCol w:w="946"/>
        <w:gridCol w:w="2058"/>
        <w:gridCol w:w="3081"/>
        <w:gridCol w:w="1569"/>
        <w:gridCol w:w="2422"/>
        <w:gridCol w:w="1936"/>
        <w:gridCol w:w="219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131" w:hRule="atLeast"/>
        </w:trPr>
        <w:tc>
          <w:tcPr>
            <w:tcW w:w="333" w:type="pct"/>
            <w:vMerge w:val="restart"/>
            <w:tcBorders>
              <w:tl2br w:val="nil"/>
              <w:tr2bl w:val="nil"/>
            </w:tcBorders>
            <w:vAlign w:val="center"/>
          </w:tcPr>
          <w:p>
            <w:pPr>
              <w:widowControl/>
              <w:spacing w:line="240" w:lineRule="auto"/>
              <w:ind w:firstLine="0" w:firstLineChars="0"/>
              <w:jc w:val="center"/>
              <w:rPr>
                <w:b/>
                <w:bCs/>
                <w:sz w:val="21"/>
                <w:szCs w:val="21"/>
              </w:rPr>
            </w:pPr>
            <w:r>
              <w:rPr>
                <w:b/>
                <w:bCs/>
                <w:sz w:val="21"/>
                <w:szCs w:val="21"/>
              </w:rPr>
              <w:t>序号</w:t>
            </w:r>
          </w:p>
        </w:tc>
        <w:tc>
          <w:tcPr>
            <w:tcW w:w="724" w:type="pct"/>
            <w:vMerge w:val="restart"/>
            <w:tcBorders>
              <w:tl2br w:val="nil"/>
              <w:tr2bl w:val="nil"/>
            </w:tcBorders>
            <w:vAlign w:val="center"/>
          </w:tcPr>
          <w:p>
            <w:pPr>
              <w:widowControl/>
              <w:spacing w:line="240" w:lineRule="auto"/>
              <w:ind w:firstLine="0" w:firstLineChars="0"/>
              <w:jc w:val="center"/>
              <w:rPr>
                <w:b/>
                <w:bCs/>
                <w:sz w:val="21"/>
                <w:szCs w:val="21"/>
              </w:rPr>
            </w:pPr>
            <w:r>
              <w:rPr>
                <w:b/>
                <w:bCs/>
                <w:sz w:val="21"/>
                <w:szCs w:val="21"/>
              </w:rPr>
              <w:t>企业名称</w:t>
            </w:r>
          </w:p>
        </w:tc>
        <w:tc>
          <w:tcPr>
            <w:tcW w:w="1084" w:type="pct"/>
            <w:vMerge w:val="restart"/>
            <w:tcBorders>
              <w:tl2br w:val="nil"/>
              <w:tr2bl w:val="nil"/>
            </w:tcBorders>
            <w:vAlign w:val="center"/>
          </w:tcPr>
          <w:p>
            <w:pPr>
              <w:widowControl/>
              <w:spacing w:line="240" w:lineRule="auto"/>
              <w:ind w:firstLine="0" w:firstLineChars="0"/>
              <w:jc w:val="center"/>
              <w:rPr>
                <w:b/>
                <w:bCs/>
                <w:sz w:val="21"/>
                <w:szCs w:val="21"/>
              </w:rPr>
            </w:pPr>
            <w:r>
              <w:rPr>
                <w:b/>
                <w:bCs/>
                <w:sz w:val="21"/>
                <w:szCs w:val="21"/>
              </w:rPr>
              <w:t>项目名称</w:t>
            </w:r>
          </w:p>
        </w:tc>
        <w:tc>
          <w:tcPr>
            <w:tcW w:w="550" w:type="pct"/>
            <w:vMerge w:val="restart"/>
            <w:tcBorders>
              <w:tl2br w:val="nil"/>
              <w:tr2bl w:val="nil"/>
            </w:tcBorders>
            <w:vAlign w:val="center"/>
          </w:tcPr>
          <w:p>
            <w:pPr>
              <w:widowControl/>
              <w:spacing w:line="240" w:lineRule="auto"/>
              <w:ind w:firstLine="0" w:firstLineChars="0"/>
              <w:jc w:val="center"/>
              <w:rPr>
                <w:b/>
                <w:bCs/>
                <w:sz w:val="21"/>
                <w:szCs w:val="21"/>
              </w:rPr>
            </w:pPr>
            <w:r>
              <w:rPr>
                <w:b/>
                <w:bCs/>
                <w:sz w:val="21"/>
                <w:szCs w:val="21"/>
              </w:rPr>
              <w:t>建设状态</w:t>
            </w:r>
          </w:p>
        </w:tc>
        <w:tc>
          <w:tcPr>
            <w:tcW w:w="2306" w:type="pct"/>
            <w:gridSpan w:val="3"/>
            <w:tcBorders>
              <w:tl2br w:val="nil"/>
              <w:tr2bl w:val="nil"/>
            </w:tcBorders>
            <w:vAlign w:val="center"/>
          </w:tcPr>
          <w:p>
            <w:pPr>
              <w:widowControl/>
              <w:spacing w:line="240" w:lineRule="auto"/>
              <w:ind w:firstLine="0" w:firstLineChars="0"/>
              <w:jc w:val="center"/>
              <w:rPr>
                <w:b/>
                <w:bCs/>
                <w:sz w:val="21"/>
                <w:szCs w:val="21"/>
              </w:rPr>
            </w:pPr>
            <w:r>
              <w:rPr>
                <w:b/>
                <w:bCs/>
                <w:sz w:val="21"/>
                <w:szCs w:val="21"/>
              </w:rPr>
              <w:t>已缴纳水土保持补偿费情况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151" w:hRule="atLeast"/>
        </w:trPr>
        <w:tc>
          <w:tcPr>
            <w:tcW w:w="333" w:type="pct"/>
            <w:vMerge w:val="continue"/>
            <w:tcBorders>
              <w:tl2br w:val="nil"/>
              <w:tr2bl w:val="nil"/>
            </w:tcBorders>
            <w:vAlign w:val="center"/>
          </w:tcPr>
          <w:p>
            <w:pPr>
              <w:widowControl/>
              <w:spacing w:line="240" w:lineRule="auto"/>
              <w:ind w:firstLine="0" w:firstLineChars="0"/>
              <w:jc w:val="center"/>
              <w:rPr>
                <w:b/>
                <w:bCs/>
                <w:sz w:val="21"/>
                <w:szCs w:val="21"/>
              </w:rPr>
            </w:pPr>
          </w:p>
        </w:tc>
        <w:tc>
          <w:tcPr>
            <w:tcW w:w="724" w:type="pct"/>
            <w:vMerge w:val="continue"/>
            <w:tcBorders>
              <w:tl2br w:val="nil"/>
              <w:tr2bl w:val="nil"/>
            </w:tcBorders>
            <w:vAlign w:val="center"/>
          </w:tcPr>
          <w:p>
            <w:pPr>
              <w:widowControl/>
              <w:spacing w:line="240" w:lineRule="auto"/>
              <w:ind w:firstLine="0" w:firstLineChars="0"/>
              <w:jc w:val="center"/>
              <w:rPr>
                <w:b/>
                <w:bCs/>
                <w:sz w:val="21"/>
                <w:szCs w:val="21"/>
              </w:rPr>
            </w:pPr>
          </w:p>
        </w:tc>
        <w:tc>
          <w:tcPr>
            <w:tcW w:w="1084" w:type="pct"/>
            <w:vMerge w:val="continue"/>
            <w:tcBorders>
              <w:tl2br w:val="nil"/>
              <w:tr2bl w:val="nil"/>
            </w:tcBorders>
            <w:vAlign w:val="center"/>
          </w:tcPr>
          <w:p>
            <w:pPr>
              <w:widowControl/>
              <w:spacing w:line="240" w:lineRule="auto"/>
              <w:ind w:firstLine="0" w:firstLineChars="0"/>
              <w:jc w:val="center"/>
              <w:rPr>
                <w:b/>
                <w:bCs/>
                <w:sz w:val="21"/>
                <w:szCs w:val="21"/>
              </w:rPr>
            </w:pPr>
          </w:p>
        </w:tc>
        <w:tc>
          <w:tcPr>
            <w:tcW w:w="550" w:type="pct"/>
            <w:vMerge w:val="continue"/>
            <w:tcBorders>
              <w:tl2br w:val="nil"/>
              <w:tr2bl w:val="nil"/>
            </w:tcBorders>
            <w:vAlign w:val="center"/>
          </w:tcPr>
          <w:p>
            <w:pPr>
              <w:widowControl/>
              <w:spacing w:line="240" w:lineRule="auto"/>
              <w:ind w:firstLine="0" w:firstLineChars="0"/>
              <w:jc w:val="center"/>
              <w:rPr>
                <w:b/>
                <w:bCs/>
                <w:sz w:val="21"/>
                <w:szCs w:val="21"/>
              </w:rPr>
            </w:pPr>
          </w:p>
        </w:tc>
        <w:tc>
          <w:tcPr>
            <w:tcW w:w="852" w:type="pct"/>
            <w:tcBorders>
              <w:tl2br w:val="nil"/>
              <w:tr2bl w:val="nil"/>
            </w:tcBorders>
            <w:vAlign w:val="center"/>
          </w:tcPr>
          <w:p>
            <w:pPr>
              <w:widowControl/>
              <w:spacing w:line="240" w:lineRule="auto"/>
              <w:ind w:firstLine="0" w:firstLineChars="0"/>
              <w:jc w:val="center"/>
              <w:rPr>
                <w:b/>
                <w:bCs/>
                <w:sz w:val="21"/>
                <w:szCs w:val="21"/>
              </w:rPr>
            </w:pPr>
            <w:r>
              <w:rPr>
                <w:b/>
                <w:bCs/>
                <w:sz w:val="21"/>
                <w:szCs w:val="21"/>
              </w:rPr>
              <w:t>已缴纳补偿费计征面积（hm</w:t>
            </w:r>
            <w:r>
              <w:rPr>
                <w:b/>
                <w:bCs/>
                <w:sz w:val="21"/>
                <w:szCs w:val="21"/>
                <w:vertAlign w:val="superscript"/>
              </w:rPr>
              <w:t>2</w:t>
            </w:r>
            <w:r>
              <w:rPr>
                <w:b/>
                <w:bCs/>
                <w:sz w:val="21"/>
                <w:szCs w:val="21"/>
              </w:rPr>
              <w:t>）</w:t>
            </w:r>
          </w:p>
        </w:tc>
        <w:tc>
          <w:tcPr>
            <w:tcW w:w="681" w:type="pct"/>
            <w:tcBorders>
              <w:tl2br w:val="nil"/>
              <w:tr2bl w:val="nil"/>
            </w:tcBorders>
            <w:vAlign w:val="center"/>
          </w:tcPr>
          <w:p>
            <w:pPr>
              <w:widowControl/>
              <w:spacing w:line="240" w:lineRule="auto"/>
              <w:ind w:firstLine="0" w:firstLineChars="0"/>
              <w:jc w:val="center"/>
              <w:rPr>
                <w:b/>
                <w:bCs/>
                <w:sz w:val="21"/>
                <w:szCs w:val="21"/>
              </w:rPr>
            </w:pPr>
            <w:r>
              <w:rPr>
                <w:b/>
                <w:bCs/>
                <w:sz w:val="21"/>
                <w:szCs w:val="21"/>
              </w:rPr>
              <w:t>缴纳金额（万元）</w:t>
            </w:r>
          </w:p>
        </w:tc>
        <w:tc>
          <w:tcPr>
            <w:tcW w:w="773" w:type="pct"/>
            <w:tcBorders>
              <w:tl2br w:val="nil"/>
              <w:tr2bl w:val="nil"/>
            </w:tcBorders>
            <w:vAlign w:val="center"/>
          </w:tcPr>
          <w:p>
            <w:pPr>
              <w:widowControl/>
              <w:spacing w:line="240" w:lineRule="auto"/>
              <w:ind w:firstLine="0" w:firstLineChars="0"/>
              <w:jc w:val="center"/>
              <w:rPr>
                <w:b/>
                <w:bCs/>
                <w:sz w:val="21"/>
                <w:szCs w:val="21"/>
              </w:rPr>
            </w:pPr>
            <w:r>
              <w:rPr>
                <w:b/>
                <w:bCs/>
                <w:sz w:val="21"/>
                <w:szCs w:val="21"/>
              </w:rPr>
              <w:t>缴纳时间</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1</w:t>
            </w:r>
          </w:p>
        </w:tc>
        <w:tc>
          <w:tcPr>
            <w:tcW w:w="724" w:type="pct"/>
            <w:tcBorders>
              <w:tl2br w:val="nil"/>
              <w:tr2bl w:val="nil"/>
            </w:tcBorders>
            <w:vAlign w:val="center"/>
          </w:tcPr>
          <w:p>
            <w:pPr>
              <w:pStyle w:val="99"/>
              <w:spacing w:line="240" w:lineRule="auto"/>
              <w:jc w:val="center"/>
              <w:rPr>
                <w:sz w:val="21"/>
                <w:szCs w:val="21"/>
              </w:rPr>
            </w:pPr>
            <w:r>
              <w:rPr>
                <w:sz w:val="21"/>
                <w:szCs w:val="21"/>
              </w:rPr>
              <w:t>四川永祥新能源有限公司</w:t>
            </w:r>
          </w:p>
        </w:tc>
        <w:tc>
          <w:tcPr>
            <w:tcW w:w="1084" w:type="pct"/>
            <w:tcBorders>
              <w:tl2br w:val="nil"/>
              <w:tr2bl w:val="nil"/>
            </w:tcBorders>
            <w:vAlign w:val="center"/>
          </w:tcPr>
          <w:p>
            <w:pPr>
              <w:pStyle w:val="99"/>
              <w:spacing w:line="240" w:lineRule="auto"/>
              <w:jc w:val="center"/>
              <w:rPr>
                <w:sz w:val="21"/>
                <w:szCs w:val="21"/>
              </w:rPr>
            </w:pPr>
            <w:r>
              <w:rPr>
                <w:sz w:val="21"/>
                <w:szCs w:val="21"/>
              </w:rPr>
              <w:t>2.5万吨高纯晶硅项目</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已建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57.06</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74.18</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2017.10.11</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2</w:t>
            </w:r>
          </w:p>
        </w:tc>
        <w:tc>
          <w:tcPr>
            <w:tcW w:w="724" w:type="pct"/>
            <w:tcBorders>
              <w:tl2br w:val="nil"/>
              <w:tr2bl w:val="nil"/>
            </w:tcBorders>
            <w:vAlign w:val="center"/>
          </w:tcPr>
          <w:p>
            <w:pPr>
              <w:pStyle w:val="99"/>
              <w:spacing w:line="240" w:lineRule="auto"/>
              <w:jc w:val="center"/>
              <w:rPr>
                <w:sz w:val="21"/>
                <w:szCs w:val="21"/>
              </w:rPr>
            </w:pPr>
            <w:r>
              <w:rPr>
                <w:sz w:val="21"/>
                <w:szCs w:val="21"/>
              </w:rPr>
              <w:t>四川永祥新能源有限公司</w:t>
            </w:r>
          </w:p>
        </w:tc>
        <w:tc>
          <w:tcPr>
            <w:tcW w:w="1084" w:type="pct"/>
            <w:tcBorders>
              <w:tl2br w:val="nil"/>
              <w:tr2bl w:val="nil"/>
            </w:tcBorders>
            <w:vAlign w:val="center"/>
          </w:tcPr>
          <w:p>
            <w:pPr>
              <w:pStyle w:val="99"/>
              <w:spacing w:line="240" w:lineRule="auto"/>
              <w:jc w:val="center"/>
              <w:rPr>
                <w:sz w:val="21"/>
                <w:szCs w:val="21"/>
              </w:rPr>
            </w:pPr>
            <w:r>
              <w:rPr>
                <w:sz w:val="21"/>
                <w:szCs w:val="21"/>
              </w:rPr>
              <w:t>光伏硅材料制造技改项目（二期4.5万吨高纯晶硅）</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在建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41.07</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53.391</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2020.11.3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3</w:t>
            </w:r>
          </w:p>
        </w:tc>
        <w:tc>
          <w:tcPr>
            <w:tcW w:w="724" w:type="pct"/>
            <w:tcBorders>
              <w:tl2br w:val="nil"/>
              <w:tr2bl w:val="nil"/>
            </w:tcBorders>
            <w:vAlign w:val="center"/>
          </w:tcPr>
          <w:p>
            <w:pPr>
              <w:pStyle w:val="99"/>
              <w:spacing w:line="240" w:lineRule="auto"/>
              <w:jc w:val="center"/>
              <w:rPr>
                <w:sz w:val="21"/>
                <w:szCs w:val="21"/>
              </w:rPr>
            </w:pPr>
            <w:r>
              <w:rPr>
                <w:sz w:val="21"/>
                <w:szCs w:val="21"/>
              </w:rPr>
              <w:t>乐山协鑫新能源科技发展有限公司</w:t>
            </w:r>
          </w:p>
        </w:tc>
        <w:tc>
          <w:tcPr>
            <w:tcW w:w="1084" w:type="pct"/>
            <w:tcBorders>
              <w:tl2br w:val="nil"/>
              <w:tr2bl w:val="nil"/>
            </w:tcBorders>
            <w:vAlign w:val="center"/>
          </w:tcPr>
          <w:p>
            <w:pPr>
              <w:pStyle w:val="99"/>
              <w:spacing w:line="240" w:lineRule="auto"/>
              <w:jc w:val="center"/>
              <w:rPr>
                <w:sz w:val="21"/>
                <w:szCs w:val="21"/>
              </w:rPr>
            </w:pPr>
            <w:r>
              <w:rPr>
                <w:sz w:val="21"/>
                <w:szCs w:val="21"/>
              </w:rPr>
              <w:t>乐山协鑫新能源新建10万吨颗粒硅项目</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在建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69.90</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90.87</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2021.9.28</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270" w:hRule="atLeast"/>
        </w:trPr>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4</w:t>
            </w:r>
          </w:p>
        </w:tc>
        <w:tc>
          <w:tcPr>
            <w:tcW w:w="724" w:type="pct"/>
            <w:tcBorders>
              <w:tl2br w:val="nil"/>
              <w:tr2bl w:val="nil"/>
            </w:tcBorders>
            <w:vAlign w:val="center"/>
          </w:tcPr>
          <w:p>
            <w:pPr>
              <w:pStyle w:val="99"/>
              <w:spacing w:line="240" w:lineRule="auto"/>
              <w:jc w:val="center"/>
              <w:rPr>
                <w:sz w:val="21"/>
                <w:szCs w:val="21"/>
              </w:rPr>
            </w:pPr>
            <w:r>
              <w:rPr>
                <w:sz w:val="21"/>
                <w:szCs w:val="21"/>
              </w:rPr>
              <w:t>四川卢博丽尔化工有限公司</w:t>
            </w:r>
          </w:p>
        </w:tc>
        <w:tc>
          <w:tcPr>
            <w:tcW w:w="1084" w:type="pct"/>
            <w:tcBorders>
              <w:tl2br w:val="nil"/>
              <w:tr2bl w:val="nil"/>
            </w:tcBorders>
            <w:vAlign w:val="center"/>
          </w:tcPr>
          <w:p>
            <w:pPr>
              <w:pStyle w:val="99"/>
              <w:spacing w:line="240" w:lineRule="auto"/>
              <w:jc w:val="center"/>
              <w:rPr>
                <w:sz w:val="21"/>
                <w:szCs w:val="21"/>
              </w:rPr>
            </w:pPr>
            <w:r>
              <w:rPr>
                <w:sz w:val="21"/>
                <w:szCs w:val="21"/>
              </w:rPr>
              <w:t>四川卢博丽尔化工有限公司10万吨氯化石蜡</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在建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6.53</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8.49</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2022.9.6</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rPr>
          <w:trHeight w:val="279" w:hRule="atLeast"/>
        </w:trPr>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5</w:t>
            </w:r>
          </w:p>
        </w:tc>
        <w:tc>
          <w:tcPr>
            <w:tcW w:w="724" w:type="pct"/>
            <w:tcBorders>
              <w:tl2br w:val="nil"/>
              <w:tr2bl w:val="nil"/>
            </w:tcBorders>
            <w:vAlign w:val="center"/>
          </w:tcPr>
          <w:p>
            <w:pPr>
              <w:pStyle w:val="99"/>
              <w:spacing w:line="240" w:lineRule="auto"/>
              <w:jc w:val="center"/>
              <w:rPr>
                <w:sz w:val="21"/>
                <w:szCs w:val="21"/>
              </w:rPr>
            </w:pPr>
            <w:r>
              <w:rPr>
                <w:sz w:val="21"/>
                <w:szCs w:val="21"/>
              </w:rPr>
              <w:t>四川永祥光伏科技有限公司</w:t>
            </w:r>
          </w:p>
        </w:tc>
        <w:tc>
          <w:tcPr>
            <w:tcW w:w="1084" w:type="pct"/>
            <w:tcBorders>
              <w:tl2br w:val="nil"/>
              <w:tr2bl w:val="nil"/>
            </w:tcBorders>
            <w:vAlign w:val="center"/>
          </w:tcPr>
          <w:p>
            <w:pPr>
              <w:pStyle w:val="99"/>
              <w:spacing w:line="240" w:lineRule="auto"/>
              <w:jc w:val="center"/>
              <w:rPr>
                <w:sz w:val="21"/>
                <w:szCs w:val="21"/>
              </w:rPr>
            </w:pPr>
            <w:r>
              <w:rPr>
                <w:sz w:val="21"/>
                <w:szCs w:val="21"/>
              </w:rPr>
              <w:t>15GW单晶拉棒切方项目</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在建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31.16</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40.508</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2022.1.12</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6</w:t>
            </w:r>
          </w:p>
        </w:tc>
        <w:tc>
          <w:tcPr>
            <w:tcW w:w="724" w:type="pct"/>
            <w:vMerge w:val="restart"/>
            <w:tcBorders>
              <w:tl2br w:val="nil"/>
              <w:tr2bl w:val="nil"/>
            </w:tcBorders>
            <w:vAlign w:val="center"/>
          </w:tcPr>
          <w:p>
            <w:pPr>
              <w:widowControl/>
              <w:spacing w:line="240" w:lineRule="auto"/>
              <w:ind w:firstLine="0" w:firstLineChars="0"/>
              <w:jc w:val="center"/>
              <w:rPr>
                <w:sz w:val="21"/>
                <w:szCs w:val="21"/>
              </w:rPr>
            </w:pPr>
            <w:r>
              <w:rPr>
                <w:sz w:val="21"/>
                <w:szCs w:val="21"/>
              </w:rPr>
              <w:t>乐山高新投五通桥基地开发建设有限公司</w:t>
            </w:r>
          </w:p>
        </w:tc>
        <w:tc>
          <w:tcPr>
            <w:tcW w:w="1084" w:type="pct"/>
            <w:tcBorders>
              <w:tl2br w:val="nil"/>
              <w:tr2bl w:val="nil"/>
            </w:tcBorders>
            <w:vAlign w:val="center"/>
          </w:tcPr>
          <w:p>
            <w:pPr>
              <w:spacing w:line="240" w:lineRule="auto"/>
              <w:ind w:firstLine="0" w:firstLineChars="0"/>
              <w:jc w:val="center"/>
              <w:rPr>
                <w:sz w:val="21"/>
                <w:szCs w:val="21"/>
              </w:rPr>
            </w:pPr>
            <w:r>
              <w:rPr>
                <w:sz w:val="21"/>
                <w:szCs w:val="21"/>
              </w:rPr>
              <w:t>五通桥工业基地污水处理厂及配套管网工程</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在建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2.20</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2.86</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2020.4.3</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c>
          <w:tcPr>
            <w:tcW w:w="333" w:type="pct"/>
            <w:tcBorders>
              <w:tl2br w:val="nil"/>
              <w:tr2bl w:val="nil"/>
            </w:tcBorders>
            <w:vAlign w:val="center"/>
          </w:tcPr>
          <w:p>
            <w:pPr>
              <w:widowControl/>
              <w:spacing w:line="240" w:lineRule="auto"/>
              <w:ind w:firstLine="0" w:firstLineChars="0"/>
              <w:jc w:val="center"/>
              <w:rPr>
                <w:sz w:val="21"/>
                <w:szCs w:val="21"/>
              </w:rPr>
            </w:pPr>
            <w:r>
              <w:rPr>
                <w:sz w:val="21"/>
                <w:szCs w:val="21"/>
              </w:rPr>
              <w:t>7</w:t>
            </w:r>
          </w:p>
        </w:tc>
        <w:tc>
          <w:tcPr>
            <w:tcW w:w="724" w:type="pct"/>
            <w:vMerge w:val="continue"/>
            <w:tcBorders>
              <w:tl2br w:val="nil"/>
              <w:tr2bl w:val="nil"/>
            </w:tcBorders>
            <w:vAlign w:val="center"/>
          </w:tcPr>
          <w:p>
            <w:pPr>
              <w:widowControl/>
              <w:spacing w:line="240" w:lineRule="auto"/>
              <w:ind w:firstLine="0" w:firstLineChars="0"/>
              <w:jc w:val="center"/>
              <w:rPr>
                <w:sz w:val="21"/>
                <w:szCs w:val="21"/>
              </w:rPr>
            </w:pPr>
          </w:p>
        </w:tc>
        <w:tc>
          <w:tcPr>
            <w:tcW w:w="1084" w:type="pct"/>
            <w:tcBorders>
              <w:tl2br w:val="nil"/>
              <w:tr2bl w:val="nil"/>
            </w:tcBorders>
            <w:vAlign w:val="center"/>
          </w:tcPr>
          <w:p>
            <w:pPr>
              <w:spacing w:line="240" w:lineRule="auto"/>
              <w:ind w:firstLine="0" w:firstLineChars="0"/>
              <w:jc w:val="center"/>
              <w:rPr>
                <w:sz w:val="21"/>
                <w:szCs w:val="21"/>
              </w:rPr>
            </w:pPr>
            <w:r>
              <w:rPr>
                <w:sz w:val="21"/>
                <w:szCs w:val="21"/>
              </w:rPr>
              <w:t>五通桥工业新区灾后重建防洪排涝工程</w:t>
            </w:r>
          </w:p>
        </w:tc>
        <w:tc>
          <w:tcPr>
            <w:tcW w:w="550" w:type="pct"/>
            <w:tcBorders>
              <w:tl2br w:val="nil"/>
              <w:tr2bl w:val="nil"/>
            </w:tcBorders>
            <w:vAlign w:val="center"/>
          </w:tcPr>
          <w:p>
            <w:pPr>
              <w:widowControl/>
              <w:spacing w:line="240" w:lineRule="auto"/>
              <w:ind w:firstLine="0" w:firstLineChars="0"/>
              <w:jc w:val="center"/>
              <w:rPr>
                <w:sz w:val="21"/>
                <w:szCs w:val="21"/>
              </w:rPr>
            </w:pPr>
            <w:r>
              <w:rPr>
                <w:sz w:val="21"/>
                <w:szCs w:val="21"/>
              </w:rPr>
              <w:t>在建</w:t>
            </w:r>
          </w:p>
        </w:tc>
        <w:tc>
          <w:tcPr>
            <w:tcW w:w="852" w:type="pct"/>
            <w:tcBorders>
              <w:tl2br w:val="nil"/>
              <w:tr2bl w:val="nil"/>
            </w:tcBorders>
            <w:vAlign w:val="center"/>
          </w:tcPr>
          <w:p>
            <w:pPr>
              <w:widowControl/>
              <w:spacing w:line="240" w:lineRule="auto"/>
              <w:ind w:firstLine="0" w:firstLineChars="0"/>
              <w:jc w:val="center"/>
              <w:rPr>
                <w:sz w:val="21"/>
                <w:szCs w:val="21"/>
              </w:rPr>
            </w:pPr>
            <w:r>
              <w:rPr>
                <w:sz w:val="21"/>
                <w:szCs w:val="21"/>
              </w:rPr>
              <w:t>2.47</w:t>
            </w:r>
          </w:p>
        </w:tc>
        <w:tc>
          <w:tcPr>
            <w:tcW w:w="681" w:type="pct"/>
            <w:tcBorders>
              <w:tl2br w:val="nil"/>
              <w:tr2bl w:val="nil"/>
            </w:tcBorders>
            <w:vAlign w:val="center"/>
          </w:tcPr>
          <w:p>
            <w:pPr>
              <w:widowControl/>
              <w:spacing w:line="240" w:lineRule="auto"/>
              <w:ind w:firstLine="0" w:firstLineChars="0"/>
              <w:jc w:val="center"/>
              <w:rPr>
                <w:sz w:val="21"/>
                <w:szCs w:val="21"/>
              </w:rPr>
            </w:pPr>
            <w:r>
              <w:rPr>
                <w:sz w:val="21"/>
                <w:szCs w:val="21"/>
              </w:rPr>
              <w:t>3.211</w:t>
            </w:r>
          </w:p>
        </w:tc>
        <w:tc>
          <w:tcPr>
            <w:tcW w:w="773" w:type="pct"/>
            <w:tcBorders>
              <w:tl2br w:val="nil"/>
              <w:tr2bl w:val="nil"/>
            </w:tcBorders>
            <w:vAlign w:val="center"/>
          </w:tcPr>
          <w:p>
            <w:pPr>
              <w:widowControl/>
              <w:spacing w:line="240" w:lineRule="auto"/>
              <w:ind w:firstLine="0" w:firstLineChars="0"/>
              <w:jc w:val="center"/>
              <w:rPr>
                <w:sz w:val="21"/>
                <w:szCs w:val="21"/>
              </w:rPr>
            </w:pPr>
            <w:r>
              <w:rPr>
                <w:sz w:val="21"/>
                <w:szCs w:val="21"/>
              </w:rPr>
              <w:t>2022.2.17</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2" w:space="0"/>
          </w:tblBorders>
          <w:tblCellMar>
            <w:top w:w="0" w:type="dxa"/>
            <w:left w:w="108" w:type="dxa"/>
            <w:bottom w:w="0" w:type="dxa"/>
            <w:right w:w="108" w:type="dxa"/>
          </w:tblCellMar>
        </w:tblPrEx>
        <w:tc>
          <w:tcPr>
            <w:tcW w:w="2693" w:type="pct"/>
            <w:gridSpan w:val="4"/>
            <w:tcBorders>
              <w:tl2br w:val="nil"/>
              <w:tr2bl w:val="nil"/>
            </w:tcBorders>
            <w:vAlign w:val="center"/>
          </w:tcPr>
          <w:p>
            <w:pPr>
              <w:widowControl/>
              <w:spacing w:line="240" w:lineRule="auto"/>
              <w:ind w:firstLine="0" w:firstLineChars="0"/>
              <w:jc w:val="center"/>
              <w:rPr>
                <w:b/>
                <w:bCs/>
                <w:sz w:val="21"/>
                <w:szCs w:val="21"/>
              </w:rPr>
            </w:pPr>
            <w:r>
              <w:rPr>
                <w:b/>
                <w:bCs/>
                <w:sz w:val="21"/>
                <w:szCs w:val="21"/>
              </w:rPr>
              <w:t>合计</w:t>
            </w:r>
          </w:p>
        </w:tc>
        <w:tc>
          <w:tcPr>
            <w:tcW w:w="2422"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210.39</w:t>
            </w:r>
          </w:p>
        </w:tc>
        <w:tc>
          <w:tcPr>
            <w:tcW w:w="1936" w:type="dxa"/>
            <w:tcBorders>
              <w:tl2br w:val="nil"/>
              <w:tr2bl w:val="nil"/>
            </w:tcBorders>
            <w:vAlign w:val="center"/>
          </w:tcPr>
          <w:p>
            <w:pPr>
              <w:widowControl/>
              <w:spacing w:line="240" w:lineRule="auto"/>
              <w:ind w:firstLine="0" w:firstLineChars="0"/>
              <w:jc w:val="center"/>
              <w:rPr>
                <w:b/>
                <w:bCs/>
                <w:sz w:val="21"/>
                <w:szCs w:val="21"/>
              </w:rPr>
            </w:pPr>
            <w:r>
              <w:rPr>
                <w:b/>
                <w:bCs/>
                <w:sz w:val="21"/>
                <w:szCs w:val="21"/>
              </w:rPr>
              <w:t>273.51</w:t>
            </w:r>
          </w:p>
        </w:tc>
        <w:tc>
          <w:tcPr>
            <w:tcW w:w="773" w:type="pct"/>
            <w:tcBorders>
              <w:tl2br w:val="nil"/>
              <w:tr2bl w:val="nil"/>
            </w:tcBorders>
            <w:vAlign w:val="center"/>
          </w:tcPr>
          <w:p>
            <w:pPr>
              <w:widowControl/>
              <w:spacing w:line="240" w:lineRule="auto"/>
              <w:ind w:firstLine="0" w:firstLineChars="0"/>
              <w:jc w:val="center"/>
              <w:rPr>
                <w:b/>
                <w:bCs/>
                <w:sz w:val="21"/>
                <w:szCs w:val="21"/>
              </w:rPr>
            </w:pPr>
          </w:p>
        </w:tc>
      </w:tr>
    </w:tbl>
    <w:p>
      <w:pPr>
        <w:widowControl/>
        <w:ind w:firstLine="0" w:firstLineChars="0"/>
        <w:jc w:val="center"/>
      </w:pPr>
    </w:p>
    <w:p>
      <w:pPr>
        <w:ind w:firstLine="482"/>
        <w:rPr>
          <w:b/>
          <w:bCs/>
        </w:rPr>
      </w:pPr>
    </w:p>
    <w:p>
      <w:pPr>
        <w:ind w:firstLine="482"/>
        <w:rPr>
          <w:b/>
          <w:bCs/>
        </w:rPr>
        <w:sectPr>
          <w:pgSz w:w="16838" w:h="11905" w:orient="landscape"/>
          <w:pgMar w:top="1417" w:right="1417" w:bottom="1417" w:left="1417" w:header="850" w:footer="992" w:gutter="0"/>
          <w:cols w:space="720" w:num="1"/>
          <w:docGrid w:linePitch="330" w:charSpace="0"/>
        </w:sectPr>
      </w:pPr>
    </w:p>
    <w:p>
      <w:pPr>
        <w:ind w:firstLine="482"/>
        <w:rPr>
          <w:b/>
          <w:bCs/>
        </w:rPr>
      </w:pPr>
      <w:r>
        <w:rPr>
          <w:b/>
          <w:bCs/>
        </w:rPr>
        <w:t>5、估算成果</w:t>
      </w:r>
    </w:p>
    <w:p>
      <w:pPr>
        <w:ind w:firstLine="480"/>
      </w:pPr>
      <w:r>
        <w:rPr>
          <w:rFonts w:hint="eastAsia"/>
        </w:rPr>
        <w:t>园区</w:t>
      </w:r>
      <w:r>
        <w:t>水土保持工程估算总投资为</w:t>
      </w:r>
      <w:r>
        <w:rPr>
          <w:rFonts w:hint="eastAsia"/>
        </w:rPr>
        <w:t>20039.20</w:t>
      </w:r>
      <w:r>
        <w:t>万元</w:t>
      </w:r>
      <w:r>
        <w:rPr>
          <w:rFonts w:hint="eastAsia"/>
        </w:rPr>
        <w:t>，其中规划已有水土保持</w:t>
      </w:r>
      <w:r>
        <w:t>投资9349.52万元，</w:t>
      </w:r>
      <w:r>
        <w:rPr>
          <w:rFonts w:hint="eastAsia"/>
        </w:rPr>
        <w:t>方案</w:t>
      </w:r>
      <w:r>
        <w:t>新增</w:t>
      </w:r>
      <w:r>
        <w:rPr>
          <w:rFonts w:hint="eastAsia"/>
        </w:rPr>
        <w:t>水土保持</w:t>
      </w:r>
      <w:r>
        <w:t>投资</w:t>
      </w:r>
      <w:r>
        <w:rPr>
          <w:rFonts w:hint="eastAsia"/>
        </w:rPr>
        <w:t>10689.68</w:t>
      </w:r>
      <w:r>
        <w:t>万元。新增</w:t>
      </w:r>
      <w:r>
        <w:rPr>
          <w:rFonts w:hint="eastAsia"/>
        </w:rPr>
        <w:t>水土保持</w:t>
      </w:r>
      <w:r>
        <w:t>投资包括：工程措施投资</w:t>
      </w:r>
      <w:r>
        <w:rPr>
          <w:rFonts w:hint="eastAsia"/>
        </w:rPr>
        <w:t>2952.26</w:t>
      </w:r>
      <w:r>
        <w:t>万元，植物措施投资6.33万元，施工临时工程投资4998.97万元，独立费用</w:t>
      </w:r>
      <w:r>
        <w:rPr>
          <w:rFonts w:hint="eastAsia"/>
        </w:rPr>
        <w:t>699.35</w:t>
      </w:r>
      <w:r>
        <w:t>万元，基本预备费</w:t>
      </w:r>
      <w:r>
        <w:rPr>
          <w:rFonts w:hint="eastAsia"/>
        </w:rPr>
        <w:t>862.69</w:t>
      </w:r>
      <w:r>
        <w:t>万元，水土保持补偿费1200.082万元</w:t>
      </w:r>
      <w:r>
        <w:rPr>
          <w:rFonts w:hint="eastAsia"/>
        </w:rPr>
        <w:t>。</w:t>
      </w:r>
      <w:r>
        <w:t>园区总占地面积1129.18hm</w:t>
      </w:r>
      <w:r>
        <w:rPr>
          <w:vertAlign w:val="superscript"/>
        </w:rPr>
        <w:t>2</w:t>
      </w:r>
      <w:r>
        <w:t>，根据已缴纳水土保持补偿费</w:t>
      </w:r>
      <w:r>
        <w:rPr>
          <w:rFonts w:hint="eastAsia"/>
        </w:rPr>
        <w:t>273.51万元，</w:t>
      </w:r>
      <w:r>
        <w:t>扣除已计征面积</w:t>
      </w:r>
      <w:r>
        <w:rPr>
          <w:rFonts w:hint="eastAsia"/>
        </w:rPr>
        <w:t>206.04hm</w:t>
      </w:r>
      <w:r>
        <w:rPr>
          <w:rFonts w:hint="eastAsia"/>
          <w:vertAlign w:val="superscript"/>
        </w:rPr>
        <w:t>2</w:t>
      </w:r>
      <w:r>
        <w:t>，本次水土保持补偿费计征面积923.14hm</w:t>
      </w:r>
      <w:r>
        <w:rPr>
          <w:vertAlign w:val="superscript"/>
        </w:rPr>
        <w:t>2</w:t>
      </w:r>
      <w:r>
        <w:t>，计征标准1.3元/m</w:t>
      </w:r>
      <w:r>
        <w:rPr>
          <w:vertAlign w:val="superscript"/>
        </w:rPr>
        <w:t>2</w:t>
      </w:r>
      <w:r>
        <w:t>，共计1200.082万元（其中</w:t>
      </w:r>
      <w:r>
        <w:rPr>
          <w:rFonts w:hint="eastAsia"/>
        </w:rPr>
        <w:t>园区五通一平、公共基础设施等项目</w:t>
      </w:r>
      <w:r>
        <w:t>应缴纳216.723万元，入驻</w:t>
      </w:r>
      <w:r>
        <w:rPr>
          <w:rFonts w:hint="eastAsia"/>
        </w:rPr>
        <w:t>企业</w:t>
      </w:r>
      <w:r>
        <w:t>应缴纳983.359万元）。详细投资估算见表7.1-7~7.1-12。</w:t>
      </w:r>
    </w:p>
    <w:p>
      <w:pPr>
        <w:pStyle w:val="68"/>
        <w:spacing w:after="120"/>
        <w:rPr>
          <w:bCs/>
          <w:szCs w:val="24"/>
        </w:rPr>
      </w:pPr>
      <w:r>
        <w:rPr>
          <w:rStyle w:val="67"/>
          <w:b/>
        </w:rPr>
        <w:t>表7.1-7水土保持投资估算总表</w:t>
      </w:r>
    </w:p>
    <w:tbl>
      <w:tblPr>
        <w:tblStyle w:val="110"/>
        <w:tblW w:w="9875"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464"/>
        <w:gridCol w:w="10"/>
        <w:gridCol w:w="2328"/>
        <w:gridCol w:w="914"/>
        <w:gridCol w:w="1029"/>
        <w:gridCol w:w="955"/>
        <w:gridCol w:w="930"/>
        <w:gridCol w:w="1118"/>
        <w:gridCol w:w="1077"/>
        <w:gridCol w:w="1050"/>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Merge w:val="restart"/>
            <w:vAlign w:val="center"/>
          </w:tcPr>
          <w:p>
            <w:pPr>
              <w:widowControl/>
              <w:adjustRightInd w:val="0"/>
              <w:snapToGrid w:val="0"/>
              <w:spacing w:line="240" w:lineRule="auto"/>
              <w:ind w:firstLine="0" w:firstLineChars="0"/>
              <w:jc w:val="center"/>
              <w:rPr>
                <w:b/>
                <w:kern w:val="0"/>
                <w:sz w:val="21"/>
                <w:szCs w:val="21"/>
              </w:rPr>
            </w:pPr>
            <w:r>
              <w:rPr>
                <w:b/>
                <w:kern w:val="0"/>
                <w:sz w:val="21"/>
                <w:szCs w:val="21"/>
              </w:rPr>
              <w:t>序号</w:t>
            </w:r>
          </w:p>
        </w:tc>
        <w:tc>
          <w:tcPr>
            <w:tcW w:w="2328" w:type="dxa"/>
            <w:vMerge w:val="restart"/>
            <w:vAlign w:val="center"/>
          </w:tcPr>
          <w:p>
            <w:pPr>
              <w:widowControl/>
              <w:adjustRightInd w:val="0"/>
              <w:snapToGrid w:val="0"/>
              <w:spacing w:line="240" w:lineRule="auto"/>
              <w:ind w:firstLine="0" w:firstLineChars="0"/>
              <w:jc w:val="center"/>
              <w:rPr>
                <w:b/>
                <w:kern w:val="0"/>
                <w:sz w:val="21"/>
                <w:szCs w:val="21"/>
              </w:rPr>
            </w:pPr>
            <w:r>
              <w:rPr>
                <w:b/>
                <w:kern w:val="0"/>
                <w:sz w:val="21"/>
                <w:szCs w:val="21"/>
              </w:rPr>
              <w:t>工程或费用名称</w:t>
            </w:r>
          </w:p>
        </w:tc>
        <w:tc>
          <w:tcPr>
            <w:tcW w:w="914" w:type="dxa"/>
            <w:vMerge w:val="restart"/>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eastAsia="仿宋_GB2312"/>
                <w:sz w:val="21"/>
                <w:szCs w:val="21"/>
              </w:rPr>
              <w:t>工程措施投资</w:t>
            </w:r>
          </w:p>
        </w:tc>
        <w:tc>
          <w:tcPr>
            <w:tcW w:w="1029" w:type="dxa"/>
            <w:vMerge w:val="restart"/>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eastAsia="仿宋_GB2312"/>
                <w:sz w:val="21"/>
                <w:szCs w:val="21"/>
              </w:rPr>
              <w:t>植物措施投资</w:t>
            </w:r>
          </w:p>
        </w:tc>
        <w:tc>
          <w:tcPr>
            <w:tcW w:w="955" w:type="dxa"/>
            <w:vMerge w:val="restart"/>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eastAsia="仿宋_GB2312"/>
                <w:sz w:val="21"/>
                <w:szCs w:val="21"/>
              </w:rPr>
              <w:t>临时措施投资</w:t>
            </w:r>
          </w:p>
        </w:tc>
        <w:tc>
          <w:tcPr>
            <w:tcW w:w="930" w:type="dxa"/>
            <w:vMerge w:val="restart"/>
            <w:vAlign w:val="center"/>
          </w:tcPr>
          <w:p>
            <w:pPr>
              <w:widowControl/>
              <w:adjustRightInd w:val="0"/>
              <w:snapToGrid w:val="0"/>
              <w:spacing w:line="240" w:lineRule="auto"/>
              <w:ind w:firstLine="0" w:firstLineChars="0"/>
              <w:jc w:val="center"/>
              <w:rPr>
                <w:b/>
                <w:kern w:val="0"/>
                <w:sz w:val="21"/>
                <w:szCs w:val="21"/>
              </w:rPr>
            </w:pPr>
            <w:r>
              <w:rPr>
                <w:b/>
                <w:kern w:val="0"/>
                <w:sz w:val="21"/>
                <w:szCs w:val="21"/>
              </w:rPr>
              <w:t>独立</w:t>
            </w:r>
          </w:p>
          <w:p>
            <w:pPr>
              <w:widowControl/>
              <w:adjustRightInd w:val="0"/>
              <w:snapToGrid w:val="0"/>
              <w:spacing w:line="240" w:lineRule="auto"/>
              <w:ind w:firstLine="0" w:firstLineChars="0"/>
              <w:jc w:val="center"/>
              <w:rPr>
                <w:b/>
                <w:kern w:val="0"/>
                <w:sz w:val="21"/>
                <w:szCs w:val="21"/>
              </w:rPr>
            </w:pPr>
            <w:r>
              <w:rPr>
                <w:b/>
                <w:kern w:val="0"/>
                <w:sz w:val="21"/>
                <w:szCs w:val="21"/>
              </w:rPr>
              <w:t>费用</w:t>
            </w:r>
          </w:p>
        </w:tc>
        <w:tc>
          <w:tcPr>
            <w:tcW w:w="1118" w:type="dxa"/>
            <w:vMerge w:val="restart"/>
            <w:vAlign w:val="center"/>
          </w:tcPr>
          <w:p>
            <w:pPr>
              <w:widowControl/>
              <w:adjustRightInd w:val="0"/>
              <w:snapToGrid w:val="0"/>
              <w:spacing w:line="240" w:lineRule="auto"/>
              <w:ind w:firstLine="0" w:firstLineChars="0"/>
              <w:jc w:val="center"/>
              <w:rPr>
                <w:b/>
                <w:kern w:val="0"/>
                <w:sz w:val="21"/>
                <w:szCs w:val="21"/>
              </w:rPr>
            </w:pPr>
            <w:r>
              <w:rPr>
                <w:b/>
                <w:kern w:val="0"/>
                <w:sz w:val="21"/>
                <w:szCs w:val="21"/>
              </w:rPr>
              <w:t>合计</w:t>
            </w:r>
          </w:p>
        </w:tc>
        <w:tc>
          <w:tcPr>
            <w:tcW w:w="2127" w:type="dxa"/>
            <w:gridSpan w:val="2"/>
            <w:vAlign w:val="center"/>
          </w:tcPr>
          <w:p>
            <w:pPr>
              <w:widowControl/>
              <w:adjustRightInd w:val="0"/>
              <w:snapToGrid w:val="0"/>
              <w:spacing w:line="240" w:lineRule="auto"/>
              <w:ind w:firstLine="0" w:firstLineChars="0"/>
              <w:jc w:val="center"/>
              <w:rPr>
                <w:b/>
                <w:kern w:val="0"/>
                <w:sz w:val="21"/>
                <w:szCs w:val="21"/>
              </w:rPr>
            </w:pPr>
            <w:r>
              <w:rPr>
                <w:b/>
                <w:kern w:val="0"/>
                <w:sz w:val="21"/>
                <w:szCs w:val="21"/>
              </w:rPr>
              <w:t>其中</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882" w:hRule="atLeast"/>
        </w:trPr>
        <w:tc>
          <w:tcPr>
            <w:tcW w:w="474" w:type="dxa"/>
            <w:gridSpan w:val="2"/>
            <w:vMerge w:val="continue"/>
            <w:vAlign w:val="center"/>
          </w:tcPr>
          <w:p>
            <w:pPr>
              <w:widowControl/>
              <w:adjustRightInd w:val="0"/>
              <w:snapToGrid w:val="0"/>
              <w:spacing w:line="240" w:lineRule="auto"/>
              <w:ind w:firstLine="0" w:firstLineChars="0"/>
              <w:jc w:val="center"/>
              <w:rPr>
                <w:b/>
                <w:bCs/>
                <w:kern w:val="0"/>
                <w:sz w:val="21"/>
                <w:szCs w:val="21"/>
              </w:rPr>
            </w:pPr>
          </w:p>
        </w:tc>
        <w:tc>
          <w:tcPr>
            <w:tcW w:w="2328" w:type="dxa"/>
            <w:vMerge w:val="continue"/>
            <w:vAlign w:val="center"/>
          </w:tcPr>
          <w:p>
            <w:pPr>
              <w:widowControl/>
              <w:adjustRightInd w:val="0"/>
              <w:snapToGrid w:val="0"/>
              <w:spacing w:line="240" w:lineRule="auto"/>
              <w:ind w:firstLine="0" w:firstLineChars="0"/>
              <w:jc w:val="center"/>
              <w:rPr>
                <w:b/>
                <w:bCs/>
                <w:kern w:val="0"/>
                <w:sz w:val="21"/>
                <w:szCs w:val="21"/>
              </w:rPr>
            </w:pPr>
          </w:p>
        </w:tc>
        <w:tc>
          <w:tcPr>
            <w:tcW w:w="914" w:type="dxa"/>
            <w:vMerge w:val="continue"/>
            <w:vAlign w:val="center"/>
          </w:tcPr>
          <w:p>
            <w:pPr>
              <w:widowControl/>
              <w:adjustRightInd w:val="0"/>
              <w:snapToGrid w:val="0"/>
              <w:spacing w:line="240" w:lineRule="auto"/>
              <w:ind w:firstLine="0" w:firstLineChars="0"/>
              <w:jc w:val="center"/>
              <w:rPr>
                <w:kern w:val="0"/>
                <w:sz w:val="21"/>
                <w:szCs w:val="21"/>
              </w:rPr>
            </w:pPr>
          </w:p>
        </w:tc>
        <w:tc>
          <w:tcPr>
            <w:tcW w:w="1029" w:type="dxa"/>
            <w:vMerge w:val="continue"/>
            <w:vAlign w:val="center"/>
          </w:tcPr>
          <w:p>
            <w:pPr>
              <w:widowControl/>
              <w:adjustRightInd w:val="0"/>
              <w:snapToGrid w:val="0"/>
              <w:spacing w:line="240" w:lineRule="auto"/>
              <w:ind w:firstLine="0" w:firstLineChars="0"/>
              <w:jc w:val="center"/>
              <w:rPr>
                <w:kern w:val="0"/>
                <w:sz w:val="21"/>
                <w:szCs w:val="21"/>
              </w:rPr>
            </w:pPr>
          </w:p>
        </w:tc>
        <w:tc>
          <w:tcPr>
            <w:tcW w:w="955" w:type="dxa"/>
            <w:vMerge w:val="continue"/>
            <w:vAlign w:val="center"/>
          </w:tcPr>
          <w:p>
            <w:pPr>
              <w:widowControl/>
              <w:adjustRightInd w:val="0"/>
              <w:snapToGrid w:val="0"/>
              <w:spacing w:line="240" w:lineRule="auto"/>
              <w:ind w:firstLine="0" w:firstLineChars="0"/>
              <w:jc w:val="center"/>
              <w:rPr>
                <w:kern w:val="0"/>
                <w:sz w:val="21"/>
                <w:szCs w:val="21"/>
              </w:rPr>
            </w:pPr>
          </w:p>
        </w:tc>
        <w:tc>
          <w:tcPr>
            <w:tcW w:w="930" w:type="dxa"/>
            <w:vMerge w:val="continue"/>
            <w:vAlign w:val="center"/>
          </w:tcPr>
          <w:p>
            <w:pPr>
              <w:widowControl/>
              <w:adjustRightInd w:val="0"/>
              <w:snapToGrid w:val="0"/>
              <w:spacing w:line="240" w:lineRule="auto"/>
              <w:ind w:firstLine="0" w:firstLineChars="0"/>
              <w:jc w:val="center"/>
              <w:rPr>
                <w:kern w:val="0"/>
                <w:sz w:val="21"/>
                <w:szCs w:val="21"/>
              </w:rPr>
            </w:pPr>
          </w:p>
        </w:tc>
        <w:tc>
          <w:tcPr>
            <w:tcW w:w="1118" w:type="dxa"/>
            <w:vMerge w:val="continue"/>
            <w:vAlign w:val="center"/>
          </w:tcPr>
          <w:p>
            <w:pPr>
              <w:widowControl/>
              <w:adjustRightInd w:val="0"/>
              <w:snapToGrid w:val="0"/>
              <w:spacing w:line="240" w:lineRule="auto"/>
              <w:ind w:firstLine="0" w:firstLineChars="0"/>
              <w:jc w:val="center"/>
              <w:rPr>
                <w:b/>
                <w:bCs/>
                <w:kern w:val="0"/>
                <w:sz w:val="21"/>
                <w:szCs w:val="21"/>
              </w:rPr>
            </w:pPr>
          </w:p>
        </w:tc>
        <w:tc>
          <w:tcPr>
            <w:tcW w:w="1077" w:type="dxa"/>
            <w:vAlign w:val="center"/>
          </w:tcPr>
          <w:p>
            <w:pPr>
              <w:pStyle w:val="8"/>
              <w:tabs>
                <w:tab w:val="left" w:pos="1008"/>
              </w:tabs>
              <w:adjustRightInd w:val="0"/>
              <w:snapToGrid w:val="0"/>
              <w:spacing w:line="240" w:lineRule="auto"/>
              <w:jc w:val="center"/>
              <w:outlineLvl w:val="4"/>
              <w:rPr>
                <w:rFonts w:eastAsia="仿宋_GB2312"/>
                <w:sz w:val="21"/>
                <w:szCs w:val="21"/>
              </w:rPr>
            </w:pPr>
            <w:r>
              <w:rPr>
                <w:rFonts w:eastAsia="仿宋_GB2312"/>
                <w:sz w:val="21"/>
                <w:szCs w:val="21"/>
              </w:rPr>
              <w:t>主体</w:t>
            </w:r>
          </w:p>
          <w:p>
            <w:pPr>
              <w:pStyle w:val="8"/>
              <w:tabs>
                <w:tab w:val="left" w:pos="1008"/>
              </w:tabs>
              <w:adjustRightInd w:val="0"/>
              <w:snapToGrid w:val="0"/>
              <w:spacing w:line="240" w:lineRule="auto"/>
              <w:jc w:val="center"/>
              <w:outlineLvl w:val="4"/>
              <w:rPr>
                <w:rFonts w:eastAsia="仿宋_GB2312"/>
                <w:sz w:val="21"/>
                <w:szCs w:val="21"/>
              </w:rPr>
            </w:pPr>
            <w:r>
              <w:rPr>
                <w:rFonts w:eastAsia="仿宋_GB2312"/>
                <w:sz w:val="21"/>
                <w:szCs w:val="21"/>
              </w:rPr>
              <w:t>已有</w:t>
            </w:r>
          </w:p>
        </w:tc>
        <w:tc>
          <w:tcPr>
            <w:tcW w:w="1050" w:type="dxa"/>
            <w:vAlign w:val="center"/>
          </w:tcPr>
          <w:p>
            <w:pPr>
              <w:pStyle w:val="8"/>
              <w:tabs>
                <w:tab w:val="left" w:pos="1008"/>
              </w:tabs>
              <w:adjustRightInd w:val="0"/>
              <w:snapToGrid w:val="0"/>
              <w:spacing w:line="240" w:lineRule="auto"/>
              <w:jc w:val="center"/>
              <w:outlineLvl w:val="4"/>
              <w:rPr>
                <w:rFonts w:eastAsia="仿宋_GB2312"/>
                <w:sz w:val="21"/>
                <w:szCs w:val="21"/>
              </w:rPr>
            </w:pPr>
            <w:r>
              <w:rPr>
                <w:rFonts w:eastAsia="仿宋_GB2312"/>
                <w:sz w:val="21"/>
                <w:szCs w:val="21"/>
              </w:rPr>
              <w:t>水土保持新增</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第一部分工程措施</w:t>
            </w:r>
          </w:p>
        </w:tc>
        <w:tc>
          <w:tcPr>
            <w:tcW w:w="914"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4316.32</w:t>
            </w:r>
          </w:p>
        </w:tc>
        <w:tc>
          <w:tcPr>
            <w:tcW w:w="1029"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0.00</w:t>
            </w:r>
          </w:p>
        </w:tc>
        <w:tc>
          <w:tcPr>
            <w:tcW w:w="955"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0.00</w:t>
            </w:r>
          </w:p>
        </w:tc>
        <w:tc>
          <w:tcPr>
            <w:tcW w:w="930"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0.00</w:t>
            </w:r>
          </w:p>
        </w:tc>
        <w:tc>
          <w:tcPr>
            <w:tcW w:w="1118"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4316.32</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1364.06</w:t>
            </w:r>
          </w:p>
        </w:tc>
        <w:tc>
          <w:tcPr>
            <w:tcW w:w="1050" w:type="dxa"/>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hint="eastAsia"/>
                <w:kern w:val="0"/>
                <w:sz w:val="21"/>
                <w:szCs w:val="21"/>
              </w:rPr>
              <w:t>2952.26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802" w:type="dxa"/>
            <w:gridSpan w:val="3"/>
            <w:vAlign w:val="center"/>
          </w:tcPr>
          <w:p>
            <w:pPr>
              <w:widowControl/>
              <w:adjustRightInd w:val="0"/>
              <w:snapToGrid w:val="0"/>
              <w:spacing w:line="240" w:lineRule="auto"/>
              <w:ind w:firstLine="0" w:firstLineChars="0"/>
              <w:jc w:val="center"/>
              <w:rPr>
                <w:kern w:val="0"/>
                <w:sz w:val="21"/>
                <w:szCs w:val="21"/>
              </w:rPr>
            </w:pPr>
            <w:r>
              <w:rPr>
                <w:sz w:val="21"/>
                <w:szCs w:val="21"/>
              </w:rPr>
              <w:t>主体已列入工程措施投资</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1364.06</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1364.06</w:t>
            </w: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一</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近期建设区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1364.06</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工业用地区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146.92</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2</w:t>
            </w:r>
          </w:p>
        </w:tc>
        <w:tc>
          <w:tcPr>
            <w:tcW w:w="2328" w:type="dxa"/>
            <w:vAlign w:val="center"/>
          </w:tcPr>
          <w:p>
            <w:pPr>
              <w:pStyle w:val="53"/>
              <w:jc w:val="center"/>
              <w:rPr>
                <w:rFonts w:eastAsia="仿宋_GB2312"/>
                <w:kern w:val="0"/>
              </w:rPr>
            </w:pPr>
            <w:r>
              <w:rPr>
                <w:rFonts w:eastAsia="仿宋_GB2312"/>
              </w:rPr>
              <w:t>道路与交通设施用地区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934.09</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3</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公用设施用地区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274.59</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28"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4</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绿地与广场用地区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8.46</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kern w:val="0"/>
                <w:sz w:val="21"/>
                <w:szCs w:val="21"/>
              </w:rPr>
            </w:pPr>
            <w:r>
              <w:rPr>
                <w:sz w:val="21"/>
                <w:szCs w:val="21"/>
              </w:rPr>
              <w:t>新增工程措施投资</w:t>
            </w:r>
          </w:p>
        </w:tc>
        <w:tc>
          <w:tcPr>
            <w:tcW w:w="914" w:type="dxa"/>
            <w:vAlign w:val="center"/>
          </w:tcPr>
          <w:p>
            <w:pPr>
              <w:widowControl/>
              <w:adjustRightInd w:val="0"/>
              <w:snapToGrid w:val="0"/>
              <w:spacing w:line="240" w:lineRule="auto"/>
              <w:ind w:firstLine="0" w:firstLineChars="0"/>
              <w:jc w:val="center"/>
              <w:rPr>
                <w:b/>
                <w:bCs/>
                <w:kern w:val="0"/>
                <w:sz w:val="21"/>
                <w:szCs w:val="21"/>
              </w:rPr>
            </w:pPr>
            <w:r>
              <w:rPr>
                <w:rFonts w:hint="eastAsia"/>
                <w:kern w:val="0"/>
                <w:sz w:val="21"/>
                <w:szCs w:val="21"/>
              </w:rPr>
              <w:t>2952.26</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r>
              <w:rPr>
                <w:rFonts w:hint="eastAsia"/>
                <w:kern w:val="0"/>
                <w:sz w:val="21"/>
                <w:szCs w:val="21"/>
              </w:rPr>
              <w:t>2952.26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一</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近期建设区</w:t>
            </w:r>
          </w:p>
        </w:tc>
        <w:tc>
          <w:tcPr>
            <w:tcW w:w="914" w:type="dxa"/>
            <w:vAlign w:val="center"/>
          </w:tcPr>
          <w:p>
            <w:pPr>
              <w:adjustRightInd w:val="0"/>
              <w:snapToGrid w:val="0"/>
              <w:spacing w:line="240" w:lineRule="auto"/>
              <w:ind w:firstLine="0" w:firstLineChars="0"/>
              <w:jc w:val="center"/>
              <w:rPr>
                <w:kern w:val="0"/>
                <w:sz w:val="21"/>
                <w:szCs w:val="21"/>
              </w:rPr>
            </w:pPr>
            <w:r>
              <w:rPr>
                <w:rFonts w:hint="eastAsia"/>
                <w:kern w:val="0"/>
                <w:sz w:val="21"/>
                <w:szCs w:val="21"/>
              </w:rPr>
              <w:t>2952.26</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工业用地区</w:t>
            </w:r>
          </w:p>
        </w:tc>
        <w:tc>
          <w:tcPr>
            <w:tcW w:w="914" w:type="dxa"/>
            <w:vAlign w:val="center"/>
          </w:tcPr>
          <w:p>
            <w:pPr>
              <w:spacing w:line="240" w:lineRule="auto"/>
              <w:ind w:firstLine="0" w:firstLineChars="0"/>
              <w:jc w:val="center"/>
              <w:rPr>
                <w:kern w:val="0"/>
                <w:sz w:val="21"/>
                <w:szCs w:val="21"/>
              </w:rPr>
            </w:pPr>
            <w:r>
              <w:rPr>
                <w:rFonts w:hint="eastAsia"/>
                <w:kern w:val="0"/>
                <w:sz w:val="21"/>
                <w:szCs w:val="21"/>
              </w:rPr>
              <w:t>1565.68</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2</w:t>
            </w:r>
          </w:p>
        </w:tc>
        <w:tc>
          <w:tcPr>
            <w:tcW w:w="2328" w:type="dxa"/>
            <w:vAlign w:val="center"/>
          </w:tcPr>
          <w:p>
            <w:pPr>
              <w:pStyle w:val="53"/>
              <w:jc w:val="center"/>
              <w:rPr>
                <w:rFonts w:eastAsia="仿宋_GB2312"/>
                <w:kern w:val="0"/>
              </w:rPr>
            </w:pPr>
            <w:r>
              <w:rPr>
                <w:rFonts w:eastAsia="仿宋_GB2312"/>
              </w:rPr>
              <w:t>道路与交通设施用地区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126.71</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3</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公用设施用地区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62.82</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4</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绿地与广场用地区</w:t>
            </w:r>
          </w:p>
        </w:tc>
        <w:tc>
          <w:tcPr>
            <w:tcW w:w="914" w:type="dxa"/>
            <w:vAlign w:val="center"/>
          </w:tcPr>
          <w:p>
            <w:pPr>
              <w:widowControl/>
              <w:adjustRightInd w:val="0"/>
              <w:snapToGrid w:val="0"/>
              <w:spacing w:line="240" w:lineRule="auto"/>
              <w:ind w:firstLine="0" w:firstLineChars="0"/>
              <w:jc w:val="center"/>
              <w:rPr>
                <w:kern w:val="0"/>
                <w:sz w:val="21"/>
                <w:szCs w:val="21"/>
              </w:rPr>
            </w:pPr>
            <w:r>
              <w:rPr>
                <w:rFonts w:hint="eastAsia"/>
                <w:kern w:val="0"/>
                <w:sz w:val="21"/>
                <w:szCs w:val="21"/>
              </w:rPr>
              <w:t>1197.05</w:t>
            </w: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第二部分植物措施</w:t>
            </w:r>
          </w:p>
        </w:tc>
        <w:tc>
          <w:tcPr>
            <w:tcW w:w="914" w:type="dxa"/>
            <w:vAlign w:val="center"/>
          </w:tcPr>
          <w:p>
            <w:pPr>
              <w:widowControl/>
              <w:adjustRightInd w:val="0"/>
              <w:snapToGrid w:val="0"/>
              <w:spacing w:line="240" w:lineRule="auto"/>
              <w:ind w:firstLine="0" w:firstLineChars="0"/>
              <w:jc w:val="center"/>
              <w:rPr>
                <w:b/>
                <w:bCs/>
                <w:kern w:val="0"/>
                <w:sz w:val="21"/>
                <w:szCs w:val="21"/>
              </w:rPr>
            </w:pPr>
          </w:p>
        </w:tc>
        <w:tc>
          <w:tcPr>
            <w:tcW w:w="1029"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7991.79</w:t>
            </w:r>
          </w:p>
        </w:tc>
        <w:tc>
          <w:tcPr>
            <w:tcW w:w="955" w:type="dxa"/>
            <w:vAlign w:val="center"/>
          </w:tcPr>
          <w:p>
            <w:pPr>
              <w:widowControl/>
              <w:adjustRightInd w:val="0"/>
              <w:snapToGrid w:val="0"/>
              <w:spacing w:line="240" w:lineRule="auto"/>
              <w:ind w:firstLine="0" w:firstLineChars="0"/>
              <w:jc w:val="center"/>
              <w:rPr>
                <w:b/>
                <w:bCs/>
                <w:kern w:val="0"/>
                <w:sz w:val="21"/>
                <w:szCs w:val="21"/>
              </w:rPr>
            </w:pPr>
          </w:p>
        </w:tc>
        <w:tc>
          <w:tcPr>
            <w:tcW w:w="930" w:type="dxa"/>
            <w:vAlign w:val="center"/>
          </w:tcPr>
          <w:p>
            <w:pPr>
              <w:widowControl/>
              <w:adjustRightInd w:val="0"/>
              <w:snapToGrid w:val="0"/>
              <w:spacing w:line="240" w:lineRule="auto"/>
              <w:ind w:firstLine="0" w:firstLineChars="0"/>
              <w:jc w:val="center"/>
              <w:rPr>
                <w:b/>
                <w:bCs/>
                <w:kern w:val="0"/>
                <w:sz w:val="21"/>
                <w:szCs w:val="21"/>
              </w:rPr>
            </w:pPr>
          </w:p>
        </w:tc>
        <w:tc>
          <w:tcPr>
            <w:tcW w:w="111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7991.79</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7985.46</w:t>
            </w:r>
          </w:p>
        </w:tc>
        <w:tc>
          <w:tcPr>
            <w:tcW w:w="1050"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6.33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sz w:val="21"/>
                <w:szCs w:val="21"/>
              </w:rPr>
              <w:t>主体已列入植物措施投资</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7985.46</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b/>
                <w:bCs/>
                <w:kern w:val="0"/>
                <w:sz w:val="21"/>
                <w:szCs w:val="21"/>
              </w:rPr>
            </w:pPr>
          </w:p>
        </w:tc>
        <w:tc>
          <w:tcPr>
            <w:tcW w:w="1077" w:type="dxa"/>
            <w:vAlign w:val="center"/>
          </w:tcPr>
          <w:p>
            <w:pPr>
              <w:widowControl/>
              <w:adjustRightInd w:val="0"/>
              <w:snapToGrid w:val="0"/>
              <w:spacing w:line="240" w:lineRule="auto"/>
              <w:ind w:firstLine="0" w:firstLineChars="0"/>
              <w:jc w:val="center"/>
              <w:rPr>
                <w:b/>
                <w:bCs/>
                <w:kern w:val="0"/>
                <w:sz w:val="21"/>
                <w:szCs w:val="21"/>
              </w:rPr>
            </w:pPr>
            <w:r>
              <w:rPr>
                <w:kern w:val="0"/>
                <w:sz w:val="21"/>
                <w:szCs w:val="21"/>
              </w:rPr>
              <w:t>7985.46</w:t>
            </w: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一</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近期建设区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7985.46</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2328" w:type="dxa"/>
            <w:vAlign w:val="center"/>
          </w:tcPr>
          <w:p>
            <w:pPr>
              <w:pStyle w:val="53"/>
              <w:jc w:val="center"/>
              <w:rPr>
                <w:rFonts w:eastAsia="仿宋_GB2312"/>
                <w:kern w:val="0"/>
              </w:rPr>
            </w:pPr>
            <w:r>
              <w:rPr>
                <w:rFonts w:eastAsia="仿宋_GB2312"/>
              </w:rPr>
              <w:t>道路与交通设施用地区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811.25</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2</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公用设施用地区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937.85</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3</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绿地与广场用地区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6236.36</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7" w:hRule="atLeast"/>
        </w:trPr>
        <w:tc>
          <w:tcPr>
            <w:tcW w:w="2802" w:type="dxa"/>
            <w:gridSpan w:val="3"/>
            <w:vAlign w:val="center"/>
          </w:tcPr>
          <w:p>
            <w:pPr>
              <w:widowControl/>
              <w:adjustRightInd w:val="0"/>
              <w:snapToGrid w:val="0"/>
              <w:spacing w:line="240" w:lineRule="auto"/>
              <w:ind w:firstLine="0" w:firstLineChars="0"/>
              <w:jc w:val="center"/>
              <w:rPr>
                <w:kern w:val="0"/>
                <w:sz w:val="21"/>
                <w:szCs w:val="21"/>
              </w:rPr>
            </w:pPr>
            <w:r>
              <w:rPr>
                <w:kern w:val="0"/>
                <w:sz w:val="21"/>
                <w:szCs w:val="21"/>
              </w:rPr>
              <w:t>报告新增</w:t>
            </w:r>
            <w:r>
              <w:rPr>
                <w:sz w:val="21"/>
                <w:szCs w:val="21"/>
              </w:rPr>
              <w:t>植物措施投资</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6.33</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r>
              <w:rPr>
                <w:kern w:val="0"/>
                <w:sz w:val="21"/>
                <w:szCs w:val="21"/>
              </w:rPr>
              <w:t>6.33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7" w:hRule="atLeast"/>
        </w:trPr>
        <w:tc>
          <w:tcPr>
            <w:tcW w:w="46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一</w:t>
            </w:r>
          </w:p>
        </w:tc>
        <w:tc>
          <w:tcPr>
            <w:tcW w:w="2338" w:type="dxa"/>
            <w:gridSpan w:val="2"/>
            <w:vAlign w:val="center"/>
          </w:tcPr>
          <w:p>
            <w:pPr>
              <w:spacing w:line="240" w:lineRule="auto"/>
              <w:ind w:firstLine="0" w:firstLineChars="0"/>
              <w:jc w:val="center"/>
              <w:rPr>
                <w:kern w:val="0"/>
                <w:sz w:val="21"/>
                <w:szCs w:val="21"/>
              </w:rPr>
            </w:pPr>
            <w:r>
              <w:rPr>
                <w:kern w:val="0"/>
                <w:sz w:val="21"/>
                <w:szCs w:val="21"/>
              </w:rPr>
              <w:t>临时堆场区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6.33</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07" w:hRule="atLeast"/>
        </w:trPr>
        <w:tc>
          <w:tcPr>
            <w:tcW w:w="464"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2338" w:type="dxa"/>
            <w:gridSpan w:val="2"/>
            <w:vAlign w:val="center"/>
          </w:tcPr>
          <w:p>
            <w:pPr>
              <w:spacing w:line="240" w:lineRule="auto"/>
              <w:ind w:firstLine="0" w:firstLineChars="0"/>
              <w:jc w:val="center"/>
              <w:rPr>
                <w:kern w:val="0"/>
                <w:sz w:val="21"/>
                <w:szCs w:val="21"/>
              </w:rPr>
            </w:pPr>
            <w:r>
              <w:rPr>
                <w:kern w:val="0"/>
                <w:sz w:val="21"/>
                <w:szCs w:val="21"/>
              </w:rPr>
              <w:t>表土中转场区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6.33</w:t>
            </w: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第三部分施工临时工程</w:t>
            </w:r>
          </w:p>
        </w:tc>
        <w:tc>
          <w:tcPr>
            <w:tcW w:w="914" w:type="dxa"/>
            <w:vAlign w:val="center"/>
          </w:tcPr>
          <w:p>
            <w:pPr>
              <w:widowControl/>
              <w:adjustRightInd w:val="0"/>
              <w:snapToGrid w:val="0"/>
              <w:spacing w:line="240" w:lineRule="auto"/>
              <w:ind w:firstLine="0" w:firstLineChars="0"/>
              <w:jc w:val="center"/>
              <w:rPr>
                <w:b/>
                <w:bCs/>
                <w:kern w:val="0"/>
                <w:sz w:val="21"/>
                <w:szCs w:val="21"/>
              </w:rPr>
            </w:pPr>
          </w:p>
        </w:tc>
        <w:tc>
          <w:tcPr>
            <w:tcW w:w="1029" w:type="dxa"/>
            <w:vAlign w:val="center"/>
          </w:tcPr>
          <w:p>
            <w:pPr>
              <w:widowControl/>
              <w:adjustRightInd w:val="0"/>
              <w:snapToGrid w:val="0"/>
              <w:spacing w:line="240" w:lineRule="auto"/>
              <w:ind w:firstLine="0" w:firstLineChars="0"/>
              <w:jc w:val="center"/>
              <w:rPr>
                <w:b/>
                <w:bCs/>
                <w:kern w:val="0"/>
                <w:sz w:val="21"/>
                <w:szCs w:val="21"/>
              </w:rPr>
            </w:pPr>
          </w:p>
        </w:tc>
        <w:tc>
          <w:tcPr>
            <w:tcW w:w="955"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4998.97</w:t>
            </w:r>
          </w:p>
        </w:tc>
        <w:tc>
          <w:tcPr>
            <w:tcW w:w="930" w:type="dxa"/>
            <w:vAlign w:val="center"/>
          </w:tcPr>
          <w:p>
            <w:pPr>
              <w:widowControl/>
              <w:adjustRightInd w:val="0"/>
              <w:snapToGrid w:val="0"/>
              <w:spacing w:line="240" w:lineRule="auto"/>
              <w:ind w:firstLine="0" w:firstLineChars="0"/>
              <w:jc w:val="center"/>
              <w:rPr>
                <w:b/>
                <w:bCs/>
                <w:kern w:val="0"/>
                <w:sz w:val="21"/>
                <w:szCs w:val="21"/>
              </w:rPr>
            </w:pPr>
          </w:p>
        </w:tc>
        <w:tc>
          <w:tcPr>
            <w:tcW w:w="111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4998.97</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0</w:t>
            </w:r>
          </w:p>
        </w:tc>
        <w:tc>
          <w:tcPr>
            <w:tcW w:w="1050"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4998.97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kern w:val="0"/>
                <w:sz w:val="21"/>
                <w:szCs w:val="21"/>
              </w:rPr>
            </w:pPr>
            <w:r>
              <w:rPr>
                <w:sz w:val="21"/>
                <w:szCs w:val="21"/>
              </w:rPr>
              <w:t>主体已列入临时措施</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0</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0</w:t>
            </w: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kern w:val="0"/>
                <w:sz w:val="21"/>
                <w:szCs w:val="21"/>
              </w:rPr>
            </w:pPr>
            <w:r>
              <w:rPr>
                <w:kern w:val="0"/>
                <w:sz w:val="21"/>
                <w:szCs w:val="21"/>
              </w:rPr>
              <w:t>报告新增临时措施</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4998.97</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4998.97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一</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近期建设区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1949.95</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2328"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工业用地区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676.08</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2</w:t>
            </w:r>
          </w:p>
        </w:tc>
        <w:tc>
          <w:tcPr>
            <w:tcW w:w="2328" w:type="dxa"/>
            <w:vAlign w:val="center"/>
          </w:tcPr>
          <w:p>
            <w:pPr>
              <w:pStyle w:val="53"/>
              <w:jc w:val="center"/>
              <w:rPr>
                <w:rFonts w:eastAsia="仿宋_GB2312"/>
                <w:kern w:val="0"/>
              </w:rPr>
            </w:pPr>
            <w:r>
              <w:rPr>
                <w:rFonts w:eastAsia="仿宋_GB2312"/>
              </w:rPr>
              <w:t>道路与交通设施用地区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1098.05</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3</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公用设施用地区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151.84</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4</w:t>
            </w:r>
          </w:p>
        </w:tc>
        <w:tc>
          <w:tcPr>
            <w:tcW w:w="2328" w:type="dxa"/>
            <w:vAlign w:val="center"/>
          </w:tcPr>
          <w:p>
            <w:pPr>
              <w:tabs>
                <w:tab w:val="left" w:pos="1050"/>
              </w:tabs>
              <w:spacing w:line="240" w:lineRule="auto"/>
              <w:ind w:firstLine="0" w:firstLineChars="0"/>
              <w:jc w:val="center"/>
              <w:rPr>
                <w:kern w:val="0"/>
                <w:sz w:val="21"/>
                <w:szCs w:val="21"/>
              </w:rPr>
            </w:pPr>
            <w:r>
              <w:rPr>
                <w:sz w:val="21"/>
                <w:szCs w:val="21"/>
              </w:rPr>
              <w:t>绿地与广场用地区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23.98</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二</w:t>
            </w:r>
          </w:p>
        </w:tc>
        <w:tc>
          <w:tcPr>
            <w:tcW w:w="2328" w:type="dxa"/>
            <w:vAlign w:val="center"/>
          </w:tcPr>
          <w:p>
            <w:pPr>
              <w:tabs>
                <w:tab w:val="left" w:pos="1050"/>
              </w:tabs>
              <w:spacing w:line="240" w:lineRule="auto"/>
              <w:ind w:firstLine="0" w:firstLineChars="0"/>
              <w:jc w:val="center"/>
              <w:rPr>
                <w:sz w:val="21"/>
                <w:szCs w:val="21"/>
              </w:rPr>
            </w:pPr>
            <w:r>
              <w:rPr>
                <w:sz w:val="21"/>
                <w:szCs w:val="21"/>
              </w:rPr>
              <w:t>临时堆场区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2817.01</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1</w:t>
            </w:r>
          </w:p>
        </w:tc>
        <w:tc>
          <w:tcPr>
            <w:tcW w:w="2328" w:type="dxa"/>
            <w:vAlign w:val="center"/>
          </w:tcPr>
          <w:p>
            <w:pPr>
              <w:tabs>
                <w:tab w:val="left" w:pos="1050"/>
              </w:tabs>
              <w:spacing w:line="240" w:lineRule="auto"/>
              <w:ind w:firstLine="0" w:firstLineChars="0"/>
              <w:jc w:val="center"/>
              <w:rPr>
                <w:sz w:val="21"/>
                <w:szCs w:val="21"/>
              </w:rPr>
            </w:pPr>
            <w:r>
              <w:rPr>
                <w:sz w:val="21"/>
                <w:szCs w:val="21"/>
              </w:rPr>
              <w:t>表土中转场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1694.71</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2</w:t>
            </w:r>
          </w:p>
        </w:tc>
        <w:tc>
          <w:tcPr>
            <w:tcW w:w="2328" w:type="dxa"/>
            <w:vAlign w:val="center"/>
          </w:tcPr>
          <w:p>
            <w:pPr>
              <w:tabs>
                <w:tab w:val="left" w:pos="1050"/>
              </w:tabs>
              <w:spacing w:line="240" w:lineRule="auto"/>
              <w:ind w:firstLine="0" w:firstLineChars="0"/>
              <w:jc w:val="center"/>
              <w:rPr>
                <w:sz w:val="21"/>
                <w:szCs w:val="21"/>
              </w:rPr>
            </w:pPr>
            <w:r>
              <w:rPr>
                <w:sz w:val="21"/>
                <w:szCs w:val="21"/>
              </w:rPr>
              <w:t>土石方中转场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1122.30</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65" w:hRule="atLeast"/>
        </w:trPr>
        <w:tc>
          <w:tcPr>
            <w:tcW w:w="474" w:type="dxa"/>
            <w:gridSpan w:val="2"/>
            <w:vAlign w:val="center"/>
          </w:tcPr>
          <w:p>
            <w:pPr>
              <w:widowControl/>
              <w:adjustRightInd w:val="0"/>
              <w:snapToGrid w:val="0"/>
              <w:spacing w:line="240" w:lineRule="auto"/>
              <w:ind w:firstLine="0" w:firstLineChars="0"/>
              <w:jc w:val="center"/>
              <w:rPr>
                <w:kern w:val="0"/>
                <w:sz w:val="21"/>
                <w:szCs w:val="21"/>
              </w:rPr>
            </w:pPr>
            <w:r>
              <w:rPr>
                <w:kern w:val="0"/>
                <w:sz w:val="21"/>
                <w:szCs w:val="21"/>
              </w:rPr>
              <w:t>三</w:t>
            </w:r>
          </w:p>
        </w:tc>
        <w:tc>
          <w:tcPr>
            <w:tcW w:w="2328" w:type="dxa"/>
            <w:vAlign w:val="center"/>
          </w:tcPr>
          <w:p>
            <w:pPr>
              <w:tabs>
                <w:tab w:val="left" w:pos="1050"/>
              </w:tabs>
              <w:spacing w:line="240" w:lineRule="auto"/>
              <w:ind w:firstLine="0" w:firstLineChars="0"/>
              <w:jc w:val="center"/>
              <w:rPr>
                <w:sz w:val="21"/>
                <w:szCs w:val="21"/>
              </w:rPr>
            </w:pPr>
            <w:r>
              <w:rPr>
                <w:sz w:val="21"/>
                <w:szCs w:val="21"/>
              </w:rPr>
              <w:t>施工生产生活区</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r>
              <w:rPr>
                <w:kern w:val="0"/>
                <w:sz w:val="21"/>
                <w:szCs w:val="21"/>
              </w:rPr>
              <w:t>232.01</w:t>
            </w: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widowControl/>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2802" w:type="dxa"/>
            <w:gridSpan w:val="3"/>
            <w:vAlign w:val="center"/>
          </w:tcPr>
          <w:p>
            <w:pPr>
              <w:widowControl/>
              <w:adjustRightInd w:val="0"/>
              <w:snapToGrid w:val="0"/>
              <w:spacing w:line="240" w:lineRule="auto"/>
              <w:ind w:firstLine="0" w:firstLineChars="0"/>
              <w:jc w:val="center"/>
              <w:rPr>
                <w:kern w:val="0"/>
                <w:sz w:val="21"/>
                <w:szCs w:val="21"/>
              </w:rPr>
            </w:pPr>
            <w:r>
              <w:rPr>
                <w:b/>
                <w:bCs/>
                <w:kern w:val="0"/>
                <w:sz w:val="21"/>
                <w:szCs w:val="21"/>
              </w:rPr>
              <w:t>第一至三部分合计</w:t>
            </w:r>
          </w:p>
        </w:tc>
        <w:tc>
          <w:tcPr>
            <w:tcW w:w="914"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4316.32</w:t>
            </w:r>
          </w:p>
        </w:tc>
        <w:tc>
          <w:tcPr>
            <w:tcW w:w="1029"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7991.79</w:t>
            </w:r>
          </w:p>
        </w:tc>
        <w:tc>
          <w:tcPr>
            <w:tcW w:w="955"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4998.97</w:t>
            </w:r>
          </w:p>
        </w:tc>
        <w:tc>
          <w:tcPr>
            <w:tcW w:w="930"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0</w:t>
            </w:r>
          </w:p>
        </w:tc>
        <w:tc>
          <w:tcPr>
            <w:tcW w:w="1118"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17307.08</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9349.52</w:t>
            </w:r>
          </w:p>
        </w:tc>
        <w:tc>
          <w:tcPr>
            <w:tcW w:w="1050"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7957.56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第四部分独立费用</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rFonts w:hint="eastAsia"/>
                <w:b/>
                <w:bCs/>
                <w:sz w:val="21"/>
                <w:szCs w:val="21"/>
              </w:rPr>
              <w:t>669.35</w:t>
            </w:r>
          </w:p>
        </w:tc>
        <w:tc>
          <w:tcPr>
            <w:tcW w:w="1118" w:type="dxa"/>
            <w:vAlign w:val="center"/>
          </w:tcPr>
          <w:p>
            <w:pPr>
              <w:widowControl/>
              <w:adjustRightInd w:val="0"/>
              <w:snapToGrid w:val="0"/>
              <w:spacing w:line="240" w:lineRule="auto"/>
              <w:ind w:firstLine="0" w:firstLineChars="0"/>
              <w:jc w:val="center"/>
              <w:rPr>
                <w:b/>
                <w:bCs/>
                <w:kern w:val="0"/>
                <w:sz w:val="21"/>
                <w:szCs w:val="21"/>
              </w:rPr>
            </w:pPr>
            <w:r>
              <w:rPr>
                <w:rFonts w:hint="eastAsia"/>
                <w:b/>
                <w:bCs/>
                <w:sz w:val="21"/>
                <w:szCs w:val="21"/>
              </w:rPr>
              <w:t>669.35</w:t>
            </w:r>
          </w:p>
        </w:tc>
        <w:tc>
          <w:tcPr>
            <w:tcW w:w="1077" w:type="dxa"/>
            <w:vAlign w:val="center"/>
          </w:tcPr>
          <w:p>
            <w:pPr>
              <w:widowControl/>
              <w:adjustRightInd w:val="0"/>
              <w:snapToGrid w:val="0"/>
              <w:spacing w:line="240" w:lineRule="auto"/>
              <w:ind w:firstLine="0" w:firstLineChars="0"/>
              <w:jc w:val="center"/>
              <w:rPr>
                <w:b/>
                <w:bCs/>
                <w:kern w:val="0"/>
                <w:sz w:val="21"/>
                <w:szCs w:val="21"/>
              </w:rPr>
            </w:pPr>
          </w:p>
        </w:tc>
        <w:tc>
          <w:tcPr>
            <w:tcW w:w="1050" w:type="dxa"/>
            <w:vAlign w:val="center"/>
          </w:tcPr>
          <w:p>
            <w:pPr>
              <w:spacing w:line="240" w:lineRule="auto"/>
              <w:ind w:firstLine="0" w:firstLineChars="0"/>
              <w:jc w:val="center"/>
              <w:rPr>
                <w:kern w:val="0"/>
                <w:sz w:val="21"/>
                <w:szCs w:val="21"/>
              </w:rPr>
            </w:pPr>
            <w:r>
              <w:rPr>
                <w:rFonts w:hint="eastAsia"/>
                <w:b/>
                <w:bCs/>
                <w:sz w:val="21"/>
                <w:szCs w:val="21"/>
              </w:rPr>
              <w:t>669.35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74" w:type="dxa"/>
            <w:gridSpan w:val="2"/>
            <w:vAlign w:val="center"/>
          </w:tcPr>
          <w:p>
            <w:pPr>
              <w:spacing w:line="240" w:lineRule="auto"/>
              <w:ind w:firstLine="0" w:firstLineChars="0"/>
              <w:jc w:val="center"/>
              <w:rPr>
                <w:kern w:val="0"/>
                <w:sz w:val="21"/>
                <w:szCs w:val="21"/>
              </w:rPr>
            </w:pPr>
            <w:r>
              <w:rPr>
                <w:sz w:val="21"/>
                <w:szCs w:val="21"/>
              </w:rPr>
              <w:t>1</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建设管理费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rFonts w:hint="eastAsia"/>
                <w:sz w:val="21"/>
                <w:szCs w:val="21"/>
              </w:rPr>
              <w:t>159.15</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74" w:type="dxa"/>
            <w:gridSpan w:val="2"/>
            <w:vAlign w:val="center"/>
          </w:tcPr>
          <w:p>
            <w:pPr>
              <w:spacing w:line="240" w:lineRule="auto"/>
              <w:ind w:firstLine="0" w:firstLineChars="0"/>
              <w:jc w:val="center"/>
              <w:rPr>
                <w:kern w:val="0"/>
                <w:sz w:val="21"/>
                <w:szCs w:val="21"/>
              </w:rPr>
            </w:pPr>
            <w:r>
              <w:rPr>
                <w:sz w:val="21"/>
                <w:szCs w:val="21"/>
              </w:rPr>
              <w:t>2</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科研勘测设计费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sz w:val="21"/>
                <w:szCs w:val="21"/>
              </w:rPr>
              <w:t>49</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474" w:type="dxa"/>
            <w:gridSpan w:val="2"/>
            <w:vAlign w:val="center"/>
          </w:tcPr>
          <w:p>
            <w:pPr>
              <w:spacing w:line="240" w:lineRule="auto"/>
              <w:ind w:firstLine="0" w:firstLineChars="0"/>
              <w:jc w:val="center"/>
              <w:rPr>
                <w:kern w:val="0"/>
                <w:sz w:val="21"/>
                <w:szCs w:val="21"/>
              </w:rPr>
            </w:pPr>
            <w:r>
              <w:rPr>
                <w:sz w:val="21"/>
                <w:szCs w:val="21"/>
              </w:rPr>
              <w:t>3</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水土保持监理费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sz w:val="21"/>
                <w:szCs w:val="21"/>
              </w:rPr>
              <w:t>40</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15" w:hRule="atLeast"/>
        </w:trPr>
        <w:tc>
          <w:tcPr>
            <w:tcW w:w="474" w:type="dxa"/>
            <w:gridSpan w:val="2"/>
            <w:vAlign w:val="center"/>
          </w:tcPr>
          <w:p>
            <w:pPr>
              <w:spacing w:line="240" w:lineRule="auto"/>
              <w:ind w:firstLine="0" w:firstLineChars="0"/>
              <w:jc w:val="center"/>
              <w:rPr>
                <w:kern w:val="0"/>
                <w:sz w:val="21"/>
                <w:szCs w:val="21"/>
              </w:rPr>
            </w:pPr>
            <w:r>
              <w:rPr>
                <w:sz w:val="21"/>
                <w:szCs w:val="21"/>
              </w:rPr>
              <w:t>4</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水土保持监测费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sz w:val="21"/>
                <w:szCs w:val="21"/>
              </w:rPr>
              <w:t>372</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spacing w:line="240" w:lineRule="auto"/>
              <w:ind w:firstLine="0" w:firstLineChars="0"/>
              <w:jc w:val="center"/>
              <w:rPr>
                <w:kern w:val="0"/>
                <w:sz w:val="21"/>
                <w:szCs w:val="21"/>
              </w:rPr>
            </w:pPr>
            <w:r>
              <w:rPr>
                <w:sz w:val="21"/>
                <w:szCs w:val="21"/>
              </w:rPr>
              <w:t>5</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水土保持设施验收费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sz w:val="21"/>
                <w:szCs w:val="21"/>
              </w:rPr>
              <w:t>39.20</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spacing w:line="240" w:lineRule="auto"/>
              <w:ind w:firstLine="0" w:firstLineChars="0"/>
              <w:jc w:val="center"/>
              <w:rPr>
                <w:kern w:val="0"/>
                <w:sz w:val="21"/>
                <w:szCs w:val="21"/>
              </w:rPr>
            </w:pPr>
            <w:r>
              <w:rPr>
                <w:sz w:val="21"/>
                <w:szCs w:val="21"/>
              </w:rPr>
              <w:t>6</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招标代理服务费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sz w:val="21"/>
                <w:szCs w:val="21"/>
              </w:rPr>
              <w:t>10</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spacing w:line="240" w:lineRule="auto"/>
              <w:ind w:firstLine="0" w:firstLineChars="0"/>
              <w:jc w:val="center"/>
              <w:rPr>
                <w:kern w:val="0"/>
                <w:sz w:val="21"/>
                <w:szCs w:val="21"/>
              </w:rPr>
            </w:pPr>
            <w:r>
              <w:rPr>
                <w:sz w:val="21"/>
                <w:szCs w:val="21"/>
              </w:rPr>
              <w:t>7</w:t>
            </w:r>
          </w:p>
        </w:tc>
        <w:tc>
          <w:tcPr>
            <w:tcW w:w="2328" w:type="dxa"/>
            <w:vAlign w:val="center"/>
          </w:tcPr>
          <w:p>
            <w:pPr>
              <w:adjustRightInd w:val="0"/>
              <w:snapToGrid w:val="0"/>
              <w:spacing w:line="240" w:lineRule="auto"/>
              <w:ind w:firstLine="0" w:firstLineChars="0"/>
              <w:jc w:val="center"/>
              <w:rPr>
                <w:kern w:val="0"/>
                <w:sz w:val="21"/>
                <w:szCs w:val="21"/>
              </w:rPr>
            </w:pPr>
            <w:r>
              <w:rPr>
                <w:kern w:val="0"/>
                <w:sz w:val="21"/>
                <w:szCs w:val="21"/>
              </w:rPr>
              <w:t>经济技术咨询费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spacing w:line="240" w:lineRule="auto"/>
              <w:ind w:firstLine="0" w:firstLineChars="0"/>
              <w:jc w:val="center"/>
              <w:rPr>
                <w:kern w:val="0"/>
                <w:sz w:val="21"/>
                <w:szCs w:val="21"/>
              </w:rPr>
            </w:pPr>
            <w:r>
              <w:rPr>
                <w:kern w:val="0"/>
                <w:sz w:val="21"/>
                <w:szCs w:val="21"/>
              </w:rPr>
              <w:t>0</w:t>
            </w:r>
          </w:p>
        </w:tc>
        <w:tc>
          <w:tcPr>
            <w:tcW w:w="1118" w:type="dxa"/>
            <w:vAlign w:val="center"/>
          </w:tcPr>
          <w:p>
            <w:pPr>
              <w:spacing w:line="240" w:lineRule="auto"/>
              <w:ind w:firstLine="0" w:firstLineChars="0"/>
              <w:jc w:val="center"/>
              <w:rPr>
                <w:kern w:val="0"/>
                <w:sz w:val="21"/>
                <w:szCs w:val="21"/>
              </w:rPr>
            </w:pPr>
          </w:p>
        </w:tc>
        <w:tc>
          <w:tcPr>
            <w:tcW w:w="1077" w:type="dxa"/>
            <w:vAlign w:val="center"/>
          </w:tcPr>
          <w:p>
            <w:pPr>
              <w:widowControl/>
              <w:adjustRightInd w:val="0"/>
              <w:snapToGrid w:val="0"/>
              <w:spacing w:line="240" w:lineRule="auto"/>
              <w:ind w:firstLine="0" w:firstLineChars="0"/>
              <w:jc w:val="center"/>
              <w:rPr>
                <w:kern w:val="0"/>
                <w:sz w:val="21"/>
                <w:szCs w:val="21"/>
              </w:rPr>
            </w:pPr>
          </w:p>
        </w:tc>
        <w:tc>
          <w:tcPr>
            <w:tcW w:w="1050" w:type="dxa"/>
            <w:vAlign w:val="center"/>
          </w:tcPr>
          <w:p>
            <w:pPr>
              <w:adjustRightInd w:val="0"/>
              <w:snapToGrid w:val="0"/>
              <w:spacing w:line="240" w:lineRule="auto"/>
              <w:ind w:firstLine="0" w:firstLineChars="0"/>
              <w:jc w:val="center"/>
              <w:rPr>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第一至四部分合计</w:t>
            </w:r>
          </w:p>
        </w:tc>
        <w:tc>
          <w:tcPr>
            <w:tcW w:w="914"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4316.32</w:t>
            </w:r>
          </w:p>
        </w:tc>
        <w:tc>
          <w:tcPr>
            <w:tcW w:w="1029"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7991.79</w:t>
            </w:r>
          </w:p>
        </w:tc>
        <w:tc>
          <w:tcPr>
            <w:tcW w:w="955"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4998.97</w:t>
            </w:r>
          </w:p>
        </w:tc>
        <w:tc>
          <w:tcPr>
            <w:tcW w:w="930" w:type="dxa"/>
            <w:vAlign w:val="center"/>
          </w:tcPr>
          <w:p>
            <w:pPr>
              <w:widowControl/>
              <w:adjustRightInd w:val="0"/>
              <w:snapToGrid w:val="0"/>
              <w:spacing w:line="240" w:lineRule="auto"/>
              <w:ind w:firstLine="0" w:firstLineChars="0"/>
              <w:jc w:val="center"/>
              <w:rPr>
                <w:b/>
                <w:bCs/>
                <w:kern w:val="0"/>
                <w:sz w:val="21"/>
                <w:szCs w:val="21"/>
              </w:rPr>
            </w:pPr>
            <w:r>
              <w:rPr>
                <w:rFonts w:hint="eastAsia"/>
                <w:b/>
                <w:bCs/>
                <w:sz w:val="21"/>
                <w:szCs w:val="21"/>
              </w:rPr>
              <w:t>669.35</w:t>
            </w:r>
          </w:p>
        </w:tc>
        <w:tc>
          <w:tcPr>
            <w:tcW w:w="1118" w:type="dxa"/>
            <w:vAlign w:val="center"/>
          </w:tcPr>
          <w:p>
            <w:pPr>
              <w:widowControl/>
              <w:adjustRightInd w:val="0"/>
              <w:snapToGrid w:val="0"/>
              <w:spacing w:line="240" w:lineRule="auto"/>
              <w:ind w:firstLine="0" w:firstLineChars="0"/>
              <w:jc w:val="center"/>
              <w:rPr>
                <w:b/>
                <w:bCs/>
                <w:kern w:val="0"/>
                <w:sz w:val="21"/>
                <w:szCs w:val="21"/>
              </w:rPr>
            </w:pPr>
            <w:r>
              <w:rPr>
                <w:rFonts w:hint="eastAsia"/>
                <w:b/>
                <w:bCs/>
                <w:sz w:val="21"/>
                <w:szCs w:val="21"/>
              </w:rPr>
              <w:t>17976.43</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9349.52</w:t>
            </w:r>
          </w:p>
        </w:tc>
        <w:tc>
          <w:tcPr>
            <w:tcW w:w="1050"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8626.91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74" w:type="dxa"/>
            <w:gridSpan w:val="2"/>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I</w:t>
            </w:r>
          </w:p>
        </w:tc>
        <w:tc>
          <w:tcPr>
            <w:tcW w:w="232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基本预备费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hint="eastAsia" w:eastAsia="仿宋_GB2312"/>
                <w:kern w:val="0"/>
                <w:sz w:val="21"/>
                <w:szCs w:val="21"/>
              </w:rPr>
              <w:t>862.69</w:t>
            </w:r>
          </w:p>
        </w:tc>
        <w:tc>
          <w:tcPr>
            <w:tcW w:w="1077" w:type="dxa"/>
            <w:vAlign w:val="center"/>
          </w:tcPr>
          <w:p>
            <w:pPr>
              <w:widowControl/>
              <w:adjustRightInd w:val="0"/>
              <w:snapToGrid w:val="0"/>
              <w:spacing w:line="240" w:lineRule="auto"/>
              <w:ind w:firstLine="0" w:firstLineChars="0"/>
              <w:jc w:val="center"/>
              <w:rPr>
                <w:b/>
                <w:bCs/>
                <w:kern w:val="0"/>
                <w:sz w:val="21"/>
                <w:szCs w:val="21"/>
              </w:rPr>
            </w:pPr>
          </w:p>
        </w:tc>
        <w:tc>
          <w:tcPr>
            <w:tcW w:w="1050" w:type="dxa"/>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hint="eastAsia" w:eastAsia="仿宋_GB2312"/>
                <w:kern w:val="0"/>
                <w:sz w:val="21"/>
                <w:szCs w:val="21"/>
              </w:rPr>
              <w:t>862.69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74" w:type="dxa"/>
            <w:gridSpan w:val="2"/>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II</w:t>
            </w:r>
          </w:p>
        </w:tc>
        <w:tc>
          <w:tcPr>
            <w:tcW w:w="232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价差预备费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eastAsia="仿宋_GB2312"/>
                <w:kern w:val="0"/>
                <w:sz w:val="21"/>
                <w:szCs w:val="21"/>
              </w:rPr>
              <w:t>0</w:t>
            </w:r>
          </w:p>
        </w:tc>
        <w:tc>
          <w:tcPr>
            <w:tcW w:w="1077" w:type="dxa"/>
            <w:vAlign w:val="center"/>
          </w:tcPr>
          <w:p>
            <w:pPr>
              <w:widowControl/>
              <w:adjustRightInd w:val="0"/>
              <w:snapToGrid w:val="0"/>
              <w:spacing w:line="240" w:lineRule="auto"/>
              <w:ind w:firstLine="0" w:firstLineChars="0"/>
              <w:jc w:val="center"/>
              <w:rPr>
                <w:b/>
                <w:bCs/>
                <w:kern w:val="0"/>
                <w:sz w:val="21"/>
                <w:szCs w:val="21"/>
              </w:rPr>
            </w:pPr>
          </w:p>
        </w:tc>
        <w:tc>
          <w:tcPr>
            <w:tcW w:w="1050" w:type="dxa"/>
            <w:vAlign w:val="center"/>
          </w:tcPr>
          <w:p>
            <w:pPr>
              <w:pStyle w:val="8"/>
              <w:tabs>
                <w:tab w:val="left" w:pos="1008"/>
              </w:tabs>
              <w:adjustRightInd w:val="0"/>
              <w:snapToGrid w:val="0"/>
              <w:spacing w:line="240" w:lineRule="auto"/>
              <w:jc w:val="center"/>
              <w:outlineLvl w:val="4"/>
              <w:rPr>
                <w:rFonts w:eastAsia="仿宋_GB2312"/>
                <w:kern w:val="0"/>
                <w:sz w:val="21"/>
                <w:szCs w:val="21"/>
              </w:rPr>
            </w:pPr>
            <w:r>
              <w:rPr>
                <w:rFonts w:eastAsia="仿宋_GB2312"/>
                <w:kern w:val="0"/>
                <w:sz w:val="21"/>
                <w:szCs w:val="21"/>
              </w:rPr>
              <w:t>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474" w:type="dxa"/>
            <w:gridSpan w:val="2"/>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III</w:t>
            </w:r>
          </w:p>
        </w:tc>
        <w:tc>
          <w:tcPr>
            <w:tcW w:w="232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水土保持补偿费</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1200.082</w:t>
            </w:r>
          </w:p>
        </w:tc>
        <w:tc>
          <w:tcPr>
            <w:tcW w:w="1077" w:type="dxa"/>
            <w:vAlign w:val="center"/>
          </w:tcPr>
          <w:p>
            <w:pPr>
              <w:widowControl/>
              <w:adjustRightInd w:val="0"/>
              <w:snapToGrid w:val="0"/>
              <w:spacing w:line="240" w:lineRule="auto"/>
              <w:ind w:firstLine="0" w:firstLineChars="0"/>
              <w:jc w:val="center"/>
              <w:rPr>
                <w:b/>
                <w:bCs/>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1200.082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74" w:type="dxa"/>
            <w:gridSpan w:val="2"/>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IV</w:t>
            </w:r>
          </w:p>
        </w:tc>
        <w:tc>
          <w:tcPr>
            <w:tcW w:w="232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水土保持工程投资合计</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10689.68</w:t>
            </w:r>
          </w:p>
        </w:tc>
        <w:tc>
          <w:tcPr>
            <w:tcW w:w="1077" w:type="dxa"/>
            <w:vAlign w:val="center"/>
          </w:tcPr>
          <w:p>
            <w:pPr>
              <w:widowControl/>
              <w:adjustRightInd w:val="0"/>
              <w:snapToGrid w:val="0"/>
              <w:spacing w:line="240" w:lineRule="auto"/>
              <w:ind w:firstLine="0" w:firstLineChars="0"/>
              <w:jc w:val="center"/>
              <w:rPr>
                <w:b/>
                <w:bCs/>
                <w:kern w:val="0"/>
                <w:sz w:val="21"/>
                <w:szCs w:val="21"/>
              </w:rPr>
            </w:pPr>
          </w:p>
        </w:tc>
        <w:tc>
          <w:tcPr>
            <w:tcW w:w="1050"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10689.68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74" w:type="dxa"/>
            <w:gridSpan w:val="2"/>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VI</w:t>
            </w:r>
          </w:p>
        </w:tc>
        <w:tc>
          <w:tcPr>
            <w:tcW w:w="2328"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主体已列水土保持投资</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kern w:val="0"/>
                <w:sz w:val="21"/>
                <w:szCs w:val="21"/>
              </w:rPr>
            </w:pPr>
            <w:r>
              <w:rPr>
                <w:b/>
                <w:bCs/>
                <w:kern w:val="0"/>
                <w:sz w:val="21"/>
                <w:szCs w:val="21"/>
              </w:rPr>
              <w:t>9349.52</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9349.52</w:t>
            </w:r>
          </w:p>
        </w:tc>
        <w:tc>
          <w:tcPr>
            <w:tcW w:w="1050" w:type="dxa"/>
            <w:vAlign w:val="center"/>
          </w:tcPr>
          <w:p>
            <w:pPr>
              <w:widowControl/>
              <w:adjustRightInd w:val="0"/>
              <w:snapToGrid w:val="0"/>
              <w:spacing w:line="240" w:lineRule="auto"/>
              <w:ind w:firstLine="0" w:firstLineChars="0"/>
              <w:jc w:val="center"/>
              <w:rPr>
                <w:b/>
                <w:bCs/>
                <w:kern w:val="0"/>
                <w:sz w:val="21"/>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70" w:hRule="atLeast"/>
        </w:trPr>
        <w:tc>
          <w:tcPr>
            <w:tcW w:w="2802" w:type="dxa"/>
            <w:gridSpan w:val="3"/>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合计</w:t>
            </w:r>
          </w:p>
        </w:tc>
        <w:tc>
          <w:tcPr>
            <w:tcW w:w="914" w:type="dxa"/>
            <w:vAlign w:val="center"/>
          </w:tcPr>
          <w:p>
            <w:pPr>
              <w:widowControl/>
              <w:adjustRightInd w:val="0"/>
              <w:snapToGrid w:val="0"/>
              <w:spacing w:line="240" w:lineRule="auto"/>
              <w:ind w:firstLine="0" w:firstLineChars="0"/>
              <w:jc w:val="center"/>
              <w:rPr>
                <w:kern w:val="0"/>
                <w:sz w:val="21"/>
                <w:szCs w:val="21"/>
              </w:rPr>
            </w:pPr>
          </w:p>
        </w:tc>
        <w:tc>
          <w:tcPr>
            <w:tcW w:w="1029" w:type="dxa"/>
            <w:vAlign w:val="center"/>
          </w:tcPr>
          <w:p>
            <w:pPr>
              <w:widowControl/>
              <w:adjustRightInd w:val="0"/>
              <w:snapToGrid w:val="0"/>
              <w:spacing w:line="240" w:lineRule="auto"/>
              <w:ind w:firstLine="0" w:firstLineChars="0"/>
              <w:jc w:val="center"/>
              <w:rPr>
                <w:kern w:val="0"/>
                <w:sz w:val="21"/>
                <w:szCs w:val="21"/>
              </w:rPr>
            </w:pPr>
          </w:p>
        </w:tc>
        <w:tc>
          <w:tcPr>
            <w:tcW w:w="955" w:type="dxa"/>
            <w:vAlign w:val="center"/>
          </w:tcPr>
          <w:p>
            <w:pPr>
              <w:widowControl/>
              <w:adjustRightInd w:val="0"/>
              <w:snapToGrid w:val="0"/>
              <w:spacing w:line="240" w:lineRule="auto"/>
              <w:ind w:firstLine="0" w:firstLineChars="0"/>
              <w:jc w:val="center"/>
              <w:rPr>
                <w:kern w:val="0"/>
                <w:sz w:val="21"/>
                <w:szCs w:val="21"/>
              </w:rPr>
            </w:pPr>
          </w:p>
        </w:tc>
        <w:tc>
          <w:tcPr>
            <w:tcW w:w="930" w:type="dxa"/>
            <w:vAlign w:val="center"/>
          </w:tcPr>
          <w:p>
            <w:pPr>
              <w:widowControl/>
              <w:adjustRightInd w:val="0"/>
              <w:snapToGrid w:val="0"/>
              <w:spacing w:line="240" w:lineRule="auto"/>
              <w:ind w:firstLine="0" w:firstLineChars="0"/>
              <w:jc w:val="center"/>
              <w:rPr>
                <w:kern w:val="0"/>
                <w:sz w:val="21"/>
                <w:szCs w:val="21"/>
              </w:rPr>
            </w:pPr>
          </w:p>
        </w:tc>
        <w:tc>
          <w:tcPr>
            <w:tcW w:w="1118"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20039.20</w:t>
            </w:r>
          </w:p>
        </w:tc>
        <w:tc>
          <w:tcPr>
            <w:tcW w:w="1077" w:type="dxa"/>
            <w:vAlign w:val="center"/>
          </w:tcPr>
          <w:p>
            <w:pPr>
              <w:widowControl/>
              <w:adjustRightInd w:val="0"/>
              <w:snapToGrid w:val="0"/>
              <w:spacing w:line="240" w:lineRule="auto"/>
              <w:ind w:firstLine="0" w:firstLineChars="0"/>
              <w:jc w:val="center"/>
              <w:rPr>
                <w:b/>
                <w:bCs/>
                <w:kern w:val="0"/>
                <w:sz w:val="21"/>
                <w:szCs w:val="21"/>
              </w:rPr>
            </w:pPr>
            <w:r>
              <w:rPr>
                <w:b/>
                <w:bCs/>
                <w:kern w:val="0"/>
                <w:sz w:val="21"/>
                <w:szCs w:val="21"/>
              </w:rPr>
              <w:t>9349.52</w:t>
            </w:r>
          </w:p>
        </w:tc>
        <w:tc>
          <w:tcPr>
            <w:tcW w:w="1050" w:type="dxa"/>
            <w:vAlign w:val="center"/>
          </w:tcPr>
          <w:p>
            <w:pPr>
              <w:widowControl/>
              <w:adjustRightInd w:val="0"/>
              <w:snapToGrid w:val="0"/>
              <w:spacing w:line="240" w:lineRule="auto"/>
              <w:ind w:firstLine="0" w:firstLineChars="0"/>
              <w:jc w:val="center"/>
              <w:rPr>
                <w:b/>
                <w:bCs/>
                <w:kern w:val="0"/>
                <w:sz w:val="21"/>
                <w:szCs w:val="21"/>
              </w:rPr>
            </w:pPr>
            <w:r>
              <w:rPr>
                <w:rFonts w:hint="eastAsia"/>
                <w:b/>
                <w:bCs/>
                <w:kern w:val="0"/>
                <w:sz w:val="21"/>
                <w:szCs w:val="21"/>
              </w:rPr>
              <w:t>10689.68</w:t>
            </w:r>
          </w:p>
        </w:tc>
      </w:tr>
    </w:tbl>
    <w:p>
      <w:pPr>
        <w:adjustRightInd w:val="0"/>
        <w:snapToGrid w:val="0"/>
        <w:spacing w:beforeLines="50"/>
        <w:ind w:firstLine="0" w:firstLineChars="0"/>
        <w:jc w:val="center"/>
        <w:rPr>
          <w:szCs w:val="24"/>
        </w:rPr>
      </w:pPr>
      <w:r>
        <w:rPr>
          <w:b/>
          <w:bCs/>
          <w:szCs w:val="24"/>
        </w:rPr>
        <w:br w:type="page"/>
      </w:r>
      <w:r>
        <w:rPr>
          <w:b/>
          <w:bCs/>
          <w:szCs w:val="24"/>
        </w:rPr>
        <w:t>表7.1-8新增水土保持工程措施投资估算表</w:t>
      </w:r>
    </w:p>
    <w:tbl>
      <w:tblPr>
        <w:tblStyle w:val="110"/>
        <w:tblW w:w="9289"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859"/>
        <w:gridCol w:w="3030"/>
        <w:gridCol w:w="764"/>
        <w:gridCol w:w="1493"/>
        <w:gridCol w:w="1635"/>
        <w:gridCol w:w="150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kern w:val="0"/>
                <w:sz w:val="21"/>
                <w:szCs w:val="21"/>
              </w:rPr>
            </w:pPr>
            <w:r>
              <w:rPr>
                <w:b/>
                <w:kern w:val="0"/>
                <w:sz w:val="21"/>
                <w:szCs w:val="21"/>
              </w:rPr>
              <w:t>序号</w:t>
            </w:r>
          </w:p>
        </w:tc>
        <w:tc>
          <w:tcPr>
            <w:tcW w:w="3030" w:type="dxa"/>
            <w:vAlign w:val="center"/>
          </w:tcPr>
          <w:p>
            <w:pPr>
              <w:spacing w:line="240" w:lineRule="auto"/>
              <w:ind w:firstLine="0" w:firstLineChars="0"/>
              <w:jc w:val="center"/>
              <w:rPr>
                <w:b/>
                <w:kern w:val="0"/>
                <w:sz w:val="21"/>
                <w:szCs w:val="21"/>
              </w:rPr>
            </w:pPr>
            <w:r>
              <w:rPr>
                <w:b/>
                <w:kern w:val="0"/>
                <w:sz w:val="21"/>
                <w:szCs w:val="21"/>
              </w:rPr>
              <w:t>工程或费用名称</w:t>
            </w:r>
          </w:p>
        </w:tc>
        <w:tc>
          <w:tcPr>
            <w:tcW w:w="764" w:type="dxa"/>
            <w:vAlign w:val="center"/>
          </w:tcPr>
          <w:p>
            <w:pPr>
              <w:spacing w:line="240" w:lineRule="auto"/>
              <w:ind w:firstLine="0" w:firstLineChars="0"/>
              <w:jc w:val="center"/>
              <w:rPr>
                <w:b/>
                <w:kern w:val="0"/>
                <w:sz w:val="21"/>
                <w:szCs w:val="21"/>
              </w:rPr>
            </w:pPr>
            <w:r>
              <w:rPr>
                <w:b/>
                <w:kern w:val="0"/>
                <w:sz w:val="21"/>
                <w:szCs w:val="21"/>
              </w:rPr>
              <w:t>单位</w:t>
            </w:r>
          </w:p>
        </w:tc>
        <w:tc>
          <w:tcPr>
            <w:tcW w:w="1493" w:type="dxa"/>
            <w:vAlign w:val="center"/>
          </w:tcPr>
          <w:p>
            <w:pPr>
              <w:spacing w:line="240" w:lineRule="auto"/>
              <w:ind w:firstLine="0" w:firstLineChars="0"/>
              <w:jc w:val="center"/>
              <w:rPr>
                <w:b/>
                <w:kern w:val="0"/>
                <w:sz w:val="21"/>
                <w:szCs w:val="21"/>
              </w:rPr>
            </w:pPr>
            <w:r>
              <w:rPr>
                <w:b/>
                <w:kern w:val="0"/>
                <w:sz w:val="21"/>
                <w:szCs w:val="21"/>
              </w:rPr>
              <w:t>数量</w:t>
            </w:r>
          </w:p>
        </w:tc>
        <w:tc>
          <w:tcPr>
            <w:tcW w:w="1635" w:type="dxa"/>
            <w:vAlign w:val="center"/>
          </w:tcPr>
          <w:p>
            <w:pPr>
              <w:spacing w:line="240" w:lineRule="auto"/>
              <w:ind w:firstLine="0" w:firstLineChars="0"/>
              <w:jc w:val="center"/>
              <w:rPr>
                <w:b/>
                <w:kern w:val="0"/>
                <w:sz w:val="21"/>
                <w:szCs w:val="21"/>
              </w:rPr>
            </w:pPr>
            <w:r>
              <w:rPr>
                <w:b/>
                <w:kern w:val="0"/>
                <w:sz w:val="21"/>
                <w:szCs w:val="21"/>
              </w:rPr>
              <w:t>单价（元）</w:t>
            </w:r>
          </w:p>
        </w:tc>
        <w:tc>
          <w:tcPr>
            <w:tcW w:w="1508" w:type="dxa"/>
            <w:vAlign w:val="center"/>
          </w:tcPr>
          <w:p>
            <w:pPr>
              <w:spacing w:line="240" w:lineRule="auto"/>
              <w:ind w:firstLine="0" w:firstLineChars="0"/>
              <w:jc w:val="center"/>
              <w:rPr>
                <w:b/>
                <w:kern w:val="0"/>
                <w:sz w:val="21"/>
                <w:szCs w:val="21"/>
              </w:rPr>
            </w:pPr>
            <w:r>
              <w:rPr>
                <w:b/>
                <w:kern w:val="0"/>
                <w:sz w:val="21"/>
                <w:szCs w:val="21"/>
              </w:rPr>
              <w:t>合计（万元）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b/>
                <w:bCs/>
                <w:kern w:val="0"/>
                <w:sz w:val="21"/>
                <w:szCs w:val="21"/>
              </w:rPr>
            </w:pPr>
            <w:r>
              <w:rPr>
                <w:b/>
                <w:bCs/>
                <w:kern w:val="0"/>
                <w:sz w:val="21"/>
                <w:szCs w:val="21"/>
              </w:rPr>
              <w:t>第一部分工程措施</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b/>
                <w:bCs/>
                <w:kern w:val="0"/>
                <w:sz w:val="21"/>
                <w:szCs w:val="21"/>
              </w:rPr>
            </w:pPr>
            <w:r>
              <w:rPr>
                <w:rFonts w:hint="eastAsia"/>
                <w:b/>
                <w:bCs/>
                <w:kern w:val="0"/>
                <w:sz w:val="21"/>
                <w:szCs w:val="21"/>
              </w:rPr>
              <w:t>2952.26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bCs/>
                <w:kern w:val="0"/>
                <w:sz w:val="21"/>
                <w:szCs w:val="21"/>
              </w:rPr>
            </w:pPr>
            <w:r>
              <w:rPr>
                <w:b/>
                <w:bCs/>
                <w:kern w:val="0"/>
                <w:sz w:val="21"/>
                <w:szCs w:val="21"/>
              </w:rPr>
              <w:t>一</w:t>
            </w:r>
          </w:p>
        </w:tc>
        <w:tc>
          <w:tcPr>
            <w:tcW w:w="3030" w:type="dxa"/>
            <w:vAlign w:val="center"/>
          </w:tcPr>
          <w:p>
            <w:pPr>
              <w:spacing w:line="240" w:lineRule="auto"/>
              <w:ind w:firstLine="0" w:firstLineChars="0"/>
              <w:jc w:val="center"/>
              <w:rPr>
                <w:b/>
                <w:bCs/>
                <w:kern w:val="0"/>
                <w:sz w:val="21"/>
                <w:szCs w:val="21"/>
              </w:rPr>
            </w:pPr>
            <w:r>
              <w:rPr>
                <w:b/>
                <w:bCs/>
                <w:kern w:val="0"/>
                <w:sz w:val="21"/>
                <w:szCs w:val="21"/>
              </w:rPr>
              <w:t>近期建设区</w:t>
            </w:r>
          </w:p>
        </w:tc>
        <w:tc>
          <w:tcPr>
            <w:tcW w:w="764" w:type="dxa"/>
            <w:vAlign w:val="center"/>
          </w:tcPr>
          <w:p>
            <w:pPr>
              <w:spacing w:line="240" w:lineRule="auto"/>
              <w:ind w:firstLine="0" w:firstLineChars="0"/>
              <w:jc w:val="center"/>
              <w:rPr>
                <w:b/>
                <w:bCs/>
                <w:kern w:val="0"/>
                <w:sz w:val="21"/>
                <w:szCs w:val="21"/>
              </w:rPr>
            </w:pPr>
          </w:p>
        </w:tc>
        <w:tc>
          <w:tcPr>
            <w:tcW w:w="1493" w:type="dxa"/>
            <w:vAlign w:val="center"/>
          </w:tcPr>
          <w:p>
            <w:pPr>
              <w:spacing w:line="240" w:lineRule="auto"/>
              <w:ind w:firstLine="0" w:firstLineChars="0"/>
              <w:jc w:val="center"/>
              <w:rPr>
                <w:b/>
                <w:bCs/>
                <w:kern w:val="0"/>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b/>
                <w:bCs/>
                <w:kern w:val="0"/>
                <w:sz w:val="21"/>
                <w:szCs w:val="21"/>
              </w:rPr>
            </w:pPr>
            <w:r>
              <w:rPr>
                <w:rFonts w:hint="eastAsia"/>
                <w:b/>
                <w:bCs/>
                <w:kern w:val="0"/>
                <w:sz w:val="21"/>
                <w:szCs w:val="21"/>
              </w:rPr>
              <w:t>2952.26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（一）</w:t>
            </w:r>
          </w:p>
        </w:tc>
        <w:tc>
          <w:tcPr>
            <w:tcW w:w="3030" w:type="dxa"/>
            <w:vAlign w:val="center"/>
          </w:tcPr>
          <w:p>
            <w:pPr>
              <w:spacing w:line="240" w:lineRule="auto"/>
              <w:ind w:firstLine="0" w:firstLineChars="0"/>
              <w:jc w:val="center"/>
              <w:rPr>
                <w:kern w:val="0"/>
                <w:sz w:val="21"/>
                <w:szCs w:val="21"/>
              </w:rPr>
            </w:pPr>
            <w:r>
              <w:rPr>
                <w:kern w:val="0"/>
                <w:sz w:val="21"/>
                <w:szCs w:val="21"/>
              </w:rPr>
              <w:t>工业用地区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1565.68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rFonts w:hint="eastAsia"/>
                <w:kern w:val="0"/>
                <w:sz w:val="21"/>
                <w:szCs w:val="21"/>
              </w:rPr>
              <w:t>1</w:t>
            </w:r>
          </w:p>
        </w:tc>
        <w:tc>
          <w:tcPr>
            <w:tcW w:w="3030" w:type="dxa"/>
            <w:vAlign w:val="center"/>
          </w:tcPr>
          <w:p>
            <w:pPr>
              <w:spacing w:line="240" w:lineRule="auto"/>
              <w:ind w:firstLine="0" w:firstLineChars="0"/>
              <w:jc w:val="center"/>
              <w:rPr>
                <w:kern w:val="0"/>
                <w:sz w:val="21"/>
                <w:szCs w:val="21"/>
              </w:rPr>
            </w:pPr>
            <w:r>
              <w:rPr>
                <w:rFonts w:hint="eastAsia"/>
                <w:kern w:val="0"/>
                <w:sz w:val="21"/>
                <w:szCs w:val="21"/>
              </w:rPr>
              <w:t>在建区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476.03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kern w:val="0"/>
                <w:sz w:val="21"/>
                <w:szCs w:val="21"/>
              </w:rPr>
            </w:pPr>
            <w:r>
              <w:rPr>
                <w:b w:val="0"/>
                <w:bCs/>
                <w:sz w:val="21"/>
                <w:szCs w:val="21"/>
              </w:rPr>
              <w:t>表土剥离</w:t>
            </w:r>
          </w:p>
        </w:tc>
        <w:tc>
          <w:tcPr>
            <w:tcW w:w="764" w:type="dxa"/>
            <w:vAlign w:val="center"/>
          </w:tcPr>
          <w:p>
            <w:pPr>
              <w:spacing w:line="240" w:lineRule="auto"/>
              <w:ind w:firstLine="0" w:firstLineChars="0"/>
              <w:jc w:val="center"/>
              <w:rPr>
                <w:kern w:val="0"/>
                <w:sz w:val="21"/>
                <w:szCs w:val="21"/>
              </w:rPr>
            </w:pPr>
            <w:r>
              <w:rPr>
                <w:bCs/>
                <w:sz w:val="21"/>
                <w:szCs w:val="21"/>
              </w:rPr>
              <w:t>万m</w:t>
            </w:r>
            <w:r>
              <w:rPr>
                <w:bCs/>
                <w:sz w:val="21"/>
                <w:szCs w:val="21"/>
                <w:vertAlign w:val="superscript"/>
              </w:rPr>
              <w:t>3</w:t>
            </w:r>
          </w:p>
        </w:tc>
        <w:tc>
          <w:tcPr>
            <w:tcW w:w="1493" w:type="dxa"/>
            <w:vAlign w:val="center"/>
          </w:tcPr>
          <w:p>
            <w:pPr>
              <w:spacing w:line="240" w:lineRule="auto"/>
              <w:ind w:firstLine="0" w:firstLineChars="0"/>
              <w:jc w:val="center"/>
              <w:rPr>
                <w:kern w:val="0"/>
                <w:sz w:val="21"/>
                <w:szCs w:val="21"/>
              </w:rPr>
            </w:pPr>
            <w:r>
              <w:rPr>
                <w:rFonts w:hint="eastAsia"/>
                <w:kern w:val="0"/>
                <w:sz w:val="21"/>
                <w:szCs w:val="21"/>
              </w:rPr>
              <w:t>64</w:t>
            </w:r>
          </w:p>
        </w:tc>
        <w:tc>
          <w:tcPr>
            <w:tcW w:w="1635" w:type="dxa"/>
            <w:vAlign w:val="center"/>
          </w:tcPr>
          <w:p>
            <w:pPr>
              <w:spacing w:line="240" w:lineRule="auto"/>
              <w:ind w:firstLine="0" w:firstLineChars="0"/>
              <w:jc w:val="center"/>
              <w:rPr>
                <w:kern w:val="0"/>
                <w:sz w:val="21"/>
                <w:szCs w:val="21"/>
              </w:rPr>
            </w:pPr>
            <w:r>
              <w:rPr>
                <w:kern w:val="0"/>
                <w:sz w:val="21"/>
                <w:szCs w:val="21"/>
              </w:rPr>
              <w:t>74380</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476.03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rFonts w:hint="eastAsia"/>
                <w:kern w:val="0"/>
                <w:sz w:val="21"/>
                <w:szCs w:val="21"/>
              </w:rPr>
              <w:t>2</w:t>
            </w:r>
          </w:p>
        </w:tc>
        <w:tc>
          <w:tcPr>
            <w:tcW w:w="3030" w:type="dxa"/>
            <w:vAlign w:val="center"/>
          </w:tcPr>
          <w:p>
            <w:pPr>
              <w:spacing w:line="240" w:lineRule="auto"/>
              <w:ind w:firstLine="0" w:firstLineChars="0"/>
              <w:jc w:val="center"/>
              <w:rPr>
                <w:kern w:val="0"/>
                <w:sz w:val="21"/>
                <w:szCs w:val="21"/>
              </w:rPr>
            </w:pPr>
            <w:r>
              <w:rPr>
                <w:kern w:val="0"/>
                <w:sz w:val="21"/>
                <w:szCs w:val="21"/>
              </w:rPr>
              <w:t>未建区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1089.65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kern w:val="0"/>
                <w:sz w:val="21"/>
                <w:szCs w:val="21"/>
              </w:rPr>
            </w:pPr>
            <w:r>
              <w:rPr>
                <w:b w:val="0"/>
                <w:bCs/>
                <w:sz w:val="21"/>
                <w:szCs w:val="21"/>
              </w:rPr>
              <w:t>表土剥离</w:t>
            </w:r>
          </w:p>
        </w:tc>
        <w:tc>
          <w:tcPr>
            <w:tcW w:w="764" w:type="dxa"/>
            <w:vAlign w:val="center"/>
          </w:tcPr>
          <w:p>
            <w:pPr>
              <w:pStyle w:val="68"/>
              <w:adjustRightInd/>
              <w:snapToGrid/>
              <w:spacing w:afterLines="0"/>
              <w:jc w:val="center"/>
              <w:rPr>
                <w:b w:val="0"/>
                <w:kern w:val="0"/>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62.11</w:t>
            </w:r>
          </w:p>
        </w:tc>
        <w:tc>
          <w:tcPr>
            <w:tcW w:w="1635" w:type="dxa"/>
            <w:vAlign w:val="center"/>
          </w:tcPr>
          <w:p>
            <w:pPr>
              <w:spacing w:line="240" w:lineRule="auto"/>
              <w:ind w:firstLine="0" w:firstLineChars="0"/>
              <w:jc w:val="center"/>
              <w:rPr>
                <w:kern w:val="0"/>
                <w:sz w:val="21"/>
                <w:szCs w:val="21"/>
              </w:rPr>
            </w:pPr>
            <w:r>
              <w:rPr>
                <w:kern w:val="0"/>
                <w:sz w:val="21"/>
                <w:szCs w:val="21"/>
              </w:rPr>
              <w:t>74380</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461.97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bCs/>
                <w:sz w:val="21"/>
                <w:szCs w:val="21"/>
              </w:rPr>
              <w:t>表土回覆</w:t>
            </w:r>
          </w:p>
        </w:tc>
        <w:tc>
          <w:tcPr>
            <w:tcW w:w="764" w:type="dxa"/>
            <w:vAlign w:val="center"/>
          </w:tcPr>
          <w:p>
            <w:pPr>
              <w:pStyle w:val="68"/>
              <w:adjustRightInd/>
              <w:snapToGrid/>
              <w:spacing w:afterLines="0"/>
              <w:jc w:val="center"/>
              <w:rPr>
                <w:b w:val="0"/>
                <w:kern w:val="0"/>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rFonts w:hint="eastAsia"/>
                <w:b w:val="0"/>
                <w:bCs/>
                <w:sz w:val="21"/>
                <w:szCs w:val="21"/>
              </w:rPr>
              <w:t>48.71</w:t>
            </w:r>
          </w:p>
        </w:tc>
        <w:tc>
          <w:tcPr>
            <w:tcW w:w="1635" w:type="dxa"/>
            <w:vAlign w:val="center"/>
          </w:tcPr>
          <w:p>
            <w:pPr>
              <w:spacing w:line="240" w:lineRule="auto"/>
              <w:ind w:firstLine="0" w:firstLineChars="0"/>
              <w:jc w:val="center"/>
              <w:rPr>
                <w:kern w:val="0"/>
                <w:sz w:val="21"/>
                <w:szCs w:val="21"/>
              </w:rPr>
            </w:pPr>
            <w:r>
              <w:rPr>
                <w:kern w:val="0"/>
                <w:sz w:val="21"/>
                <w:szCs w:val="21"/>
              </w:rPr>
              <w:t>128861</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627.68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（二）</w:t>
            </w:r>
          </w:p>
        </w:tc>
        <w:tc>
          <w:tcPr>
            <w:tcW w:w="3030" w:type="dxa"/>
            <w:vAlign w:val="center"/>
          </w:tcPr>
          <w:p>
            <w:pPr>
              <w:spacing w:line="240" w:lineRule="auto"/>
              <w:ind w:firstLine="0" w:firstLineChars="0"/>
              <w:jc w:val="center"/>
              <w:rPr>
                <w:kern w:val="0"/>
                <w:sz w:val="21"/>
                <w:szCs w:val="21"/>
              </w:rPr>
            </w:pPr>
            <w:r>
              <w:rPr>
                <w:kern w:val="0"/>
                <w:sz w:val="21"/>
                <w:szCs w:val="21"/>
              </w:rPr>
              <w:t>道路与交通设施用地区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126.71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spacing w:line="240" w:lineRule="auto"/>
              <w:ind w:firstLine="0" w:firstLineChars="0"/>
              <w:jc w:val="center"/>
              <w:rPr>
                <w:kern w:val="0"/>
                <w:sz w:val="21"/>
                <w:szCs w:val="21"/>
              </w:rPr>
            </w:pPr>
            <w:r>
              <w:rPr>
                <w:kern w:val="0"/>
                <w:sz w:val="21"/>
                <w:szCs w:val="21"/>
              </w:rPr>
              <w:t>未建区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126.71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8"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kern w:val="0"/>
                <w:sz w:val="21"/>
                <w:szCs w:val="21"/>
              </w:rPr>
            </w:pPr>
            <w:r>
              <w:rPr>
                <w:b w:val="0"/>
                <w:bCs/>
                <w:sz w:val="21"/>
                <w:szCs w:val="21"/>
              </w:rPr>
              <w:t>表土剥离</w:t>
            </w:r>
          </w:p>
        </w:tc>
        <w:tc>
          <w:tcPr>
            <w:tcW w:w="764" w:type="dxa"/>
            <w:vAlign w:val="center"/>
          </w:tcPr>
          <w:p>
            <w:pPr>
              <w:pStyle w:val="68"/>
              <w:adjustRightInd/>
              <w:snapToGrid/>
              <w:spacing w:afterLines="0"/>
              <w:jc w:val="center"/>
              <w:rPr>
                <w:b w:val="0"/>
                <w:kern w:val="0"/>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7.04</w:t>
            </w:r>
          </w:p>
        </w:tc>
        <w:tc>
          <w:tcPr>
            <w:tcW w:w="1635" w:type="dxa"/>
            <w:vAlign w:val="center"/>
          </w:tcPr>
          <w:p>
            <w:pPr>
              <w:spacing w:line="240" w:lineRule="auto"/>
              <w:ind w:firstLine="0" w:firstLineChars="0"/>
              <w:jc w:val="center"/>
              <w:rPr>
                <w:kern w:val="0"/>
                <w:sz w:val="21"/>
                <w:szCs w:val="21"/>
              </w:rPr>
            </w:pPr>
            <w:r>
              <w:rPr>
                <w:kern w:val="0"/>
                <w:sz w:val="21"/>
                <w:szCs w:val="21"/>
              </w:rPr>
              <w:t>74380</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52.36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bCs/>
                <w:sz w:val="21"/>
                <w:szCs w:val="21"/>
              </w:rPr>
              <w:t>表土回覆</w:t>
            </w:r>
          </w:p>
        </w:tc>
        <w:tc>
          <w:tcPr>
            <w:tcW w:w="764" w:type="dxa"/>
            <w:vAlign w:val="center"/>
          </w:tcPr>
          <w:p>
            <w:pPr>
              <w:pStyle w:val="68"/>
              <w:adjustRightInd/>
              <w:snapToGrid/>
              <w:spacing w:afterLines="0"/>
              <w:jc w:val="center"/>
              <w:rPr>
                <w:b w:val="0"/>
                <w:kern w:val="0"/>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5.77</w:t>
            </w:r>
          </w:p>
        </w:tc>
        <w:tc>
          <w:tcPr>
            <w:tcW w:w="1635" w:type="dxa"/>
            <w:vAlign w:val="center"/>
          </w:tcPr>
          <w:p>
            <w:pPr>
              <w:spacing w:line="240" w:lineRule="auto"/>
              <w:ind w:firstLine="0" w:firstLineChars="0"/>
              <w:jc w:val="center"/>
              <w:rPr>
                <w:kern w:val="0"/>
                <w:sz w:val="21"/>
                <w:szCs w:val="21"/>
              </w:rPr>
            </w:pPr>
            <w:r>
              <w:rPr>
                <w:kern w:val="0"/>
                <w:sz w:val="21"/>
                <w:szCs w:val="21"/>
              </w:rPr>
              <w:t>128861</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74.35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（三）</w:t>
            </w:r>
          </w:p>
        </w:tc>
        <w:tc>
          <w:tcPr>
            <w:tcW w:w="3030" w:type="dxa"/>
            <w:vAlign w:val="center"/>
          </w:tcPr>
          <w:p>
            <w:pPr>
              <w:pStyle w:val="68"/>
              <w:adjustRightInd/>
              <w:snapToGrid/>
              <w:spacing w:afterLines="0"/>
              <w:jc w:val="center"/>
              <w:rPr>
                <w:b w:val="0"/>
                <w:bCs/>
                <w:sz w:val="21"/>
                <w:szCs w:val="21"/>
              </w:rPr>
            </w:pPr>
            <w:r>
              <w:rPr>
                <w:b w:val="0"/>
                <w:bCs/>
                <w:sz w:val="21"/>
                <w:szCs w:val="21"/>
              </w:rPr>
              <w:t>公用设施用地区</w:t>
            </w:r>
          </w:p>
        </w:tc>
        <w:tc>
          <w:tcPr>
            <w:tcW w:w="764" w:type="dxa"/>
            <w:vAlign w:val="center"/>
          </w:tcPr>
          <w:p>
            <w:pPr>
              <w:pStyle w:val="68"/>
              <w:adjustRightInd/>
              <w:snapToGrid/>
              <w:spacing w:afterLines="0"/>
              <w:jc w:val="center"/>
              <w:rPr>
                <w:b w:val="0"/>
                <w:bCs/>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62.82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spacing w:line="240" w:lineRule="auto"/>
              <w:ind w:firstLine="0" w:firstLineChars="0"/>
              <w:jc w:val="center"/>
              <w:rPr>
                <w:bCs/>
                <w:sz w:val="21"/>
                <w:szCs w:val="21"/>
              </w:rPr>
            </w:pPr>
            <w:r>
              <w:rPr>
                <w:kern w:val="0"/>
                <w:sz w:val="21"/>
                <w:szCs w:val="21"/>
              </w:rPr>
              <w:t>未建区</w:t>
            </w:r>
          </w:p>
        </w:tc>
        <w:tc>
          <w:tcPr>
            <w:tcW w:w="764" w:type="dxa"/>
            <w:vAlign w:val="center"/>
          </w:tcPr>
          <w:p>
            <w:pPr>
              <w:spacing w:line="240" w:lineRule="auto"/>
              <w:ind w:firstLine="0" w:firstLineChars="0"/>
              <w:jc w:val="center"/>
              <w:rPr>
                <w:bCs/>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62.82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bCs/>
                <w:sz w:val="21"/>
                <w:szCs w:val="21"/>
              </w:rPr>
              <w:t>表土剥离</w:t>
            </w:r>
          </w:p>
        </w:tc>
        <w:tc>
          <w:tcPr>
            <w:tcW w:w="764"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5.90</w:t>
            </w:r>
          </w:p>
        </w:tc>
        <w:tc>
          <w:tcPr>
            <w:tcW w:w="1635" w:type="dxa"/>
            <w:vAlign w:val="center"/>
          </w:tcPr>
          <w:p>
            <w:pPr>
              <w:spacing w:line="240" w:lineRule="auto"/>
              <w:ind w:firstLine="0" w:firstLineChars="0"/>
              <w:jc w:val="center"/>
              <w:rPr>
                <w:kern w:val="0"/>
                <w:sz w:val="21"/>
                <w:szCs w:val="21"/>
              </w:rPr>
            </w:pPr>
            <w:r>
              <w:rPr>
                <w:kern w:val="0"/>
                <w:sz w:val="21"/>
                <w:szCs w:val="21"/>
              </w:rPr>
              <w:t>74380</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43.88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bCs/>
                <w:sz w:val="21"/>
                <w:szCs w:val="21"/>
              </w:rPr>
            </w:pPr>
            <w:r>
              <w:rPr>
                <w:b w:val="0"/>
                <w:bCs/>
                <w:sz w:val="21"/>
                <w:szCs w:val="21"/>
              </w:rPr>
              <w:t>表土回覆</w:t>
            </w:r>
          </w:p>
        </w:tc>
        <w:tc>
          <w:tcPr>
            <w:tcW w:w="764"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1.47</w:t>
            </w:r>
          </w:p>
        </w:tc>
        <w:tc>
          <w:tcPr>
            <w:tcW w:w="1635" w:type="dxa"/>
            <w:vAlign w:val="center"/>
          </w:tcPr>
          <w:p>
            <w:pPr>
              <w:spacing w:line="240" w:lineRule="auto"/>
              <w:ind w:firstLine="0" w:firstLineChars="0"/>
              <w:jc w:val="center"/>
              <w:rPr>
                <w:kern w:val="0"/>
                <w:sz w:val="21"/>
                <w:szCs w:val="21"/>
              </w:rPr>
            </w:pPr>
            <w:r>
              <w:rPr>
                <w:kern w:val="0"/>
                <w:sz w:val="21"/>
                <w:szCs w:val="21"/>
              </w:rPr>
              <w:t>128861</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18.94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（四）</w:t>
            </w:r>
          </w:p>
        </w:tc>
        <w:tc>
          <w:tcPr>
            <w:tcW w:w="3030" w:type="dxa"/>
            <w:vAlign w:val="center"/>
          </w:tcPr>
          <w:p>
            <w:pPr>
              <w:pStyle w:val="68"/>
              <w:adjustRightInd/>
              <w:snapToGrid/>
              <w:spacing w:afterLines="0"/>
              <w:jc w:val="center"/>
              <w:rPr>
                <w:b w:val="0"/>
                <w:bCs/>
                <w:sz w:val="21"/>
                <w:szCs w:val="21"/>
              </w:rPr>
            </w:pPr>
            <w:r>
              <w:rPr>
                <w:b w:val="0"/>
                <w:bCs/>
                <w:sz w:val="21"/>
                <w:szCs w:val="21"/>
              </w:rPr>
              <w:t>绿地与广场用地区</w:t>
            </w:r>
          </w:p>
        </w:tc>
        <w:tc>
          <w:tcPr>
            <w:tcW w:w="764" w:type="dxa"/>
            <w:vAlign w:val="center"/>
          </w:tcPr>
          <w:p>
            <w:pPr>
              <w:pStyle w:val="68"/>
              <w:adjustRightInd/>
              <w:snapToGrid/>
              <w:spacing w:afterLines="0"/>
              <w:jc w:val="center"/>
              <w:rPr>
                <w:b w:val="0"/>
                <w:bCs/>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1197.05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rFonts w:hint="eastAsia"/>
                <w:kern w:val="0"/>
                <w:sz w:val="21"/>
                <w:szCs w:val="21"/>
              </w:rPr>
              <w:t>1</w:t>
            </w:r>
          </w:p>
        </w:tc>
        <w:tc>
          <w:tcPr>
            <w:tcW w:w="3030" w:type="dxa"/>
            <w:vAlign w:val="center"/>
          </w:tcPr>
          <w:p>
            <w:pPr>
              <w:pStyle w:val="68"/>
              <w:adjustRightInd/>
              <w:snapToGrid/>
              <w:spacing w:afterLines="0"/>
              <w:jc w:val="center"/>
              <w:rPr>
                <w:b w:val="0"/>
                <w:bCs/>
                <w:sz w:val="21"/>
                <w:szCs w:val="21"/>
              </w:rPr>
            </w:pPr>
            <w:r>
              <w:rPr>
                <w:rFonts w:hint="eastAsia"/>
                <w:b w:val="0"/>
                <w:bCs/>
                <w:sz w:val="21"/>
                <w:szCs w:val="21"/>
              </w:rPr>
              <w:t>在建区</w:t>
            </w:r>
          </w:p>
        </w:tc>
        <w:tc>
          <w:tcPr>
            <w:tcW w:w="764" w:type="dxa"/>
            <w:vAlign w:val="center"/>
          </w:tcPr>
          <w:p>
            <w:pPr>
              <w:pStyle w:val="68"/>
              <w:adjustRightInd/>
              <w:snapToGrid/>
              <w:spacing w:afterLines="0"/>
              <w:jc w:val="center"/>
              <w:rPr>
                <w:b w:val="0"/>
                <w:bCs/>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135.82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bCs/>
                <w:sz w:val="21"/>
                <w:szCs w:val="21"/>
              </w:rPr>
            </w:pPr>
            <w:r>
              <w:rPr>
                <w:b w:val="0"/>
                <w:bCs/>
                <w:sz w:val="21"/>
                <w:szCs w:val="21"/>
              </w:rPr>
              <w:t>表土回覆</w:t>
            </w:r>
          </w:p>
        </w:tc>
        <w:tc>
          <w:tcPr>
            <w:tcW w:w="764"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bCs/>
                <w:sz w:val="21"/>
                <w:szCs w:val="21"/>
              </w:rPr>
            </w:pPr>
            <w:r>
              <w:rPr>
                <w:rFonts w:hint="eastAsia"/>
                <w:b w:val="0"/>
                <w:bCs/>
                <w:sz w:val="21"/>
                <w:szCs w:val="21"/>
              </w:rPr>
              <w:t>10.54</w:t>
            </w:r>
          </w:p>
        </w:tc>
        <w:tc>
          <w:tcPr>
            <w:tcW w:w="1635" w:type="dxa"/>
            <w:vAlign w:val="center"/>
          </w:tcPr>
          <w:p>
            <w:pPr>
              <w:spacing w:line="240" w:lineRule="auto"/>
              <w:ind w:firstLine="0" w:firstLineChars="0"/>
              <w:jc w:val="center"/>
              <w:rPr>
                <w:kern w:val="0"/>
                <w:sz w:val="21"/>
                <w:szCs w:val="21"/>
              </w:rPr>
            </w:pPr>
            <w:r>
              <w:rPr>
                <w:kern w:val="0"/>
                <w:sz w:val="21"/>
                <w:szCs w:val="21"/>
              </w:rPr>
              <w:t>128861</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135.82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53" w:hRule="atLeast"/>
        </w:trPr>
        <w:tc>
          <w:tcPr>
            <w:tcW w:w="859" w:type="dxa"/>
            <w:vAlign w:val="center"/>
          </w:tcPr>
          <w:p>
            <w:pPr>
              <w:spacing w:line="240" w:lineRule="auto"/>
              <w:ind w:firstLine="0" w:firstLineChars="0"/>
              <w:jc w:val="center"/>
              <w:rPr>
                <w:kern w:val="0"/>
                <w:sz w:val="21"/>
                <w:szCs w:val="21"/>
              </w:rPr>
            </w:pPr>
            <w:r>
              <w:rPr>
                <w:rFonts w:hint="eastAsia"/>
                <w:kern w:val="0"/>
                <w:sz w:val="21"/>
                <w:szCs w:val="21"/>
              </w:rPr>
              <w:t>2</w:t>
            </w:r>
          </w:p>
        </w:tc>
        <w:tc>
          <w:tcPr>
            <w:tcW w:w="3030" w:type="dxa"/>
            <w:vAlign w:val="center"/>
          </w:tcPr>
          <w:p>
            <w:pPr>
              <w:spacing w:line="240" w:lineRule="auto"/>
              <w:ind w:firstLine="0" w:firstLineChars="0"/>
              <w:jc w:val="center"/>
              <w:rPr>
                <w:bCs/>
                <w:sz w:val="21"/>
                <w:szCs w:val="21"/>
              </w:rPr>
            </w:pPr>
            <w:r>
              <w:rPr>
                <w:kern w:val="0"/>
                <w:sz w:val="21"/>
                <w:szCs w:val="21"/>
              </w:rPr>
              <w:t>未建区</w:t>
            </w:r>
          </w:p>
        </w:tc>
        <w:tc>
          <w:tcPr>
            <w:tcW w:w="764" w:type="dxa"/>
            <w:vAlign w:val="center"/>
          </w:tcPr>
          <w:p>
            <w:pPr>
              <w:spacing w:line="240" w:lineRule="auto"/>
              <w:ind w:firstLine="0" w:firstLineChars="0"/>
              <w:jc w:val="center"/>
              <w:rPr>
                <w:bCs/>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rFonts w:hint="eastAsia"/>
                <w:kern w:val="0"/>
                <w:sz w:val="21"/>
                <w:szCs w:val="21"/>
              </w:rPr>
              <w:t>1061.23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bCs/>
                <w:sz w:val="21"/>
                <w:szCs w:val="21"/>
              </w:rPr>
              <w:t>表土剥离</w:t>
            </w:r>
          </w:p>
        </w:tc>
        <w:tc>
          <w:tcPr>
            <w:tcW w:w="764"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6.21</w:t>
            </w:r>
          </w:p>
        </w:tc>
        <w:tc>
          <w:tcPr>
            <w:tcW w:w="1635" w:type="dxa"/>
            <w:vAlign w:val="center"/>
          </w:tcPr>
          <w:p>
            <w:pPr>
              <w:spacing w:line="240" w:lineRule="auto"/>
              <w:ind w:firstLine="0" w:firstLineChars="0"/>
              <w:jc w:val="center"/>
              <w:rPr>
                <w:kern w:val="0"/>
                <w:sz w:val="21"/>
                <w:szCs w:val="21"/>
              </w:rPr>
            </w:pPr>
            <w:r>
              <w:rPr>
                <w:kern w:val="0"/>
                <w:sz w:val="21"/>
                <w:szCs w:val="21"/>
              </w:rPr>
              <w:t>74380</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46.19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bCs/>
                <w:sz w:val="21"/>
                <w:szCs w:val="21"/>
              </w:rPr>
            </w:pPr>
            <w:r>
              <w:rPr>
                <w:b w:val="0"/>
                <w:bCs/>
                <w:sz w:val="21"/>
                <w:szCs w:val="21"/>
              </w:rPr>
              <w:t>表土回覆</w:t>
            </w:r>
          </w:p>
        </w:tc>
        <w:tc>
          <w:tcPr>
            <w:tcW w:w="764" w:type="dxa"/>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1493" w:type="dxa"/>
            <w:vAlign w:val="center"/>
          </w:tcPr>
          <w:p>
            <w:pPr>
              <w:pStyle w:val="68"/>
              <w:adjustRightInd/>
              <w:snapToGrid/>
              <w:spacing w:afterLines="0"/>
              <w:jc w:val="center"/>
              <w:rPr>
                <w:b w:val="0"/>
                <w:bCs/>
                <w:sz w:val="21"/>
                <w:szCs w:val="21"/>
              </w:rPr>
            </w:pPr>
            <w:r>
              <w:rPr>
                <w:rFonts w:hint="eastAsia"/>
                <w:b w:val="0"/>
                <w:bCs/>
                <w:sz w:val="21"/>
                <w:szCs w:val="21"/>
              </w:rPr>
              <w:t>78.77</w:t>
            </w:r>
          </w:p>
        </w:tc>
        <w:tc>
          <w:tcPr>
            <w:tcW w:w="1635" w:type="dxa"/>
            <w:vAlign w:val="center"/>
          </w:tcPr>
          <w:p>
            <w:pPr>
              <w:spacing w:line="240" w:lineRule="auto"/>
              <w:ind w:firstLine="0" w:firstLineChars="0"/>
              <w:jc w:val="center"/>
              <w:rPr>
                <w:kern w:val="0"/>
                <w:sz w:val="21"/>
                <w:szCs w:val="21"/>
              </w:rPr>
            </w:pPr>
            <w:r>
              <w:rPr>
                <w:kern w:val="0"/>
                <w:sz w:val="21"/>
                <w:szCs w:val="21"/>
              </w:rPr>
              <w:t>128861</w:t>
            </w:r>
          </w:p>
        </w:tc>
        <w:tc>
          <w:tcPr>
            <w:tcW w:w="1508" w:type="dxa"/>
            <w:vAlign w:val="center"/>
          </w:tcPr>
          <w:p>
            <w:pPr>
              <w:spacing w:line="240" w:lineRule="auto"/>
              <w:ind w:firstLine="0" w:firstLineChars="0"/>
              <w:jc w:val="center"/>
              <w:rPr>
                <w:kern w:val="0"/>
                <w:sz w:val="21"/>
                <w:szCs w:val="21"/>
              </w:rPr>
            </w:pPr>
            <w:r>
              <w:rPr>
                <w:rFonts w:hint="eastAsia"/>
                <w:kern w:val="0"/>
                <w:sz w:val="21"/>
                <w:szCs w:val="21"/>
              </w:rPr>
              <w:t>1015.04</w:t>
            </w:r>
          </w:p>
        </w:tc>
      </w:tr>
    </w:tbl>
    <w:p>
      <w:pPr>
        <w:adjustRightInd w:val="0"/>
        <w:snapToGrid w:val="0"/>
        <w:spacing w:beforeLines="50"/>
        <w:ind w:firstLine="0" w:firstLineChars="0"/>
        <w:jc w:val="center"/>
        <w:rPr>
          <w:szCs w:val="24"/>
        </w:rPr>
      </w:pPr>
      <w:r>
        <w:rPr>
          <w:b/>
          <w:bCs/>
          <w:szCs w:val="24"/>
        </w:rPr>
        <w:t>表7.1-9新增水土保持植物措施投资估算表</w:t>
      </w:r>
    </w:p>
    <w:tbl>
      <w:tblPr>
        <w:tblStyle w:val="110"/>
        <w:tblW w:w="9289"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859"/>
        <w:gridCol w:w="3030"/>
        <w:gridCol w:w="764"/>
        <w:gridCol w:w="1493"/>
        <w:gridCol w:w="1635"/>
        <w:gridCol w:w="150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kern w:val="0"/>
                <w:sz w:val="21"/>
                <w:szCs w:val="21"/>
              </w:rPr>
            </w:pPr>
            <w:r>
              <w:rPr>
                <w:b/>
                <w:kern w:val="0"/>
                <w:sz w:val="21"/>
                <w:szCs w:val="21"/>
              </w:rPr>
              <w:t>序号</w:t>
            </w:r>
          </w:p>
        </w:tc>
        <w:tc>
          <w:tcPr>
            <w:tcW w:w="3030" w:type="dxa"/>
            <w:vAlign w:val="center"/>
          </w:tcPr>
          <w:p>
            <w:pPr>
              <w:spacing w:line="240" w:lineRule="auto"/>
              <w:ind w:firstLine="0" w:firstLineChars="0"/>
              <w:jc w:val="center"/>
              <w:rPr>
                <w:b/>
                <w:kern w:val="0"/>
                <w:sz w:val="21"/>
                <w:szCs w:val="21"/>
              </w:rPr>
            </w:pPr>
            <w:r>
              <w:rPr>
                <w:b/>
                <w:kern w:val="0"/>
                <w:sz w:val="21"/>
                <w:szCs w:val="21"/>
              </w:rPr>
              <w:t>工程或费用名称</w:t>
            </w:r>
          </w:p>
        </w:tc>
        <w:tc>
          <w:tcPr>
            <w:tcW w:w="764" w:type="dxa"/>
            <w:vAlign w:val="center"/>
          </w:tcPr>
          <w:p>
            <w:pPr>
              <w:spacing w:line="240" w:lineRule="auto"/>
              <w:ind w:firstLine="0" w:firstLineChars="0"/>
              <w:jc w:val="center"/>
              <w:rPr>
                <w:b/>
                <w:kern w:val="0"/>
                <w:sz w:val="21"/>
                <w:szCs w:val="21"/>
              </w:rPr>
            </w:pPr>
            <w:r>
              <w:rPr>
                <w:b/>
                <w:kern w:val="0"/>
                <w:sz w:val="21"/>
                <w:szCs w:val="21"/>
              </w:rPr>
              <w:t>单位</w:t>
            </w:r>
          </w:p>
        </w:tc>
        <w:tc>
          <w:tcPr>
            <w:tcW w:w="1493" w:type="dxa"/>
            <w:vAlign w:val="center"/>
          </w:tcPr>
          <w:p>
            <w:pPr>
              <w:spacing w:line="240" w:lineRule="auto"/>
              <w:ind w:firstLine="0" w:firstLineChars="0"/>
              <w:jc w:val="center"/>
              <w:rPr>
                <w:b/>
                <w:kern w:val="0"/>
                <w:sz w:val="21"/>
                <w:szCs w:val="21"/>
              </w:rPr>
            </w:pPr>
            <w:r>
              <w:rPr>
                <w:b/>
                <w:kern w:val="0"/>
                <w:sz w:val="21"/>
                <w:szCs w:val="21"/>
              </w:rPr>
              <w:t>数量</w:t>
            </w:r>
          </w:p>
        </w:tc>
        <w:tc>
          <w:tcPr>
            <w:tcW w:w="1635" w:type="dxa"/>
            <w:vAlign w:val="center"/>
          </w:tcPr>
          <w:p>
            <w:pPr>
              <w:spacing w:line="240" w:lineRule="auto"/>
              <w:ind w:firstLine="0" w:firstLineChars="0"/>
              <w:jc w:val="center"/>
              <w:rPr>
                <w:b/>
                <w:kern w:val="0"/>
                <w:sz w:val="21"/>
                <w:szCs w:val="21"/>
              </w:rPr>
            </w:pPr>
            <w:r>
              <w:rPr>
                <w:b/>
                <w:kern w:val="0"/>
                <w:sz w:val="21"/>
                <w:szCs w:val="21"/>
              </w:rPr>
              <w:t>单价（元）</w:t>
            </w:r>
          </w:p>
        </w:tc>
        <w:tc>
          <w:tcPr>
            <w:tcW w:w="1508" w:type="dxa"/>
            <w:vAlign w:val="center"/>
          </w:tcPr>
          <w:p>
            <w:pPr>
              <w:spacing w:line="240" w:lineRule="auto"/>
              <w:ind w:firstLine="0" w:firstLineChars="0"/>
              <w:jc w:val="center"/>
              <w:rPr>
                <w:b/>
                <w:kern w:val="0"/>
                <w:sz w:val="21"/>
                <w:szCs w:val="21"/>
              </w:rPr>
            </w:pPr>
            <w:r>
              <w:rPr>
                <w:b/>
                <w:kern w:val="0"/>
                <w:sz w:val="21"/>
                <w:szCs w:val="21"/>
              </w:rPr>
              <w:t>合计（万元）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b/>
                <w:bCs/>
                <w:kern w:val="0"/>
                <w:sz w:val="21"/>
                <w:szCs w:val="21"/>
              </w:rPr>
            </w:pPr>
            <w:r>
              <w:rPr>
                <w:b/>
                <w:bCs/>
                <w:kern w:val="0"/>
                <w:sz w:val="21"/>
                <w:szCs w:val="21"/>
              </w:rPr>
              <w:t>第二部分植物措施</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b/>
                <w:bCs/>
                <w:kern w:val="0"/>
                <w:sz w:val="21"/>
                <w:szCs w:val="21"/>
              </w:rPr>
            </w:pPr>
            <w:r>
              <w:rPr>
                <w:b/>
                <w:bCs/>
                <w:kern w:val="0"/>
                <w:sz w:val="21"/>
                <w:szCs w:val="21"/>
              </w:rPr>
              <w:t>6.33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bCs/>
                <w:kern w:val="0"/>
                <w:sz w:val="21"/>
                <w:szCs w:val="21"/>
              </w:rPr>
            </w:pPr>
            <w:r>
              <w:rPr>
                <w:b/>
                <w:bCs/>
                <w:kern w:val="0"/>
                <w:sz w:val="21"/>
                <w:szCs w:val="21"/>
              </w:rPr>
              <w:t>一</w:t>
            </w:r>
          </w:p>
        </w:tc>
        <w:tc>
          <w:tcPr>
            <w:tcW w:w="3030" w:type="dxa"/>
            <w:vAlign w:val="center"/>
          </w:tcPr>
          <w:p>
            <w:pPr>
              <w:spacing w:line="240" w:lineRule="auto"/>
              <w:ind w:firstLine="0" w:firstLineChars="0"/>
              <w:jc w:val="center"/>
              <w:rPr>
                <w:b/>
                <w:bCs/>
                <w:kern w:val="0"/>
                <w:sz w:val="21"/>
                <w:szCs w:val="21"/>
              </w:rPr>
            </w:pPr>
            <w:r>
              <w:rPr>
                <w:b/>
                <w:bCs/>
                <w:kern w:val="0"/>
                <w:sz w:val="21"/>
                <w:szCs w:val="21"/>
              </w:rPr>
              <w:t>临时堆场区</w:t>
            </w:r>
          </w:p>
        </w:tc>
        <w:tc>
          <w:tcPr>
            <w:tcW w:w="764" w:type="dxa"/>
            <w:vAlign w:val="center"/>
          </w:tcPr>
          <w:p>
            <w:pPr>
              <w:spacing w:line="240" w:lineRule="auto"/>
              <w:ind w:firstLine="0" w:firstLineChars="0"/>
              <w:jc w:val="center"/>
              <w:rPr>
                <w:b/>
                <w:bCs/>
                <w:kern w:val="0"/>
                <w:sz w:val="21"/>
                <w:szCs w:val="21"/>
              </w:rPr>
            </w:pPr>
          </w:p>
        </w:tc>
        <w:tc>
          <w:tcPr>
            <w:tcW w:w="1493" w:type="dxa"/>
            <w:vAlign w:val="center"/>
          </w:tcPr>
          <w:p>
            <w:pPr>
              <w:spacing w:line="240" w:lineRule="auto"/>
              <w:ind w:firstLine="0" w:firstLineChars="0"/>
              <w:jc w:val="center"/>
              <w:rPr>
                <w:b/>
                <w:bCs/>
                <w:kern w:val="0"/>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b/>
                <w:bCs/>
                <w:kern w:val="0"/>
                <w:sz w:val="21"/>
                <w:szCs w:val="21"/>
              </w:rPr>
            </w:pPr>
            <w:r>
              <w:rPr>
                <w:b/>
                <w:bCs/>
                <w:kern w:val="0"/>
                <w:sz w:val="21"/>
                <w:szCs w:val="21"/>
              </w:rPr>
              <w:t>6.33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（一）</w:t>
            </w:r>
          </w:p>
        </w:tc>
        <w:tc>
          <w:tcPr>
            <w:tcW w:w="3030" w:type="dxa"/>
            <w:vAlign w:val="center"/>
          </w:tcPr>
          <w:p>
            <w:pPr>
              <w:spacing w:line="240" w:lineRule="auto"/>
              <w:ind w:firstLine="0" w:firstLineChars="0"/>
              <w:jc w:val="center"/>
              <w:rPr>
                <w:kern w:val="0"/>
                <w:sz w:val="21"/>
                <w:szCs w:val="21"/>
              </w:rPr>
            </w:pPr>
            <w:r>
              <w:rPr>
                <w:kern w:val="0"/>
                <w:sz w:val="21"/>
                <w:szCs w:val="21"/>
              </w:rPr>
              <w:t>表土中转场区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6.33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kern w:val="0"/>
                <w:sz w:val="21"/>
                <w:szCs w:val="21"/>
              </w:rPr>
            </w:pPr>
            <w:r>
              <w:rPr>
                <w:b w:val="0"/>
                <w:bCs/>
                <w:sz w:val="21"/>
                <w:szCs w:val="21"/>
              </w:rPr>
              <w:t>播撒草籽</w:t>
            </w:r>
          </w:p>
        </w:tc>
        <w:tc>
          <w:tcPr>
            <w:tcW w:w="764" w:type="dxa"/>
            <w:vAlign w:val="center"/>
          </w:tcPr>
          <w:p>
            <w:pPr>
              <w:pStyle w:val="68"/>
              <w:adjustRightInd/>
              <w:snapToGrid/>
              <w:spacing w:afterLines="0"/>
              <w:jc w:val="center"/>
              <w:rPr>
                <w:b w:val="0"/>
                <w:kern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kern w:val="0"/>
                <w:sz w:val="21"/>
                <w:szCs w:val="21"/>
              </w:rPr>
            </w:pPr>
            <w:r>
              <w:rPr>
                <w:b w:val="0"/>
                <w:bCs/>
                <w:sz w:val="21"/>
                <w:szCs w:val="21"/>
              </w:rPr>
              <w:t>42.19</w:t>
            </w:r>
          </w:p>
        </w:tc>
        <w:tc>
          <w:tcPr>
            <w:tcW w:w="1635" w:type="dxa"/>
            <w:vAlign w:val="center"/>
          </w:tcPr>
          <w:p>
            <w:pPr>
              <w:spacing w:line="240" w:lineRule="auto"/>
              <w:ind w:firstLine="0" w:firstLineChars="0"/>
              <w:jc w:val="center"/>
              <w:rPr>
                <w:kern w:val="0"/>
                <w:sz w:val="21"/>
                <w:szCs w:val="21"/>
              </w:rPr>
            </w:pPr>
            <w:r>
              <w:rPr>
                <w:kern w:val="0"/>
                <w:sz w:val="21"/>
                <w:szCs w:val="21"/>
              </w:rPr>
              <w:t>1499.30</w:t>
            </w:r>
          </w:p>
        </w:tc>
        <w:tc>
          <w:tcPr>
            <w:tcW w:w="1508" w:type="dxa"/>
            <w:vAlign w:val="center"/>
          </w:tcPr>
          <w:p>
            <w:pPr>
              <w:spacing w:line="240" w:lineRule="auto"/>
              <w:ind w:firstLine="0" w:firstLineChars="0"/>
              <w:jc w:val="center"/>
              <w:rPr>
                <w:kern w:val="0"/>
                <w:sz w:val="21"/>
                <w:szCs w:val="21"/>
              </w:rPr>
            </w:pPr>
            <w:r>
              <w:rPr>
                <w:kern w:val="0"/>
                <w:sz w:val="21"/>
                <w:szCs w:val="21"/>
              </w:rPr>
              <w:t>6.33</w:t>
            </w:r>
          </w:p>
        </w:tc>
      </w:tr>
    </w:tbl>
    <w:p>
      <w:pPr>
        <w:adjustRightInd w:val="0"/>
        <w:snapToGrid w:val="0"/>
        <w:spacing w:beforeLines="50"/>
        <w:ind w:firstLine="0" w:firstLineChars="0"/>
        <w:jc w:val="center"/>
        <w:rPr>
          <w:szCs w:val="24"/>
        </w:rPr>
      </w:pPr>
      <w:r>
        <w:rPr>
          <w:b/>
          <w:bCs/>
          <w:szCs w:val="24"/>
        </w:rPr>
        <w:t>表7.1-10新增水土保持临时措施投资估算表</w:t>
      </w:r>
    </w:p>
    <w:tbl>
      <w:tblPr>
        <w:tblStyle w:val="110"/>
        <w:tblW w:w="9289" w:type="dxa"/>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fixed"/>
        <w:tblCellMar>
          <w:top w:w="0" w:type="dxa"/>
          <w:left w:w="108" w:type="dxa"/>
          <w:bottom w:w="0" w:type="dxa"/>
          <w:right w:w="108" w:type="dxa"/>
        </w:tblCellMar>
      </w:tblPr>
      <w:tblGrid>
        <w:gridCol w:w="859"/>
        <w:gridCol w:w="3030"/>
        <w:gridCol w:w="764"/>
        <w:gridCol w:w="1493"/>
        <w:gridCol w:w="1635"/>
        <w:gridCol w:w="1508"/>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kern w:val="0"/>
                <w:sz w:val="21"/>
                <w:szCs w:val="21"/>
              </w:rPr>
            </w:pPr>
            <w:r>
              <w:rPr>
                <w:b/>
                <w:kern w:val="0"/>
                <w:sz w:val="21"/>
                <w:szCs w:val="21"/>
              </w:rPr>
              <w:t>序号</w:t>
            </w:r>
          </w:p>
        </w:tc>
        <w:tc>
          <w:tcPr>
            <w:tcW w:w="3030" w:type="dxa"/>
            <w:vAlign w:val="center"/>
          </w:tcPr>
          <w:p>
            <w:pPr>
              <w:spacing w:line="240" w:lineRule="auto"/>
              <w:ind w:firstLine="0" w:firstLineChars="0"/>
              <w:jc w:val="center"/>
              <w:rPr>
                <w:b/>
                <w:kern w:val="0"/>
                <w:sz w:val="21"/>
                <w:szCs w:val="21"/>
              </w:rPr>
            </w:pPr>
            <w:r>
              <w:rPr>
                <w:b/>
                <w:kern w:val="0"/>
                <w:sz w:val="21"/>
                <w:szCs w:val="21"/>
              </w:rPr>
              <w:t>工程或费用名称</w:t>
            </w:r>
          </w:p>
        </w:tc>
        <w:tc>
          <w:tcPr>
            <w:tcW w:w="764" w:type="dxa"/>
            <w:vAlign w:val="center"/>
          </w:tcPr>
          <w:p>
            <w:pPr>
              <w:spacing w:line="240" w:lineRule="auto"/>
              <w:ind w:firstLine="0" w:firstLineChars="0"/>
              <w:jc w:val="center"/>
              <w:rPr>
                <w:b/>
                <w:kern w:val="0"/>
                <w:sz w:val="21"/>
                <w:szCs w:val="21"/>
              </w:rPr>
            </w:pPr>
            <w:r>
              <w:rPr>
                <w:b/>
                <w:kern w:val="0"/>
                <w:sz w:val="21"/>
                <w:szCs w:val="21"/>
              </w:rPr>
              <w:t>单位</w:t>
            </w:r>
          </w:p>
        </w:tc>
        <w:tc>
          <w:tcPr>
            <w:tcW w:w="1493" w:type="dxa"/>
            <w:vAlign w:val="center"/>
          </w:tcPr>
          <w:p>
            <w:pPr>
              <w:spacing w:line="240" w:lineRule="auto"/>
              <w:ind w:firstLine="0" w:firstLineChars="0"/>
              <w:jc w:val="center"/>
              <w:rPr>
                <w:b/>
                <w:kern w:val="0"/>
                <w:sz w:val="21"/>
                <w:szCs w:val="21"/>
              </w:rPr>
            </w:pPr>
            <w:r>
              <w:rPr>
                <w:b/>
                <w:kern w:val="0"/>
                <w:sz w:val="21"/>
                <w:szCs w:val="21"/>
              </w:rPr>
              <w:t>数量</w:t>
            </w:r>
          </w:p>
        </w:tc>
        <w:tc>
          <w:tcPr>
            <w:tcW w:w="1635" w:type="dxa"/>
            <w:vAlign w:val="center"/>
          </w:tcPr>
          <w:p>
            <w:pPr>
              <w:spacing w:line="240" w:lineRule="auto"/>
              <w:ind w:firstLine="0" w:firstLineChars="0"/>
              <w:jc w:val="center"/>
              <w:rPr>
                <w:b/>
                <w:kern w:val="0"/>
                <w:sz w:val="21"/>
                <w:szCs w:val="21"/>
              </w:rPr>
            </w:pPr>
            <w:r>
              <w:rPr>
                <w:b/>
                <w:kern w:val="0"/>
                <w:sz w:val="21"/>
                <w:szCs w:val="21"/>
              </w:rPr>
              <w:t>单价（元）</w:t>
            </w:r>
          </w:p>
        </w:tc>
        <w:tc>
          <w:tcPr>
            <w:tcW w:w="1508" w:type="dxa"/>
            <w:vAlign w:val="center"/>
          </w:tcPr>
          <w:p>
            <w:pPr>
              <w:spacing w:line="240" w:lineRule="auto"/>
              <w:ind w:firstLine="0" w:firstLineChars="0"/>
              <w:jc w:val="center"/>
              <w:rPr>
                <w:b/>
                <w:kern w:val="0"/>
                <w:sz w:val="21"/>
                <w:szCs w:val="21"/>
              </w:rPr>
            </w:pPr>
            <w:r>
              <w:rPr>
                <w:b/>
                <w:kern w:val="0"/>
                <w:sz w:val="21"/>
                <w:szCs w:val="21"/>
              </w:rPr>
              <w:t>合计（万元）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b/>
                <w:bCs/>
                <w:kern w:val="0"/>
                <w:sz w:val="21"/>
                <w:szCs w:val="21"/>
              </w:rPr>
            </w:pPr>
            <w:r>
              <w:rPr>
                <w:b/>
                <w:bCs/>
                <w:kern w:val="0"/>
                <w:sz w:val="21"/>
                <w:szCs w:val="21"/>
              </w:rPr>
              <w:t>第三部分临时措施</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b/>
                <w:bCs/>
                <w:kern w:val="0"/>
                <w:sz w:val="21"/>
                <w:szCs w:val="21"/>
              </w:rPr>
            </w:pPr>
            <w:r>
              <w:rPr>
                <w:b/>
                <w:bCs/>
                <w:kern w:val="0"/>
                <w:sz w:val="21"/>
                <w:szCs w:val="21"/>
              </w:rPr>
              <w:t>4998.97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bCs/>
                <w:kern w:val="0"/>
                <w:sz w:val="21"/>
                <w:szCs w:val="21"/>
              </w:rPr>
            </w:pPr>
            <w:r>
              <w:rPr>
                <w:b/>
                <w:bCs/>
                <w:kern w:val="0"/>
                <w:sz w:val="21"/>
                <w:szCs w:val="21"/>
              </w:rPr>
              <w:t>一</w:t>
            </w:r>
          </w:p>
        </w:tc>
        <w:tc>
          <w:tcPr>
            <w:tcW w:w="3030" w:type="dxa"/>
            <w:vAlign w:val="center"/>
          </w:tcPr>
          <w:p>
            <w:pPr>
              <w:spacing w:line="240" w:lineRule="auto"/>
              <w:ind w:firstLine="0" w:firstLineChars="0"/>
              <w:jc w:val="center"/>
              <w:rPr>
                <w:b/>
                <w:bCs/>
                <w:kern w:val="0"/>
                <w:sz w:val="21"/>
                <w:szCs w:val="21"/>
              </w:rPr>
            </w:pPr>
            <w:r>
              <w:rPr>
                <w:b/>
                <w:bCs/>
                <w:kern w:val="0"/>
                <w:sz w:val="21"/>
                <w:szCs w:val="21"/>
              </w:rPr>
              <w:t>近期建设区</w:t>
            </w:r>
          </w:p>
        </w:tc>
        <w:tc>
          <w:tcPr>
            <w:tcW w:w="764" w:type="dxa"/>
            <w:vAlign w:val="center"/>
          </w:tcPr>
          <w:p>
            <w:pPr>
              <w:spacing w:line="240" w:lineRule="auto"/>
              <w:ind w:firstLine="0" w:firstLineChars="0"/>
              <w:jc w:val="center"/>
              <w:rPr>
                <w:b/>
                <w:bCs/>
                <w:kern w:val="0"/>
                <w:sz w:val="21"/>
                <w:szCs w:val="21"/>
              </w:rPr>
            </w:pPr>
          </w:p>
        </w:tc>
        <w:tc>
          <w:tcPr>
            <w:tcW w:w="1493" w:type="dxa"/>
            <w:vAlign w:val="center"/>
          </w:tcPr>
          <w:p>
            <w:pPr>
              <w:spacing w:line="240" w:lineRule="auto"/>
              <w:ind w:firstLine="0" w:firstLineChars="0"/>
              <w:jc w:val="center"/>
              <w:rPr>
                <w:b/>
                <w:bCs/>
                <w:kern w:val="0"/>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b/>
                <w:bCs/>
                <w:kern w:val="0"/>
                <w:sz w:val="21"/>
                <w:szCs w:val="21"/>
              </w:rPr>
            </w:pPr>
            <w:r>
              <w:rPr>
                <w:b/>
                <w:bCs/>
                <w:kern w:val="0"/>
                <w:sz w:val="21"/>
                <w:szCs w:val="21"/>
              </w:rPr>
              <w:t>1949.95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bCs/>
                <w:kern w:val="0"/>
                <w:sz w:val="21"/>
                <w:szCs w:val="21"/>
              </w:rPr>
            </w:pPr>
            <w:r>
              <w:rPr>
                <w:b/>
                <w:bCs/>
                <w:kern w:val="0"/>
                <w:sz w:val="21"/>
                <w:szCs w:val="21"/>
              </w:rPr>
              <w:t>（一）</w:t>
            </w:r>
          </w:p>
        </w:tc>
        <w:tc>
          <w:tcPr>
            <w:tcW w:w="3030" w:type="dxa"/>
            <w:vAlign w:val="center"/>
          </w:tcPr>
          <w:p>
            <w:pPr>
              <w:spacing w:line="240" w:lineRule="auto"/>
              <w:ind w:firstLine="0" w:firstLineChars="0"/>
              <w:jc w:val="center"/>
              <w:rPr>
                <w:b/>
                <w:bCs/>
                <w:kern w:val="0"/>
                <w:sz w:val="21"/>
                <w:szCs w:val="21"/>
              </w:rPr>
            </w:pPr>
            <w:r>
              <w:rPr>
                <w:b/>
                <w:bCs/>
                <w:kern w:val="0"/>
                <w:sz w:val="21"/>
                <w:szCs w:val="21"/>
              </w:rPr>
              <w:t>工业用地区</w:t>
            </w:r>
          </w:p>
        </w:tc>
        <w:tc>
          <w:tcPr>
            <w:tcW w:w="764" w:type="dxa"/>
            <w:vAlign w:val="center"/>
          </w:tcPr>
          <w:p>
            <w:pPr>
              <w:spacing w:line="240" w:lineRule="auto"/>
              <w:ind w:firstLine="0" w:firstLineChars="0"/>
              <w:jc w:val="center"/>
              <w:rPr>
                <w:b/>
                <w:bCs/>
                <w:kern w:val="0"/>
                <w:sz w:val="21"/>
                <w:szCs w:val="21"/>
              </w:rPr>
            </w:pPr>
          </w:p>
        </w:tc>
        <w:tc>
          <w:tcPr>
            <w:tcW w:w="1493" w:type="dxa"/>
            <w:vAlign w:val="center"/>
          </w:tcPr>
          <w:p>
            <w:pPr>
              <w:spacing w:line="240" w:lineRule="auto"/>
              <w:ind w:firstLine="0" w:firstLineChars="0"/>
              <w:jc w:val="center"/>
              <w:rPr>
                <w:b/>
                <w:bCs/>
                <w:kern w:val="0"/>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b/>
                <w:bCs/>
                <w:kern w:val="0"/>
                <w:sz w:val="21"/>
                <w:szCs w:val="21"/>
              </w:rPr>
            </w:pPr>
            <w:r>
              <w:rPr>
                <w:b/>
                <w:bCs/>
                <w:kern w:val="0"/>
                <w:sz w:val="21"/>
                <w:szCs w:val="21"/>
              </w:rPr>
              <w:t>676.08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spacing w:line="240" w:lineRule="auto"/>
              <w:ind w:firstLine="0" w:firstLineChars="0"/>
              <w:jc w:val="center"/>
              <w:rPr>
                <w:kern w:val="0"/>
                <w:sz w:val="21"/>
                <w:szCs w:val="21"/>
              </w:rPr>
            </w:pPr>
            <w:r>
              <w:rPr>
                <w:kern w:val="0"/>
                <w:sz w:val="21"/>
                <w:szCs w:val="21"/>
              </w:rPr>
              <w:t>未建区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676.08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kern w:val="0"/>
                <w:sz w:val="21"/>
                <w:szCs w:val="21"/>
              </w:rPr>
            </w:pPr>
            <w:r>
              <w:rPr>
                <w:b w:val="0"/>
                <w:bCs/>
                <w:sz w:val="21"/>
                <w:szCs w:val="21"/>
              </w:rPr>
              <w:t>截排水沟</w:t>
            </w:r>
          </w:p>
        </w:tc>
        <w:tc>
          <w:tcPr>
            <w:tcW w:w="764" w:type="dxa"/>
            <w:vAlign w:val="center"/>
          </w:tcPr>
          <w:p>
            <w:pPr>
              <w:pStyle w:val="68"/>
              <w:adjustRightInd/>
              <w:snapToGrid/>
              <w:spacing w:afterLines="0"/>
              <w:jc w:val="center"/>
              <w:rPr>
                <w:b w:val="0"/>
                <w:kern w:val="0"/>
                <w:sz w:val="21"/>
                <w:szCs w:val="21"/>
              </w:rPr>
            </w:pPr>
            <w:r>
              <w:rPr>
                <w:b w:val="0"/>
                <w:bCs/>
                <w:sz w:val="21"/>
                <w:szCs w:val="21"/>
              </w:rPr>
              <w:t>m</w:t>
            </w:r>
          </w:p>
        </w:tc>
        <w:tc>
          <w:tcPr>
            <w:tcW w:w="1493" w:type="dxa"/>
            <w:vAlign w:val="center"/>
          </w:tcPr>
          <w:p>
            <w:pPr>
              <w:pStyle w:val="68"/>
              <w:adjustRightInd/>
              <w:snapToGrid/>
              <w:spacing w:afterLines="0"/>
              <w:jc w:val="center"/>
              <w:rPr>
                <w:b w:val="0"/>
                <w:kern w:val="0"/>
                <w:sz w:val="21"/>
                <w:szCs w:val="21"/>
              </w:rPr>
            </w:pPr>
            <w:r>
              <w:rPr>
                <w:b w:val="0"/>
                <w:bCs/>
                <w:sz w:val="21"/>
                <w:szCs w:val="21"/>
              </w:rPr>
              <w:t>5017</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292.42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bCs/>
                <w:sz w:val="21"/>
                <w:szCs w:val="21"/>
              </w:rPr>
            </w:pPr>
            <w:r>
              <w:rPr>
                <w:sz w:val="21"/>
                <w:szCs w:val="21"/>
              </w:rPr>
              <w:t>土方开挖</w:t>
            </w:r>
          </w:p>
        </w:tc>
        <w:tc>
          <w:tcPr>
            <w:tcW w:w="764" w:type="dxa"/>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3638.33</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22.11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2384.08</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191.53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kern w:val="0"/>
                <w:sz w:val="21"/>
                <w:szCs w:val="21"/>
              </w:rPr>
            </w:pPr>
            <w:r>
              <w:rPr>
                <w:b w:val="0"/>
                <w:bCs/>
                <w:sz w:val="21"/>
                <w:szCs w:val="21"/>
              </w:rPr>
              <w:t>17358.82</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73.32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2384.08</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5.46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kern w:val="0"/>
                <w:sz w:val="21"/>
                <w:szCs w:val="21"/>
              </w:rPr>
              <w:t>沉沙池</w:t>
            </w:r>
          </w:p>
        </w:tc>
        <w:tc>
          <w:tcPr>
            <w:tcW w:w="764" w:type="dxa"/>
            <w:vAlign w:val="center"/>
          </w:tcPr>
          <w:p>
            <w:pPr>
              <w:pStyle w:val="68"/>
              <w:adjustRightInd/>
              <w:snapToGrid/>
              <w:spacing w:afterLines="0"/>
              <w:jc w:val="center"/>
              <w:rPr>
                <w:b w:val="0"/>
                <w:kern w:val="0"/>
                <w:sz w:val="21"/>
                <w:szCs w:val="21"/>
              </w:rPr>
            </w:pPr>
            <w:r>
              <w:rPr>
                <w:b w:val="0"/>
                <w:kern w:val="0"/>
                <w:sz w:val="21"/>
                <w:szCs w:val="21"/>
              </w:rPr>
              <w:t>座</w:t>
            </w:r>
          </w:p>
        </w:tc>
        <w:tc>
          <w:tcPr>
            <w:tcW w:w="1493" w:type="dxa"/>
            <w:vAlign w:val="center"/>
          </w:tcPr>
          <w:p>
            <w:pPr>
              <w:pStyle w:val="68"/>
              <w:adjustRightInd/>
              <w:snapToGrid/>
              <w:spacing w:afterLines="0"/>
              <w:jc w:val="center"/>
              <w:rPr>
                <w:b w:val="0"/>
                <w:kern w:val="0"/>
                <w:sz w:val="21"/>
                <w:szCs w:val="21"/>
              </w:rPr>
            </w:pPr>
            <w:r>
              <w:rPr>
                <w:b w:val="0"/>
                <w:kern w:val="0"/>
                <w:sz w:val="21"/>
                <w:szCs w:val="21"/>
              </w:rPr>
              <w:t>24</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8.07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82.68</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35.76</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2.87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kern w:val="0"/>
                <w:sz w:val="21"/>
                <w:szCs w:val="21"/>
              </w:rPr>
            </w:pPr>
            <w:r>
              <w:rPr>
                <w:b w:val="0"/>
                <w:bCs/>
                <w:sz w:val="21"/>
                <w:szCs w:val="21"/>
              </w:rPr>
              <w:t>207.12</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0.87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C20砼底板</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17.28</w:t>
            </w:r>
          </w:p>
        </w:tc>
        <w:tc>
          <w:tcPr>
            <w:tcW w:w="1635" w:type="dxa"/>
            <w:vAlign w:val="center"/>
          </w:tcPr>
          <w:p>
            <w:pPr>
              <w:spacing w:line="240" w:lineRule="auto"/>
              <w:ind w:firstLine="0" w:firstLineChars="0"/>
              <w:jc w:val="center"/>
              <w:rPr>
                <w:kern w:val="0"/>
                <w:sz w:val="21"/>
                <w:szCs w:val="21"/>
              </w:rPr>
            </w:pPr>
            <w:r>
              <w:rPr>
                <w:kern w:val="0"/>
                <w:sz w:val="21"/>
                <w:szCs w:val="21"/>
              </w:rPr>
              <w:t>1395.98</w:t>
            </w:r>
          </w:p>
        </w:tc>
        <w:tc>
          <w:tcPr>
            <w:tcW w:w="1508" w:type="dxa"/>
            <w:vAlign w:val="center"/>
          </w:tcPr>
          <w:p>
            <w:pPr>
              <w:spacing w:line="240" w:lineRule="auto"/>
              <w:ind w:firstLine="0" w:firstLineChars="0"/>
              <w:jc w:val="center"/>
              <w:rPr>
                <w:kern w:val="0"/>
                <w:sz w:val="21"/>
                <w:szCs w:val="21"/>
              </w:rPr>
            </w:pPr>
            <w:r>
              <w:rPr>
                <w:kern w:val="0"/>
                <w:sz w:val="21"/>
                <w:szCs w:val="21"/>
              </w:rPr>
              <w:t>2.41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预制钢筋混凝土盖板</w:t>
            </w:r>
          </w:p>
        </w:tc>
        <w:tc>
          <w:tcPr>
            <w:tcW w:w="764" w:type="dxa"/>
            <w:vAlign w:val="center"/>
          </w:tcPr>
          <w:p>
            <w:pPr>
              <w:spacing w:line="240" w:lineRule="auto"/>
              <w:ind w:firstLine="0" w:firstLineChars="0"/>
              <w:jc w:val="center"/>
              <w:rPr>
                <w:sz w:val="21"/>
                <w:szCs w:val="21"/>
              </w:rPr>
            </w:pPr>
            <w:r>
              <w:rPr>
                <w:sz w:val="21"/>
                <w:szCs w:val="21"/>
              </w:rPr>
              <w:t>块</w:t>
            </w:r>
          </w:p>
        </w:tc>
        <w:tc>
          <w:tcPr>
            <w:tcW w:w="1493" w:type="dxa"/>
            <w:vAlign w:val="center"/>
          </w:tcPr>
          <w:p>
            <w:pPr>
              <w:pStyle w:val="68"/>
              <w:adjustRightInd/>
              <w:snapToGrid/>
              <w:spacing w:afterLines="0"/>
              <w:jc w:val="center"/>
              <w:rPr>
                <w:b w:val="0"/>
                <w:kern w:val="0"/>
                <w:sz w:val="21"/>
                <w:szCs w:val="21"/>
              </w:rPr>
            </w:pPr>
            <w:r>
              <w:rPr>
                <w:b w:val="0"/>
                <w:bCs/>
                <w:sz w:val="21"/>
                <w:szCs w:val="21"/>
              </w:rPr>
              <w:t>24</w:t>
            </w:r>
          </w:p>
        </w:tc>
        <w:tc>
          <w:tcPr>
            <w:tcW w:w="1635" w:type="dxa"/>
            <w:vAlign w:val="center"/>
          </w:tcPr>
          <w:p>
            <w:pPr>
              <w:spacing w:line="240" w:lineRule="auto"/>
              <w:ind w:firstLine="0" w:firstLineChars="0"/>
              <w:jc w:val="center"/>
              <w:rPr>
                <w:kern w:val="0"/>
                <w:sz w:val="21"/>
                <w:szCs w:val="21"/>
              </w:rPr>
            </w:pPr>
            <w:r>
              <w:rPr>
                <w:kern w:val="0"/>
                <w:sz w:val="21"/>
                <w:szCs w:val="21"/>
              </w:rPr>
              <w:t>300</w:t>
            </w:r>
          </w:p>
        </w:tc>
        <w:tc>
          <w:tcPr>
            <w:tcW w:w="1508" w:type="dxa"/>
            <w:vAlign w:val="center"/>
          </w:tcPr>
          <w:p>
            <w:pPr>
              <w:spacing w:line="240" w:lineRule="auto"/>
              <w:ind w:firstLine="0" w:firstLineChars="0"/>
              <w:jc w:val="center"/>
              <w:rPr>
                <w:kern w:val="0"/>
                <w:sz w:val="21"/>
                <w:szCs w:val="21"/>
              </w:rPr>
            </w:pPr>
            <w:r>
              <w:rPr>
                <w:kern w:val="0"/>
                <w:sz w:val="21"/>
                <w:szCs w:val="21"/>
              </w:rPr>
              <w:t>0.72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砌砖及</w:t>
            </w:r>
            <w:r>
              <w:rPr>
                <w:kern w:val="0"/>
                <w:sz w:val="21"/>
                <w:szCs w:val="21"/>
              </w:rPr>
              <w:t>C20砼</w:t>
            </w:r>
            <w:r>
              <w:rPr>
                <w:sz w:val="21"/>
                <w:szCs w:val="21"/>
              </w:rPr>
              <w:t>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53.04</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r>
              <w:rPr>
                <w:kern w:val="0"/>
                <w:sz w:val="21"/>
                <w:szCs w:val="21"/>
              </w:rPr>
              <w:t>（3）</w:t>
            </w:r>
          </w:p>
        </w:tc>
        <w:tc>
          <w:tcPr>
            <w:tcW w:w="3030" w:type="dxa"/>
            <w:vAlign w:val="center"/>
          </w:tcPr>
          <w:p>
            <w:pPr>
              <w:pStyle w:val="68"/>
              <w:adjustRightInd/>
              <w:snapToGrid/>
              <w:spacing w:afterLines="0"/>
              <w:jc w:val="center"/>
              <w:rPr>
                <w:sz w:val="21"/>
                <w:szCs w:val="21"/>
              </w:rPr>
            </w:pPr>
            <w:r>
              <w:rPr>
                <w:b w:val="0"/>
                <w:bCs/>
                <w:sz w:val="21"/>
                <w:szCs w:val="21"/>
              </w:rPr>
              <w:t>防雨布苫盖</w:t>
            </w:r>
          </w:p>
        </w:tc>
        <w:tc>
          <w:tcPr>
            <w:tcW w:w="764" w:type="dxa"/>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29.93</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358.87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6" w:hRule="atLeast"/>
        </w:trPr>
        <w:tc>
          <w:tcPr>
            <w:tcW w:w="859" w:type="dxa"/>
            <w:vAlign w:val="center"/>
          </w:tcPr>
          <w:p>
            <w:pPr>
              <w:spacing w:line="240" w:lineRule="auto"/>
              <w:ind w:firstLine="0" w:firstLineChars="0"/>
              <w:jc w:val="center"/>
              <w:rPr>
                <w:kern w:val="0"/>
                <w:sz w:val="21"/>
                <w:szCs w:val="21"/>
              </w:rPr>
            </w:pPr>
            <w:r>
              <w:rPr>
                <w:kern w:val="0"/>
                <w:sz w:val="21"/>
                <w:szCs w:val="21"/>
              </w:rPr>
              <w:t>（4）</w:t>
            </w:r>
          </w:p>
        </w:tc>
        <w:tc>
          <w:tcPr>
            <w:tcW w:w="3030" w:type="dxa"/>
            <w:vAlign w:val="center"/>
          </w:tcPr>
          <w:p>
            <w:pPr>
              <w:pStyle w:val="68"/>
              <w:adjustRightInd/>
              <w:snapToGrid/>
              <w:spacing w:afterLines="0"/>
              <w:jc w:val="center"/>
              <w:rPr>
                <w:b w:val="0"/>
                <w:bCs/>
                <w:sz w:val="21"/>
                <w:szCs w:val="21"/>
              </w:rPr>
            </w:pPr>
            <w:r>
              <w:rPr>
                <w:b w:val="0"/>
                <w:bCs/>
                <w:sz w:val="21"/>
                <w:szCs w:val="21"/>
              </w:rPr>
              <w:t>洗车池</w:t>
            </w:r>
          </w:p>
        </w:tc>
        <w:tc>
          <w:tcPr>
            <w:tcW w:w="764" w:type="dxa"/>
            <w:vAlign w:val="center"/>
          </w:tcPr>
          <w:p>
            <w:pPr>
              <w:pStyle w:val="68"/>
              <w:adjustRightInd/>
              <w:snapToGrid/>
              <w:spacing w:afterLines="0"/>
              <w:jc w:val="center"/>
              <w:rPr>
                <w:b w:val="0"/>
                <w:bCs/>
                <w:sz w:val="21"/>
                <w:szCs w:val="21"/>
              </w:rPr>
            </w:pPr>
            <w:r>
              <w:rPr>
                <w:b w:val="0"/>
                <w:bCs/>
                <w:sz w:val="21"/>
                <w:szCs w:val="21"/>
              </w:rPr>
              <w:t>座</w:t>
            </w:r>
          </w:p>
        </w:tc>
        <w:tc>
          <w:tcPr>
            <w:tcW w:w="1493" w:type="dxa"/>
            <w:vAlign w:val="center"/>
          </w:tcPr>
          <w:p>
            <w:pPr>
              <w:pStyle w:val="68"/>
              <w:adjustRightInd/>
              <w:snapToGrid/>
              <w:spacing w:afterLines="0"/>
              <w:jc w:val="center"/>
              <w:rPr>
                <w:b w:val="0"/>
                <w:bCs/>
                <w:sz w:val="21"/>
                <w:szCs w:val="21"/>
              </w:rPr>
            </w:pPr>
            <w:r>
              <w:rPr>
                <w:b w:val="0"/>
                <w:bCs/>
                <w:sz w:val="21"/>
                <w:szCs w:val="21"/>
              </w:rPr>
              <w:t>6</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16.72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bCs/>
                <w:sz w:val="21"/>
                <w:szCs w:val="21"/>
              </w:rPr>
            </w:pPr>
            <w:r>
              <w:rPr>
                <w:b w:val="0"/>
                <w:bCs/>
                <w:sz w:val="21"/>
                <w:szCs w:val="21"/>
              </w:rPr>
              <w:t>土方开挖</w:t>
            </w:r>
          </w:p>
        </w:tc>
        <w:tc>
          <w:tcPr>
            <w:tcW w:w="764" w:type="dxa"/>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126</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素土夯实</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66.78</w:t>
            </w:r>
          </w:p>
        </w:tc>
        <w:tc>
          <w:tcPr>
            <w:tcW w:w="1635" w:type="dxa"/>
            <w:vAlign w:val="center"/>
          </w:tcPr>
          <w:p>
            <w:pPr>
              <w:spacing w:line="240" w:lineRule="auto"/>
              <w:ind w:firstLine="0" w:firstLineChars="0"/>
              <w:jc w:val="center"/>
              <w:rPr>
                <w:kern w:val="0"/>
                <w:sz w:val="21"/>
                <w:szCs w:val="21"/>
              </w:rPr>
            </w:pPr>
            <w:r>
              <w:rPr>
                <w:kern w:val="0"/>
                <w:sz w:val="21"/>
                <w:szCs w:val="21"/>
              </w:rPr>
              <w:t>92.64</w:t>
            </w:r>
          </w:p>
        </w:tc>
        <w:tc>
          <w:tcPr>
            <w:tcW w:w="1508" w:type="dxa"/>
            <w:vAlign w:val="center"/>
          </w:tcPr>
          <w:p>
            <w:pPr>
              <w:spacing w:line="240" w:lineRule="auto"/>
              <w:ind w:firstLine="0" w:firstLineChars="0"/>
              <w:jc w:val="center"/>
              <w:rPr>
                <w:kern w:val="0"/>
                <w:sz w:val="21"/>
                <w:szCs w:val="21"/>
              </w:rPr>
            </w:pPr>
            <w:r>
              <w:rPr>
                <w:kern w:val="0"/>
                <w:sz w:val="21"/>
                <w:szCs w:val="21"/>
              </w:rPr>
              <w:t>0.62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砂砾石回填</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54</w:t>
            </w:r>
          </w:p>
        </w:tc>
        <w:tc>
          <w:tcPr>
            <w:tcW w:w="1635" w:type="dxa"/>
            <w:vAlign w:val="center"/>
          </w:tcPr>
          <w:p>
            <w:pPr>
              <w:spacing w:line="240" w:lineRule="auto"/>
              <w:ind w:firstLine="0" w:firstLineChars="0"/>
              <w:jc w:val="center"/>
              <w:rPr>
                <w:kern w:val="0"/>
                <w:sz w:val="21"/>
                <w:szCs w:val="21"/>
              </w:rPr>
            </w:pPr>
            <w:r>
              <w:rPr>
                <w:kern w:val="0"/>
                <w:sz w:val="21"/>
                <w:szCs w:val="21"/>
              </w:rPr>
              <w:t>402.78</w:t>
            </w:r>
          </w:p>
        </w:tc>
        <w:tc>
          <w:tcPr>
            <w:tcW w:w="1508" w:type="dxa"/>
            <w:vAlign w:val="center"/>
          </w:tcPr>
          <w:p>
            <w:pPr>
              <w:spacing w:line="240" w:lineRule="auto"/>
              <w:ind w:firstLine="0" w:firstLineChars="0"/>
              <w:jc w:val="center"/>
              <w:rPr>
                <w:kern w:val="0"/>
                <w:sz w:val="21"/>
                <w:szCs w:val="21"/>
              </w:rPr>
            </w:pPr>
            <w:r>
              <w:rPr>
                <w:kern w:val="0"/>
                <w:sz w:val="21"/>
                <w:szCs w:val="21"/>
              </w:rPr>
              <w:t>2.18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C25砼现浇</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72</w:t>
            </w:r>
          </w:p>
        </w:tc>
        <w:tc>
          <w:tcPr>
            <w:tcW w:w="1635" w:type="dxa"/>
            <w:vAlign w:val="center"/>
          </w:tcPr>
          <w:p>
            <w:pPr>
              <w:spacing w:line="240" w:lineRule="auto"/>
              <w:ind w:firstLine="0" w:firstLineChars="0"/>
              <w:jc w:val="center"/>
              <w:rPr>
                <w:kern w:val="0"/>
                <w:sz w:val="21"/>
                <w:szCs w:val="21"/>
              </w:rPr>
            </w:pPr>
            <w:r>
              <w:rPr>
                <w:kern w:val="0"/>
                <w:sz w:val="21"/>
                <w:szCs w:val="21"/>
              </w:rPr>
              <w:t>1424.41</w:t>
            </w:r>
          </w:p>
        </w:tc>
        <w:tc>
          <w:tcPr>
            <w:tcW w:w="1508" w:type="dxa"/>
            <w:vAlign w:val="center"/>
          </w:tcPr>
          <w:p>
            <w:pPr>
              <w:spacing w:line="240" w:lineRule="auto"/>
              <w:ind w:firstLine="0" w:firstLineChars="0"/>
              <w:jc w:val="center"/>
              <w:rPr>
                <w:kern w:val="0"/>
                <w:sz w:val="21"/>
                <w:szCs w:val="21"/>
              </w:rPr>
            </w:pPr>
            <w:r>
              <w:rPr>
                <w:kern w:val="0"/>
                <w:sz w:val="21"/>
                <w:szCs w:val="21"/>
              </w:rPr>
              <w:t>10.26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钢筋制安</w:t>
            </w:r>
          </w:p>
        </w:tc>
        <w:tc>
          <w:tcPr>
            <w:tcW w:w="764" w:type="dxa"/>
            <w:vAlign w:val="center"/>
          </w:tcPr>
          <w:p>
            <w:pPr>
              <w:pStyle w:val="68"/>
              <w:adjustRightInd/>
              <w:snapToGrid/>
              <w:spacing w:afterLines="0"/>
              <w:jc w:val="center"/>
              <w:rPr>
                <w:b w:val="0"/>
                <w:kern w:val="0"/>
                <w:sz w:val="21"/>
                <w:szCs w:val="21"/>
              </w:rPr>
            </w:pPr>
            <w:r>
              <w:rPr>
                <w:b w:val="0"/>
                <w:bCs/>
                <w:sz w:val="21"/>
                <w:szCs w:val="21"/>
              </w:rPr>
              <w:t>t</w:t>
            </w:r>
          </w:p>
        </w:tc>
        <w:tc>
          <w:tcPr>
            <w:tcW w:w="1493" w:type="dxa"/>
            <w:vAlign w:val="center"/>
          </w:tcPr>
          <w:p>
            <w:pPr>
              <w:pStyle w:val="68"/>
              <w:adjustRightInd/>
              <w:snapToGrid/>
              <w:spacing w:afterLines="0"/>
              <w:jc w:val="center"/>
              <w:rPr>
                <w:b w:val="0"/>
                <w:kern w:val="0"/>
                <w:sz w:val="21"/>
                <w:szCs w:val="21"/>
              </w:rPr>
            </w:pPr>
            <w:r>
              <w:rPr>
                <w:b w:val="0"/>
                <w:bCs/>
                <w:sz w:val="21"/>
                <w:szCs w:val="21"/>
              </w:rPr>
              <w:t>1.63</w:t>
            </w:r>
          </w:p>
        </w:tc>
        <w:tc>
          <w:tcPr>
            <w:tcW w:w="1635" w:type="dxa"/>
            <w:vAlign w:val="center"/>
          </w:tcPr>
          <w:p>
            <w:pPr>
              <w:spacing w:line="240" w:lineRule="auto"/>
              <w:ind w:firstLine="0" w:firstLineChars="0"/>
              <w:jc w:val="center"/>
              <w:rPr>
                <w:kern w:val="0"/>
                <w:sz w:val="21"/>
                <w:szCs w:val="21"/>
              </w:rPr>
            </w:pPr>
            <w:r>
              <w:rPr>
                <w:kern w:val="0"/>
                <w:sz w:val="21"/>
                <w:szCs w:val="21"/>
              </w:rPr>
              <w:t>11892.79</w:t>
            </w:r>
          </w:p>
        </w:tc>
        <w:tc>
          <w:tcPr>
            <w:tcW w:w="1508" w:type="dxa"/>
            <w:vAlign w:val="center"/>
          </w:tcPr>
          <w:p>
            <w:pPr>
              <w:spacing w:line="240" w:lineRule="auto"/>
              <w:ind w:firstLine="0" w:firstLineChars="0"/>
              <w:jc w:val="center"/>
              <w:rPr>
                <w:kern w:val="0"/>
                <w:sz w:val="21"/>
                <w:szCs w:val="21"/>
              </w:rPr>
            </w:pPr>
            <w:r>
              <w:rPr>
                <w:kern w:val="0"/>
                <w:sz w:val="21"/>
                <w:szCs w:val="21"/>
              </w:rPr>
              <w:t>1.94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C25砼拆除</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72</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0.95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b/>
                <w:bCs/>
                <w:kern w:val="0"/>
                <w:sz w:val="21"/>
                <w:szCs w:val="21"/>
              </w:rPr>
            </w:pPr>
            <w:r>
              <w:rPr>
                <w:b/>
                <w:bCs/>
                <w:kern w:val="0"/>
                <w:sz w:val="21"/>
                <w:szCs w:val="21"/>
              </w:rPr>
              <w:t>（二）</w:t>
            </w:r>
          </w:p>
        </w:tc>
        <w:tc>
          <w:tcPr>
            <w:tcW w:w="3030" w:type="dxa"/>
            <w:vAlign w:val="center"/>
          </w:tcPr>
          <w:p>
            <w:pPr>
              <w:spacing w:line="240" w:lineRule="auto"/>
              <w:ind w:firstLine="0" w:firstLineChars="0"/>
              <w:jc w:val="center"/>
              <w:rPr>
                <w:b/>
                <w:bCs/>
                <w:kern w:val="0"/>
                <w:sz w:val="21"/>
                <w:szCs w:val="21"/>
              </w:rPr>
            </w:pPr>
            <w:r>
              <w:rPr>
                <w:b/>
                <w:bCs/>
                <w:kern w:val="0"/>
                <w:sz w:val="21"/>
                <w:szCs w:val="21"/>
              </w:rPr>
              <w:t>道路与交通设施用地区</w:t>
            </w:r>
          </w:p>
        </w:tc>
        <w:tc>
          <w:tcPr>
            <w:tcW w:w="764" w:type="dxa"/>
            <w:vAlign w:val="center"/>
          </w:tcPr>
          <w:p>
            <w:pPr>
              <w:spacing w:line="240" w:lineRule="auto"/>
              <w:ind w:firstLine="0" w:firstLineChars="0"/>
              <w:jc w:val="center"/>
              <w:rPr>
                <w:b/>
                <w:bCs/>
                <w:kern w:val="0"/>
                <w:sz w:val="21"/>
                <w:szCs w:val="21"/>
              </w:rPr>
            </w:pPr>
          </w:p>
        </w:tc>
        <w:tc>
          <w:tcPr>
            <w:tcW w:w="1493" w:type="dxa"/>
            <w:vAlign w:val="center"/>
          </w:tcPr>
          <w:p>
            <w:pPr>
              <w:spacing w:line="240" w:lineRule="auto"/>
              <w:ind w:firstLine="0" w:firstLineChars="0"/>
              <w:jc w:val="center"/>
              <w:rPr>
                <w:b/>
                <w:bCs/>
                <w:kern w:val="0"/>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kern w:val="0"/>
                <w:sz w:val="21"/>
                <w:szCs w:val="21"/>
              </w:rPr>
            </w:pPr>
            <w:r>
              <w:rPr>
                <w:b/>
                <w:bCs/>
                <w:kern w:val="0"/>
                <w:sz w:val="21"/>
                <w:szCs w:val="21"/>
              </w:rPr>
              <w:t>1098.05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spacing w:line="240" w:lineRule="auto"/>
              <w:ind w:firstLine="0" w:firstLineChars="0"/>
              <w:jc w:val="center"/>
              <w:rPr>
                <w:kern w:val="0"/>
                <w:sz w:val="21"/>
                <w:szCs w:val="21"/>
              </w:rPr>
            </w:pPr>
            <w:r>
              <w:rPr>
                <w:kern w:val="0"/>
                <w:sz w:val="21"/>
                <w:szCs w:val="21"/>
              </w:rPr>
              <w:t>在建区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spacing w:line="240" w:lineRule="auto"/>
              <w:ind w:firstLine="0" w:firstLineChars="0"/>
              <w:jc w:val="center"/>
              <w:rPr>
                <w:kern w:val="0"/>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344.23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kern w:val="0"/>
                <w:sz w:val="21"/>
                <w:szCs w:val="21"/>
              </w:rPr>
            </w:pPr>
            <w:r>
              <w:rPr>
                <w:b w:val="0"/>
                <w:bCs/>
                <w:sz w:val="21"/>
                <w:szCs w:val="21"/>
              </w:rPr>
              <w:t>截排水沟</w:t>
            </w:r>
          </w:p>
        </w:tc>
        <w:tc>
          <w:tcPr>
            <w:tcW w:w="764" w:type="dxa"/>
            <w:vAlign w:val="center"/>
          </w:tcPr>
          <w:p>
            <w:pPr>
              <w:pStyle w:val="68"/>
              <w:adjustRightInd/>
              <w:snapToGrid/>
              <w:spacing w:afterLines="0"/>
              <w:jc w:val="center"/>
              <w:rPr>
                <w:b w:val="0"/>
                <w:kern w:val="0"/>
                <w:sz w:val="21"/>
                <w:szCs w:val="21"/>
              </w:rPr>
            </w:pPr>
            <w:r>
              <w:rPr>
                <w:b w:val="0"/>
                <w:bCs/>
                <w:sz w:val="21"/>
                <w:szCs w:val="21"/>
              </w:rPr>
              <w:t>m</w:t>
            </w:r>
          </w:p>
        </w:tc>
        <w:tc>
          <w:tcPr>
            <w:tcW w:w="1493" w:type="dxa"/>
            <w:vAlign w:val="center"/>
          </w:tcPr>
          <w:p>
            <w:pPr>
              <w:pStyle w:val="68"/>
              <w:adjustRightInd/>
              <w:snapToGrid/>
              <w:spacing w:afterLines="0"/>
              <w:jc w:val="center"/>
              <w:rPr>
                <w:b w:val="0"/>
                <w:kern w:val="0"/>
                <w:sz w:val="21"/>
                <w:szCs w:val="21"/>
              </w:rPr>
            </w:pPr>
            <w:r>
              <w:rPr>
                <w:b w:val="0"/>
                <w:bCs/>
                <w:sz w:val="21"/>
                <w:szCs w:val="21"/>
              </w:rPr>
              <w:t>3244</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189.07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bCs/>
                <w:sz w:val="21"/>
                <w:szCs w:val="21"/>
              </w:rPr>
            </w:pPr>
            <w:r>
              <w:rPr>
                <w:sz w:val="21"/>
                <w:szCs w:val="21"/>
              </w:rPr>
              <w:t>土方开挖</w:t>
            </w:r>
          </w:p>
        </w:tc>
        <w:tc>
          <w:tcPr>
            <w:tcW w:w="764" w:type="dxa"/>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2352.55</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14.29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1541.55</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123.84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kern w:val="0"/>
                <w:sz w:val="21"/>
                <w:szCs w:val="21"/>
              </w:rPr>
            </w:pPr>
            <w:r>
              <w:rPr>
                <w:b w:val="0"/>
                <w:bCs/>
                <w:sz w:val="21"/>
                <w:szCs w:val="21"/>
              </w:rPr>
              <w:t>11224.24</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47.41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1541.58</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kern w:val="0"/>
                <w:sz w:val="21"/>
                <w:szCs w:val="21"/>
              </w:rPr>
              <w:t>沉沙池</w:t>
            </w:r>
          </w:p>
        </w:tc>
        <w:tc>
          <w:tcPr>
            <w:tcW w:w="764" w:type="dxa"/>
            <w:vAlign w:val="center"/>
          </w:tcPr>
          <w:p>
            <w:pPr>
              <w:pStyle w:val="68"/>
              <w:adjustRightInd/>
              <w:snapToGrid/>
              <w:spacing w:afterLines="0"/>
              <w:jc w:val="center"/>
              <w:rPr>
                <w:b w:val="0"/>
                <w:kern w:val="0"/>
                <w:sz w:val="21"/>
                <w:szCs w:val="21"/>
              </w:rPr>
            </w:pPr>
            <w:r>
              <w:rPr>
                <w:b w:val="0"/>
                <w:kern w:val="0"/>
                <w:sz w:val="21"/>
                <w:szCs w:val="21"/>
              </w:rPr>
              <w:t>座</w:t>
            </w:r>
          </w:p>
        </w:tc>
        <w:tc>
          <w:tcPr>
            <w:tcW w:w="1493" w:type="dxa"/>
            <w:vAlign w:val="center"/>
          </w:tcPr>
          <w:p>
            <w:pPr>
              <w:pStyle w:val="68"/>
              <w:adjustRightInd/>
              <w:snapToGrid/>
              <w:spacing w:afterLines="0"/>
              <w:jc w:val="center"/>
              <w:rPr>
                <w:b w:val="0"/>
                <w:kern w:val="0"/>
                <w:sz w:val="21"/>
                <w:szCs w:val="21"/>
              </w:rPr>
            </w:pPr>
            <w:r>
              <w:rPr>
                <w:b w:val="0"/>
                <w:bCs/>
                <w:sz w:val="21"/>
                <w:szCs w:val="21"/>
              </w:rPr>
              <w:t>13</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4.38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44.79</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0.27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19.37</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1.56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kern w:val="0"/>
                <w:sz w:val="21"/>
                <w:szCs w:val="21"/>
              </w:rPr>
            </w:pPr>
            <w:r>
              <w:rPr>
                <w:b w:val="0"/>
                <w:bCs/>
                <w:sz w:val="21"/>
                <w:szCs w:val="21"/>
              </w:rPr>
              <w:t>112.19</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0.47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C20砼底板</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9.36</w:t>
            </w:r>
          </w:p>
        </w:tc>
        <w:tc>
          <w:tcPr>
            <w:tcW w:w="1635" w:type="dxa"/>
            <w:vAlign w:val="center"/>
          </w:tcPr>
          <w:p>
            <w:pPr>
              <w:spacing w:line="240" w:lineRule="auto"/>
              <w:ind w:firstLine="0" w:firstLineChars="0"/>
              <w:jc w:val="center"/>
              <w:rPr>
                <w:kern w:val="0"/>
                <w:sz w:val="21"/>
                <w:szCs w:val="21"/>
              </w:rPr>
            </w:pPr>
            <w:r>
              <w:rPr>
                <w:kern w:val="0"/>
                <w:sz w:val="21"/>
                <w:szCs w:val="21"/>
              </w:rPr>
              <w:t>1395.98</w:t>
            </w:r>
          </w:p>
        </w:tc>
        <w:tc>
          <w:tcPr>
            <w:tcW w:w="1508" w:type="dxa"/>
            <w:vAlign w:val="center"/>
          </w:tcPr>
          <w:p>
            <w:pPr>
              <w:spacing w:line="240" w:lineRule="auto"/>
              <w:ind w:firstLine="0" w:firstLineChars="0"/>
              <w:jc w:val="center"/>
              <w:rPr>
                <w:kern w:val="0"/>
                <w:sz w:val="21"/>
                <w:szCs w:val="21"/>
              </w:rPr>
            </w:pPr>
            <w:r>
              <w:rPr>
                <w:kern w:val="0"/>
                <w:sz w:val="21"/>
                <w:szCs w:val="21"/>
              </w:rPr>
              <w:t>1.31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预制钢筋混凝土盖板</w:t>
            </w:r>
          </w:p>
        </w:tc>
        <w:tc>
          <w:tcPr>
            <w:tcW w:w="764" w:type="dxa"/>
            <w:vAlign w:val="center"/>
          </w:tcPr>
          <w:p>
            <w:pPr>
              <w:spacing w:line="240" w:lineRule="auto"/>
              <w:ind w:firstLine="0" w:firstLineChars="0"/>
              <w:jc w:val="center"/>
              <w:rPr>
                <w:sz w:val="21"/>
                <w:szCs w:val="21"/>
              </w:rPr>
            </w:pPr>
            <w:r>
              <w:rPr>
                <w:sz w:val="21"/>
                <w:szCs w:val="21"/>
              </w:rPr>
              <w:t>块</w:t>
            </w:r>
          </w:p>
        </w:tc>
        <w:tc>
          <w:tcPr>
            <w:tcW w:w="1493" w:type="dxa"/>
            <w:vAlign w:val="center"/>
          </w:tcPr>
          <w:p>
            <w:pPr>
              <w:pStyle w:val="68"/>
              <w:adjustRightInd/>
              <w:snapToGrid/>
              <w:spacing w:afterLines="0"/>
              <w:jc w:val="center"/>
              <w:rPr>
                <w:b w:val="0"/>
                <w:kern w:val="0"/>
                <w:sz w:val="21"/>
                <w:szCs w:val="21"/>
              </w:rPr>
            </w:pPr>
            <w:r>
              <w:rPr>
                <w:b w:val="0"/>
                <w:bCs/>
                <w:sz w:val="21"/>
                <w:szCs w:val="21"/>
              </w:rPr>
              <w:t>13</w:t>
            </w:r>
          </w:p>
        </w:tc>
        <w:tc>
          <w:tcPr>
            <w:tcW w:w="1635" w:type="dxa"/>
            <w:vAlign w:val="center"/>
          </w:tcPr>
          <w:p>
            <w:pPr>
              <w:spacing w:line="240" w:lineRule="auto"/>
              <w:ind w:firstLine="0" w:firstLineChars="0"/>
              <w:jc w:val="center"/>
              <w:rPr>
                <w:kern w:val="0"/>
                <w:sz w:val="21"/>
                <w:szCs w:val="21"/>
              </w:rPr>
            </w:pPr>
            <w:r>
              <w:rPr>
                <w:kern w:val="0"/>
                <w:sz w:val="21"/>
                <w:szCs w:val="21"/>
              </w:rPr>
              <w:t>300</w:t>
            </w:r>
          </w:p>
        </w:tc>
        <w:tc>
          <w:tcPr>
            <w:tcW w:w="1508" w:type="dxa"/>
            <w:vAlign w:val="center"/>
          </w:tcPr>
          <w:p>
            <w:pPr>
              <w:spacing w:line="240" w:lineRule="auto"/>
              <w:ind w:firstLine="0" w:firstLineChars="0"/>
              <w:jc w:val="center"/>
              <w:rPr>
                <w:kern w:val="0"/>
                <w:sz w:val="21"/>
                <w:szCs w:val="21"/>
              </w:rPr>
            </w:pPr>
            <w:r>
              <w:rPr>
                <w:kern w:val="0"/>
                <w:sz w:val="21"/>
                <w:szCs w:val="21"/>
              </w:rPr>
              <w:t>0.39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砌砖及</w:t>
            </w:r>
            <w:r>
              <w:rPr>
                <w:kern w:val="0"/>
                <w:sz w:val="21"/>
                <w:szCs w:val="21"/>
              </w:rPr>
              <w:t>C20砼</w:t>
            </w:r>
            <w:r>
              <w:rPr>
                <w:sz w:val="21"/>
                <w:szCs w:val="21"/>
              </w:rPr>
              <w:t>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28.73</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0.38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（3）</w:t>
            </w:r>
          </w:p>
        </w:tc>
        <w:tc>
          <w:tcPr>
            <w:tcW w:w="3030" w:type="dxa"/>
            <w:vAlign w:val="center"/>
          </w:tcPr>
          <w:p>
            <w:pPr>
              <w:pStyle w:val="68"/>
              <w:adjustRightInd/>
              <w:snapToGrid/>
              <w:spacing w:afterLines="0"/>
              <w:jc w:val="center"/>
              <w:rPr>
                <w:sz w:val="21"/>
                <w:szCs w:val="21"/>
              </w:rPr>
            </w:pPr>
            <w:r>
              <w:rPr>
                <w:b w:val="0"/>
                <w:bCs/>
                <w:sz w:val="21"/>
                <w:szCs w:val="21"/>
              </w:rPr>
              <w:t>防雨布苫盖</w:t>
            </w:r>
          </w:p>
        </w:tc>
        <w:tc>
          <w:tcPr>
            <w:tcW w:w="764" w:type="dxa"/>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kern w:val="0"/>
                <w:sz w:val="21"/>
                <w:szCs w:val="21"/>
              </w:rPr>
            </w:pPr>
            <w:r>
              <w:rPr>
                <w:b w:val="0"/>
                <w:bCs/>
                <w:sz w:val="21"/>
                <w:szCs w:val="21"/>
              </w:rPr>
              <w:t>10.36</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124.22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（4）</w:t>
            </w:r>
          </w:p>
        </w:tc>
        <w:tc>
          <w:tcPr>
            <w:tcW w:w="3030" w:type="dxa"/>
            <w:vAlign w:val="center"/>
          </w:tcPr>
          <w:p>
            <w:pPr>
              <w:pStyle w:val="68"/>
              <w:adjustRightInd/>
              <w:snapToGrid/>
              <w:spacing w:afterLines="0"/>
              <w:jc w:val="center"/>
              <w:rPr>
                <w:b w:val="0"/>
                <w:bCs/>
                <w:sz w:val="21"/>
                <w:szCs w:val="21"/>
              </w:rPr>
            </w:pPr>
            <w:r>
              <w:rPr>
                <w:b w:val="0"/>
                <w:bCs/>
                <w:sz w:val="21"/>
                <w:szCs w:val="21"/>
              </w:rPr>
              <w:t>编织袋装土拦挡</w:t>
            </w:r>
          </w:p>
        </w:tc>
        <w:tc>
          <w:tcPr>
            <w:tcW w:w="764" w:type="dxa"/>
            <w:vAlign w:val="center"/>
          </w:tcPr>
          <w:p>
            <w:pPr>
              <w:pStyle w:val="68"/>
              <w:adjustRightInd/>
              <w:snapToGrid/>
              <w:spacing w:afterLines="0"/>
              <w:jc w:val="center"/>
              <w:rPr>
                <w:b w:val="0"/>
                <w:bCs/>
                <w:sz w:val="21"/>
                <w:szCs w:val="21"/>
              </w:rPr>
            </w:pPr>
            <w:r>
              <w:rPr>
                <w:b w:val="0"/>
                <w:sz w:val="21"/>
                <w:szCs w:val="21"/>
              </w:rPr>
              <w:t>m</w:t>
            </w:r>
          </w:p>
        </w:tc>
        <w:tc>
          <w:tcPr>
            <w:tcW w:w="1493" w:type="dxa"/>
            <w:vAlign w:val="center"/>
          </w:tcPr>
          <w:p>
            <w:pPr>
              <w:pStyle w:val="68"/>
              <w:adjustRightInd/>
              <w:snapToGrid/>
              <w:spacing w:afterLines="0"/>
              <w:jc w:val="center"/>
              <w:rPr>
                <w:b w:val="0"/>
                <w:kern w:val="0"/>
                <w:sz w:val="21"/>
                <w:szCs w:val="21"/>
              </w:rPr>
            </w:pPr>
            <w:r>
              <w:rPr>
                <w:b w:val="0"/>
                <w:bCs/>
                <w:sz w:val="21"/>
                <w:szCs w:val="21"/>
              </w:rPr>
              <w:t>400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26.56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bCs/>
                <w:sz w:val="21"/>
                <w:szCs w:val="21"/>
              </w:rPr>
            </w:pPr>
            <w:r>
              <w:rPr>
                <w:b w:val="0"/>
                <w:bCs/>
                <w:sz w:val="21"/>
                <w:szCs w:val="21"/>
              </w:rPr>
              <w:t>编织袋装土填筑</w:t>
            </w:r>
          </w:p>
        </w:tc>
        <w:tc>
          <w:tcPr>
            <w:tcW w:w="764" w:type="dxa"/>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640</w:t>
            </w:r>
          </w:p>
        </w:tc>
        <w:tc>
          <w:tcPr>
            <w:tcW w:w="1635" w:type="dxa"/>
            <w:vAlign w:val="center"/>
          </w:tcPr>
          <w:p>
            <w:pPr>
              <w:spacing w:line="240" w:lineRule="auto"/>
              <w:ind w:firstLine="0" w:firstLineChars="0"/>
              <w:jc w:val="center"/>
              <w:rPr>
                <w:kern w:val="0"/>
                <w:sz w:val="21"/>
                <w:szCs w:val="21"/>
              </w:rPr>
            </w:pPr>
            <w:r>
              <w:rPr>
                <w:kern w:val="0"/>
                <w:sz w:val="21"/>
                <w:szCs w:val="21"/>
              </w:rPr>
              <w:t>367.16</w:t>
            </w:r>
          </w:p>
        </w:tc>
        <w:tc>
          <w:tcPr>
            <w:tcW w:w="1508" w:type="dxa"/>
            <w:vAlign w:val="center"/>
          </w:tcPr>
          <w:p>
            <w:pPr>
              <w:spacing w:line="240" w:lineRule="auto"/>
              <w:ind w:firstLine="0" w:firstLineChars="0"/>
              <w:jc w:val="center"/>
              <w:rPr>
                <w:kern w:val="0"/>
                <w:sz w:val="21"/>
                <w:szCs w:val="21"/>
              </w:rPr>
            </w:pPr>
            <w:r>
              <w:rPr>
                <w:kern w:val="0"/>
                <w:sz w:val="21"/>
                <w:szCs w:val="21"/>
              </w:rPr>
              <w:t>23.50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bCs/>
                <w:sz w:val="21"/>
                <w:szCs w:val="21"/>
              </w:rPr>
            </w:pPr>
            <w:r>
              <w:rPr>
                <w:b w:val="0"/>
                <w:bCs/>
                <w:sz w:val="21"/>
                <w:szCs w:val="21"/>
              </w:rPr>
              <w:t>土袋拆除</w:t>
            </w:r>
          </w:p>
        </w:tc>
        <w:tc>
          <w:tcPr>
            <w:tcW w:w="764" w:type="dxa"/>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kern w:val="0"/>
                <w:sz w:val="21"/>
                <w:szCs w:val="21"/>
              </w:rPr>
            </w:pPr>
            <w:r>
              <w:rPr>
                <w:b w:val="0"/>
                <w:bCs/>
                <w:sz w:val="21"/>
                <w:szCs w:val="21"/>
              </w:rPr>
              <w:t>640</w:t>
            </w:r>
          </w:p>
        </w:tc>
        <w:tc>
          <w:tcPr>
            <w:tcW w:w="1635" w:type="dxa"/>
            <w:vAlign w:val="center"/>
          </w:tcPr>
          <w:p>
            <w:pPr>
              <w:spacing w:line="240" w:lineRule="auto"/>
              <w:ind w:firstLine="0" w:firstLineChars="0"/>
              <w:jc w:val="center"/>
              <w:rPr>
                <w:kern w:val="0"/>
                <w:sz w:val="21"/>
                <w:szCs w:val="21"/>
              </w:rPr>
            </w:pPr>
            <w:r>
              <w:rPr>
                <w:kern w:val="0"/>
                <w:sz w:val="21"/>
                <w:szCs w:val="21"/>
              </w:rPr>
              <w:t>47.74</w:t>
            </w:r>
          </w:p>
        </w:tc>
        <w:tc>
          <w:tcPr>
            <w:tcW w:w="1508" w:type="dxa"/>
            <w:vAlign w:val="center"/>
          </w:tcPr>
          <w:p>
            <w:pPr>
              <w:spacing w:line="240" w:lineRule="auto"/>
              <w:ind w:firstLine="0" w:firstLineChars="0"/>
              <w:jc w:val="center"/>
              <w:rPr>
                <w:kern w:val="0"/>
                <w:sz w:val="21"/>
                <w:szCs w:val="21"/>
              </w:rPr>
            </w:pPr>
            <w:r>
              <w:rPr>
                <w:kern w:val="0"/>
                <w:sz w:val="21"/>
                <w:szCs w:val="21"/>
              </w:rPr>
              <w:t>3.06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bCs/>
                <w:sz w:val="21"/>
                <w:szCs w:val="21"/>
              </w:rPr>
            </w:pPr>
            <w:r>
              <w:rPr>
                <w:b w:val="0"/>
                <w:bCs/>
                <w:sz w:val="21"/>
                <w:szCs w:val="21"/>
              </w:rPr>
              <w:t>未建区</w:t>
            </w:r>
          </w:p>
        </w:tc>
        <w:tc>
          <w:tcPr>
            <w:tcW w:w="764" w:type="dxa"/>
            <w:vAlign w:val="center"/>
          </w:tcPr>
          <w:p>
            <w:pPr>
              <w:pStyle w:val="68"/>
              <w:adjustRightInd/>
              <w:snapToGrid/>
              <w:spacing w:afterLines="0"/>
              <w:jc w:val="center"/>
              <w:rPr>
                <w:b w:val="0"/>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753.82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bCs/>
                <w:sz w:val="21"/>
                <w:szCs w:val="21"/>
              </w:rPr>
              <w:t>截排水沟</w:t>
            </w:r>
          </w:p>
        </w:tc>
        <w:tc>
          <w:tcPr>
            <w:tcW w:w="764" w:type="dxa"/>
            <w:vAlign w:val="center"/>
          </w:tcPr>
          <w:p>
            <w:pPr>
              <w:pStyle w:val="68"/>
              <w:adjustRightInd/>
              <w:snapToGrid/>
              <w:spacing w:afterLines="0"/>
              <w:jc w:val="center"/>
              <w:rPr>
                <w:b w:val="0"/>
                <w:sz w:val="21"/>
                <w:szCs w:val="21"/>
              </w:rPr>
            </w:pPr>
            <w:r>
              <w:rPr>
                <w:b w:val="0"/>
                <w:bCs/>
                <w:sz w:val="21"/>
                <w:szCs w:val="21"/>
              </w:rPr>
              <w:t>m</w:t>
            </w:r>
          </w:p>
        </w:tc>
        <w:tc>
          <w:tcPr>
            <w:tcW w:w="1493" w:type="dxa"/>
            <w:vAlign w:val="center"/>
          </w:tcPr>
          <w:p>
            <w:pPr>
              <w:pStyle w:val="68"/>
              <w:adjustRightInd/>
              <w:snapToGrid/>
              <w:spacing w:afterLines="0"/>
              <w:jc w:val="center"/>
              <w:rPr>
                <w:b w:val="0"/>
                <w:bCs/>
                <w:sz w:val="21"/>
                <w:szCs w:val="21"/>
              </w:rPr>
            </w:pPr>
            <w:r>
              <w:rPr>
                <w:b w:val="0"/>
                <w:bCs/>
                <w:sz w:val="21"/>
                <w:szCs w:val="21"/>
              </w:rPr>
              <w:t>10901</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635.36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7905.41</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48.03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5180.16</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416.15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37717.46</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159.32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5180.16</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11.86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kern w:val="0"/>
                <w:sz w:val="21"/>
                <w:szCs w:val="21"/>
              </w:rPr>
              <w:t>沉沙池</w:t>
            </w:r>
          </w:p>
        </w:tc>
        <w:tc>
          <w:tcPr>
            <w:tcW w:w="764" w:type="dxa"/>
            <w:vAlign w:val="center"/>
          </w:tcPr>
          <w:p>
            <w:pPr>
              <w:pStyle w:val="68"/>
              <w:adjustRightInd/>
              <w:snapToGrid/>
              <w:spacing w:afterLines="0"/>
              <w:jc w:val="center"/>
              <w:rPr>
                <w:b w:val="0"/>
                <w:kern w:val="0"/>
                <w:sz w:val="21"/>
                <w:szCs w:val="21"/>
              </w:rPr>
            </w:pPr>
            <w:r>
              <w:rPr>
                <w:b w:val="0"/>
                <w:kern w:val="0"/>
                <w:sz w:val="21"/>
                <w:szCs w:val="21"/>
              </w:rPr>
              <w:t>座</w:t>
            </w:r>
          </w:p>
        </w:tc>
        <w:tc>
          <w:tcPr>
            <w:tcW w:w="1493" w:type="dxa"/>
            <w:vAlign w:val="center"/>
          </w:tcPr>
          <w:p>
            <w:pPr>
              <w:pStyle w:val="68"/>
              <w:adjustRightInd/>
              <w:snapToGrid/>
              <w:spacing w:afterLines="0"/>
              <w:jc w:val="center"/>
              <w:rPr>
                <w:b w:val="0"/>
                <w:bCs/>
                <w:sz w:val="21"/>
                <w:szCs w:val="21"/>
              </w:rPr>
            </w:pPr>
            <w:r>
              <w:rPr>
                <w:b w:val="0"/>
                <w:bCs/>
                <w:sz w:val="21"/>
                <w:szCs w:val="21"/>
              </w:rPr>
              <w:t>40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13.48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137.80</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0.84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59.60</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4.79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345.20</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1.46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C20砼底板</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28.80</w:t>
            </w:r>
          </w:p>
        </w:tc>
        <w:tc>
          <w:tcPr>
            <w:tcW w:w="1635" w:type="dxa"/>
            <w:vAlign w:val="center"/>
          </w:tcPr>
          <w:p>
            <w:pPr>
              <w:spacing w:line="240" w:lineRule="auto"/>
              <w:ind w:firstLine="0" w:firstLineChars="0"/>
              <w:jc w:val="center"/>
              <w:rPr>
                <w:kern w:val="0"/>
                <w:sz w:val="21"/>
                <w:szCs w:val="21"/>
              </w:rPr>
            </w:pPr>
            <w:r>
              <w:rPr>
                <w:kern w:val="0"/>
                <w:sz w:val="21"/>
                <w:szCs w:val="21"/>
              </w:rPr>
              <w:t>1395.98</w:t>
            </w:r>
          </w:p>
        </w:tc>
        <w:tc>
          <w:tcPr>
            <w:tcW w:w="1508" w:type="dxa"/>
            <w:vAlign w:val="center"/>
          </w:tcPr>
          <w:p>
            <w:pPr>
              <w:spacing w:line="240" w:lineRule="auto"/>
              <w:ind w:firstLine="0" w:firstLineChars="0"/>
              <w:jc w:val="center"/>
              <w:rPr>
                <w:kern w:val="0"/>
                <w:sz w:val="21"/>
                <w:szCs w:val="21"/>
              </w:rPr>
            </w:pPr>
            <w:r>
              <w:rPr>
                <w:kern w:val="0"/>
                <w:sz w:val="21"/>
                <w:szCs w:val="21"/>
              </w:rPr>
              <w:t>4.02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预制钢筋混凝土盖板</w:t>
            </w:r>
          </w:p>
        </w:tc>
        <w:tc>
          <w:tcPr>
            <w:tcW w:w="764" w:type="dxa"/>
            <w:vAlign w:val="center"/>
          </w:tcPr>
          <w:p>
            <w:pPr>
              <w:spacing w:line="240" w:lineRule="auto"/>
              <w:ind w:firstLine="0" w:firstLineChars="0"/>
              <w:jc w:val="center"/>
              <w:rPr>
                <w:kern w:val="0"/>
                <w:sz w:val="21"/>
                <w:szCs w:val="21"/>
              </w:rPr>
            </w:pPr>
            <w:r>
              <w:rPr>
                <w:sz w:val="21"/>
                <w:szCs w:val="21"/>
              </w:rPr>
              <w:t>块</w:t>
            </w:r>
          </w:p>
        </w:tc>
        <w:tc>
          <w:tcPr>
            <w:tcW w:w="1493" w:type="dxa"/>
            <w:vAlign w:val="center"/>
          </w:tcPr>
          <w:p>
            <w:pPr>
              <w:pStyle w:val="68"/>
              <w:adjustRightInd/>
              <w:snapToGrid/>
              <w:spacing w:afterLines="0"/>
              <w:jc w:val="center"/>
              <w:rPr>
                <w:b w:val="0"/>
                <w:bCs/>
                <w:sz w:val="21"/>
                <w:szCs w:val="21"/>
              </w:rPr>
            </w:pPr>
            <w:r>
              <w:rPr>
                <w:b w:val="0"/>
                <w:bCs/>
                <w:sz w:val="21"/>
                <w:szCs w:val="21"/>
              </w:rPr>
              <w:t>40</w:t>
            </w:r>
          </w:p>
        </w:tc>
        <w:tc>
          <w:tcPr>
            <w:tcW w:w="1635" w:type="dxa"/>
            <w:vAlign w:val="center"/>
          </w:tcPr>
          <w:p>
            <w:pPr>
              <w:spacing w:line="240" w:lineRule="auto"/>
              <w:ind w:firstLine="0" w:firstLineChars="0"/>
              <w:jc w:val="center"/>
              <w:rPr>
                <w:kern w:val="0"/>
                <w:sz w:val="21"/>
                <w:szCs w:val="21"/>
              </w:rPr>
            </w:pPr>
            <w:r>
              <w:rPr>
                <w:kern w:val="0"/>
                <w:sz w:val="21"/>
                <w:szCs w:val="21"/>
              </w:rPr>
              <w:t>300</w:t>
            </w:r>
          </w:p>
        </w:tc>
        <w:tc>
          <w:tcPr>
            <w:tcW w:w="1508" w:type="dxa"/>
            <w:vAlign w:val="center"/>
          </w:tcPr>
          <w:p>
            <w:pPr>
              <w:spacing w:line="240" w:lineRule="auto"/>
              <w:ind w:firstLine="0" w:firstLineChars="0"/>
              <w:jc w:val="center"/>
              <w:rPr>
                <w:kern w:val="0"/>
                <w:sz w:val="21"/>
                <w:szCs w:val="21"/>
              </w:rPr>
            </w:pPr>
            <w:r>
              <w:rPr>
                <w:kern w:val="0"/>
                <w:sz w:val="21"/>
                <w:szCs w:val="21"/>
              </w:rPr>
              <w:t>1.20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砌砖及</w:t>
            </w:r>
            <w:r>
              <w:rPr>
                <w:kern w:val="0"/>
                <w:sz w:val="21"/>
                <w:szCs w:val="21"/>
              </w:rPr>
              <w:t>C20砼</w:t>
            </w:r>
            <w:r>
              <w:rPr>
                <w:sz w:val="21"/>
                <w:szCs w:val="21"/>
              </w:rPr>
              <w:t>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88.4</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1.17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（3）</w:t>
            </w:r>
          </w:p>
        </w:tc>
        <w:tc>
          <w:tcPr>
            <w:tcW w:w="3030" w:type="dxa"/>
            <w:vAlign w:val="center"/>
          </w:tcPr>
          <w:p>
            <w:pPr>
              <w:pStyle w:val="68"/>
              <w:adjustRightInd/>
              <w:snapToGrid/>
              <w:spacing w:afterLines="0"/>
              <w:jc w:val="center"/>
              <w:rPr>
                <w:b w:val="0"/>
                <w:kern w:val="0"/>
                <w:sz w:val="21"/>
                <w:szCs w:val="21"/>
              </w:rPr>
            </w:pPr>
            <w:r>
              <w:rPr>
                <w:b w:val="0"/>
                <w:bCs/>
                <w:sz w:val="21"/>
                <w:szCs w:val="21"/>
              </w:rPr>
              <w:t>防雨布苫盖</w:t>
            </w:r>
          </w:p>
        </w:tc>
        <w:tc>
          <w:tcPr>
            <w:tcW w:w="764" w:type="dxa"/>
            <w:vAlign w:val="center"/>
          </w:tcPr>
          <w:p>
            <w:pPr>
              <w:pStyle w:val="68"/>
              <w:adjustRightInd/>
              <w:snapToGrid/>
              <w:spacing w:afterLines="0"/>
              <w:jc w:val="center"/>
              <w:rPr>
                <w:b w:val="0"/>
                <w:kern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6.54</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78.42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（4）</w:t>
            </w:r>
          </w:p>
        </w:tc>
        <w:tc>
          <w:tcPr>
            <w:tcW w:w="3030" w:type="dxa"/>
            <w:vAlign w:val="center"/>
          </w:tcPr>
          <w:p>
            <w:pPr>
              <w:pStyle w:val="68"/>
              <w:adjustRightInd/>
              <w:snapToGrid/>
              <w:spacing w:afterLines="0"/>
              <w:jc w:val="center"/>
              <w:rPr>
                <w:b w:val="0"/>
                <w:kern w:val="0"/>
                <w:sz w:val="21"/>
                <w:szCs w:val="21"/>
              </w:rPr>
            </w:pPr>
            <w:r>
              <w:rPr>
                <w:b w:val="0"/>
                <w:bCs/>
                <w:sz w:val="21"/>
                <w:szCs w:val="21"/>
              </w:rPr>
              <w:t>编织袋装土拦挡</w:t>
            </w:r>
          </w:p>
        </w:tc>
        <w:tc>
          <w:tcPr>
            <w:tcW w:w="764" w:type="dxa"/>
            <w:vAlign w:val="center"/>
          </w:tcPr>
          <w:p>
            <w:pPr>
              <w:pStyle w:val="68"/>
              <w:adjustRightInd/>
              <w:snapToGrid/>
              <w:spacing w:afterLines="0"/>
              <w:jc w:val="center"/>
              <w:rPr>
                <w:b w:val="0"/>
                <w:kern w:val="0"/>
                <w:sz w:val="21"/>
                <w:szCs w:val="21"/>
              </w:rPr>
            </w:pPr>
            <w:r>
              <w:rPr>
                <w:b w:val="0"/>
                <w:bCs/>
                <w:sz w:val="21"/>
                <w:szCs w:val="21"/>
              </w:rPr>
              <w:t>m</w:t>
            </w:r>
          </w:p>
        </w:tc>
        <w:tc>
          <w:tcPr>
            <w:tcW w:w="1493" w:type="dxa"/>
            <w:vAlign w:val="center"/>
          </w:tcPr>
          <w:p>
            <w:pPr>
              <w:pStyle w:val="68"/>
              <w:adjustRightInd/>
              <w:snapToGrid/>
              <w:spacing w:afterLines="0"/>
              <w:jc w:val="center"/>
              <w:rPr>
                <w:b w:val="0"/>
                <w:bCs/>
                <w:sz w:val="21"/>
                <w:szCs w:val="21"/>
              </w:rPr>
            </w:pPr>
            <w:r>
              <w:rPr>
                <w:b w:val="0"/>
                <w:bCs/>
                <w:sz w:val="21"/>
                <w:szCs w:val="21"/>
              </w:rPr>
              <w:t>400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26.56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编织袋装土填筑</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640</w:t>
            </w:r>
          </w:p>
        </w:tc>
        <w:tc>
          <w:tcPr>
            <w:tcW w:w="1635" w:type="dxa"/>
            <w:vAlign w:val="center"/>
          </w:tcPr>
          <w:p>
            <w:pPr>
              <w:spacing w:line="240" w:lineRule="auto"/>
              <w:ind w:firstLine="0" w:firstLineChars="0"/>
              <w:jc w:val="center"/>
              <w:rPr>
                <w:kern w:val="0"/>
                <w:sz w:val="21"/>
                <w:szCs w:val="21"/>
              </w:rPr>
            </w:pPr>
            <w:r>
              <w:rPr>
                <w:kern w:val="0"/>
                <w:sz w:val="21"/>
                <w:szCs w:val="21"/>
              </w:rPr>
              <w:t>367.16</w:t>
            </w:r>
          </w:p>
        </w:tc>
        <w:tc>
          <w:tcPr>
            <w:tcW w:w="1508" w:type="dxa"/>
            <w:vAlign w:val="center"/>
          </w:tcPr>
          <w:p>
            <w:pPr>
              <w:spacing w:line="240" w:lineRule="auto"/>
              <w:ind w:firstLine="0" w:firstLineChars="0"/>
              <w:jc w:val="center"/>
              <w:rPr>
                <w:kern w:val="0"/>
                <w:sz w:val="21"/>
                <w:szCs w:val="21"/>
              </w:rPr>
            </w:pPr>
            <w:r>
              <w:rPr>
                <w:kern w:val="0"/>
                <w:sz w:val="21"/>
                <w:szCs w:val="21"/>
              </w:rPr>
              <w:t>23.50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土袋拆除</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640</w:t>
            </w:r>
          </w:p>
        </w:tc>
        <w:tc>
          <w:tcPr>
            <w:tcW w:w="1635" w:type="dxa"/>
            <w:vAlign w:val="center"/>
          </w:tcPr>
          <w:p>
            <w:pPr>
              <w:spacing w:line="240" w:lineRule="auto"/>
              <w:ind w:firstLine="0" w:firstLineChars="0"/>
              <w:jc w:val="center"/>
              <w:rPr>
                <w:kern w:val="0"/>
                <w:sz w:val="21"/>
                <w:szCs w:val="21"/>
              </w:rPr>
            </w:pPr>
            <w:r>
              <w:rPr>
                <w:kern w:val="0"/>
                <w:sz w:val="21"/>
                <w:szCs w:val="21"/>
              </w:rPr>
              <w:t>47.74</w:t>
            </w:r>
          </w:p>
        </w:tc>
        <w:tc>
          <w:tcPr>
            <w:tcW w:w="1508" w:type="dxa"/>
            <w:vAlign w:val="center"/>
          </w:tcPr>
          <w:p>
            <w:pPr>
              <w:spacing w:line="240" w:lineRule="auto"/>
              <w:ind w:firstLine="0" w:firstLineChars="0"/>
              <w:jc w:val="center"/>
              <w:rPr>
                <w:kern w:val="0"/>
                <w:sz w:val="21"/>
                <w:szCs w:val="21"/>
              </w:rPr>
            </w:pPr>
            <w:r>
              <w:rPr>
                <w:kern w:val="0"/>
                <w:sz w:val="21"/>
                <w:szCs w:val="21"/>
              </w:rPr>
              <w:t>3.06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b/>
                <w:bCs/>
                <w:kern w:val="0"/>
                <w:sz w:val="21"/>
                <w:szCs w:val="21"/>
              </w:rPr>
            </w:pPr>
            <w:r>
              <w:rPr>
                <w:b/>
                <w:bCs/>
                <w:kern w:val="0"/>
                <w:sz w:val="21"/>
                <w:szCs w:val="21"/>
              </w:rPr>
              <w:t>（三）</w:t>
            </w:r>
          </w:p>
        </w:tc>
        <w:tc>
          <w:tcPr>
            <w:tcW w:w="3030" w:type="dxa"/>
            <w:vAlign w:val="center"/>
          </w:tcPr>
          <w:p>
            <w:pPr>
              <w:pStyle w:val="68"/>
              <w:adjustRightInd/>
              <w:snapToGrid/>
              <w:spacing w:afterLines="0"/>
              <w:jc w:val="center"/>
              <w:rPr>
                <w:bCs/>
                <w:sz w:val="21"/>
                <w:szCs w:val="21"/>
              </w:rPr>
            </w:pPr>
            <w:r>
              <w:rPr>
                <w:bCs/>
                <w:sz w:val="21"/>
                <w:szCs w:val="21"/>
              </w:rPr>
              <w:t>公用设施用地区</w:t>
            </w:r>
          </w:p>
        </w:tc>
        <w:tc>
          <w:tcPr>
            <w:tcW w:w="764" w:type="dxa"/>
            <w:vAlign w:val="center"/>
          </w:tcPr>
          <w:p>
            <w:pPr>
              <w:pStyle w:val="68"/>
              <w:adjustRightInd/>
              <w:snapToGrid/>
              <w:spacing w:afterLines="0"/>
              <w:jc w:val="center"/>
              <w:rPr>
                <w:bCs/>
                <w:sz w:val="21"/>
                <w:szCs w:val="21"/>
              </w:rPr>
            </w:pPr>
          </w:p>
        </w:tc>
        <w:tc>
          <w:tcPr>
            <w:tcW w:w="1493" w:type="dxa"/>
            <w:vAlign w:val="center"/>
          </w:tcPr>
          <w:p>
            <w:pPr>
              <w:pStyle w:val="68"/>
              <w:adjustRightInd/>
              <w:snapToGrid/>
              <w:spacing w:afterLines="0"/>
              <w:jc w:val="center"/>
              <w:rPr>
                <w:bCs/>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kern w:val="0"/>
                <w:sz w:val="21"/>
                <w:szCs w:val="21"/>
              </w:rPr>
            </w:pPr>
            <w:r>
              <w:rPr>
                <w:b/>
                <w:bCs/>
                <w:kern w:val="0"/>
                <w:sz w:val="21"/>
                <w:szCs w:val="21"/>
              </w:rPr>
              <w:t>151.84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spacing w:line="240" w:lineRule="auto"/>
              <w:ind w:firstLine="0" w:firstLineChars="0"/>
              <w:jc w:val="center"/>
              <w:rPr>
                <w:kern w:val="0"/>
                <w:sz w:val="21"/>
                <w:szCs w:val="21"/>
              </w:rPr>
            </w:pPr>
            <w:r>
              <w:rPr>
                <w:kern w:val="0"/>
                <w:sz w:val="21"/>
                <w:szCs w:val="21"/>
              </w:rPr>
              <w:t>未建区</w:t>
            </w:r>
          </w:p>
        </w:tc>
        <w:tc>
          <w:tcPr>
            <w:tcW w:w="764" w:type="dxa"/>
            <w:vAlign w:val="center"/>
          </w:tcPr>
          <w:p>
            <w:pPr>
              <w:spacing w:line="240" w:lineRule="auto"/>
              <w:ind w:firstLine="0" w:firstLineChars="0"/>
              <w:jc w:val="center"/>
              <w:rPr>
                <w:kern w:val="0"/>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151.84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kern w:val="0"/>
                <w:sz w:val="21"/>
                <w:szCs w:val="21"/>
              </w:rPr>
            </w:pPr>
            <w:r>
              <w:rPr>
                <w:b w:val="0"/>
                <w:bCs/>
                <w:sz w:val="21"/>
                <w:szCs w:val="21"/>
              </w:rPr>
              <w:t>截排水沟</w:t>
            </w:r>
          </w:p>
        </w:tc>
        <w:tc>
          <w:tcPr>
            <w:tcW w:w="764" w:type="dxa"/>
            <w:vAlign w:val="center"/>
          </w:tcPr>
          <w:p>
            <w:pPr>
              <w:pStyle w:val="68"/>
              <w:adjustRightInd/>
              <w:snapToGrid/>
              <w:spacing w:afterLines="0"/>
              <w:jc w:val="center"/>
              <w:rPr>
                <w:b w:val="0"/>
                <w:kern w:val="0"/>
                <w:sz w:val="21"/>
                <w:szCs w:val="21"/>
              </w:rPr>
            </w:pPr>
            <w:r>
              <w:rPr>
                <w:b w:val="0"/>
                <w:bCs/>
                <w:sz w:val="21"/>
                <w:szCs w:val="21"/>
              </w:rPr>
              <w:t>m</w:t>
            </w:r>
          </w:p>
        </w:tc>
        <w:tc>
          <w:tcPr>
            <w:tcW w:w="1493" w:type="dxa"/>
            <w:vAlign w:val="center"/>
          </w:tcPr>
          <w:p>
            <w:pPr>
              <w:pStyle w:val="68"/>
              <w:adjustRightInd/>
              <w:snapToGrid/>
              <w:spacing w:afterLines="0"/>
              <w:jc w:val="center"/>
              <w:rPr>
                <w:b w:val="0"/>
                <w:bCs/>
                <w:sz w:val="21"/>
                <w:szCs w:val="21"/>
              </w:rPr>
            </w:pPr>
            <w:r>
              <w:rPr>
                <w:b w:val="0"/>
                <w:bCs/>
                <w:sz w:val="21"/>
                <w:szCs w:val="21"/>
              </w:rPr>
              <w:t>1282</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74.73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bCs/>
                <w:sz w:val="21"/>
                <w:szCs w:val="21"/>
              </w:rPr>
            </w:pPr>
            <w:r>
              <w:rPr>
                <w:sz w:val="21"/>
                <w:szCs w:val="21"/>
              </w:rPr>
              <w:t>土方开挖</w:t>
            </w:r>
          </w:p>
        </w:tc>
        <w:tc>
          <w:tcPr>
            <w:tcW w:w="764" w:type="dxa"/>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929.71</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5.65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609.21</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48.94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4435.72</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18.74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609.21</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1.40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kern w:val="0"/>
                <w:sz w:val="21"/>
                <w:szCs w:val="21"/>
              </w:rPr>
              <w:t>沉沙池</w:t>
            </w:r>
          </w:p>
        </w:tc>
        <w:tc>
          <w:tcPr>
            <w:tcW w:w="764" w:type="dxa"/>
            <w:vAlign w:val="center"/>
          </w:tcPr>
          <w:p>
            <w:pPr>
              <w:pStyle w:val="68"/>
              <w:adjustRightInd/>
              <w:snapToGrid/>
              <w:spacing w:afterLines="0"/>
              <w:jc w:val="center"/>
              <w:rPr>
                <w:b w:val="0"/>
                <w:kern w:val="0"/>
                <w:sz w:val="21"/>
                <w:szCs w:val="21"/>
              </w:rPr>
            </w:pPr>
            <w:r>
              <w:rPr>
                <w:b w:val="0"/>
                <w:kern w:val="0"/>
                <w:sz w:val="21"/>
                <w:szCs w:val="21"/>
              </w:rPr>
              <w:t>座</w:t>
            </w:r>
          </w:p>
        </w:tc>
        <w:tc>
          <w:tcPr>
            <w:tcW w:w="1493" w:type="dxa"/>
            <w:vAlign w:val="center"/>
          </w:tcPr>
          <w:p>
            <w:pPr>
              <w:pStyle w:val="68"/>
              <w:adjustRightInd/>
              <w:snapToGrid/>
              <w:spacing w:afterLines="0"/>
              <w:jc w:val="center"/>
              <w:rPr>
                <w:b w:val="0"/>
                <w:bCs/>
                <w:sz w:val="21"/>
                <w:szCs w:val="21"/>
              </w:rPr>
            </w:pPr>
            <w:r>
              <w:rPr>
                <w:b w:val="0"/>
                <w:bCs/>
                <w:sz w:val="21"/>
                <w:szCs w:val="21"/>
              </w:rPr>
              <w:t>6</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2.02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bCs/>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20.67</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0.13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8.94</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0.72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51.78</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0.22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C20砼底板</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4.32</w:t>
            </w:r>
          </w:p>
        </w:tc>
        <w:tc>
          <w:tcPr>
            <w:tcW w:w="1635" w:type="dxa"/>
            <w:vAlign w:val="center"/>
          </w:tcPr>
          <w:p>
            <w:pPr>
              <w:spacing w:line="240" w:lineRule="auto"/>
              <w:ind w:firstLine="0" w:firstLineChars="0"/>
              <w:jc w:val="center"/>
              <w:rPr>
                <w:kern w:val="0"/>
                <w:sz w:val="21"/>
                <w:szCs w:val="21"/>
              </w:rPr>
            </w:pPr>
            <w:r>
              <w:rPr>
                <w:kern w:val="0"/>
                <w:sz w:val="21"/>
                <w:szCs w:val="21"/>
              </w:rPr>
              <w:t>1395.98</w:t>
            </w:r>
          </w:p>
        </w:tc>
        <w:tc>
          <w:tcPr>
            <w:tcW w:w="1508" w:type="dxa"/>
            <w:vAlign w:val="center"/>
          </w:tcPr>
          <w:p>
            <w:pPr>
              <w:spacing w:line="240" w:lineRule="auto"/>
              <w:ind w:firstLine="0" w:firstLineChars="0"/>
              <w:jc w:val="center"/>
              <w:rPr>
                <w:kern w:val="0"/>
                <w:sz w:val="21"/>
                <w:szCs w:val="21"/>
              </w:rPr>
            </w:pPr>
            <w:r>
              <w:rPr>
                <w:kern w:val="0"/>
                <w:sz w:val="21"/>
                <w:szCs w:val="21"/>
              </w:rPr>
              <w:t>0.60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预制钢筋混凝土盖板</w:t>
            </w:r>
          </w:p>
        </w:tc>
        <w:tc>
          <w:tcPr>
            <w:tcW w:w="764" w:type="dxa"/>
            <w:vAlign w:val="center"/>
          </w:tcPr>
          <w:p>
            <w:pPr>
              <w:spacing w:line="240" w:lineRule="auto"/>
              <w:ind w:firstLine="0" w:firstLineChars="0"/>
              <w:jc w:val="center"/>
              <w:rPr>
                <w:sz w:val="21"/>
                <w:szCs w:val="21"/>
              </w:rPr>
            </w:pPr>
            <w:r>
              <w:rPr>
                <w:sz w:val="21"/>
                <w:szCs w:val="21"/>
              </w:rPr>
              <w:t>块</w:t>
            </w:r>
          </w:p>
        </w:tc>
        <w:tc>
          <w:tcPr>
            <w:tcW w:w="1493" w:type="dxa"/>
            <w:vAlign w:val="center"/>
          </w:tcPr>
          <w:p>
            <w:pPr>
              <w:pStyle w:val="68"/>
              <w:adjustRightInd/>
              <w:snapToGrid/>
              <w:spacing w:afterLines="0"/>
              <w:jc w:val="center"/>
              <w:rPr>
                <w:b w:val="0"/>
                <w:bCs/>
                <w:sz w:val="21"/>
                <w:szCs w:val="21"/>
              </w:rPr>
            </w:pPr>
            <w:r>
              <w:rPr>
                <w:b w:val="0"/>
                <w:bCs/>
                <w:sz w:val="21"/>
                <w:szCs w:val="21"/>
              </w:rPr>
              <w:t>6</w:t>
            </w:r>
          </w:p>
        </w:tc>
        <w:tc>
          <w:tcPr>
            <w:tcW w:w="1635" w:type="dxa"/>
            <w:vAlign w:val="center"/>
          </w:tcPr>
          <w:p>
            <w:pPr>
              <w:spacing w:line="240" w:lineRule="auto"/>
              <w:ind w:firstLine="0" w:firstLineChars="0"/>
              <w:jc w:val="center"/>
              <w:rPr>
                <w:kern w:val="0"/>
                <w:sz w:val="21"/>
                <w:szCs w:val="21"/>
              </w:rPr>
            </w:pPr>
            <w:r>
              <w:rPr>
                <w:kern w:val="0"/>
                <w:sz w:val="21"/>
                <w:szCs w:val="21"/>
              </w:rPr>
              <w:t>300</w:t>
            </w:r>
          </w:p>
        </w:tc>
        <w:tc>
          <w:tcPr>
            <w:tcW w:w="1508" w:type="dxa"/>
            <w:vAlign w:val="center"/>
          </w:tcPr>
          <w:p>
            <w:pPr>
              <w:spacing w:line="240" w:lineRule="auto"/>
              <w:ind w:firstLine="0" w:firstLineChars="0"/>
              <w:jc w:val="center"/>
              <w:rPr>
                <w:kern w:val="0"/>
                <w:sz w:val="21"/>
                <w:szCs w:val="21"/>
              </w:rPr>
            </w:pPr>
            <w:r>
              <w:rPr>
                <w:kern w:val="0"/>
                <w:sz w:val="21"/>
                <w:szCs w:val="21"/>
              </w:rPr>
              <w:t>0.18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砌砖及</w:t>
            </w:r>
            <w:r>
              <w:rPr>
                <w:kern w:val="0"/>
                <w:sz w:val="21"/>
                <w:szCs w:val="21"/>
              </w:rPr>
              <w:t>C20砼</w:t>
            </w:r>
            <w:r>
              <w:rPr>
                <w:sz w:val="21"/>
                <w:szCs w:val="21"/>
              </w:rPr>
              <w:t>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13.26</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0.17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（3）</w:t>
            </w:r>
          </w:p>
        </w:tc>
        <w:tc>
          <w:tcPr>
            <w:tcW w:w="3030" w:type="dxa"/>
            <w:vAlign w:val="center"/>
          </w:tcPr>
          <w:p>
            <w:pPr>
              <w:pStyle w:val="68"/>
              <w:adjustRightInd/>
              <w:snapToGrid/>
              <w:spacing w:afterLines="0"/>
              <w:jc w:val="center"/>
              <w:rPr>
                <w:sz w:val="21"/>
                <w:szCs w:val="21"/>
              </w:rPr>
            </w:pPr>
            <w:r>
              <w:rPr>
                <w:b w:val="0"/>
                <w:bCs/>
                <w:sz w:val="21"/>
                <w:szCs w:val="21"/>
              </w:rPr>
              <w:t>防雨布苫盖</w:t>
            </w:r>
          </w:p>
        </w:tc>
        <w:tc>
          <w:tcPr>
            <w:tcW w:w="764" w:type="dxa"/>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5.80</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69.54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（4）</w:t>
            </w:r>
          </w:p>
        </w:tc>
        <w:tc>
          <w:tcPr>
            <w:tcW w:w="3030" w:type="dxa"/>
            <w:vAlign w:val="center"/>
          </w:tcPr>
          <w:p>
            <w:pPr>
              <w:pStyle w:val="68"/>
              <w:adjustRightInd/>
              <w:snapToGrid/>
              <w:spacing w:afterLines="0"/>
              <w:jc w:val="center"/>
              <w:rPr>
                <w:b w:val="0"/>
                <w:bCs/>
                <w:sz w:val="21"/>
                <w:szCs w:val="21"/>
              </w:rPr>
            </w:pPr>
            <w:r>
              <w:rPr>
                <w:b w:val="0"/>
                <w:bCs/>
                <w:sz w:val="21"/>
                <w:szCs w:val="21"/>
              </w:rPr>
              <w:t>洗车池</w:t>
            </w:r>
          </w:p>
        </w:tc>
        <w:tc>
          <w:tcPr>
            <w:tcW w:w="764" w:type="dxa"/>
            <w:vAlign w:val="center"/>
          </w:tcPr>
          <w:p>
            <w:pPr>
              <w:pStyle w:val="68"/>
              <w:adjustRightInd/>
              <w:snapToGrid/>
              <w:spacing w:afterLines="0"/>
              <w:jc w:val="center"/>
              <w:rPr>
                <w:b w:val="0"/>
                <w:bCs/>
                <w:sz w:val="21"/>
                <w:szCs w:val="21"/>
              </w:rPr>
            </w:pPr>
            <w:r>
              <w:rPr>
                <w:b w:val="0"/>
                <w:bCs/>
                <w:sz w:val="21"/>
                <w:szCs w:val="21"/>
              </w:rPr>
              <w:t>座</w:t>
            </w:r>
          </w:p>
        </w:tc>
        <w:tc>
          <w:tcPr>
            <w:tcW w:w="1493" w:type="dxa"/>
            <w:vAlign w:val="center"/>
          </w:tcPr>
          <w:p>
            <w:pPr>
              <w:pStyle w:val="68"/>
              <w:adjustRightInd/>
              <w:snapToGrid/>
              <w:spacing w:afterLines="0"/>
              <w:jc w:val="center"/>
              <w:rPr>
                <w:b w:val="0"/>
                <w:bCs/>
                <w:sz w:val="21"/>
                <w:szCs w:val="21"/>
              </w:rPr>
            </w:pPr>
            <w:r>
              <w:rPr>
                <w:b w:val="0"/>
                <w:bCs/>
                <w:sz w:val="21"/>
                <w:szCs w:val="21"/>
              </w:rPr>
              <w:t>2</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5.58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bCs/>
                <w:sz w:val="21"/>
                <w:szCs w:val="21"/>
              </w:rPr>
            </w:pPr>
            <w:r>
              <w:rPr>
                <w:b w:val="0"/>
                <w:bCs/>
                <w:sz w:val="21"/>
                <w:szCs w:val="21"/>
              </w:rPr>
              <w:t>土方开挖</w:t>
            </w:r>
          </w:p>
        </w:tc>
        <w:tc>
          <w:tcPr>
            <w:tcW w:w="764" w:type="dxa"/>
            <w:vAlign w:val="center"/>
          </w:tcPr>
          <w:p>
            <w:pPr>
              <w:pStyle w:val="68"/>
              <w:adjustRightInd/>
              <w:snapToGrid/>
              <w:spacing w:afterLines="0"/>
              <w:jc w:val="center"/>
              <w:rPr>
                <w:b w:val="0"/>
                <w:bCs/>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42</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素土夯实</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22.26</w:t>
            </w:r>
          </w:p>
        </w:tc>
        <w:tc>
          <w:tcPr>
            <w:tcW w:w="1635" w:type="dxa"/>
            <w:vAlign w:val="center"/>
          </w:tcPr>
          <w:p>
            <w:pPr>
              <w:spacing w:line="240" w:lineRule="auto"/>
              <w:ind w:firstLine="0" w:firstLineChars="0"/>
              <w:jc w:val="center"/>
              <w:rPr>
                <w:kern w:val="0"/>
                <w:sz w:val="21"/>
                <w:szCs w:val="21"/>
              </w:rPr>
            </w:pPr>
            <w:r>
              <w:rPr>
                <w:kern w:val="0"/>
                <w:sz w:val="21"/>
                <w:szCs w:val="21"/>
              </w:rPr>
              <w:t>92.64</w:t>
            </w:r>
          </w:p>
        </w:tc>
        <w:tc>
          <w:tcPr>
            <w:tcW w:w="1508" w:type="dxa"/>
            <w:vAlign w:val="center"/>
          </w:tcPr>
          <w:p>
            <w:pPr>
              <w:spacing w:line="240" w:lineRule="auto"/>
              <w:ind w:firstLine="0" w:firstLineChars="0"/>
              <w:jc w:val="center"/>
              <w:rPr>
                <w:kern w:val="0"/>
                <w:sz w:val="21"/>
                <w:szCs w:val="21"/>
              </w:rPr>
            </w:pPr>
            <w:r>
              <w:rPr>
                <w:kern w:val="0"/>
                <w:sz w:val="21"/>
                <w:szCs w:val="21"/>
              </w:rPr>
              <w:t>0.21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砂砾石回填</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18</w:t>
            </w:r>
          </w:p>
        </w:tc>
        <w:tc>
          <w:tcPr>
            <w:tcW w:w="1635" w:type="dxa"/>
            <w:vAlign w:val="center"/>
          </w:tcPr>
          <w:p>
            <w:pPr>
              <w:spacing w:line="240" w:lineRule="auto"/>
              <w:ind w:firstLine="0" w:firstLineChars="0"/>
              <w:jc w:val="center"/>
              <w:rPr>
                <w:kern w:val="0"/>
                <w:sz w:val="21"/>
                <w:szCs w:val="21"/>
              </w:rPr>
            </w:pPr>
            <w:r>
              <w:rPr>
                <w:kern w:val="0"/>
                <w:sz w:val="21"/>
                <w:szCs w:val="21"/>
              </w:rPr>
              <w:t>402.78</w:t>
            </w:r>
          </w:p>
        </w:tc>
        <w:tc>
          <w:tcPr>
            <w:tcW w:w="1508" w:type="dxa"/>
            <w:vAlign w:val="center"/>
          </w:tcPr>
          <w:p>
            <w:pPr>
              <w:spacing w:line="240" w:lineRule="auto"/>
              <w:ind w:firstLine="0" w:firstLineChars="0"/>
              <w:jc w:val="center"/>
              <w:rPr>
                <w:kern w:val="0"/>
                <w:sz w:val="21"/>
                <w:szCs w:val="21"/>
              </w:rPr>
            </w:pPr>
            <w:r>
              <w:rPr>
                <w:kern w:val="0"/>
                <w:sz w:val="21"/>
                <w:szCs w:val="21"/>
              </w:rPr>
              <w:t>0.73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C25砼现浇</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24</w:t>
            </w:r>
          </w:p>
        </w:tc>
        <w:tc>
          <w:tcPr>
            <w:tcW w:w="1635" w:type="dxa"/>
            <w:vAlign w:val="center"/>
          </w:tcPr>
          <w:p>
            <w:pPr>
              <w:spacing w:line="240" w:lineRule="auto"/>
              <w:ind w:firstLine="0" w:firstLineChars="0"/>
              <w:jc w:val="center"/>
              <w:rPr>
                <w:kern w:val="0"/>
                <w:sz w:val="21"/>
                <w:szCs w:val="21"/>
              </w:rPr>
            </w:pPr>
            <w:r>
              <w:rPr>
                <w:kern w:val="0"/>
                <w:sz w:val="21"/>
                <w:szCs w:val="21"/>
              </w:rPr>
              <w:t>1424.41</w:t>
            </w:r>
          </w:p>
        </w:tc>
        <w:tc>
          <w:tcPr>
            <w:tcW w:w="1508" w:type="dxa"/>
            <w:vAlign w:val="center"/>
          </w:tcPr>
          <w:p>
            <w:pPr>
              <w:spacing w:line="240" w:lineRule="auto"/>
              <w:ind w:firstLine="0" w:firstLineChars="0"/>
              <w:jc w:val="center"/>
              <w:rPr>
                <w:kern w:val="0"/>
                <w:sz w:val="21"/>
                <w:szCs w:val="21"/>
              </w:rPr>
            </w:pPr>
            <w:r>
              <w:rPr>
                <w:kern w:val="0"/>
                <w:sz w:val="21"/>
                <w:szCs w:val="21"/>
              </w:rPr>
              <w:t>3.42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钢筋制安</w:t>
            </w:r>
          </w:p>
        </w:tc>
        <w:tc>
          <w:tcPr>
            <w:tcW w:w="764" w:type="dxa"/>
            <w:vAlign w:val="center"/>
          </w:tcPr>
          <w:p>
            <w:pPr>
              <w:pStyle w:val="68"/>
              <w:adjustRightInd/>
              <w:snapToGrid/>
              <w:spacing w:afterLines="0"/>
              <w:jc w:val="center"/>
              <w:rPr>
                <w:b w:val="0"/>
                <w:kern w:val="0"/>
                <w:sz w:val="21"/>
                <w:szCs w:val="21"/>
              </w:rPr>
            </w:pPr>
            <w:r>
              <w:rPr>
                <w:b w:val="0"/>
                <w:bCs/>
                <w:sz w:val="21"/>
                <w:szCs w:val="21"/>
              </w:rPr>
              <w:t>t</w:t>
            </w:r>
          </w:p>
        </w:tc>
        <w:tc>
          <w:tcPr>
            <w:tcW w:w="1493" w:type="dxa"/>
            <w:vAlign w:val="center"/>
          </w:tcPr>
          <w:p>
            <w:pPr>
              <w:pStyle w:val="68"/>
              <w:adjustRightInd/>
              <w:snapToGrid/>
              <w:spacing w:afterLines="0"/>
              <w:jc w:val="center"/>
              <w:rPr>
                <w:b w:val="0"/>
                <w:bCs/>
                <w:sz w:val="21"/>
                <w:szCs w:val="21"/>
              </w:rPr>
            </w:pPr>
            <w:r>
              <w:rPr>
                <w:b w:val="0"/>
                <w:bCs/>
                <w:sz w:val="21"/>
                <w:szCs w:val="21"/>
              </w:rPr>
              <w:t>0.54</w:t>
            </w:r>
          </w:p>
        </w:tc>
        <w:tc>
          <w:tcPr>
            <w:tcW w:w="1635" w:type="dxa"/>
            <w:vAlign w:val="center"/>
          </w:tcPr>
          <w:p>
            <w:pPr>
              <w:spacing w:line="240" w:lineRule="auto"/>
              <w:ind w:firstLine="0" w:firstLineChars="0"/>
              <w:jc w:val="center"/>
              <w:rPr>
                <w:kern w:val="0"/>
                <w:sz w:val="21"/>
                <w:szCs w:val="21"/>
              </w:rPr>
            </w:pPr>
            <w:r>
              <w:rPr>
                <w:kern w:val="0"/>
                <w:sz w:val="21"/>
                <w:szCs w:val="21"/>
              </w:rPr>
              <w:t>11892.79</w:t>
            </w:r>
          </w:p>
        </w:tc>
        <w:tc>
          <w:tcPr>
            <w:tcW w:w="1508" w:type="dxa"/>
            <w:vAlign w:val="center"/>
          </w:tcPr>
          <w:p>
            <w:pPr>
              <w:spacing w:line="240" w:lineRule="auto"/>
              <w:ind w:firstLine="0" w:firstLineChars="0"/>
              <w:jc w:val="center"/>
              <w:rPr>
                <w:kern w:val="0"/>
                <w:sz w:val="21"/>
                <w:szCs w:val="21"/>
              </w:rPr>
            </w:pPr>
            <w:r>
              <w:rPr>
                <w:kern w:val="0"/>
                <w:sz w:val="21"/>
                <w:szCs w:val="21"/>
              </w:rPr>
              <w:t>0.64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C25砼拆除</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24</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0.32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b/>
                <w:bCs/>
                <w:kern w:val="0"/>
                <w:sz w:val="21"/>
                <w:szCs w:val="21"/>
              </w:rPr>
            </w:pPr>
            <w:r>
              <w:rPr>
                <w:b/>
                <w:bCs/>
                <w:kern w:val="0"/>
                <w:sz w:val="21"/>
                <w:szCs w:val="21"/>
              </w:rPr>
              <w:t>（四）</w:t>
            </w:r>
          </w:p>
        </w:tc>
        <w:tc>
          <w:tcPr>
            <w:tcW w:w="3030" w:type="dxa"/>
            <w:vAlign w:val="center"/>
          </w:tcPr>
          <w:p>
            <w:pPr>
              <w:pStyle w:val="68"/>
              <w:adjustRightInd/>
              <w:snapToGrid/>
              <w:spacing w:afterLines="0"/>
              <w:jc w:val="center"/>
              <w:rPr>
                <w:bCs/>
                <w:sz w:val="21"/>
                <w:szCs w:val="21"/>
              </w:rPr>
            </w:pPr>
            <w:r>
              <w:rPr>
                <w:bCs/>
                <w:sz w:val="21"/>
                <w:szCs w:val="21"/>
              </w:rPr>
              <w:t>绿地与广场用地区</w:t>
            </w:r>
          </w:p>
        </w:tc>
        <w:tc>
          <w:tcPr>
            <w:tcW w:w="764" w:type="dxa"/>
            <w:vAlign w:val="center"/>
          </w:tcPr>
          <w:p>
            <w:pPr>
              <w:pStyle w:val="68"/>
              <w:adjustRightInd/>
              <w:snapToGrid/>
              <w:spacing w:afterLines="0"/>
              <w:jc w:val="center"/>
              <w:rPr>
                <w:bCs/>
                <w:sz w:val="21"/>
                <w:szCs w:val="21"/>
              </w:rPr>
            </w:pPr>
          </w:p>
        </w:tc>
        <w:tc>
          <w:tcPr>
            <w:tcW w:w="1493" w:type="dxa"/>
            <w:vAlign w:val="center"/>
          </w:tcPr>
          <w:p>
            <w:pPr>
              <w:pStyle w:val="68"/>
              <w:adjustRightInd/>
              <w:snapToGrid/>
              <w:spacing w:afterLines="0"/>
              <w:jc w:val="center"/>
              <w:rPr>
                <w:bCs/>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kern w:val="0"/>
                <w:sz w:val="21"/>
                <w:szCs w:val="21"/>
              </w:rPr>
            </w:pPr>
            <w:r>
              <w:rPr>
                <w:b/>
                <w:bCs/>
                <w:kern w:val="0"/>
                <w:sz w:val="21"/>
                <w:szCs w:val="21"/>
              </w:rPr>
              <w:t>23.98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bCs/>
                <w:sz w:val="21"/>
                <w:szCs w:val="21"/>
              </w:rPr>
              <w:t>未建区</w:t>
            </w:r>
          </w:p>
        </w:tc>
        <w:tc>
          <w:tcPr>
            <w:tcW w:w="764" w:type="dxa"/>
            <w:vAlign w:val="center"/>
          </w:tcPr>
          <w:p>
            <w:pPr>
              <w:pStyle w:val="68"/>
              <w:adjustRightInd/>
              <w:snapToGrid/>
              <w:spacing w:afterLines="0"/>
              <w:jc w:val="center"/>
              <w:rPr>
                <w:b w:val="0"/>
                <w:sz w:val="21"/>
                <w:szCs w:val="21"/>
              </w:rPr>
            </w:pPr>
          </w:p>
        </w:tc>
        <w:tc>
          <w:tcPr>
            <w:tcW w:w="1493" w:type="dxa"/>
            <w:vAlign w:val="center"/>
          </w:tcPr>
          <w:p>
            <w:pPr>
              <w:pStyle w:val="68"/>
              <w:adjustRightInd/>
              <w:snapToGrid/>
              <w:spacing w:afterLines="0"/>
              <w:jc w:val="center"/>
              <w:rPr>
                <w:b w:val="0"/>
                <w:bCs/>
                <w:sz w:val="21"/>
                <w:szCs w:val="21"/>
              </w:rPr>
            </w:pP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23.98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0"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sz w:val="21"/>
                <w:szCs w:val="21"/>
              </w:rPr>
            </w:pPr>
            <w:r>
              <w:rPr>
                <w:b w:val="0"/>
                <w:bCs/>
                <w:sz w:val="21"/>
                <w:szCs w:val="21"/>
              </w:rPr>
              <w:t>防雨布苫盖</w:t>
            </w:r>
          </w:p>
        </w:tc>
        <w:tc>
          <w:tcPr>
            <w:tcW w:w="764" w:type="dxa"/>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2.0</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23.98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b/>
                <w:bCs/>
                <w:kern w:val="0"/>
                <w:sz w:val="21"/>
                <w:szCs w:val="21"/>
              </w:rPr>
            </w:pPr>
            <w:r>
              <w:rPr>
                <w:b/>
                <w:bCs/>
                <w:kern w:val="0"/>
                <w:sz w:val="21"/>
                <w:szCs w:val="21"/>
              </w:rPr>
              <w:t>二</w:t>
            </w:r>
          </w:p>
        </w:tc>
        <w:tc>
          <w:tcPr>
            <w:tcW w:w="3030" w:type="dxa"/>
            <w:vAlign w:val="center"/>
          </w:tcPr>
          <w:p>
            <w:pPr>
              <w:pStyle w:val="68"/>
              <w:adjustRightInd/>
              <w:snapToGrid/>
              <w:spacing w:afterLines="0"/>
              <w:jc w:val="center"/>
              <w:rPr>
                <w:bCs/>
                <w:sz w:val="21"/>
                <w:szCs w:val="21"/>
              </w:rPr>
            </w:pPr>
            <w:r>
              <w:rPr>
                <w:bCs/>
                <w:sz w:val="21"/>
                <w:szCs w:val="21"/>
              </w:rPr>
              <w:t>临时堆场区</w:t>
            </w:r>
          </w:p>
        </w:tc>
        <w:tc>
          <w:tcPr>
            <w:tcW w:w="764" w:type="dxa"/>
            <w:vAlign w:val="center"/>
          </w:tcPr>
          <w:p>
            <w:pPr>
              <w:pStyle w:val="68"/>
              <w:adjustRightInd/>
              <w:snapToGrid/>
              <w:spacing w:afterLines="0"/>
              <w:jc w:val="center"/>
              <w:rPr>
                <w:bCs/>
                <w:sz w:val="21"/>
                <w:szCs w:val="21"/>
              </w:rPr>
            </w:pPr>
          </w:p>
        </w:tc>
        <w:tc>
          <w:tcPr>
            <w:tcW w:w="1493" w:type="dxa"/>
            <w:vAlign w:val="center"/>
          </w:tcPr>
          <w:p>
            <w:pPr>
              <w:pStyle w:val="68"/>
              <w:adjustRightInd/>
              <w:snapToGrid/>
              <w:spacing w:afterLines="0"/>
              <w:jc w:val="center"/>
              <w:rPr>
                <w:bCs/>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kern w:val="0"/>
                <w:sz w:val="21"/>
                <w:szCs w:val="21"/>
              </w:rPr>
            </w:pPr>
            <w:r>
              <w:rPr>
                <w:b/>
                <w:bCs/>
                <w:kern w:val="0"/>
                <w:sz w:val="21"/>
                <w:szCs w:val="21"/>
              </w:rPr>
              <w:t>2817.01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b/>
                <w:bCs/>
                <w:kern w:val="0"/>
                <w:sz w:val="21"/>
                <w:szCs w:val="21"/>
              </w:rPr>
            </w:pPr>
            <w:r>
              <w:rPr>
                <w:b/>
                <w:bCs/>
                <w:kern w:val="0"/>
                <w:sz w:val="21"/>
                <w:szCs w:val="21"/>
              </w:rPr>
              <w:t>（一）</w:t>
            </w:r>
          </w:p>
        </w:tc>
        <w:tc>
          <w:tcPr>
            <w:tcW w:w="3030" w:type="dxa"/>
            <w:vAlign w:val="center"/>
          </w:tcPr>
          <w:p>
            <w:pPr>
              <w:pStyle w:val="68"/>
              <w:adjustRightInd/>
              <w:snapToGrid/>
              <w:spacing w:afterLines="0"/>
              <w:jc w:val="center"/>
              <w:rPr>
                <w:bCs/>
                <w:sz w:val="21"/>
                <w:szCs w:val="21"/>
              </w:rPr>
            </w:pPr>
            <w:r>
              <w:rPr>
                <w:bCs/>
                <w:sz w:val="21"/>
                <w:szCs w:val="21"/>
              </w:rPr>
              <w:t>表土中转场</w:t>
            </w:r>
          </w:p>
        </w:tc>
        <w:tc>
          <w:tcPr>
            <w:tcW w:w="764" w:type="dxa"/>
            <w:vAlign w:val="center"/>
          </w:tcPr>
          <w:p>
            <w:pPr>
              <w:pStyle w:val="68"/>
              <w:adjustRightInd/>
              <w:snapToGrid/>
              <w:spacing w:afterLines="0"/>
              <w:jc w:val="center"/>
              <w:rPr>
                <w:bCs/>
                <w:sz w:val="21"/>
                <w:szCs w:val="21"/>
              </w:rPr>
            </w:pPr>
          </w:p>
        </w:tc>
        <w:tc>
          <w:tcPr>
            <w:tcW w:w="1493" w:type="dxa"/>
            <w:vAlign w:val="center"/>
          </w:tcPr>
          <w:p>
            <w:pPr>
              <w:pStyle w:val="68"/>
              <w:adjustRightInd/>
              <w:snapToGrid/>
              <w:spacing w:afterLines="0"/>
              <w:jc w:val="center"/>
              <w:rPr>
                <w:bCs/>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kern w:val="0"/>
                <w:sz w:val="21"/>
                <w:szCs w:val="21"/>
              </w:rPr>
            </w:pPr>
            <w:r>
              <w:rPr>
                <w:b/>
                <w:bCs/>
                <w:kern w:val="0"/>
                <w:sz w:val="21"/>
                <w:szCs w:val="21"/>
              </w:rPr>
              <w:t>1694.71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bCs/>
                <w:sz w:val="21"/>
                <w:szCs w:val="21"/>
              </w:rPr>
              <w:t>密目网苫盖</w:t>
            </w:r>
          </w:p>
        </w:tc>
        <w:tc>
          <w:tcPr>
            <w:tcW w:w="764" w:type="dxa"/>
            <w:vAlign w:val="center"/>
          </w:tcPr>
          <w:p>
            <w:pPr>
              <w:pStyle w:val="68"/>
              <w:adjustRightInd/>
              <w:snapToGrid/>
              <w:spacing w:afterLines="0"/>
              <w:jc w:val="center"/>
              <w:rPr>
                <w:b w:val="0"/>
                <w:sz w:val="21"/>
                <w:szCs w:val="21"/>
              </w:rPr>
            </w:pPr>
            <w:r>
              <w:rPr>
                <w:b w:val="0"/>
                <w:bCs/>
                <w:sz w:val="21"/>
                <w:szCs w:val="21"/>
              </w:rPr>
              <w:t>hm</w:t>
            </w:r>
            <w:r>
              <w:rPr>
                <w:b w:val="0"/>
                <w:bCs/>
                <w:sz w:val="21"/>
                <w:szCs w:val="21"/>
                <w:vertAlign w:val="superscript"/>
              </w:rPr>
              <w:t>2</w:t>
            </w:r>
          </w:p>
        </w:tc>
        <w:tc>
          <w:tcPr>
            <w:tcW w:w="1493" w:type="dxa"/>
            <w:vAlign w:val="center"/>
          </w:tcPr>
          <w:p>
            <w:pPr>
              <w:pStyle w:val="68"/>
              <w:adjustRightInd/>
              <w:snapToGrid/>
              <w:spacing w:afterLines="0"/>
              <w:jc w:val="center"/>
              <w:rPr>
                <w:b w:val="0"/>
                <w:bCs/>
                <w:sz w:val="21"/>
                <w:szCs w:val="21"/>
              </w:rPr>
            </w:pPr>
            <w:r>
              <w:rPr>
                <w:b w:val="0"/>
                <w:bCs/>
                <w:sz w:val="21"/>
                <w:szCs w:val="21"/>
              </w:rPr>
              <w:t>42.19</w:t>
            </w:r>
          </w:p>
        </w:tc>
        <w:tc>
          <w:tcPr>
            <w:tcW w:w="1635" w:type="dxa"/>
            <w:vAlign w:val="center"/>
          </w:tcPr>
          <w:p>
            <w:pPr>
              <w:spacing w:line="240" w:lineRule="auto"/>
              <w:ind w:firstLine="0" w:firstLineChars="0"/>
              <w:jc w:val="center"/>
              <w:rPr>
                <w:kern w:val="0"/>
                <w:sz w:val="21"/>
                <w:szCs w:val="21"/>
              </w:rPr>
            </w:pPr>
            <w:r>
              <w:rPr>
                <w:kern w:val="0"/>
                <w:sz w:val="21"/>
                <w:szCs w:val="21"/>
              </w:rPr>
              <w:t>46085</w:t>
            </w:r>
          </w:p>
        </w:tc>
        <w:tc>
          <w:tcPr>
            <w:tcW w:w="1508" w:type="dxa"/>
            <w:vAlign w:val="center"/>
          </w:tcPr>
          <w:p>
            <w:pPr>
              <w:spacing w:line="240" w:lineRule="auto"/>
              <w:ind w:firstLine="0" w:firstLineChars="0"/>
              <w:jc w:val="center"/>
              <w:rPr>
                <w:kern w:val="0"/>
                <w:sz w:val="21"/>
                <w:szCs w:val="21"/>
              </w:rPr>
            </w:pPr>
            <w:r>
              <w:rPr>
                <w:kern w:val="0"/>
                <w:sz w:val="21"/>
                <w:szCs w:val="21"/>
              </w:rPr>
              <w:t>194.43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bCs/>
                <w:sz w:val="21"/>
                <w:szCs w:val="21"/>
              </w:rPr>
              <w:t>编织袋装土拦挡</w:t>
            </w:r>
          </w:p>
        </w:tc>
        <w:tc>
          <w:tcPr>
            <w:tcW w:w="764" w:type="dxa"/>
            <w:vAlign w:val="center"/>
          </w:tcPr>
          <w:p>
            <w:pPr>
              <w:pStyle w:val="68"/>
              <w:adjustRightInd/>
              <w:snapToGrid/>
              <w:spacing w:afterLines="0"/>
              <w:jc w:val="center"/>
              <w:rPr>
                <w:b w:val="0"/>
                <w:kern w:val="0"/>
                <w:sz w:val="21"/>
                <w:szCs w:val="21"/>
              </w:rPr>
            </w:pPr>
            <w:r>
              <w:rPr>
                <w:b w:val="0"/>
                <w:bCs/>
                <w:sz w:val="21"/>
                <w:szCs w:val="21"/>
              </w:rPr>
              <w:t>m</w:t>
            </w:r>
          </w:p>
        </w:tc>
        <w:tc>
          <w:tcPr>
            <w:tcW w:w="1493" w:type="dxa"/>
            <w:vAlign w:val="center"/>
          </w:tcPr>
          <w:p>
            <w:pPr>
              <w:pStyle w:val="68"/>
              <w:adjustRightInd/>
              <w:snapToGrid/>
              <w:spacing w:afterLines="0"/>
              <w:jc w:val="center"/>
              <w:rPr>
                <w:b w:val="0"/>
                <w:bCs/>
                <w:sz w:val="21"/>
                <w:szCs w:val="21"/>
              </w:rPr>
            </w:pPr>
            <w:r>
              <w:rPr>
                <w:b w:val="0"/>
                <w:bCs/>
                <w:sz w:val="21"/>
                <w:szCs w:val="21"/>
              </w:rPr>
              <w:t>22600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1500.28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编织袋装土填筑</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36160</w:t>
            </w:r>
          </w:p>
        </w:tc>
        <w:tc>
          <w:tcPr>
            <w:tcW w:w="1635" w:type="dxa"/>
            <w:vAlign w:val="center"/>
          </w:tcPr>
          <w:p>
            <w:pPr>
              <w:spacing w:line="240" w:lineRule="auto"/>
              <w:ind w:firstLine="0" w:firstLineChars="0"/>
              <w:jc w:val="center"/>
              <w:rPr>
                <w:kern w:val="0"/>
                <w:sz w:val="21"/>
                <w:szCs w:val="21"/>
              </w:rPr>
            </w:pPr>
            <w:r>
              <w:rPr>
                <w:kern w:val="0"/>
                <w:sz w:val="21"/>
                <w:szCs w:val="21"/>
              </w:rPr>
              <w:t>367.16</w:t>
            </w:r>
          </w:p>
        </w:tc>
        <w:tc>
          <w:tcPr>
            <w:tcW w:w="1508" w:type="dxa"/>
            <w:vAlign w:val="center"/>
          </w:tcPr>
          <w:p>
            <w:pPr>
              <w:spacing w:line="240" w:lineRule="auto"/>
              <w:ind w:firstLine="0" w:firstLineChars="0"/>
              <w:jc w:val="center"/>
              <w:rPr>
                <w:kern w:val="0"/>
                <w:sz w:val="21"/>
                <w:szCs w:val="21"/>
              </w:rPr>
            </w:pPr>
            <w:r>
              <w:rPr>
                <w:kern w:val="0"/>
                <w:sz w:val="21"/>
                <w:szCs w:val="21"/>
              </w:rPr>
              <w:t>1327.65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土袋拆除</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pStyle w:val="68"/>
              <w:adjustRightInd/>
              <w:snapToGrid/>
              <w:spacing w:afterLines="0"/>
              <w:jc w:val="center"/>
              <w:rPr>
                <w:b w:val="0"/>
                <w:bCs/>
                <w:sz w:val="21"/>
                <w:szCs w:val="21"/>
              </w:rPr>
            </w:pPr>
            <w:r>
              <w:rPr>
                <w:b w:val="0"/>
                <w:bCs/>
                <w:sz w:val="21"/>
                <w:szCs w:val="21"/>
              </w:rPr>
              <w:t>36160</w:t>
            </w:r>
          </w:p>
        </w:tc>
        <w:tc>
          <w:tcPr>
            <w:tcW w:w="1635" w:type="dxa"/>
            <w:vAlign w:val="center"/>
          </w:tcPr>
          <w:p>
            <w:pPr>
              <w:spacing w:line="240" w:lineRule="auto"/>
              <w:ind w:firstLine="0" w:firstLineChars="0"/>
              <w:jc w:val="center"/>
              <w:rPr>
                <w:kern w:val="0"/>
                <w:sz w:val="21"/>
                <w:szCs w:val="21"/>
              </w:rPr>
            </w:pPr>
            <w:r>
              <w:rPr>
                <w:kern w:val="0"/>
                <w:sz w:val="21"/>
                <w:szCs w:val="21"/>
              </w:rPr>
              <w:t>47.74</w:t>
            </w:r>
          </w:p>
        </w:tc>
        <w:tc>
          <w:tcPr>
            <w:tcW w:w="1508" w:type="dxa"/>
            <w:vAlign w:val="center"/>
          </w:tcPr>
          <w:p>
            <w:pPr>
              <w:spacing w:line="240" w:lineRule="auto"/>
              <w:ind w:firstLine="0" w:firstLineChars="0"/>
              <w:jc w:val="center"/>
              <w:rPr>
                <w:kern w:val="0"/>
                <w:sz w:val="21"/>
                <w:szCs w:val="21"/>
              </w:rPr>
            </w:pPr>
            <w:r>
              <w:rPr>
                <w:kern w:val="0"/>
                <w:sz w:val="21"/>
                <w:szCs w:val="21"/>
              </w:rPr>
              <w:t>172.63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b/>
                <w:bCs/>
                <w:kern w:val="0"/>
                <w:sz w:val="21"/>
                <w:szCs w:val="21"/>
              </w:rPr>
            </w:pPr>
            <w:r>
              <w:rPr>
                <w:b/>
                <w:bCs/>
                <w:kern w:val="0"/>
                <w:sz w:val="21"/>
                <w:szCs w:val="21"/>
              </w:rPr>
              <w:t>（二）</w:t>
            </w:r>
          </w:p>
        </w:tc>
        <w:tc>
          <w:tcPr>
            <w:tcW w:w="3030" w:type="dxa"/>
            <w:vAlign w:val="center"/>
          </w:tcPr>
          <w:p>
            <w:pPr>
              <w:pStyle w:val="68"/>
              <w:adjustRightInd/>
              <w:snapToGrid/>
              <w:spacing w:afterLines="0"/>
              <w:jc w:val="center"/>
              <w:rPr>
                <w:bCs/>
                <w:sz w:val="21"/>
                <w:szCs w:val="21"/>
              </w:rPr>
            </w:pPr>
            <w:r>
              <w:rPr>
                <w:bCs/>
                <w:sz w:val="21"/>
                <w:szCs w:val="21"/>
              </w:rPr>
              <w:t>土石方中转场</w:t>
            </w:r>
          </w:p>
        </w:tc>
        <w:tc>
          <w:tcPr>
            <w:tcW w:w="764" w:type="dxa"/>
            <w:vAlign w:val="center"/>
          </w:tcPr>
          <w:p>
            <w:pPr>
              <w:pStyle w:val="68"/>
              <w:adjustRightInd/>
              <w:snapToGrid/>
              <w:spacing w:afterLines="0"/>
              <w:jc w:val="center"/>
              <w:rPr>
                <w:bCs/>
                <w:sz w:val="21"/>
                <w:szCs w:val="21"/>
              </w:rPr>
            </w:pPr>
          </w:p>
        </w:tc>
        <w:tc>
          <w:tcPr>
            <w:tcW w:w="1493" w:type="dxa"/>
            <w:vAlign w:val="center"/>
          </w:tcPr>
          <w:p>
            <w:pPr>
              <w:pStyle w:val="68"/>
              <w:adjustRightInd/>
              <w:snapToGrid/>
              <w:spacing w:afterLines="0"/>
              <w:jc w:val="center"/>
              <w:rPr>
                <w:bCs/>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kern w:val="0"/>
                <w:sz w:val="21"/>
                <w:szCs w:val="21"/>
              </w:rPr>
            </w:pPr>
            <w:r>
              <w:rPr>
                <w:b/>
                <w:bCs/>
                <w:kern w:val="0"/>
                <w:sz w:val="21"/>
                <w:szCs w:val="21"/>
              </w:rPr>
              <w:t>1122.30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8"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sz w:val="21"/>
                <w:szCs w:val="21"/>
              </w:rPr>
              <w:t>浆砌石重力式挡土墙</w:t>
            </w:r>
          </w:p>
        </w:tc>
        <w:tc>
          <w:tcPr>
            <w:tcW w:w="764" w:type="dxa"/>
            <w:vAlign w:val="center"/>
          </w:tcPr>
          <w:p>
            <w:pPr>
              <w:pStyle w:val="68"/>
              <w:adjustRightInd/>
              <w:snapToGrid/>
              <w:spacing w:afterLines="0"/>
              <w:jc w:val="center"/>
              <w:rPr>
                <w:b w:val="0"/>
                <w:sz w:val="21"/>
                <w:szCs w:val="21"/>
              </w:rPr>
            </w:pPr>
            <w:r>
              <w:rPr>
                <w:b w:val="0"/>
                <w:sz w:val="21"/>
                <w:szCs w:val="21"/>
              </w:rPr>
              <w:t>m</w:t>
            </w:r>
          </w:p>
        </w:tc>
        <w:tc>
          <w:tcPr>
            <w:tcW w:w="1493" w:type="dxa"/>
            <w:vAlign w:val="center"/>
          </w:tcPr>
          <w:p>
            <w:pPr>
              <w:spacing w:line="240" w:lineRule="auto"/>
              <w:ind w:firstLine="0" w:firstLineChars="0"/>
              <w:jc w:val="center"/>
              <w:rPr>
                <w:sz w:val="21"/>
                <w:szCs w:val="21"/>
              </w:rPr>
            </w:pPr>
            <w:r>
              <w:rPr>
                <w:sz w:val="21"/>
                <w:szCs w:val="21"/>
              </w:rPr>
              <w:t>123</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126.34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土方开挖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473.55</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2.88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土方回填</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199.57</w:t>
            </w:r>
          </w:p>
        </w:tc>
        <w:tc>
          <w:tcPr>
            <w:tcW w:w="1635" w:type="dxa"/>
            <w:vAlign w:val="center"/>
          </w:tcPr>
          <w:p>
            <w:pPr>
              <w:spacing w:line="240" w:lineRule="auto"/>
              <w:ind w:firstLine="0" w:firstLineChars="0"/>
              <w:jc w:val="center"/>
              <w:rPr>
                <w:kern w:val="0"/>
                <w:sz w:val="21"/>
                <w:szCs w:val="21"/>
              </w:rPr>
            </w:pPr>
            <w:r>
              <w:rPr>
                <w:kern w:val="0"/>
                <w:sz w:val="21"/>
                <w:szCs w:val="21"/>
              </w:rPr>
              <w:t>108.41</w:t>
            </w:r>
          </w:p>
        </w:tc>
        <w:tc>
          <w:tcPr>
            <w:tcW w:w="1508" w:type="dxa"/>
            <w:vAlign w:val="center"/>
          </w:tcPr>
          <w:p>
            <w:pPr>
              <w:spacing w:line="240" w:lineRule="auto"/>
              <w:ind w:firstLine="0" w:firstLineChars="0"/>
              <w:jc w:val="center"/>
              <w:rPr>
                <w:kern w:val="0"/>
                <w:sz w:val="21"/>
                <w:szCs w:val="21"/>
              </w:rPr>
            </w:pPr>
            <w:r>
              <w:rPr>
                <w:kern w:val="0"/>
                <w:sz w:val="21"/>
                <w:szCs w:val="21"/>
              </w:rPr>
              <w:t>2.16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M10浆砌石挡墙</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683.88</w:t>
            </w:r>
          </w:p>
        </w:tc>
        <w:tc>
          <w:tcPr>
            <w:tcW w:w="1635" w:type="dxa"/>
            <w:vAlign w:val="center"/>
          </w:tcPr>
          <w:p>
            <w:pPr>
              <w:spacing w:line="240" w:lineRule="auto"/>
              <w:ind w:firstLine="0" w:firstLineChars="0"/>
              <w:jc w:val="center"/>
              <w:rPr>
                <w:kern w:val="0"/>
                <w:sz w:val="21"/>
                <w:szCs w:val="21"/>
              </w:rPr>
            </w:pPr>
            <w:r>
              <w:rPr>
                <w:kern w:val="0"/>
                <w:sz w:val="21"/>
                <w:szCs w:val="21"/>
              </w:rPr>
              <w:t>1615.73</w:t>
            </w:r>
          </w:p>
        </w:tc>
        <w:tc>
          <w:tcPr>
            <w:tcW w:w="1508" w:type="dxa"/>
            <w:vAlign w:val="center"/>
          </w:tcPr>
          <w:p>
            <w:pPr>
              <w:spacing w:line="240" w:lineRule="auto"/>
              <w:ind w:firstLine="0" w:firstLineChars="0"/>
              <w:jc w:val="center"/>
              <w:rPr>
                <w:kern w:val="0"/>
                <w:sz w:val="21"/>
                <w:szCs w:val="21"/>
              </w:rPr>
            </w:pPr>
            <w:r>
              <w:rPr>
                <w:kern w:val="0"/>
                <w:sz w:val="21"/>
                <w:szCs w:val="21"/>
              </w:rPr>
              <w:t>110.50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Φ50mmPVC排水管</w:t>
            </w:r>
          </w:p>
        </w:tc>
        <w:tc>
          <w:tcPr>
            <w:tcW w:w="764" w:type="dxa"/>
            <w:vAlign w:val="center"/>
          </w:tcPr>
          <w:p>
            <w:pPr>
              <w:spacing w:line="240" w:lineRule="auto"/>
              <w:ind w:firstLine="0" w:firstLineChars="0"/>
              <w:jc w:val="center"/>
              <w:rPr>
                <w:sz w:val="21"/>
                <w:szCs w:val="21"/>
              </w:rPr>
            </w:pPr>
            <w:r>
              <w:rPr>
                <w:sz w:val="21"/>
                <w:szCs w:val="21"/>
              </w:rPr>
              <w:t>m</w:t>
            </w:r>
          </w:p>
        </w:tc>
        <w:tc>
          <w:tcPr>
            <w:tcW w:w="1493" w:type="dxa"/>
            <w:vAlign w:val="center"/>
          </w:tcPr>
          <w:p>
            <w:pPr>
              <w:spacing w:line="240" w:lineRule="auto"/>
              <w:ind w:firstLine="0" w:firstLineChars="0"/>
              <w:jc w:val="center"/>
              <w:rPr>
                <w:sz w:val="21"/>
                <w:szCs w:val="21"/>
              </w:rPr>
            </w:pPr>
            <w:r>
              <w:rPr>
                <w:sz w:val="21"/>
                <w:szCs w:val="21"/>
              </w:rPr>
              <w:t>861.0</w:t>
            </w:r>
          </w:p>
        </w:tc>
        <w:tc>
          <w:tcPr>
            <w:tcW w:w="1635" w:type="dxa"/>
            <w:vAlign w:val="center"/>
          </w:tcPr>
          <w:p>
            <w:pPr>
              <w:spacing w:line="240" w:lineRule="auto"/>
              <w:ind w:firstLine="0" w:firstLineChars="0"/>
              <w:jc w:val="center"/>
              <w:rPr>
                <w:kern w:val="0"/>
                <w:sz w:val="21"/>
                <w:szCs w:val="21"/>
              </w:rPr>
            </w:pPr>
            <w:r>
              <w:rPr>
                <w:kern w:val="0"/>
                <w:sz w:val="21"/>
                <w:szCs w:val="21"/>
              </w:rPr>
              <w:t>100</w:t>
            </w:r>
          </w:p>
        </w:tc>
        <w:tc>
          <w:tcPr>
            <w:tcW w:w="1508" w:type="dxa"/>
            <w:vAlign w:val="center"/>
          </w:tcPr>
          <w:p>
            <w:pPr>
              <w:spacing w:line="240" w:lineRule="auto"/>
              <w:ind w:firstLine="0" w:firstLineChars="0"/>
              <w:jc w:val="center"/>
              <w:rPr>
                <w:kern w:val="0"/>
                <w:sz w:val="21"/>
                <w:szCs w:val="21"/>
              </w:rPr>
            </w:pPr>
            <w:r>
              <w:rPr>
                <w:kern w:val="0"/>
                <w:sz w:val="21"/>
                <w:szCs w:val="21"/>
              </w:rPr>
              <w:t>8.61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反滤层</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15.40</w:t>
            </w:r>
          </w:p>
        </w:tc>
        <w:tc>
          <w:tcPr>
            <w:tcW w:w="1635" w:type="dxa"/>
            <w:vAlign w:val="center"/>
          </w:tcPr>
          <w:p>
            <w:pPr>
              <w:spacing w:line="240" w:lineRule="auto"/>
              <w:ind w:firstLine="0" w:firstLineChars="0"/>
              <w:jc w:val="center"/>
              <w:rPr>
                <w:kern w:val="0"/>
                <w:sz w:val="21"/>
                <w:szCs w:val="21"/>
              </w:rPr>
            </w:pPr>
            <w:r>
              <w:rPr>
                <w:kern w:val="0"/>
                <w:sz w:val="21"/>
                <w:szCs w:val="21"/>
              </w:rPr>
              <w:t>402.78</w:t>
            </w:r>
          </w:p>
        </w:tc>
        <w:tc>
          <w:tcPr>
            <w:tcW w:w="1508" w:type="dxa"/>
            <w:vAlign w:val="center"/>
          </w:tcPr>
          <w:p>
            <w:pPr>
              <w:spacing w:line="240" w:lineRule="auto"/>
              <w:ind w:firstLine="0" w:firstLineChars="0"/>
              <w:jc w:val="center"/>
              <w:rPr>
                <w:kern w:val="0"/>
                <w:sz w:val="21"/>
                <w:szCs w:val="21"/>
              </w:rPr>
            </w:pPr>
            <w:r>
              <w:rPr>
                <w:kern w:val="0"/>
                <w:sz w:val="21"/>
                <w:szCs w:val="21"/>
              </w:rPr>
              <w:t>0.62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砌石拆除</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683.88</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1.57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7"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spacing w:line="240" w:lineRule="auto"/>
              <w:ind w:firstLine="0" w:firstLineChars="0"/>
              <w:jc w:val="center"/>
              <w:rPr>
                <w:kern w:val="0"/>
                <w:sz w:val="21"/>
                <w:szCs w:val="21"/>
              </w:rPr>
            </w:pPr>
            <w:r>
              <w:rPr>
                <w:kern w:val="0"/>
                <w:sz w:val="21"/>
                <w:szCs w:val="21"/>
              </w:rPr>
              <w:t>截排水沟</w:t>
            </w:r>
          </w:p>
        </w:tc>
        <w:tc>
          <w:tcPr>
            <w:tcW w:w="764" w:type="dxa"/>
            <w:vAlign w:val="center"/>
          </w:tcPr>
          <w:p>
            <w:pPr>
              <w:spacing w:line="240" w:lineRule="auto"/>
              <w:ind w:firstLine="0" w:firstLineChars="0"/>
              <w:jc w:val="center"/>
              <w:rPr>
                <w:kern w:val="0"/>
                <w:sz w:val="21"/>
                <w:szCs w:val="21"/>
              </w:rPr>
            </w:pPr>
            <w:r>
              <w:rPr>
                <w:kern w:val="0"/>
                <w:sz w:val="21"/>
                <w:szCs w:val="21"/>
              </w:rPr>
              <w:t>m</w:t>
            </w:r>
          </w:p>
        </w:tc>
        <w:tc>
          <w:tcPr>
            <w:tcW w:w="1493" w:type="dxa"/>
            <w:vAlign w:val="center"/>
          </w:tcPr>
          <w:p>
            <w:pPr>
              <w:spacing w:line="240" w:lineRule="auto"/>
              <w:ind w:firstLine="0" w:firstLineChars="0"/>
              <w:jc w:val="center"/>
              <w:rPr>
                <w:sz w:val="21"/>
                <w:szCs w:val="21"/>
              </w:rPr>
            </w:pPr>
            <w:r>
              <w:rPr>
                <w:sz w:val="21"/>
                <w:szCs w:val="21"/>
              </w:rPr>
              <w:t>6202</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418.34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土方开挖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5626.45</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34.19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M7.5水泥砂浆砌砖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3393.73</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272.64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kern w:val="0"/>
                <w:sz w:val="21"/>
                <w:szCs w:val="21"/>
              </w:rPr>
              <w:t>M10水泥砂浆抹面</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2</w:t>
            </w:r>
          </w:p>
        </w:tc>
        <w:tc>
          <w:tcPr>
            <w:tcW w:w="1493" w:type="dxa"/>
            <w:vAlign w:val="center"/>
          </w:tcPr>
          <w:p>
            <w:pPr>
              <w:spacing w:line="240" w:lineRule="auto"/>
              <w:ind w:firstLine="0" w:firstLineChars="0"/>
              <w:jc w:val="center"/>
              <w:rPr>
                <w:sz w:val="21"/>
                <w:szCs w:val="21"/>
              </w:rPr>
            </w:pPr>
            <w:r>
              <w:rPr>
                <w:sz w:val="21"/>
                <w:szCs w:val="21"/>
              </w:rPr>
              <w:t>24559.92</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103.74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砌砖拆除</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3393.73</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7.77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 w:hRule="atLeast"/>
        </w:trPr>
        <w:tc>
          <w:tcPr>
            <w:tcW w:w="859" w:type="dxa"/>
            <w:vAlign w:val="center"/>
          </w:tcPr>
          <w:p>
            <w:pPr>
              <w:spacing w:line="240" w:lineRule="auto"/>
              <w:ind w:firstLine="0" w:firstLineChars="0"/>
              <w:jc w:val="center"/>
              <w:rPr>
                <w:kern w:val="0"/>
                <w:sz w:val="21"/>
                <w:szCs w:val="21"/>
              </w:rPr>
            </w:pPr>
            <w:r>
              <w:rPr>
                <w:kern w:val="0"/>
                <w:sz w:val="21"/>
                <w:szCs w:val="21"/>
              </w:rPr>
              <w:t>（3）</w:t>
            </w:r>
          </w:p>
        </w:tc>
        <w:tc>
          <w:tcPr>
            <w:tcW w:w="3030" w:type="dxa"/>
            <w:vAlign w:val="center"/>
          </w:tcPr>
          <w:p>
            <w:pPr>
              <w:spacing w:line="240" w:lineRule="auto"/>
              <w:ind w:firstLine="0" w:firstLineChars="0"/>
              <w:jc w:val="center"/>
              <w:rPr>
                <w:kern w:val="0"/>
                <w:sz w:val="21"/>
                <w:szCs w:val="21"/>
              </w:rPr>
            </w:pPr>
            <w:r>
              <w:rPr>
                <w:kern w:val="0"/>
                <w:sz w:val="21"/>
                <w:szCs w:val="21"/>
              </w:rPr>
              <w:t>排水盲沟</w:t>
            </w:r>
          </w:p>
        </w:tc>
        <w:tc>
          <w:tcPr>
            <w:tcW w:w="764" w:type="dxa"/>
            <w:vAlign w:val="center"/>
          </w:tcPr>
          <w:p>
            <w:pPr>
              <w:spacing w:line="240" w:lineRule="auto"/>
              <w:ind w:firstLine="0" w:firstLineChars="0"/>
              <w:jc w:val="center"/>
              <w:rPr>
                <w:kern w:val="0"/>
                <w:sz w:val="21"/>
                <w:szCs w:val="21"/>
              </w:rPr>
            </w:pPr>
            <w:r>
              <w:rPr>
                <w:kern w:val="0"/>
                <w:sz w:val="21"/>
                <w:szCs w:val="21"/>
              </w:rPr>
              <w:t>m</w:t>
            </w:r>
          </w:p>
        </w:tc>
        <w:tc>
          <w:tcPr>
            <w:tcW w:w="1493" w:type="dxa"/>
            <w:vAlign w:val="center"/>
          </w:tcPr>
          <w:p>
            <w:pPr>
              <w:spacing w:line="240" w:lineRule="auto"/>
              <w:ind w:firstLine="0" w:firstLineChars="0"/>
              <w:jc w:val="center"/>
              <w:rPr>
                <w:sz w:val="21"/>
                <w:szCs w:val="21"/>
              </w:rPr>
            </w:pPr>
            <w:r>
              <w:rPr>
                <w:sz w:val="21"/>
                <w:szCs w:val="21"/>
              </w:rPr>
              <w:t>2119</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356.35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24"/>
                <w:sz w:val="21"/>
                <w:szCs w:val="21"/>
              </w:rPr>
            </w:pPr>
            <w:r>
              <w:rPr>
                <w:sz w:val="21"/>
                <w:szCs w:val="21"/>
              </w:rPr>
              <w:t>土方开挖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7416.50</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45.06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24"/>
                <w:sz w:val="21"/>
                <w:szCs w:val="21"/>
              </w:rPr>
            </w:pPr>
            <w:r>
              <w:rPr>
                <w:kern w:val="0"/>
                <w:sz w:val="21"/>
                <w:szCs w:val="21"/>
              </w:rPr>
              <w:t>干砌卵石</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7416.50</w:t>
            </w:r>
          </w:p>
        </w:tc>
        <w:tc>
          <w:tcPr>
            <w:tcW w:w="1635" w:type="dxa"/>
            <w:vAlign w:val="center"/>
          </w:tcPr>
          <w:p>
            <w:pPr>
              <w:spacing w:line="240" w:lineRule="auto"/>
              <w:ind w:firstLine="0" w:firstLineChars="0"/>
              <w:jc w:val="center"/>
              <w:rPr>
                <w:kern w:val="0"/>
                <w:sz w:val="21"/>
                <w:szCs w:val="21"/>
              </w:rPr>
            </w:pPr>
            <w:r>
              <w:rPr>
                <w:kern w:val="0"/>
                <w:sz w:val="21"/>
                <w:szCs w:val="21"/>
              </w:rPr>
              <w:t>419.72</w:t>
            </w:r>
          </w:p>
        </w:tc>
        <w:tc>
          <w:tcPr>
            <w:tcW w:w="1508" w:type="dxa"/>
            <w:vAlign w:val="center"/>
          </w:tcPr>
          <w:p>
            <w:pPr>
              <w:spacing w:line="240" w:lineRule="auto"/>
              <w:ind w:firstLine="0" w:firstLineChars="0"/>
              <w:jc w:val="center"/>
              <w:rPr>
                <w:kern w:val="0"/>
                <w:sz w:val="21"/>
                <w:szCs w:val="21"/>
              </w:rPr>
            </w:pPr>
            <w:r>
              <w:rPr>
                <w:kern w:val="0"/>
                <w:sz w:val="21"/>
                <w:szCs w:val="21"/>
              </w:rPr>
              <w:t>311.29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（4）</w:t>
            </w:r>
          </w:p>
        </w:tc>
        <w:tc>
          <w:tcPr>
            <w:tcW w:w="3030" w:type="dxa"/>
            <w:vAlign w:val="center"/>
          </w:tcPr>
          <w:p>
            <w:pPr>
              <w:spacing w:line="240" w:lineRule="auto"/>
              <w:ind w:firstLine="0" w:firstLineChars="0"/>
              <w:jc w:val="center"/>
              <w:rPr>
                <w:kern w:val="0"/>
                <w:sz w:val="21"/>
                <w:szCs w:val="21"/>
              </w:rPr>
            </w:pPr>
            <w:r>
              <w:rPr>
                <w:kern w:val="0"/>
                <w:sz w:val="21"/>
                <w:szCs w:val="21"/>
              </w:rPr>
              <w:t>消力池</w:t>
            </w:r>
          </w:p>
        </w:tc>
        <w:tc>
          <w:tcPr>
            <w:tcW w:w="764" w:type="dxa"/>
            <w:vAlign w:val="center"/>
          </w:tcPr>
          <w:p>
            <w:pPr>
              <w:spacing w:line="240" w:lineRule="auto"/>
              <w:ind w:firstLine="0" w:firstLineChars="0"/>
              <w:jc w:val="center"/>
              <w:rPr>
                <w:kern w:val="0"/>
                <w:sz w:val="21"/>
                <w:szCs w:val="21"/>
              </w:rPr>
            </w:pPr>
            <w:r>
              <w:rPr>
                <w:kern w:val="0"/>
                <w:sz w:val="21"/>
                <w:szCs w:val="21"/>
              </w:rPr>
              <w:t>座</w:t>
            </w:r>
          </w:p>
        </w:tc>
        <w:tc>
          <w:tcPr>
            <w:tcW w:w="1493" w:type="dxa"/>
            <w:vAlign w:val="center"/>
          </w:tcPr>
          <w:p>
            <w:pPr>
              <w:spacing w:line="240" w:lineRule="auto"/>
              <w:ind w:firstLine="0" w:firstLineChars="0"/>
              <w:jc w:val="center"/>
              <w:rPr>
                <w:sz w:val="21"/>
                <w:szCs w:val="21"/>
              </w:rPr>
            </w:pPr>
            <w:r>
              <w:rPr>
                <w:sz w:val="21"/>
                <w:szCs w:val="21"/>
              </w:rPr>
              <w:t>10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72.07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土方开挖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700</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4.25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M7.5水泥砂浆砌石</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820.80</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65.94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砌石拆除</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820.80</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1.88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（5）</w:t>
            </w:r>
          </w:p>
        </w:tc>
        <w:tc>
          <w:tcPr>
            <w:tcW w:w="3030" w:type="dxa"/>
            <w:vAlign w:val="center"/>
          </w:tcPr>
          <w:p>
            <w:pPr>
              <w:spacing w:line="240" w:lineRule="auto"/>
              <w:ind w:firstLine="0" w:firstLineChars="0"/>
              <w:jc w:val="center"/>
              <w:rPr>
                <w:kern w:val="0"/>
                <w:sz w:val="21"/>
                <w:szCs w:val="21"/>
              </w:rPr>
            </w:pPr>
            <w:r>
              <w:rPr>
                <w:kern w:val="0"/>
                <w:sz w:val="21"/>
                <w:szCs w:val="21"/>
              </w:rPr>
              <w:t>沉沙池</w:t>
            </w:r>
          </w:p>
        </w:tc>
        <w:tc>
          <w:tcPr>
            <w:tcW w:w="764" w:type="dxa"/>
            <w:vAlign w:val="center"/>
          </w:tcPr>
          <w:p>
            <w:pPr>
              <w:spacing w:line="240" w:lineRule="auto"/>
              <w:ind w:firstLine="0" w:firstLineChars="0"/>
              <w:jc w:val="center"/>
              <w:rPr>
                <w:kern w:val="0"/>
                <w:sz w:val="21"/>
                <w:szCs w:val="21"/>
              </w:rPr>
            </w:pPr>
            <w:r>
              <w:rPr>
                <w:kern w:val="0"/>
                <w:sz w:val="21"/>
                <w:szCs w:val="21"/>
              </w:rPr>
              <w:t>座</w:t>
            </w:r>
          </w:p>
        </w:tc>
        <w:tc>
          <w:tcPr>
            <w:tcW w:w="1493" w:type="dxa"/>
            <w:vAlign w:val="center"/>
          </w:tcPr>
          <w:p>
            <w:pPr>
              <w:spacing w:line="240" w:lineRule="auto"/>
              <w:ind w:firstLine="0" w:firstLineChars="0"/>
              <w:jc w:val="center"/>
              <w:rPr>
                <w:sz w:val="21"/>
                <w:szCs w:val="21"/>
              </w:rPr>
            </w:pPr>
            <w:r>
              <w:rPr>
                <w:sz w:val="21"/>
                <w:szCs w:val="21"/>
              </w:rPr>
              <w:t>10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3.28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sz w:val="21"/>
                <w:szCs w:val="21"/>
              </w:rPr>
              <w:t>土方开挖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34.45</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kern w:val="0"/>
                <w:sz w:val="21"/>
                <w:szCs w:val="21"/>
              </w:rPr>
              <w:t>M7.5水泥砂浆砌砖</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14.90</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1.20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sz w:val="21"/>
                <w:szCs w:val="21"/>
              </w:rPr>
            </w:pPr>
            <w:r>
              <w:rPr>
                <w:kern w:val="0"/>
                <w:sz w:val="21"/>
                <w:szCs w:val="21"/>
              </w:rPr>
              <w:t>M10水泥砂浆抹面</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2</w:t>
            </w:r>
          </w:p>
        </w:tc>
        <w:tc>
          <w:tcPr>
            <w:tcW w:w="1493" w:type="dxa"/>
            <w:vAlign w:val="center"/>
          </w:tcPr>
          <w:p>
            <w:pPr>
              <w:spacing w:line="240" w:lineRule="auto"/>
              <w:ind w:firstLine="0" w:firstLineChars="0"/>
              <w:jc w:val="center"/>
              <w:rPr>
                <w:sz w:val="21"/>
                <w:szCs w:val="21"/>
              </w:rPr>
            </w:pPr>
            <w:r>
              <w:rPr>
                <w:sz w:val="21"/>
                <w:szCs w:val="21"/>
              </w:rPr>
              <w:t>86.30</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0.36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C20砼底板</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7.20</w:t>
            </w:r>
          </w:p>
        </w:tc>
        <w:tc>
          <w:tcPr>
            <w:tcW w:w="1635" w:type="dxa"/>
            <w:vAlign w:val="center"/>
          </w:tcPr>
          <w:p>
            <w:pPr>
              <w:spacing w:line="240" w:lineRule="auto"/>
              <w:ind w:firstLine="0" w:firstLineChars="0"/>
              <w:jc w:val="center"/>
              <w:rPr>
                <w:kern w:val="0"/>
                <w:sz w:val="21"/>
                <w:szCs w:val="21"/>
              </w:rPr>
            </w:pPr>
            <w:r>
              <w:rPr>
                <w:kern w:val="0"/>
                <w:sz w:val="21"/>
                <w:szCs w:val="21"/>
              </w:rPr>
              <w:t>1395.98</w:t>
            </w:r>
          </w:p>
        </w:tc>
        <w:tc>
          <w:tcPr>
            <w:tcW w:w="1508" w:type="dxa"/>
            <w:vAlign w:val="center"/>
          </w:tcPr>
          <w:p>
            <w:pPr>
              <w:spacing w:line="240" w:lineRule="auto"/>
              <w:ind w:firstLine="0" w:firstLineChars="0"/>
              <w:jc w:val="center"/>
              <w:rPr>
                <w:kern w:val="0"/>
                <w:sz w:val="21"/>
                <w:szCs w:val="21"/>
              </w:rPr>
            </w:pPr>
            <w:r>
              <w:rPr>
                <w:kern w:val="0"/>
                <w:sz w:val="21"/>
                <w:szCs w:val="21"/>
              </w:rPr>
              <w:t>1.01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预制钢筋混凝土盖板</w:t>
            </w:r>
          </w:p>
        </w:tc>
        <w:tc>
          <w:tcPr>
            <w:tcW w:w="764" w:type="dxa"/>
            <w:vAlign w:val="center"/>
          </w:tcPr>
          <w:p>
            <w:pPr>
              <w:spacing w:line="240" w:lineRule="auto"/>
              <w:ind w:firstLine="0" w:firstLineChars="0"/>
              <w:jc w:val="center"/>
              <w:rPr>
                <w:sz w:val="21"/>
                <w:szCs w:val="21"/>
              </w:rPr>
            </w:pPr>
            <w:r>
              <w:rPr>
                <w:sz w:val="21"/>
                <w:szCs w:val="21"/>
              </w:rPr>
              <w:t>块</w:t>
            </w:r>
          </w:p>
        </w:tc>
        <w:tc>
          <w:tcPr>
            <w:tcW w:w="1493" w:type="dxa"/>
            <w:vAlign w:val="center"/>
          </w:tcPr>
          <w:p>
            <w:pPr>
              <w:spacing w:line="240" w:lineRule="auto"/>
              <w:ind w:firstLine="0" w:firstLineChars="0"/>
              <w:jc w:val="center"/>
              <w:rPr>
                <w:sz w:val="21"/>
                <w:szCs w:val="21"/>
              </w:rPr>
            </w:pPr>
            <w:r>
              <w:rPr>
                <w:sz w:val="21"/>
                <w:szCs w:val="21"/>
              </w:rPr>
              <w:t>10</w:t>
            </w:r>
          </w:p>
        </w:tc>
        <w:tc>
          <w:tcPr>
            <w:tcW w:w="1635" w:type="dxa"/>
            <w:vAlign w:val="center"/>
          </w:tcPr>
          <w:p>
            <w:pPr>
              <w:spacing w:line="240" w:lineRule="auto"/>
              <w:ind w:firstLine="0" w:firstLineChars="0"/>
              <w:jc w:val="center"/>
              <w:rPr>
                <w:kern w:val="0"/>
                <w:sz w:val="21"/>
                <w:szCs w:val="21"/>
              </w:rPr>
            </w:pPr>
            <w:r>
              <w:rPr>
                <w:kern w:val="0"/>
                <w:sz w:val="21"/>
                <w:szCs w:val="21"/>
              </w:rPr>
              <w:t>300</w:t>
            </w:r>
          </w:p>
        </w:tc>
        <w:tc>
          <w:tcPr>
            <w:tcW w:w="1508" w:type="dxa"/>
            <w:vAlign w:val="center"/>
          </w:tcPr>
          <w:p>
            <w:pPr>
              <w:spacing w:line="240" w:lineRule="auto"/>
              <w:ind w:firstLine="0" w:firstLineChars="0"/>
              <w:jc w:val="center"/>
              <w:rPr>
                <w:kern w:val="0"/>
                <w:sz w:val="21"/>
                <w:szCs w:val="21"/>
              </w:rPr>
            </w:pPr>
            <w:r>
              <w:rPr>
                <w:kern w:val="0"/>
                <w:sz w:val="21"/>
                <w:szCs w:val="21"/>
              </w:rPr>
              <w:t>0.30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砌砖及</w:t>
            </w:r>
            <w:r>
              <w:rPr>
                <w:kern w:val="0"/>
                <w:sz w:val="21"/>
                <w:szCs w:val="21"/>
              </w:rPr>
              <w:t>C20砼</w:t>
            </w:r>
            <w:r>
              <w:rPr>
                <w:sz w:val="21"/>
                <w:szCs w:val="21"/>
              </w:rPr>
              <w:t>拆除</w:t>
            </w:r>
          </w:p>
        </w:tc>
        <w:tc>
          <w:tcPr>
            <w:tcW w:w="764" w:type="dxa"/>
            <w:vAlign w:val="center"/>
          </w:tcPr>
          <w:p>
            <w:pPr>
              <w:spacing w:line="240" w:lineRule="auto"/>
              <w:ind w:firstLine="0" w:firstLineChars="0"/>
              <w:jc w:val="center"/>
              <w:rPr>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sz w:val="21"/>
                <w:szCs w:val="21"/>
              </w:rPr>
            </w:pPr>
            <w:r>
              <w:rPr>
                <w:sz w:val="21"/>
                <w:szCs w:val="21"/>
              </w:rPr>
              <w:t>14.90</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kern w:val="0"/>
                <w:sz w:val="21"/>
                <w:szCs w:val="21"/>
              </w:rPr>
            </w:pPr>
            <w:r>
              <w:rPr>
                <w:kern w:val="0"/>
                <w:sz w:val="21"/>
                <w:szCs w:val="21"/>
              </w:rPr>
              <w:t>（6）</w:t>
            </w:r>
          </w:p>
        </w:tc>
        <w:tc>
          <w:tcPr>
            <w:tcW w:w="3030" w:type="dxa"/>
            <w:vAlign w:val="center"/>
          </w:tcPr>
          <w:p>
            <w:pPr>
              <w:spacing w:line="240" w:lineRule="auto"/>
              <w:ind w:firstLine="0" w:firstLineChars="0"/>
              <w:jc w:val="center"/>
              <w:rPr>
                <w:kern w:val="0"/>
                <w:sz w:val="21"/>
                <w:szCs w:val="21"/>
              </w:rPr>
            </w:pPr>
            <w:r>
              <w:rPr>
                <w:kern w:val="0"/>
                <w:sz w:val="21"/>
                <w:szCs w:val="21"/>
              </w:rPr>
              <w:t>防雨布苫盖</w:t>
            </w:r>
          </w:p>
        </w:tc>
        <w:tc>
          <w:tcPr>
            <w:tcW w:w="764" w:type="dxa"/>
            <w:vAlign w:val="center"/>
          </w:tcPr>
          <w:p>
            <w:pPr>
              <w:spacing w:line="240" w:lineRule="auto"/>
              <w:ind w:firstLine="0" w:firstLineChars="0"/>
              <w:jc w:val="center"/>
              <w:rPr>
                <w:kern w:val="0"/>
                <w:sz w:val="21"/>
                <w:szCs w:val="21"/>
              </w:rPr>
            </w:pPr>
            <w:r>
              <w:rPr>
                <w:sz w:val="21"/>
                <w:szCs w:val="21"/>
              </w:rPr>
              <w:t>hm</w:t>
            </w:r>
            <w:r>
              <w:rPr>
                <w:sz w:val="21"/>
                <w:szCs w:val="21"/>
                <w:vertAlign w:val="superscript"/>
              </w:rPr>
              <w:t>2</w:t>
            </w:r>
          </w:p>
        </w:tc>
        <w:tc>
          <w:tcPr>
            <w:tcW w:w="1493" w:type="dxa"/>
            <w:vAlign w:val="center"/>
          </w:tcPr>
          <w:p>
            <w:pPr>
              <w:spacing w:line="240" w:lineRule="auto"/>
              <w:ind w:firstLine="0" w:firstLineChars="0"/>
              <w:jc w:val="center"/>
              <w:rPr>
                <w:sz w:val="21"/>
                <w:szCs w:val="21"/>
              </w:rPr>
            </w:pPr>
            <w:r>
              <w:rPr>
                <w:sz w:val="21"/>
                <w:szCs w:val="21"/>
              </w:rPr>
              <w:t>12.17</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145.92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7" w:hRule="atLeast"/>
        </w:trPr>
        <w:tc>
          <w:tcPr>
            <w:tcW w:w="859" w:type="dxa"/>
            <w:vAlign w:val="center"/>
          </w:tcPr>
          <w:p>
            <w:pPr>
              <w:spacing w:line="240" w:lineRule="auto"/>
              <w:ind w:firstLine="0" w:firstLineChars="0"/>
              <w:jc w:val="center"/>
              <w:rPr>
                <w:b/>
                <w:bCs/>
                <w:kern w:val="0"/>
                <w:sz w:val="21"/>
                <w:szCs w:val="21"/>
              </w:rPr>
            </w:pPr>
            <w:r>
              <w:rPr>
                <w:b/>
                <w:bCs/>
                <w:kern w:val="0"/>
                <w:sz w:val="21"/>
                <w:szCs w:val="21"/>
              </w:rPr>
              <w:t>三</w:t>
            </w:r>
          </w:p>
        </w:tc>
        <w:tc>
          <w:tcPr>
            <w:tcW w:w="3030" w:type="dxa"/>
            <w:vAlign w:val="center"/>
          </w:tcPr>
          <w:p>
            <w:pPr>
              <w:spacing w:line="240" w:lineRule="auto"/>
              <w:ind w:firstLine="0" w:firstLineChars="0"/>
              <w:jc w:val="center"/>
              <w:rPr>
                <w:b/>
                <w:bCs/>
                <w:kern w:val="0"/>
                <w:sz w:val="21"/>
                <w:szCs w:val="21"/>
              </w:rPr>
            </w:pPr>
            <w:r>
              <w:rPr>
                <w:b/>
                <w:bCs/>
                <w:kern w:val="0"/>
                <w:sz w:val="21"/>
                <w:szCs w:val="21"/>
              </w:rPr>
              <w:t>施工生产生活区</w:t>
            </w:r>
          </w:p>
        </w:tc>
        <w:tc>
          <w:tcPr>
            <w:tcW w:w="764" w:type="dxa"/>
            <w:vAlign w:val="center"/>
          </w:tcPr>
          <w:p>
            <w:pPr>
              <w:spacing w:line="240" w:lineRule="auto"/>
              <w:ind w:firstLine="0" w:firstLineChars="0"/>
              <w:jc w:val="center"/>
              <w:rPr>
                <w:b/>
                <w:bCs/>
                <w:sz w:val="21"/>
                <w:szCs w:val="21"/>
              </w:rPr>
            </w:pPr>
          </w:p>
        </w:tc>
        <w:tc>
          <w:tcPr>
            <w:tcW w:w="1493" w:type="dxa"/>
            <w:vAlign w:val="center"/>
          </w:tcPr>
          <w:p>
            <w:pPr>
              <w:spacing w:line="240" w:lineRule="auto"/>
              <w:ind w:firstLine="0" w:firstLineChars="0"/>
              <w:jc w:val="center"/>
              <w:rPr>
                <w:b/>
                <w:bCs/>
                <w:sz w:val="21"/>
                <w:szCs w:val="21"/>
              </w:rPr>
            </w:pPr>
          </w:p>
        </w:tc>
        <w:tc>
          <w:tcPr>
            <w:tcW w:w="1635" w:type="dxa"/>
            <w:vAlign w:val="center"/>
          </w:tcPr>
          <w:p>
            <w:pPr>
              <w:spacing w:line="240" w:lineRule="auto"/>
              <w:ind w:firstLine="0" w:firstLineChars="0"/>
              <w:jc w:val="center"/>
              <w:rPr>
                <w:b/>
                <w:bCs/>
                <w:kern w:val="0"/>
                <w:sz w:val="21"/>
                <w:szCs w:val="21"/>
              </w:rPr>
            </w:pPr>
          </w:p>
        </w:tc>
        <w:tc>
          <w:tcPr>
            <w:tcW w:w="1508" w:type="dxa"/>
            <w:vAlign w:val="center"/>
          </w:tcPr>
          <w:p>
            <w:pPr>
              <w:spacing w:line="240" w:lineRule="auto"/>
              <w:ind w:firstLine="0" w:firstLineChars="0"/>
              <w:jc w:val="center"/>
              <w:rPr>
                <w:b/>
                <w:bCs/>
                <w:kern w:val="0"/>
                <w:sz w:val="21"/>
                <w:szCs w:val="21"/>
              </w:rPr>
            </w:pPr>
            <w:r>
              <w:rPr>
                <w:b/>
                <w:bCs/>
                <w:kern w:val="0"/>
                <w:sz w:val="21"/>
                <w:szCs w:val="21"/>
              </w:rPr>
              <w:t>232.01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r>
              <w:rPr>
                <w:kern w:val="0"/>
                <w:sz w:val="21"/>
                <w:szCs w:val="21"/>
              </w:rPr>
              <w:t>（1）</w:t>
            </w:r>
          </w:p>
        </w:tc>
        <w:tc>
          <w:tcPr>
            <w:tcW w:w="3030" w:type="dxa"/>
            <w:vAlign w:val="center"/>
          </w:tcPr>
          <w:p>
            <w:pPr>
              <w:pStyle w:val="68"/>
              <w:adjustRightInd/>
              <w:snapToGrid/>
              <w:spacing w:afterLines="0"/>
              <w:jc w:val="center"/>
              <w:rPr>
                <w:b w:val="0"/>
                <w:bCs/>
                <w:sz w:val="21"/>
                <w:szCs w:val="21"/>
              </w:rPr>
            </w:pPr>
            <w:r>
              <w:rPr>
                <w:b w:val="0"/>
                <w:bCs/>
                <w:sz w:val="21"/>
                <w:szCs w:val="21"/>
              </w:rPr>
              <w:t>截排水沟</w:t>
            </w:r>
          </w:p>
        </w:tc>
        <w:tc>
          <w:tcPr>
            <w:tcW w:w="764" w:type="dxa"/>
            <w:vAlign w:val="center"/>
          </w:tcPr>
          <w:p>
            <w:pPr>
              <w:pStyle w:val="68"/>
              <w:adjustRightInd/>
              <w:snapToGrid/>
              <w:spacing w:afterLines="0"/>
              <w:jc w:val="center"/>
              <w:rPr>
                <w:b w:val="0"/>
                <w:sz w:val="21"/>
                <w:szCs w:val="21"/>
              </w:rPr>
            </w:pPr>
            <w:r>
              <w:rPr>
                <w:b w:val="0"/>
                <w:bCs/>
                <w:sz w:val="21"/>
                <w:szCs w:val="21"/>
              </w:rPr>
              <w:t>m</w:t>
            </w:r>
          </w:p>
        </w:tc>
        <w:tc>
          <w:tcPr>
            <w:tcW w:w="1493" w:type="dxa"/>
            <w:vAlign w:val="center"/>
          </w:tcPr>
          <w:p>
            <w:pPr>
              <w:spacing w:line="240" w:lineRule="auto"/>
              <w:ind w:firstLine="0" w:firstLineChars="0"/>
              <w:jc w:val="center"/>
              <w:rPr>
                <w:sz w:val="21"/>
                <w:szCs w:val="21"/>
              </w:rPr>
            </w:pPr>
            <w:r>
              <w:rPr>
                <w:sz w:val="21"/>
                <w:szCs w:val="21"/>
              </w:rPr>
              <w:t>3000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174.86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2175.6</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13.22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1425.6</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114.53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spacing w:line="240" w:lineRule="auto"/>
              <w:ind w:firstLine="0" w:firstLineChars="0"/>
              <w:jc w:val="center"/>
              <w:rPr>
                <w:kern w:val="0"/>
                <w:sz w:val="21"/>
                <w:szCs w:val="21"/>
              </w:rPr>
            </w:pPr>
            <w:r>
              <w:rPr>
                <w:sz w:val="21"/>
                <w:szCs w:val="21"/>
              </w:rPr>
              <w:t>10380</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43.85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1425.6</w:t>
            </w:r>
          </w:p>
        </w:tc>
        <w:tc>
          <w:tcPr>
            <w:tcW w:w="1635" w:type="dxa"/>
            <w:vAlign w:val="center"/>
          </w:tcPr>
          <w:p>
            <w:pPr>
              <w:spacing w:line="240" w:lineRule="auto"/>
              <w:ind w:firstLine="0" w:firstLineChars="0"/>
              <w:jc w:val="center"/>
              <w:rPr>
                <w:kern w:val="0"/>
                <w:sz w:val="21"/>
                <w:szCs w:val="21"/>
              </w:rPr>
            </w:pPr>
            <w:r>
              <w:rPr>
                <w:kern w:val="0"/>
                <w:sz w:val="21"/>
                <w:szCs w:val="21"/>
              </w:rPr>
              <w:t>22.90</w:t>
            </w:r>
          </w:p>
        </w:tc>
        <w:tc>
          <w:tcPr>
            <w:tcW w:w="1508" w:type="dxa"/>
            <w:vAlign w:val="center"/>
          </w:tcPr>
          <w:p>
            <w:pPr>
              <w:spacing w:line="240" w:lineRule="auto"/>
              <w:ind w:firstLine="0" w:firstLineChars="0"/>
              <w:jc w:val="center"/>
              <w:rPr>
                <w:kern w:val="0"/>
                <w:sz w:val="21"/>
                <w:szCs w:val="21"/>
              </w:rPr>
            </w:pPr>
            <w:r>
              <w:rPr>
                <w:kern w:val="0"/>
                <w:sz w:val="21"/>
                <w:szCs w:val="21"/>
              </w:rPr>
              <w:t>3.26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r>
              <w:rPr>
                <w:kern w:val="0"/>
                <w:sz w:val="21"/>
                <w:szCs w:val="21"/>
              </w:rPr>
              <w:t>（2）</w:t>
            </w:r>
          </w:p>
        </w:tc>
        <w:tc>
          <w:tcPr>
            <w:tcW w:w="3030" w:type="dxa"/>
            <w:vAlign w:val="center"/>
          </w:tcPr>
          <w:p>
            <w:pPr>
              <w:pStyle w:val="68"/>
              <w:adjustRightInd/>
              <w:snapToGrid/>
              <w:spacing w:afterLines="0"/>
              <w:jc w:val="center"/>
              <w:rPr>
                <w:b w:val="0"/>
                <w:kern w:val="0"/>
                <w:sz w:val="21"/>
                <w:szCs w:val="21"/>
              </w:rPr>
            </w:pPr>
            <w:r>
              <w:rPr>
                <w:b w:val="0"/>
                <w:kern w:val="0"/>
                <w:sz w:val="21"/>
                <w:szCs w:val="21"/>
              </w:rPr>
              <w:t>沉沙池</w:t>
            </w:r>
          </w:p>
        </w:tc>
        <w:tc>
          <w:tcPr>
            <w:tcW w:w="764" w:type="dxa"/>
            <w:vAlign w:val="center"/>
          </w:tcPr>
          <w:p>
            <w:pPr>
              <w:pStyle w:val="68"/>
              <w:adjustRightInd/>
              <w:snapToGrid/>
              <w:spacing w:afterLines="0"/>
              <w:jc w:val="center"/>
              <w:rPr>
                <w:b w:val="0"/>
                <w:kern w:val="0"/>
                <w:sz w:val="21"/>
                <w:szCs w:val="21"/>
              </w:rPr>
            </w:pPr>
            <w:r>
              <w:rPr>
                <w:b w:val="0"/>
                <w:kern w:val="0"/>
                <w:sz w:val="21"/>
                <w:szCs w:val="21"/>
              </w:rPr>
              <w:t>座</w:t>
            </w:r>
          </w:p>
        </w:tc>
        <w:tc>
          <w:tcPr>
            <w:tcW w:w="1493" w:type="dxa"/>
            <w:vAlign w:val="center"/>
          </w:tcPr>
          <w:p>
            <w:pPr>
              <w:spacing w:line="240" w:lineRule="auto"/>
              <w:ind w:firstLine="0" w:firstLineChars="0"/>
              <w:jc w:val="center"/>
              <w:rPr>
                <w:kern w:val="0"/>
                <w:sz w:val="21"/>
                <w:szCs w:val="21"/>
              </w:rPr>
            </w:pPr>
            <w:r>
              <w:rPr>
                <w:sz w:val="21"/>
                <w:szCs w:val="21"/>
              </w:rPr>
              <w:t>10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3.37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土方开挖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34.45</w:t>
            </w:r>
          </w:p>
        </w:tc>
        <w:tc>
          <w:tcPr>
            <w:tcW w:w="1635" w:type="dxa"/>
            <w:vAlign w:val="center"/>
          </w:tcPr>
          <w:p>
            <w:pPr>
              <w:spacing w:line="240" w:lineRule="auto"/>
              <w:ind w:firstLine="0" w:firstLineChars="0"/>
              <w:jc w:val="center"/>
              <w:rPr>
                <w:kern w:val="0"/>
                <w:sz w:val="21"/>
                <w:szCs w:val="21"/>
              </w:rPr>
            </w:pPr>
            <w:r>
              <w:rPr>
                <w:kern w:val="0"/>
                <w:sz w:val="21"/>
                <w:szCs w:val="21"/>
              </w:rPr>
              <w:t>60.76</w:t>
            </w:r>
          </w:p>
        </w:tc>
        <w:tc>
          <w:tcPr>
            <w:tcW w:w="1508" w:type="dxa"/>
            <w:vAlign w:val="center"/>
          </w:tcPr>
          <w:p>
            <w:pPr>
              <w:spacing w:line="240" w:lineRule="auto"/>
              <w:ind w:firstLine="0" w:firstLineChars="0"/>
              <w:jc w:val="center"/>
              <w:rPr>
                <w:kern w:val="0"/>
                <w:sz w:val="21"/>
                <w:szCs w:val="21"/>
              </w:rPr>
            </w:pPr>
            <w:r>
              <w:rPr>
                <w:kern w:val="0"/>
                <w:sz w:val="21"/>
                <w:szCs w:val="21"/>
              </w:rPr>
              <w:t>0.21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M7.5水泥砂浆砌砖</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14.9</w:t>
            </w:r>
          </w:p>
        </w:tc>
        <w:tc>
          <w:tcPr>
            <w:tcW w:w="1635" w:type="dxa"/>
            <w:vAlign w:val="center"/>
          </w:tcPr>
          <w:p>
            <w:pPr>
              <w:spacing w:line="240" w:lineRule="auto"/>
              <w:ind w:firstLine="0" w:firstLineChars="0"/>
              <w:jc w:val="center"/>
              <w:rPr>
                <w:kern w:val="0"/>
                <w:sz w:val="21"/>
                <w:szCs w:val="21"/>
              </w:rPr>
            </w:pPr>
            <w:r>
              <w:rPr>
                <w:kern w:val="0"/>
                <w:sz w:val="21"/>
                <w:szCs w:val="21"/>
              </w:rPr>
              <w:t>803.36</w:t>
            </w:r>
          </w:p>
        </w:tc>
        <w:tc>
          <w:tcPr>
            <w:tcW w:w="1508" w:type="dxa"/>
            <w:vAlign w:val="center"/>
          </w:tcPr>
          <w:p>
            <w:pPr>
              <w:spacing w:line="240" w:lineRule="auto"/>
              <w:ind w:firstLine="0" w:firstLineChars="0"/>
              <w:jc w:val="center"/>
              <w:rPr>
                <w:kern w:val="0"/>
                <w:sz w:val="21"/>
                <w:szCs w:val="21"/>
              </w:rPr>
            </w:pPr>
            <w:r>
              <w:rPr>
                <w:kern w:val="0"/>
                <w:sz w:val="21"/>
                <w:szCs w:val="21"/>
              </w:rPr>
              <w:t>1.20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M10水泥砂浆抹面</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2</w:t>
            </w:r>
          </w:p>
        </w:tc>
        <w:tc>
          <w:tcPr>
            <w:tcW w:w="1493" w:type="dxa"/>
            <w:vAlign w:val="center"/>
          </w:tcPr>
          <w:p>
            <w:pPr>
              <w:spacing w:line="240" w:lineRule="auto"/>
              <w:ind w:firstLine="0" w:firstLineChars="0"/>
              <w:jc w:val="center"/>
              <w:rPr>
                <w:kern w:val="0"/>
                <w:sz w:val="21"/>
                <w:szCs w:val="21"/>
              </w:rPr>
            </w:pPr>
            <w:r>
              <w:rPr>
                <w:sz w:val="21"/>
                <w:szCs w:val="21"/>
              </w:rPr>
              <w:t>86.3</w:t>
            </w:r>
          </w:p>
        </w:tc>
        <w:tc>
          <w:tcPr>
            <w:tcW w:w="1635" w:type="dxa"/>
            <w:vAlign w:val="center"/>
          </w:tcPr>
          <w:p>
            <w:pPr>
              <w:spacing w:line="240" w:lineRule="auto"/>
              <w:ind w:firstLine="0" w:firstLineChars="0"/>
              <w:jc w:val="center"/>
              <w:rPr>
                <w:kern w:val="0"/>
                <w:sz w:val="21"/>
                <w:szCs w:val="21"/>
              </w:rPr>
            </w:pPr>
            <w:r>
              <w:rPr>
                <w:kern w:val="0"/>
                <w:sz w:val="21"/>
                <w:szCs w:val="21"/>
              </w:rPr>
              <w:t>42.24</w:t>
            </w:r>
          </w:p>
        </w:tc>
        <w:tc>
          <w:tcPr>
            <w:tcW w:w="1508" w:type="dxa"/>
            <w:vAlign w:val="center"/>
          </w:tcPr>
          <w:p>
            <w:pPr>
              <w:spacing w:line="240" w:lineRule="auto"/>
              <w:ind w:firstLine="0" w:firstLineChars="0"/>
              <w:jc w:val="center"/>
              <w:rPr>
                <w:kern w:val="0"/>
                <w:sz w:val="21"/>
                <w:szCs w:val="21"/>
              </w:rPr>
            </w:pPr>
            <w:r>
              <w:rPr>
                <w:kern w:val="0"/>
                <w:sz w:val="21"/>
                <w:szCs w:val="21"/>
              </w:rPr>
              <w:t>0.36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C20砼底板</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7.2</w:t>
            </w:r>
          </w:p>
        </w:tc>
        <w:tc>
          <w:tcPr>
            <w:tcW w:w="1635" w:type="dxa"/>
            <w:vAlign w:val="center"/>
          </w:tcPr>
          <w:p>
            <w:pPr>
              <w:spacing w:line="240" w:lineRule="auto"/>
              <w:ind w:firstLine="0" w:firstLineChars="0"/>
              <w:jc w:val="center"/>
              <w:rPr>
                <w:kern w:val="0"/>
                <w:sz w:val="21"/>
                <w:szCs w:val="21"/>
              </w:rPr>
            </w:pPr>
            <w:r>
              <w:rPr>
                <w:kern w:val="0"/>
                <w:sz w:val="21"/>
                <w:szCs w:val="21"/>
              </w:rPr>
              <w:t>1395.98</w:t>
            </w:r>
          </w:p>
        </w:tc>
        <w:tc>
          <w:tcPr>
            <w:tcW w:w="1508" w:type="dxa"/>
            <w:vAlign w:val="center"/>
          </w:tcPr>
          <w:p>
            <w:pPr>
              <w:spacing w:line="240" w:lineRule="auto"/>
              <w:ind w:firstLine="0" w:firstLineChars="0"/>
              <w:jc w:val="center"/>
              <w:rPr>
                <w:kern w:val="0"/>
                <w:sz w:val="21"/>
                <w:szCs w:val="21"/>
              </w:rPr>
            </w:pPr>
            <w:r>
              <w:rPr>
                <w:kern w:val="0"/>
                <w:sz w:val="21"/>
                <w:szCs w:val="21"/>
              </w:rPr>
              <w:t>1.01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kern w:val="0"/>
                <w:sz w:val="21"/>
                <w:szCs w:val="21"/>
              </w:rPr>
              <w:t>预制钢筋混凝土盖板</w:t>
            </w:r>
          </w:p>
        </w:tc>
        <w:tc>
          <w:tcPr>
            <w:tcW w:w="764" w:type="dxa"/>
            <w:vAlign w:val="center"/>
          </w:tcPr>
          <w:p>
            <w:pPr>
              <w:spacing w:line="240" w:lineRule="auto"/>
              <w:ind w:firstLine="0" w:firstLineChars="0"/>
              <w:jc w:val="center"/>
              <w:rPr>
                <w:kern w:val="0"/>
                <w:sz w:val="21"/>
                <w:szCs w:val="21"/>
              </w:rPr>
            </w:pPr>
            <w:r>
              <w:rPr>
                <w:sz w:val="21"/>
                <w:szCs w:val="21"/>
              </w:rPr>
              <w:t>块</w:t>
            </w:r>
          </w:p>
        </w:tc>
        <w:tc>
          <w:tcPr>
            <w:tcW w:w="1493" w:type="dxa"/>
            <w:vAlign w:val="center"/>
          </w:tcPr>
          <w:p>
            <w:pPr>
              <w:spacing w:line="240" w:lineRule="auto"/>
              <w:ind w:firstLine="0" w:firstLineChars="0"/>
              <w:jc w:val="center"/>
              <w:rPr>
                <w:kern w:val="0"/>
                <w:sz w:val="21"/>
                <w:szCs w:val="21"/>
              </w:rPr>
            </w:pPr>
            <w:r>
              <w:rPr>
                <w:sz w:val="21"/>
                <w:szCs w:val="21"/>
              </w:rPr>
              <w:t>10</w:t>
            </w:r>
          </w:p>
        </w:tc>
        <w:tc>
          <w:tcPr>
            <w:tcW w:w="1635" w:type="dxa"/>
            <w:vAlign w:val="center"/>
          </w:tcPr>
          <w:p>
            <w:pPr>
              <w:spacing w:line="240" w:lineRule="auto"/>
              <w:ind w:firstLine="0" w:firstLineChars="0"/>
              <w:jc w:val="center"/>
              <w:rPr>
                <w:kern w:val="0"/>
                <w:sz w:val="21"/>
                <w:szCs w:val="21"/>
              </w:rPr>
            </w:pPr>
            <w:r>
              <w:rPr>
                <w:kern w:val="0"/>
                <w:sz w:val="21"/>
                <w:szCs w:val="21"/>
              </w:rPr>
              <w:t>300</w:t>
            </w:r>
          </w:p>
        </w:tc>
        <w:tc>
          <w:tcPr>
            <w:tcW w:w="1508" w:type="dxa"/>
            <w:vAlign w:val="center"/>
          </w:tcPr>
          <w:p>
            <w:pPr>
              <w:spacing w:line="240" w:lineRule="auto"/>
              <w:ind w:firstLine="0" w:firstLineChars="0"/>
              <w:jc w:val="center"/>
              <w:rPr>
                <w:kern w:val="0"/>
                <w:sz w:val="21"/>
                <w:szCs w:val="21"/>
              </w:rPr>
            </w:pPr>
            <w:r>
              <w:rPr>
                <w:kern w:val="0"/>
                <w:sz w:val="21"/>
                <w:szCs w:val="21"/>
              </w:rPr>
              <w:t>0.30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spacing w:line="240" w:lineRule="auto"/>
              <w:ind w:firstLine="0" w:firstLineChars="0"/>
              <w:jc w:val="center"/>
              <w:rPr>
                <w:kern w:val="0"/>
                <w:sz w:val="21"/>
                <w:szCs w:val="21"/>
              </w:rPr>
            </w:pPr>
            <w:r>
              <w:rPr>
                <w:sz w:val="21"/>
                <w:szCs w:val="21"/>
              </w:rPr>
              <w:t>砌砖及</w:t>
            </w:r>
            <w:r>
              <w:rPr>
                <w:kern w:val="0"/>
                <w:sz w:val="21"/>
                <w:szCs w:val="21"/>
              </w:rPr>
              <w:t>C20砼</w:t>
            </w:r>
            <w:r>
              <w:rPr>
                <w:sz w:val="21"/>
                <w:szCs w:val="21"/>
              </w:rPr>
              <w:t>拆除</w:t>
            </w:r>
          </w:p>
        </w:tc>
        <w:tc>
          <w:tcPr>
            <w:tcW w:w="764" w:type="dxa"/>
            <w:vAlign w:val="center"/>
          </w:tcPr>
          <w:p>
            <w:pPr>
              <w:spacing w:line="240" w:lineRule="auto"/>
              <w:ind w:firstLine="0" w:firstLineChars="0"/>
              <w:jc w:val="center"/>
              <w:rPr>
                <w:kern w:val="0"/>
                <w:sz w:val="21"/>
                <w:szCs w:val="21"/>
              </w:rPr>
            </w:pPr>
            <w:r>
              <w:rPr>
                <w:sz w:val="21"/>
                <w:szCs w:val="21"/>
              </w:rPr>
              <w:t>m</w:t>
            </w:r>
            <w:r>
              <w:rPr>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22.1</w:t>
            </w:r>
          </w:p>
        </w:tc>
        <w:tc>
          <w:tcPr>
            <w:tcW w:w="1635" w:type="dxa"/>
            <w:vAlign w:val="center"/>
          </w:tcPr>
          <w:p>
            <w:pPr>
              <w:spacing w:line="240" w:lineRule="auto"/>
              <w:ind w:firstLine="0" w:firstLineChars="0"/>
              <w:jc w:val="center"/>
              <w:rPr>
                <w:kern w:val="0"/>
                <w:sz w:val="21"/>
                <w:szCs w:val="21"/>
              </w:rPr>
            </w:pPr>
            <w:r>
              <w:rPr>
                <w:kern w:val="0"/>
                <w:sz w:val="21"/>
                <w:szCs w:val="21"/>
              </w:rPr>
              <w:t>131.84</w:t>
            </w:r>
          </w:p>
        </w:tc>
        <w:tc>
          <w:tcPr>
            <w:tcW w:w="1508" w:type="dxa"/>
            <w:vAlign w:val="center"/>
          </w:tcPr>
          <w:p>
            <w:pPr>
              <w:spacing w:line="240" w:lineRule="auto"/>
              <w:ind w:firstLine="0" w:firstLineChars="0"/>
              <w:jc w:val="center"/>
              <w:rPr>
                <w:kern w:val="0"/>
                <w:sz w:val="21"/>
                <w:szCs w:val="21"/>
              </w:rPr>
            </w:pPr>
            <w:r>
              <w:rPr>
                <w:kern w:val="0"/>
                <w:sz w:val="21"/>
                <w:szCs w:val="21"/>
              </w:rPr>
              <w:t>0.29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r>
              <w:rPr>
                <w:kern w:val="0"/>
                <w:sz w:val="21"/>
                <w:szCs w:val="21"/>
              </w:rPr>
              <w:t>（3）</w:t>
            </w:r>
          </w:p>
        </w:tc>
        <w:tc>
          <w:tcPr>
            <w:tcW w:w="3030" w:type="dxa"/>
            <w:vAlign w:val="center"/>
          </w:tcPr>
          <w:p>
            <w:pPr>
              <w:pStyle w:val="68"/>
              <w:adjustRightInd/>
              <w:snapToGrid/>
              <w:spacing w:afterLines="0"/>
              <w:jc w:val="center"/>
              <w:rPr>
                <w:b w:val="0"/>
                <w:kern w:val="0"/>
                <w:sz w:val="21"/>
                <w:szCs w:val="21"/>
              </w:rPr>
            </w:pPr>
            <w:r>
              <w:rPr>
                <w:b w:val="0"/>
                <w:bCs/>
                <w:sz w:val="21"/>
                <w:szCs w:val="21"/>
              </w:rPr>
              <w:t>防雨布苫盖</w:t>
            </w:r>
          </w:p>
        </w:tc>
        <w:tc>
          <w:tcPr>
            <w:tcW w:w="764" w:type="dxa"/>
            <w:vAlign w:val="center"/>
          </w:tcPr>
          <w:p>
            <w:pPr>
              <w:pStyle w:val="68"/>
              <w:adjustRightInd/>
              <w:snapToGrid/>
              <w:spacing w:afterLines="0"/>
              <w:jc w:val="center"/>
              <w:rPr>
                <w:b w:val="0"/>
                <w:kern w:val="0"/>
                <w:sz w:val="21"/>
                <w:szCs w:val="21"/>
              </w:rPr>
            </w:pPr>
            <w:r>
              <w:rPr>
                <w:b w:val="0"/>
                <w:bCs/>
                <w:sz w:val="21"/>
                <w:szCs w:val="21"/>
              </w:rPr>
              <w:t>hm</w:t>
            </w:r>
            <w:r>
              <w:rPr>
                <w:b w:val="0"/>
                <w:bCs/>
                <w:sz w:val="21"/>
                <w:szCs w:val="21"/>
                <w:vertAlign w:val="superscript"/>
              </w:rPr>
              <w:t>2</w:t>
            </w:r>
          </w:p>
        </w:tc>
        <w:tc>
          <w:tcPr>
            <w:tcW w:w="1493" w:type="dxa"/>
            <w:vAlign w:val="center"/>
          </w:tcPr>
          <w:p>
            <w:pPr>
              <w:spacing w:line="240" w:lineRule="auto"/>
              <w:ind w:firstLine="0" w:firstLineChars="0"/>
              <w:jc w:val="center"/>
              <w:rPr>
                <w:kern w:val="0"/>
                <w:sz w:val="21"/>
                <w:szCs w:val="21"/>
              </w:rPr>
            </w:pPr>
            <w:r>
              <w:rPr>
                <w:sz w:val="21"/>
                <w:szCs w:val="21"/>
              </w:rPr>
              <w:t>2.27</w:t>
            </w:r>
          </w:p>
        </w:tc>
        <w:tc>
          <w:tcPr>
            <w:tcW w:w="1635" w:type="dxa"/>
            <w:vAlign w:val="center"/>
          </w:tcPr>
          <w:p>
            <w:pPr>
              <w:spacing w:line="240" w:lineRule="auto"/>
              <w:ind w:firstLine="0" w:firstLineChars="0"/>
              <w:jc w:val="center"/>
              <w:rPr>
                <w:kern w:val="0"/>
                <w:sz w:val="21"/>
                <w:szCs w:val="21"/>
              </w:rPr>
            </w:pPr>
            <w:r>
              <w:rPr>
                <w:kern w:val="0"/>
                <w:sz w:val="21"/>
                <w:szCs w:val="21"/>
              </w:rPr>
              <w:t>119904</w:t>
            </w:r>
          </w:p>
        </w:tc>
        <w:tc>
          <w:tcPr>
            <w:tcW w:w="1508" w:type="dxa"/>
            <w:vAlign w:val="center"/>
          </w:tcPr>
          <w:p>
            <w:pPr>
              <w:spacing w:line="240" w:lineRule="auto"/>
              <w:ind w:firstLine="0" w:firstLineChars="0"/>
              <w:jc w:val="center"/>
              <w:rPr>
                <w:kern w:val="0"/>
                <w:sz w:val="21"/>
                <w:szCs w:val="21"/>
              </w:rPr>
            </w:pPr>
            <w:r>
              <w:rPr>
                <w:kern w:val="0"/>
                <w:sz w:val="21"/>
                <w:szCs w:val="21"/>
              </w:rPr>
              <w:t>27.22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r>
              <w:rPr>
                <w:kern w:val="0"/>
                <w:sz w:val="21"/>
                <w:szCs w:val="21"/>
              </w:rPr>
              <w:t>（4）</w:t>
            </w:r>
          </w:p>
        </w:tc>
        <w:tc>
          <w:tcPr>
            <w:tcW w:w="3030" w:type="dxa"/>
            <w:vAlign w:val="center"/>
          </w:tcPr>
          <w:p>
            <w:pPr>
              <w:pStyle w:val="68"/>
              <w:adjustRightInd/>
              <w:snapToGrid/>
              <w:spacing w:afterLines="0"/>
              <w:jc w:val="center"/>
              <w:rPr>
                <w:b w:val="0"/>
                <w:kern w:val="0"/>
                <w:sz w:val="21"/>
                <w:szCs w:val="21"/>
              </w:rPr>
            </w:pPr>
            <w:r>
              <w:rPr>
                <w:b w:val="0"/>
                <w:bCs/>
                <w:sz w:val="21"/>
                <w:szCs w:val="21"/>
              </w:rPr>
              <w:t>编织袋装土拦挡</w:t>
            </w:r>
          </w:p>
        </w:tc>
        <w:tc>
          <w:tcPr>
            <w:tcW w:w="764" w:type="dxa"/>
            <w:vAlign w:val="center"/>
          </w:tcPr>
          <w:p>
            <w:pPr>
              <w:pStyle w:val="68"/>
              <w:adjustRightInd/>
              <w:snapToGrid/>
              <w:spacing w:afterLines="0"/>
              <w:jc w:val="center"/>
              <w:rPr>
                <w:b w:val="0"/>
                <w:kern w:val="0"/>
                <w:sz w:val="21"/>
                <w:szCs w:val="21"/>
              </w:rPr>
            </w:pPr>
            <w:r>
              <w:rPr>
                <w:b w:val="0"/>
                <w:bCs/>
                <w:sz w:val="21"/>
                <w:szCs w:val="21"/>
              </w:rPr>
              <w:t>m</w:t>
            </w:r>
          </w:p>
        </w:tc>
        <w:tc>
          <w:tcPr>
            <w:tcW w:w="1493" w:type="dxa"/>
            <w:vAlign w:val="center"/>
          </w:tcPr>
          <w:p>
            <w:pPr>
              <w:spacing w:line="240" w:lineRule="auto"/>
              <w:ind w:firstLine="0" w:firstLineChars="0"/>
              <w:jc w:val="center"/>
              <w:rPr>
                <w:kern w:val="0"/>
                <w:sz w:val="21"/>
                <w:szCs w:val="21"/>
              </w:rPr>
            </w:pPr>
            <w:r>
              <w:rPr>
                <w:sz w:val="21"/>
                <w:szCs w:val="21"/>
              </w:rPr>
              <w:t>400</w:t>
            </w:r>
          </w:p>
        </w:tc>
        <w:tc>
          <w:tcPr>
            <w:tcW w:w="1635" w:type="dxa"/>
            <w:vAlign w:val="center"/>
          </w:tcPr>
          <w:p>
            <w:pPr>
              <w:spacing w:line="240" w:lineRule="auto"/>
              <w:ind w:firstLine="0" w:firstLineChars="0"/>
              <w:jc w:val="center"/>
              <w:rPr>
                <w:kern w:val="0"/>
                <w:sz w:val="21"/>
                <w:szCs w:val="21"/>
              </w:rPr>
            </w:pPr>
          </w:p>
        </w:tc>
        <w:tc>
          <w:tcPr>
            <w:tcW w:w="1508" w:type="dxa"/>
            <w:vAlign w:val="center"/>
          </w:tcPr>
          <w:p>
            <w:pPr>
              <w:spacing w:line="240" w:lineRule="auto"/>
              <w:ind w:firstLine="0" w:firstLineChars="0"/>
              <w:jc w:val="center"/>
              <w:rPr>
                <w:kern w:val="0"/>
                <w:sz w:val="21"/>
                <w:szCs w:val="21"/>
              </w:rPr>
            </w:pPr>
            <w:r>
              <w:rPr>
                <w:kern w:val="0"/>
                <w:sz w:val="21"/>
                <w:szCs w:val="21"/>
              </w:rPr>
              <w:t>26.56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编织袋装土填筑</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640</w:t>
            </w:r>
          </w:p>
        </w:tc>
        <w:tc>
          <w:tcPr>
            <w:tcW w:w="1635" w:type="dxa"/>
            <w:vAlign w:val="center"/>
          </w:tcPr>
          <w:p>
            <w:pPr>
              <w:spacing w:line="240" w:lineRule="auto"/>
              <w:ind w:firstLine="0" w:firstLineChars="0"/>
              <w:jc w:val="center"/>
              <w:rPr>
                <w:kern w:val="0"/>
                <w:sz w:val="21"/>
                <w:szCs w:val="21"/>
              </w:rPr>
            </w:pPr>
            <w:r>
              <w:rPr>
                <w:kern w:val="0"/>
                <w:sz w:val="21"/>
                <w:szCs w:val="21"/>
              </w:rPr>
              <w:t>367.16</w:t>
            </w:r>
          </w:p>
        </w:tc>
        <w:tc>
          <w:tcPr>
            <w:tcW w:w="1508" w:type="dxa"/>
            <w:vAlign w:val="center"/>
          </w:tcPr>
          <w:p>
            <w:pPr>
              <w:spacing w:line="240" w:lineRule="auto"/>
              <w:ind w:firstLine="0" w:firstLineChars="0"/>
              <w:jc w:val="center"/>
              <w:rPr>
                <w:kern w:val="0"/>
                <w:sz w:val="21"/>
                <w:szCs w:val="21"/>
              </w:rPr>
            </w:pPr>
            <w:r>
              <w:rPr>
                <w:kern w:val="0"/>
                <w:sz w:val="21"/>
                <w:szCs w:val="21"/>
              </w:rPr>
              <w:t>23.50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 w:hRule="atLeast"/>
        </w:trPr>
        <w:tc>
          <w:tcPr>
            <w:tcW w:w="859" w:type="dxa"/>
            <w:vAlign w:val="center"/>
          </w:tcPr>
          <w:p>
            <w:pPr>
              <w:spacing w:line="240" w:lineRule="auto"/>
              <w:ind w:firstLine="0" w:firstLineChars="0"/>
              <w:jc w:val="center"/>
              <w:rPr>
                <w:kern w:val="0"/>
                <w:sz w:val="21"/>
                <w:szCs w:val="21"/>
              </w:rPr>
            </w:pPr>
          </w:p>
        </w:tc>
        <w:tc>
          <w:tcPr>
            <w:tcW w:w="3030" w:type="dxa"/>
            <w:vAlign w:val="center"/>
          </w:tcPr>
          <w:p>
            <w:pPr>
              <w:pStyle w:val="68"/>
              <w:adjustRightInd/>
              <w:snapToGrid/>
              <w:spacing w:afterLines="0"/>
              <w:jc w:val="center"/>
              <w:rPr>
                <w:b w:val="0"/>
                <w:kern w:val="0"/>
                <w:sz w:val="21"/>
                <w:szCs w:val="21"/>
              </w:rPr>
            </w:pPr>
            <w:r>
              <w:rPr>
                <w:b w:val="0"/>
                <w:bCs/>
                <w:sz w:val="21"/>
                <w:szCs w:val="21"/>
              </w:rPr>
              <w:t>土袋拆除</w:t>
            </w:r>
          </w:p>
        </w:tc>
        <w:tc>
          <w:tcPr>
            <w:tcW w:w="764" w:type="dxa"/>
            <w:vAlign w:val="center"/>
          </w:tcPr>
          <w:p>
            <w:pPr>
              <w:pStyle w:val="68"/>
              <w:adjustRightInd/>
              <w:snapToGrid/>
              <w:spacing w:afterLines="0"/>
              <w:jc w:val="center"/>
              <w:rPr>
                <w:b w:val="0"/>
                <w:kern w:val="0"/>
                <w:sz w:val="21"/>
                <w:szCs w:val="21"/>
              </w:rPr>
            </w:pPr>
            <w:r>
              <w:rPr>
                <w:b w:val="0"/>
                <w:sz w:val="21"/>
                <w:szCs w:val="21"/>
              </w:rPr>
              <w:t>m</w:t>
            </w:r>
            <w:r>
              <w:rPr>
                <w:b w:val="0"/>
                <w:sz w:val="21"/>
                <w:szCs w:val="21"/>
                <w:vertAlign w:val="superscript"/>
              </w:rPr>
              <w:t>3</w:t>
            </w:r>
          </w:p>
        </w:tc>
        <w:tc>
          <w:tcPr>
            <w:tcW w:w="1493" w:type="dxa"/>
            <w:vAlign w:val="center"/>
          </w:tcPr>
          <w:p>
            <w:pPr>
              <w:spacing w:line="240" w:lineRule="auto"/>
              <w:ind w:firstLine="0" w:firstLineChars="0"/>
              <w:jc w:val="center"/>
              <w:rPr>
                <w:kern w:val="0"/>
                <w:sz w:val="21"/>
                <w:szCs w:val="21"/>
              </w:rPr>
            </w:pPr>
            <w:r>
              <w:rPr>
                <w:sz w:val="21"/>
                <w:szCs w:val="21"/>
              </w:rPr>
              <w:t>640</w:t>
            </w:r>
          </w:p>
        </w:tc>
        <w:tc>
          <w:tcPr>
            <w:tcW w:w="1635" w:type="dxa"/>
            <w:vAlign w:val="center"/>
          </w:tcPr>
          <w:p>
            <w:pPr>
              <w:spacing w:line="240" w:lineRule="auto"/>
              <w:ind w:firstLine="0" w:firstLineChars="0"/>
              <w:jc w:val="center"/>
              <w:rPr>
                <w:kern w:val="0"/>
                <w:sz w:val="21"/>
                <w:szCs w:val="21"/>
              </w:rPr>
            </w:pPr>
            <w:r>
              <w:rPr>
                <w:kern w:val="0"/>
                <w:sz w:val="21"/>
                <w:szCs w:val="21"/>
              </w:rPr>
              <w:t>47.74</w:t>
            </w:r>
          </w:p>
        </w:tc>
        <w:tc>
          <w:tcPr>
            <w:tcW w:w="1508" w:type="dxa"/>
            <w:vAlign w:val="center"/>
          </w:tcPr>
          <w:p>
            <w:pPr>
              <w:spacing w:line="240" w:lineRule="auto"/>
              <w:ind w:firstLine="0" w:firstLineChars="0"/>
              <w:jc w:val="center"/>
              <w:rPr>
                <w:kern w:val="0"/>
                <w:sz w:val="21"/>
                <w:szCs w:val="21"/>
              </w:rPr>
            </w:pPr>
            <w:r>
              <w:rPr>
                <w:kern w:val="0"/>
                <w:sz w:val="21"/>
                <w:szCs w:val="21"/>
              </w:rPr>
              <w:t>3.06</w:t>
            </w:r>
          </w:p>
        </w:tc>
      </w:tr>
    </w:tbl>
    <w:p>
      <w:pPr>
        <w:pStyle w:val="68"/>
        <w:spacing w:beforeLines="50" w:afterLines="0" w:line="360" w:lineRule="auto"/>
      </w:pPr>
      <w:r>
        <w:t>表7.1-11独立费用估算表</w:t>
      </w:r>
    </w:p>
    <w:tbl>
      <w:tblPr>
        <w:tblStyle w:val="110"/>
        <w:tblW w:w="4998"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973"/>
        <w:gridCol w:w="2574"/>
        <w:gridCol w:w="4317"/>
        <w:gridCol w:w="1419"/>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b/>
                <w:bCs/>
              </w:rPr>
            </w:pPr>
            <w:r>
              <w:rPr>
                <w:rFonts w:eastAsia="仿宋_GB2312"/>
                <w:b/>
                <w:bCs/>
              </w:rPr>
              <w:t>序号</w:t>
            </w:r>
          </w:p>
        </w:tc>
        <w:tc>
          <w:tcPr>
            <w:tcW w:w="1386" w:type="pct"/>
            <w:vAlign w:val="center"/>
          </w:tcPr>
          <w:p>
            <w:pPr>
              <w:pStyle w:val="53"/>
              <w:jc w:val="center"/>
              <w:rPr>
                <w:rFonts w:eastAsia="仿宋_GB2312"/>
                <w:b/>
                <w:bCs/>
              </w:rPr>
            </w:pPr>
            <w:r>
              <w:rPr>
                <w:rFonts w:eastAsia="仿宋_GB2312"/>
                <w:b/>
                <w:bCs/>
              </w:rPr>
              <w:t>名称及规格</w:t>
            </w:r>
          </w:p>
        </w:tc>
        <w:tc>
          <w:tcPr>
            <w:tcW w:w="2324" w:type="pct"/>
            <w:vAlign w:val="center"/>
          </w:tcPr>
          <w:p>
            <w:pPr>
              <w:pStyle w:val="53"/>
              <w:jc w:val="center"/>
              <w:rPr>
                <w:rFonts w:eastAsia="仿宋_GB2312"/>
                <w:b/>
                <w:bCs/>
              </w:rPr>
            </w:pPr>
            <w:r>
              <w:rPr>
                <w:rFonts w:eastAsia="仿宋_GB2312"/>
                <w:b/>
                <w:bCs/>
              </w:rPr>
              <w:t>编制依据及计算公式</w:t>
            </w:r>
          </w:p>
        </w:tc>
        <w:tc>
          <w:tcPr>
            <w:tcW w:w="764" w:type="pct"/>
            <w:vAlign w:val="center"/>
          </w:tcPr>
          <w:p>
            <w:pPr>
              <w:pStyle w:val="53"/>
              <w:jc w:val="center"/>
              <w:rPr>
                <w:rFonts w:eastAsia="仿宋_GB2312"/>
                <w:b/>
                <w:bCs/>
              </w:rPr>
            </w:pPr>
            <w:r>
              <w:rPr>
                <w:rFonts w:eastAsia="仿宋_GB2312"/>
                <w:b/>
                <w:bCs/>
              </w:rPr>
              <w:t>合计（万元）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p>
        </w:tc>
        <w:tc>
          <w:tcPr>
            <w:tcW w:w="1386" w:type="pct"/>
            <w:vAlign w:val="center"/>
          </w:tcPr>
          <w:p>
            <w:pPr>
              <w:pStyle w:val="53"/>
              <w:jc w:val="center"/>
              <w:rPr>
                <w:rFonts w:eastAsia="仿宋_GB2312"/>
              </w:rPr>
            </w:pPr>
            <w:r>
              <w:rPr>
                <w:rFonts w:eastAsia="仿宋_GB2312"/>
              </w:rPr>
              <w:t>独立费用</w:t>
            </w:r>
          </w:p>
        </w:tc>
        <w:tc>
          <w:tcPr>
            <w:tcW w:w="2324" w:type="pct"/>
            <w:vAlign w:val="center"/>
          </w:tcPr>
          <w:p>
            <w:pPr>
              <w:pStyle w:val="53"/>
              <w:jc w:val="center"/>
              <w:rPr>
                <w:rFonts w:eastAsia="仿宋_GB2312"/>
              </w:rPr>
            </w:pPr>
            <w:r>
              <w:rPr>
                <w:rFonts w:eastAsia="仿宋_GB2312"/>
              </w:rPr>
              <w:t>一+二+三+四+五+六+七</w:t>
            </w:r>
          </w:p>
        </w:tc>
        <w:tc>
          <w:tcPr>
            <w:tcW w:w="764" w:type="pct"/>
            <w:vAlign w:val="center"/>
          </w:tcPr>
          <w:p>
            <w:pPr>
              <w:spacing w:line="240" w:lineRule="auto"/>
              <w:ind w:firstLine="0" w:firstLineChars="0"/>
              <w:jc w:val="center"/>
              <w:rPr>
                <w:sz w:val="21"/>
                <w:szCs w:val="21"/>
              </w:rPr>
            </w:pPr>
            <w:r>
              <w:rPr>
                <w:sz w:val="21"/>
                <w:szCs w:val="21"/>
              </w:rPr>
              <w:t>403.11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一</w:t>
            </w:r>
          </w:p>
        </w:tc>
        <w:tc>
          <w:tcPr>
            <w:tcW w:w="1386" w:type="pct"/>
            <w:vAlign w:val="center"/>
          </w:tcPr>
          <w:p>
            <w:pPr>
              <w:adjustRightInd w:val="0"/>
              <w:snapToGrid w:val="0"/>
              <w:spacing w:line="240" w:lineRule="auto"/>
              <w:ind w:firstLine="0" w:firstLineChars="0"/>
              <w:jc w:val="center"/>
              <w:rPr>
                <w:sz w:val="21"/>
                <w:szCs w:val="21"/>
              </w:rPr>
            </w:pPr>
            <w:r>
              <w:rPr>
                <w:kern w:val="0"/>
                <w:sz w:val="21"/>
                <w:szCs w:val="21"/>
              </w:rPr>
              <w:t>建设管理费</w:t>
            </w:r>
          </w:p>
        </w:tc>
        <w:tc>
          <w:tcPr>
            <w:tcW w:w="2324" w:type="pct"/>
            <w:vAlign w:val="center"/>
          </w:tcPr>
          <w:p>
            <w:pPr>
              <w:pStyle w:val="53"/>
              <w:jc w:val="center"/>
              <w:rPr>
                <w:rFonts w:eastAsia="仿宋_GB2312"/>
              </w:rPr>
            </w:pPr>
            <w:r>
              <w:rPr>
                <w:rFonts w:eastAsia="仿宋_GB2312"/>
              </w:rPr>
              <w:t>（工程措施费+植物措施费+临时措施费）×2%，不足部分由主体工程建设管理费支出</w:t>
            </w:r>
          </w:p>
        </w:tc>
        <w:tc>
          <w:tcPr>
            <w:tcW w:w="764" w:type="pct"/>
            <w:vAlign w:val="center"/>
          </w:tcPr>
          <w:p>
            <w:pPr>
              <w:spacing w:line="240" w:lineRule="auto"/>
              <w:ind w:firstLine="0" w:firstLineChars="0"/>
              <w:jc w:val="center"/>
              <w:rPr>
                <w:sz w:val="21"/>
                <w:szCs w:val="21"/>
              </w:rPr>
            </w:pPr>
            <w:r>
              <w:rPr>
                <w:sz w:val="21"/>
                <w:szCs w:val="21"/>
              </w:rPr>
              <w:t>192.91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二</w:t>
            </w:r>
          </w:p>
        </w:tc>
        <w:tc>
          <w:tcPr>
            <w:tcW w:w="1386" w:type="pct"/>
            <w:vAlign w:val="center"/>
          </w:tcPr>
          <w:p>
            <w:pPr>
              <w:adjustRightInd w:val="0"/>
              <w:snapToGrid w:val="0"/>
              <w:spacing w:line="240" w:lineRule="auto"/>
              <w:ind w:firstLine="0" w:firstLineChars="0"/>
              <w:jc w:val="center"/>
              <w:rPr>
                <w:sz w:val="21"/>
                <w:szCs w:val="21"/>
              </w:rPr>
            </w:pPr>
            <w:r>
              <w:rPr>
                <w:kern w:val="0"/>
                <w:sz w:val="21"/>
                <w:szCs w:val="21"/>
              </w:rPr>
              <w:t>科研勘测设计费</w:t>
            </w:r>
          </w:p>
        </w:tc>
        <w:tc>
          <w:tcPr>
            <w:tcW w:w="2324" w:type="pct"/>
            <w:vAlign w:val="center"/>
          </w:tcPr>
          <w:p>
            <w:pPr>
              <w:adjustRightInd w:val="0"/>
              <w:snapToGrid w:val="0"/>
              <w:spacing w:line="240" w:lineRule="auto"/>
              <w:ind w:firstLine="0" w:firstLineChars="0"/>
              <w:jc w:val="center"/>
              <w:rPr>
                <w:sz w:val="21"/>
                <w:szCs w:val="21"/>
              </w:rPr>
            </w:pPr>
            <w:r>
              <w:rPr>
                <w:kern w:val="0"/>
                <w:sz w:val="21"/>
                <w:szCs w:val="21"/>
              </w:rPr>
              <w:t>勘测设计费、方案编制费两项之和</w:t>
            </w:r>
          </w:p>
        </w:tc>
        <w:tc>
          <w:tcPr>
            <w:tcW w:w="764" w:type="pct"/>
            <w:vAlign w:val="center"/>
          </w:tcPr>
          <w:p>
            <w:pPr>
              <w:spacing w:line="240" w:lineRule="auto"/>
              <w:ind w:firstLine="0" w:firstLineChars="0"/>
              <w:jc w:val="center"/>
              <w:rPr>
                <w:sz w:val="21"/>
                <w:szCs w:val="21"/>
              </w:rPr>
            </w:pPr>
            <w:r>
              <w:rPr>
                <w:sz w:val="21"/>
                <w:szCs w:val="21"/>
              </w:rPr>
              <w:t>49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三</w:t>
            </w:r>
          </w:p>
        </w:tc>
        <w:tc>
          <w:tcPr>
            <w:tcW w:w="1386" w:type="pct"/>
            <w:vAlign w:val="center"/>
          </w:tcPr>
          <w:p>
            <w:pPr>
              <w:adjustRightInd w:val="0"/>
              <w:snapToGrid w:val="0"/>
              <w:spacing w:line="240" w:lineRule="auto"/>
              <w:ind w:firstLine="0" w:firstLineChars="0"/>
              <w:jc w:val="center"/>
              <w:rPr>
                <w:sz w:val="21"/>
                <w:szCs w:val="21"/>
              </w:rPr>
            </w:pPr>
            <w:r>
              <w:rPr>
                <w:kern w:val="0"/>
                <w:sz w:val="21"/>
                <w:szCs w:val="21"/>
              </w:rPr>
              <w:t>水土保持监理费</w:t>
            </w:r>
          </w:p>
        </w:tc>
        <w:tc>
          <w:tcPr>
            <w:tcW w:w="2324" w:type="pct"/>
            <w:vAlign w:val="center"/>
          </w:tcPr>
          <w:p>
            <w:pPr>
              <w:adjustRightInd w:val="0"/>
              <w:snapToGrid w:val="0"/>
              <w:spacing w:line="240" w:lineRule="auto"/>
              <w:ind w:firstLine="0" w:firstLineChars="0"/>
              <w:jc w:val="center"/>
              <w:rPr>
                <w:sz w:val="21"/>
                <w:szCs w:val="21"/>
              </w:rPr>
            </w:pPr>
            <w:r>
              <w:rPr>
                <w:sz w:val="21"/>
                <w:szCs w:val="21"/>
              </w:rPr>
              <w:t>根据市场价格取</w:t>
            </w:r>
          </w:p>
        </w:tc>
        <w:tc>
          <w:tcPr>
            <w:tcW w:w="764" w:type="pct"/>
            <w:vAlign w:val="center"/>
          </w:tcPr>
          <w:p>
            <w:pPr>
              <w:spacing w:line="240" w:lineRule="auto"/>
              <w:ind w:firstLine="0" w:firstLineChars="0"/>
              <w:jc w:val="center"/>
              <w:rPr>
                <w:sz w:val="21"/>
                <w:szCs w:val="21"/>
              </w:rPr>
            </w:pPr>
            <w:r>
              <w:rPr>
                <w:sz w:val="21"/>
                <w:szCs w:val="21"/>
              </w:rPr>
              <w:t>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四</w:t>
            </w:r>
          </w:p>
        </w:tc>
        <w:tc>
          <w:tcPr>
            <w:tcW w:w="1386" w:type="pct"/>
            <w:vAlign w:val="center"/>
          </w:tcPr>
          <w:p>
            <w:pPr>
              <w:adjustRightInd w:val="0"/>
              <w:snapToGrid w:val="0"/>
              <w:spacing w:line="240" w:lineRule="auto"/>
              <w:ind w:firstLine="0" w:firstLineChars="0"/>
              <w:jc w:val="center"/>
              <w:rPr>
                <w:sz w:val="21"/>
                <w:szCs w:val="21"/>
              </w:rPr>
            </w:pPr>
            <w:r>
              <w:rPr>
                <w:kern w:val="0"/>
                <w:sz w:val="21"/>
                <w:szCs w:val="21"/>
              </w:rPr>
              <w:t>水土保持监测费</w:t>
            </w:r>
          </w:p>
        </w:tc>
        <w:tc>
          <w:tcPr>
            <w:tcW w:w="2324" w:type="pct"/>
            <w:vAlign w:val="center"/>
          </w:tcPr>
          <w:p>
            <w:pPr>
              <w:adjustRightInd w:val="0"/>
              <w:snapToGrid w:val="0"/>
              <w:spacing w:line="240" w:lineRule="auto"/>
              <w:ind w:firstLine="0" w:firstLineChars="0"/>
              <w:jc w:val="center"/>
              <w:rPr>
                <w:sz w:val="21"/>
                <w:szCs w:val="21"/>
              </w:rPr>
            </w:pPr>
            <w:r>
              <w:rPr>
                <w:sz w:val="21"/>
                <w:szCs w:val="21"/>
              </w:rPr>
              <w:t>土地设施费、设备及安装费、建设期观测运行费三部分之和</w:t>
            </w:r>
          </w:p>
        </w:tc>
        <w:tc>
          <w:tcPr>
            <w:tcW w:w="764" w:type="pct"/>
            <w:vAlign w:val="center"/>
          </w:tcPr>
          <w:p>
            <w:pPr>
              <w:spacing w:line="240" w:lineRule="auto"/>
              <w:ind w:firstLine="0" w:firstLineChars="0"/>
              <w:jc w:val="center"/>
              <w:rPr>
                <w:sz w:val="21"/>
                <w:szCs w:val="21"/>
              </w:rPr>
            </w:pPr>
            <w:r>
              <w:rPr>
                <w:sz w:val="21"/>
                <w:szCs w:val="21"/>
              </w:rPr>
              <w:t>72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五</w:t>
            </w:r>
          </w:p>
        </w:tc>
        <w:tc>
          <w:tcPr>
            <w:tcW w:w="1386" w:type="pct"/>
            <w:vAlign w:val="center"/>
          </w:tcPr>
          <w:p>
            <w:pPr>
              <w:adjustRightInd w:val="0"/>
              <w:snapToGrid w:val="0"/>
              <w:spacing w:line="240" w:lineRule="auto"/>
              <w:ind w:firstLine="0" w:firstLineChars="0"/>
              <w:jc w:val="center"/>
              <w:rPr>
                <w:sz w:val="21"/>
                <w:szCs w:val="21"/>
              </w:rPr>
            </w:pPr>
            <w:r>
              <w:rPr>
                <w:kern w:val="0"/>
                <w:sz w:val="21"/>
                <w:szCs w:val="21"/>
              </w:rPr>
              <w:t>水土保持设施验收费</w:t>
            </w:r>
          </w:p>
        </w:tc>
        <w:tc>
          <w:tcPr>
            <w:tcW w:w="2324" w:type="pct"/>
            <w:vAlign w:val="center"/>
          </w:tcPr>
          <w:p>
            <w:pPr>
              <w:adjustRightInd w:val="0"/>
              <w:snapToGrid w:val="0"/>
              <w:spacing w:line="240" w:lineRule="auto"/>
              <w:ind w:firstLine="0" w:firstLineChars="0"/>
              <w:jc w:val="center"/>
              <w:rPr>
                <w:sz w:val="21"/>
                <w:szCs w:val="21"/>
              </w:rPr>
            </w:pPr>
            <w:r>
              <w:rPr>
                <w:sz w:val="21"/>
                <w:szCs w:val="21"/>
              </w:rPr>
              <w:t>根据市场价格取</w:t>
            </w:r>
          </w:p>
        </w:tc>
        <w:tc>
          <w:tcPr>
            <w:tcW w:w="764" w:type="pct"/>
            <w:vAlign w:val="center"/>
          </w:tcPr>
          <w:p>
            <w:pPr>
              <w:spacing w:line="240" w:lineRule="auto"/>
              <w:ind w:firstLine="0" w:firstLineChars="0"/>
              <w:jc w:val="center"/>
              <w:rPr>
                <w:sz w:val="21"/>
                <w:szCs w:val="21"/>
              </w:rPr>
            </w:pPr>
            <w:r>
              <w:rPr>
                <w:sz w:val="21"/>
                <w:szCs w:val="21"/>
              </w:rPr>
              <w:t>39.20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六</w:t>
            </w:r>
          </w:p>
        </w:tc>
        <w:tc>
          <w:tcPr>
            <w:tcW w:w="1386" w:type="pct"/>
            <w:vAlign w:val="center"/>
          </w:tcPr>
          <w:p>
            <w:pPr>
              <w:adjustRightInd w:val="0"/>
              <w:snapToGrid w:val="0"/>
              <w:spacing w:line="240" w:lineRule="auto"/>
              <w:ind w:firstLine="0" w:firstLineChars="0"/>
              <w:jc w:val="center"/>
              <w:rPr>
                <w:sz w:val="21"/>
                <w:szCs w:val="21"/>
              </w:rPr>
            </w:pPr>
            <w:r>
              <w:rPr>
                <w:kern w:val="0"/>
                <w:sz w:val="21"/>
                <w:szCs w:val="21"/>
              </w:rPr>
              <w:t>招标代理服务费</w:t>
            </w:r>
          </w:p>
        </w:tc>
        <w:tc>
          <w:tcPr>
            <w:tcW w:w="2324" w:type="pct"/>
            <w:vAlign w:val="center"/>
          </w:tcPr>
          <w:p>
            <w:pPr>
              <w:adjustRightInd w:val="0"/>
              <w:snapToGrid w:val="0"/>
              <w:spacing w:line="240" w:lineRule="auto"/>
              <w:ind w:firstLine="0" w:firstLineChars="0"/>
              <w:jc w:val="center"/>
              <w:rPr>
                <w:sz w:val="21"/>
                <w:szCs w:val="21"/>
              </w:rPr>
            </w:pPr>
            <w:r>
              <w:rPr>
                <w:sz w:val="21"/>
                <w:szCs w:val="21"/>
              </w:rPr>
              <w:t>根据项目实际情况计取</w:t>
            </w:r>
          </w:p>
        </w:tc>
        <w:tc>
          <w:tcPr>
            <w:tcW w:w="764" w:type="pct"/>
            <w:vAlign w:val="center"/>
          </w:tcPr>
          <w:p>
            <w:pPr>
              <w:spacing w:line="240" w:lineRule="auto"/>
              <w:ind w:firstLine="0" w:firstLineChars="0"/>
              <w:jc w:val="center"/>
              <w:rPr>
                <w:sz w:val="21"/>
                <w:szCs w:val="21"/>
              </w:rPr>
            </w:pPr>
            <w:r>
              <w:rPr>
                <w:sz w:val="21"/>
                <w:szCs w:val="21"/>
              </w:rPr>
              <w:t>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524" w:type="pct"/>
            <w:vAlign w:val="center"/>
          </w:tcPr>
          <w:p>
            <w:pPr>
              <w:pStyle w:val="53"/>
              <w:jc w:val="center"/>
              <w:rPr>
                <w:rFonts w:eastAsia="仿宋_GB2312"/>
              </w:rPr>
            </w:pPr>
            <w:r>
              <w:rPr>
                <w:rFonts w:eastAsia="仿宋_GB2312"/>
              </w:rPr>
              <w:t>七</w:t>
            </w:r>
          </w:p>
        </w:tc>
        <w:tc>
          <w:tcPr>
            <w:tcW w:w="1386" w:type="pct"/>
            <w:vAlign w:val="center"/>
          </w:tcPr>
          <w:p>
            <w:pPr>
              <w:adjustRightInd w:val="0"/>
              <w:snapToGrid w:val="0"/>
              <w:spacing w:line="240" w:lineRule="auto"/>
              <w:ind w:firstLine="0" w:firstLineChars="0"/>
              <w:jc w:val="center"/>
              <w:rPr>
                <w:kern w:val="0"/>
                <w:sz w:val="21"/>
                <w:szCs w:val="21"/>
              </w:rPr>
            </w:pPr>
            <w:r>
              <w:rPr>
                <w:kern w:val="0"/>
                <w:sz w:val="21"/>
                <w:szCs w:val="21"/>
              </w:rPr>
              <w:t>经济技术咨询费</w:t>
            </w:r>
          </w:p>
        </w:tc>
        <w:tc>
          <w:tcPr>
            <w:tcW w:w="2324" w:type="pct"/>
            <w:vAlign w:val="center"/>
          </w:tcPr>
          <w:p>
            <w:pPr>
              <w:adjustRightInd w:val="0"/>
              <w:snapToGrid w:val="0"/>
              <w:spacing w:line="240" w:lineRule="auto"/>
              <w:ind w:firstLine="0" w:firstLineChars="0"/>
              <w:jc w:val="center"/>
              <w:rPr>
                <w:sz w:val="21"/>
                <w:szCs w:val="21"/>
              </w:rPr>
            </w:pPr>
            <w:r>
              <w:rPr>
                <w:sz w:val="21"/>
                <w:szCs w:val="21"/>
              </w:rPr>
              <w:t>根据项目实际情况计取</w:t>
            </w:r>
          </w:p>
        </w:tc>
        <w:tc>
          <w:tcPr>
            <w:tcW w:w="764" w:type="pct"/>
            <w:vAlign w:val="center"/>
          </w:tcPr>
          <w:p>
            <w:pPr>
              <w:spacing w:line="240" w:lineRule="auto"/>
              <w:ind w:firstLine="0" w:firstLineChars="0"/>
              <w:jc w:val="center"/>
              <w:rPr>
                <w:kern w:val="0"/>
                <w:sz w:val="21"/>
                <w:szCs w:val="21"/>
              </w:rPr>
            </w:pPr>
            <w:r>
              <w:rPr>
                <w:kern w:val="0"/>
                <w:sz w:val="21"/>
                <w:szCs w:val="21"/>
              </w:rPr>
              <w:t>0</w:t>
            </w:r>
          </w:p>
        </w:tc>
      </w:tr>
      <w:bookmarkEnd w:id="208"/>
    </w:tbl>
    <w:p>
      <w:pPr>
        <w:spacing w:beforeLines="50"/>
        <w:ind w:firstLine="0" w:firstLineChars="0"/>
        <w:jc w:val="center"/>
        <w:rPr>
          <w:b/>
          <w:szCs w:val="24"/>
        </w:rPr>
      </w:pPr>
      <w:bookmarkStart w:id="209" w:name="_Toc26561"/>
      <w:bookmarkStart w:id="210" w:name="_Toc5019724"/>
      <w:bookmarkStart w:id="211" w:name="_Toc28018"/>
      <w:bookmarkStart w:id="212" w:name="_Toc18106"/>
      <w:bookmarkStart w:id="213" w:name="_Toc15771"/>
      <w:bookmarkStart w:id="214" w:name="_Toc32606"/>
      <w:bookmarkStart w:id="215" w:name="_Toc14912"/>
      <w:bookmarkStart w:id="216" w:name="_Toc211240397"/>
      <w:r>
        <w:rPr>
          <w:b/>
          <w:bCs/>
          <w:szCs w:val="24"/>
        </w:rPr>
        <w:t>表7.1-12水土保持工程投资分年度计划表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700"/>
        <w:gridCol w:w="1797"/>
        <w:gridCol w:w="1144"/>
        <w:gridCol w:w="1409"/>
        <w:gridCol w:w="1409"/>
        <w:gridCol w:w="1409"/>
        <w:gridCol w:w="1412"/>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Merge w:val="restart"/>
            <w:vAlign w:val="center"/>
          </w:tcPr>
          <w:p>
            <w:pPr>
              <w:pStyle w:val="2"/>
              <w:spacing w:after="0" w:line="240" w:lineRule="auto"/>
              <w:ind w:firstLine="0" w:firstLineChars="0"/>
              <w:jc w:val="center"/>
              <w:rPr>
                <w:b/>
                <w:bCs/>
                <w:szCs w:val="21"/>
              </w:rPr>
            </w:pPr>
            <w:r>
              <w:rPr>
                <w:b/>
                <w:bCs/>
                <w:szCs w:val="21"/>
              </w:rPr>
              <w:t>序号</w:t>
            </w:r>
          </w:p>
        </w:tc>
        <w:tc>
          <w:tcPr>
            <w:tcW w:w="968" w:type="pct"/>
            <w:vMerge w:val="restart"/>
            <w:vAlign w:val="center"/>
          </w:tcPr>
          <w:p>
            <w:pPr>
              <w:pStyle w:val="2"/>
              <w:spacing w:after="0" w:line="240" w:lineRule="auto"/>
              <w:ind w:firstLine="0" w:firstLineChars="0"/>
              <w:jc w:val="center"/>
              <w:rPr>
                <w:b/>
                <w:bCs/>
                <w:szCs w:val="21"/>
              </w:rPr>
            </w:pPr>
            <w:r>
              <w:rPr>
                <w:b/>
                <w:bCs/>
                <w:szCs w:val="21"/>
              </w:rPr>
              <w:t>项目</w:t>
            </w:r>
          </w:p>
        </w:tc>
        <w:tc>
          <w:tcPr>
            <w:tcW w:w="616" w:type="pct"/>
            <w:vMerge w:val="restart"/>
            <w:vAlign w:val="center"/>
          </w:tcPr>
          <w:p>
            <w:pPr>
              <w:pStyle w:val="2"/>
              <w:spacing w:after="0" w:line="240" w:lineRule="auto"/>
              <w:ind w:firstLine="0" w:firstLineChars="0"/>
              <w:jc w:val="center"/>
              <w:rPr>
                <w:b/>
                <w:bCs/>
                <w:szCs w:val="21"/>
              </w:rPr>
            </w:pPr>
            <w:r>
              <w:rPr>
                <w:b/>
                <w:bCs/>
                <w:szCs w:val="21"/>
              </w:rPr>
              <w:t>合计</w:t>
            </w:r>
          </w:p>
        </w:tc>
        <w:tc>
          <w:tcPr>
            <w:tcW w:w="3037" w:type="pct"/>
            <w:gridSpan w:val="4"/>
            <w:vAlign w:val="center"/>
          </w:tcPr>
          <w:p>
            <w:pPr>
              <w:pStyle w:val="2"/>
              <w:spacing w:after="0" w:line="240" w:lineRule="auto"/>
              <w:ind w:firstLine="0" w:firstLineChars="0"/>
              <w:jc w:val="center"/>
              <w:rPr>
                <w:b/>
                <w:bCs/>
                <w:szCs w:val="21"/>
              </w:rPr>
            </w:pPr>
            <w:r>
              <w:rPr>
                <w:b/>
                <w:bCs/>
                <w:szCs w:val="21"/>
              </w:rPr>
              <w:t>工期</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377" w:type="pct"/>
            <w:vMerge w:val="continue"/>
            <w:vAlign w:val="center"/>
          </w:tcPr>
          <w:p>
            <w:pPr>
              <w:pStyle w:val="2"/>
              <w:spacing w:after="0" w:line="240" w:lineRule="auto"/>
              <w:ind w:firstLine="0" w:firstLineChars="0"/>
              <w:jc w:val="center"/>
              <w:rPr>
                <w:b/>
                <w:szCs w:val="21"/>
              </w:rPr>
            </w:pPr>
          </w:p>
        </w:tc>
        <w:tc>
          <w:tcPr>
            <w:tcW w:w="968" w:type="pct"/>
            <w:vMerge w:val="continue"/>
            <w:vAlign w:val="center"/>
          </w:tcPr>
          <w:p>
            <w:pPr>
              <w:pStyle w:val="2"/>
              <w:spacing w:after="0" w:line="240" w:lineRule="auto"/>
              <w:ind w:firstLine="0" w:firstLineChars="0"/>
              <w:jc w:val="center"/>
              <w:rPr>
                <w:b/>
                <w:szCs w:val="21"/>
              </w:rPr>
            </w:pPr>
          </w:p>
        </w:tc>
        <w:tc>
          <w:tcPr>
            <w:tcW w:w="616" w:type="pct"/>
            <w:vMerge w:val="continue"/>
            <w:vAlign w:val="center"/>
          </w:tcPr>
          <w:p>
            <w:pPr>
              <w:pStyle w:val="2"/>
              <w:spacing w:after="0" w:line="240" w:lineRule="auto"/>
              <w:ind w:firstLine="0" w:firstLineChars="0"/>
              <w:jc w:val="center"/>
              <w:rPr>
                <w:b/>
                <w:szCs w:val="21"/>
              </w:rPr>
            </w:pPr>
          </w:p>
        </w:tc>
        <w:tc>
          <w:tcPr>
            <w:tcW w:w="759" w:type="pct"/>
            <w:vAlign w:val="center"/>
          </w:tcPr>
          <w:p>
            <w:pPr>
              <w:spacing w:line="240" w:lineRule="auto"/>
              <w:ind w:firstLine="0" w:firstLineChars="0"/>
              <w:jc w:val="center"/>
              <w:rPr>
                <w:b/>
                <w:bCs/>
                <w:sz w:val="21"/>
                <w:szCs w:val="21"/>
              </w:rPr>
            </w:pPr>
            <w:r>
              <w:rPr>
                <w:b/>
                <w:bCs/>
                <w:sz w:val="21"/>
                <w:szCs w:val="21"/>
              </w:rPr>
              <w:t>2022</w:t>
            </w:r>
          </w:p>
        </w:tc>
        <w:tc>
          <w:tcPr>
            <w:tcW w:w="759" w:type="pct"/>
            <w:vAlign w:val="center"/>
          </w:tcPr>
          <w:p>
            <w:pPr>
              <w:spacing w:line="240" w:lineRule="auto"/>
              <w:ind w:firstLine="0" w:firstLineChars="0"/>
              <w:jc w:val="center"/>
              <w:rPr>
                <w:b/>
                <w:bCs/>
                <w:sz w:val="21"/>
                <w:szCs w:val="21"/>
              </w:rPr>
            </w:pPr>
            <w:r>
              <w:rPr>
                <w:b/>
                <w:bCs/>
                <w:sz w:val="21"/>
                <w:szCs w:val="21"/>
              </w:rPr>
              <w:t>2023</w:t>
            </w:r>
          </w:p>
        </w:tc>
        <w:tc>
          <w:tcPr>
            <w:tcW w:w="759" w:type="pct"/>
            <w:vAlign w:val="center"/>
          </w:tcPr>
          <w:p>
            <w:pPr>
              <w:spacing w:line="240" w:lineRule="auto"/>
              <w:ind w:firstLine="0" w:firstLineChars="0"/>
              <w:jc w:val="center"/>
              <w:rPr>
                <w:b/>
                <w:bCs/>
                <w:sz w:val="21"/>
                <w:szCs w:val="21"/>
              </w:rPr>
            </w:pPr>
            <w:r>
              <w:rPr>
                <w:b/>
                <w:bCs/>
                <w:sz w:val="21"/>
                <w:szCs w:val="21"/>
              </w:rPr>
              <w:t>2024</w:t>
            </w:r>
          </w:p>
        </w:tc>
        <w:tc>
          <w:tcPr>
            <w:tcW w:w="760" w:type="pct"/>
            <w:vAlign w:val="center"/>
          </w:tcPr>
          <w:p>
            <w:pPr>
              <w:spacing w:line="240" w:lineRule="auto"/>
              <w:ind w:firstLine="0" w:firstLineChars="0"/>
              <w:jc w:val="center"/>
              <w:rPr>
                <w:b/>
                <w:bCs/>
                <w:sz w:val="21"/>
                <w:szCs w:val="21"/>
              </w:rPr>
            </w:pPr>
            <w:r>
              <w:rPr>
                <w:b/>
                <w:bCs/>
                <w:sz w:val="21"/>
                <w:szCs w:val="21"/>
              </w:rPr>
              <w:t>2025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5" w:type="pct"/>
            <w:gridSpan w:val="2"/>
            <w:vAlign w:val="center"/>
          </w:tcPr>
          <w:p>
            <w:pPr>
              <w:pStyle w:val="2"/>
              <w:spacing w:after="0" w:line="240" w:lineRule="auto"/>
              <w:ind w:firstLine="0" w:firstLineChars="0"/>
              <w:jc w:val="center"/>
              <w:rPr>
                <w:b/>
                <w:bCs/>
                <w:szCs w:val="21"/>
              </w:rPr>
            </w:pPr>
            <w:r>
              <w:rPr>
                <w:b/>
                <w:bCs/>
                <w:szCs w:val="21"/>
              </w:rPr>
              <w:t>第一部分：工程措施</w:t>
            </w:r>
          </w:p>
        </w:tc>
        <w:tc>
          <w:tcPr>
            <w:tcW w:w="616" w:type="pct"/>
            <w:vAlign w:val="center"/>
          </w:tcPr>
          <w:p>
            <w:pPr>
              <w:pStyle w:val="2"/>
              <w:spacing w:after="0" w:line="240" w:lineRule="auto"/>
              <w:ind w:firstLine="0" w:firstLineChars="0"/>
              <w:jc w:val="center"/>
              <w:rPr>
                <w:b/>
                <w:bCs/>
                <w:szCs w:val="21"/>
              </w:rPr>
            </w:pPr>
            <w:r>
              <w:rPr>
                <w:b/>
                <w:bCs/>
                <w:szCs w:val="21"/>
              </w:rPr>
              <w:t>4316.32</w:t>
            </w:r>
          </w:p>
        </w:tc>
        <w:tc>
          <w:tcPr>
            <w:tcW w:w="759" w:type="pct"/>
            <w:vAlign w:val="center"/>
          </w:tcPr>
          <w:p>
            <w:pPr>
              <w:pStyle w:val="2"/>
              <w:spacing w:after="0" w:line="240" w:lineRule="auto"/>
              <w:ind w:firstLine="0" w:firstLineChars="0"/>
              <w:jc w:val="center"/>
              <w:rPr>
                <w:b/>
                <w:bCs/>
                <w:szCs w:val="21"/>
              </w:rPr>
            </w:pPr>
            <w:r>
              <w:rPr>
                <w:b/>
                <w:bCs/>
                <w:szCs w:val="21"/>
              </w:rPr>
              <w:t>282.91</w:t>
            </w:r>
          </w:p>
        </w:tc>
        <w:tc>
          <w:tcPr>
            <w:tcW w:w="759" w:type="pct"/>
            <w:vAlign w:val="center"/>
          </w:tcPr>
          <w:p>
            <w:pPr>
              <w:pStyle w:val="2"/>
              <w:spacing w:after="0" w:line="240" w:lineRule="auto"/>
              <w:ind w:firstLine="0" w:firstLineChars="0"/>
              <w:jc w:val="center"/>
              <w:rPr>
                <w:b/>
                <w:bCs/>
                <w:szCs w:val="21"/>
              </w:rPr>
            </w:pPr>
            <w:r>
              <w:rPr>
                <w:b/>
                <w:bCs/>
                <w:szCs w:val="21"/>
              </w:rPr>
              <w:t>2506.98</w:t>
            </w:r>
          </w:p>
        </w:tc>
        <w:tc>
          <w:tcPr>
            <w:tcW w:w="759" w:type="pct"/>
            <w:vAlign w:val="center"/>
          </w:tcPr>
          <w:p>
            <w:pPr>
              <w:pStyle w:val="2"/>
              <w:spacing w:after="0" w:line="240" w:lineRule="auto"/>
              <w:ind w:firstLine="0" w:firstLineChars="0"/>
              <w:jc w:val="center"/>
              <w:rPr>
                <w:b/>
                <w:bCs/>
                <w:szCs w:val="21"/>
              </w:rPr>
            </w:pPr>
            <w:r>
              <w:rPr>
                <w:b/>
                <w:bCs/>
                <w:szCs w:val="21"/>
              </w:rPr>
              <w:t>904.67</w:t>
            </w:r>
          </w:p>
        </w:tc>
        <w:tc>
          <w:tcPr>
            <w:tcW w:w="760" w:type="pct"/>
            <w:vAlign w:val="center"/>
          </w:tcPr>
          <w:p>
            <w:pPr>
              <w:pStyle w:val="2"/>
              <w:spacing w:after="0" w:line="240" w:lineRule="auto"/>
              <w:ind w:firstLine="0" w:firstLineChars="0"/>
              <w:jc w:val="center"/>
              <w:rPr>
                <w:b/>
                <w:bCs/>
                <w:szCs w:val="21"/>
              </w:rPr>
            </w:pPr>
            <w:r>
              <w:rPr>
                <w:b/>
                <w:bCs/>
                <w:szCs w:val="21"/>
              </w:rPr>
              <w:t>621.76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5" w:type="pct"/>
            <w:gridSpan w:val="2"/>
            <w:vAlign w:val="center"/>
          </w:tcPr>
          <w:p>
            <w:pPr>
              <w:pStyle w:val="2"/>
              <w:spacing w:after="0" w:line="240" w:lineRule="auto"/>
              <w:ind w:firstLine="0" w:firstLineChars="0"/>
              <w:jc w:val="center"/>
              <w:rPr>
                <w:b/>
                <w:bCs/>
                <w:szCs w:val="21"/>
              </w:rPr>
            </w:pPr>
            <w:r>
              <w:rPr>
                <w:b/>
                <w:bCs/>
                <w:szCs w:val="21"/>
              </w:rPr>
              <w:t>第二部分：植物措施</w:t>
            </w:r>
          </w:p>
        </w:tc>
        <w:tc>
          <w:tcPr>
            <w:tcW w:w="616" w:type="pct"/>
            <w:vAlign w:val="center"/>
          </w:tcPr>
          <w:p>
            <w:pPr>
              <w:pStyle w:val="2"/>
              <w:spacing w:after="0" w:line="240" w:lineRule="auto"/>
              <w:ind w:firstLine="0" w:firstLineChars="0"/>
              <w:jc w:val="center"/>
              <w:rPr>
                <w:b/>
                <w:bCs/>
                <w:szCs w:val="21"/>
              </w:rPr>
            </w:pPr>
            <w:r>
              <w:rPr>
                <w:b/>
                <w:bCs/>
                <w:szCs w:val="21"/>
              </w:rPr>
              <w:t>7991.79</w:t>
            </w:r>
          </w:p>
        </w:tc>
        <w:tc>
          <w:tcPr>
            <w:tcW w:w="759" w:type="pct"/>
            <w:vAlign w:val="center"/>
          </w:tcPr>
          <w:p>
            <w:pPr>
              <w:pStyle w:val="2"/>
              <w:spacing w:after="0" w:line="240" w:lineRule="auto"/>
              <w:ind w:firstLine="0" w:firstLineChars="0"/>
              <w:jc w:val="center"/>
              <w:rPr>
                <w:b/>
                <w:bCs/>
                <w:szCs w:val="21"/>
              </w:rPr>
            </w:pPr>
          </w:p>
        </w:tc>
        <w:tc>
          <w:tcPr>
            <w:tcW w:w="759" w:type="pct"/>
            <w:vAlign w:val="center"/>
          </w:tcPr>
          <w:p>
            <w:pPr>
              <w:pStyle w:val="2"/>
              <w:spacing w:after="0" w:line="240" w:lineRule="auto"/>
              <w:ind w:firstLine="0" w:firstLineChars="0"/>
              <w:jc w:val="center"/>
              <w:rPr>
                <w:b/>
                <w:bCs/>
                <w:szCs w:val="21"/>
              </w:rPr>
            </w:pPr>
            <w:r>
              <w:rPr>
                <w:b/>
                <w:bCs/>
                <w:szCs w:val="21"/>
              </w:rPr>
              <w:t>2397.53</w:t>
            </w:r>
          </w:p>
        </w:tc>
        <w:tc>
          <w:tcPr>
            <w:tcW w:w="759" w:type="pct"/>
            <w:vAlign w:val="center"/>
          </w:tcPr>
          <w:p>
            <w:pPr>
              <w:pStyle w:val="2"/>
              <w:spacing w:after="0" w:line="240" w:lineRule="auto"/>
              <w:ind w:firstLine="0" w:firstLineChars="0"/>
              <w:jc w:val="center"/>
              <w:rPr>
                <w:b/>
                <w:bCs/>
                <w:szCs w:val="21"/>
              </w:rPr>
            </w:pPr>
            <w:r>
              <w:rPr>
                <w:b/>
                <w:bCs/>
                <w:szCs w:val="21"/>
              </w:rPr>
              <w:t>3196.72</w:t>
            </w:r>
          </w:p>
        </w:tc>
        <w:tc>
          <w:tcPr>
            <w:tcW w:w="760" w:type="pct"/>
            <w:vAlign w:val="center"/>
          </w:tcPr>
          <w:p>
            <w:pPr>
              <w:pStyle w:val="2"/>
              <w:spacing w:after="0" w:line="240" w:lineRule="auto"/>
              <w:ind w:firstLine="0" w:firstLineChars="0"/>
              <w:jc w:val="center"/>
              <w:rPr>
                <w:b/>
                <w:bCs/>
                <w:szCs w:val="21"/>
              </w:rPr>
            </w:pPr>
            <w:r>
              <w:rPr>
                <w:b/>
                <w:bCs/>
                <w:szCs w:val="21"/>
              </w:rPr>
              <w:t>2397.54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45" w:hRule="atLeast"/>
        </w:trPr>
        <w:tc>
          <w:tcPr>
            <w:tcW w:w="1345" w:type="pct"/>
            <w:gridSpan w:val="2"/>
            <w:vAlign w:val="center"/>
          </w:tcPr>
          <w:p>
            <w:pPr>
              <w:pStyle w:val="2"/>
              <w:spacing w:after="0" w:line="240" w:lineRule="auto"/>
              <w:ind w:firstLine="0" w:firstLineChars="0"/>
              <w:jc w:val="center"/>
              <w:rPr>
                <w:b/>
                <w:bCs/>
                <w:szCs w:val="21"/>
              </w:rPr>
            </w:pPr>
            <w:r>
              <w:rPr>
                <w:b/>
                <w:bCs/>
                <w:szCs w:val="21"/>
              </w:rPr>
              <w:t>第三部分：临时措施</w:t>
            </w:r>
          </w:p>
        </w:tc>
        <w:tc>
          <w:tcPr>
            <w:tcW w:w="616" w:type="pct"/>
            <w:vAlign w:val="center"/>
          </w:tcPr>
          <w:p>
            <w:pPr>
              <w:pStyle w:val="2"/>
              <w:spacing w:after="0" w:line="240" w:lineRule="auto"/>
              <w:ind w:firstLine="0" w:firstLineChars="0"/>
              <w:jc w:val="center"/>
              <w:rPr>
                <w:b/>
                <w:bCs/>
                <w:szCs w:val="21"/>
              </w:rPr>
            </w:pPr>
            <w:r>
              <w:rPr>
                <w:b/>
                <w:bCs/>
                <w:szCs w:val="21"/>
              </w:rPr>
              <w:t>4998.97</w:t>
            </w:r>
          </w:p>
        </w:tc>
        <w:tc>
          <w:tcPr>
            <w:tcW w:w="759" w:type="pct"/>
            <w:vAlign w:val="center"/>
          </w:tcPr>
          <w:p>
            <w:pPr>
              <w:pStyle w:val="2"/>
              <w:spacing w:after="0" w:line="240" w:lineRule="auto"/>
              <w:ind w:firstLine="0" w:firstLineChars="0"/>
              <w:jc w:val="center"/>
              <w:rPr>
                <w:b/>
                <w:bCs/>
                <w:szCs w:val="21"/>
              </w:rPr>
            </w:pPr>
          </w:p>
        </w:tc>
        <w:tc>
          <w:tcPr>
            <w:tcW w:w="759" w:type="pct"/>
            <w:vAlign w:val="center"/>
          </w:tcPr>
          <w:p>
            <w:pPr>
              <w:pStyle w:val="2"/>
              <w:spacing w:after="0" w:line="240" w:lineRule="auto"/>
              <w:ind w:firstLine="0" w:firstLineChars="0"/>
              <w:jc w:val="center"/>
              <w:rPr>
                <w:b/>
                <w:bCs/>
                <w:szCs w:val="21"/>
              </w:rPr>
            </w:pPr>
            <w:r>
              <w:rPr>
                <w:b/>
                <w:bCs/>
                <w:szCs w:val="21"/>
              </w:rPr>
              <w:t>2749.43</w:t>
            </w:r>
          </w:p>
        </w:tc>
        <w:tc>
          <w:tcPr>
            <w:tcW w:w="759" w:type="pct"/>
            <w:vAlign w:val="center"/>
          </w:tcPr>
          <w:p>
            <w:pPr>
              <w:pStyle w:val="2"/>
              <w:spacing w:after="0" w:line="240" w:lineRule="auto"/>
              <w:ind w:firstLine="0" w:firstLineChars="0"/>
              <w:jc w:val="center"/>
              <w:rPr>
                <w:b/>
                <w:bCs/>
                <w:szCs w:val="21"/>
              </w:rPr>
            </w:pPr>
            <w:r>
              <w:rPr>
                <w:b/>
                <w:bCs/>
                <w:szCs w:val="21"/>
              </w:rPr>
              <w:t>1499.69</w:t>
            </w:r>
          </w:p>
        </w:tc>
        <w:tc>
          <w:tcPr>
            <w:tcW w:w="760" w:type="pct"/>
            <w:vAlign w:val="center"/>
          </w:tcPr>
          <w:p>
            <w:pPr>
              <w:pStyle w:val="2"/>
              <w:spacing w:after="0" w:line="240" w:lineRule="auto"/>
              <w:ind w:firstLine="0" w:firstLineChars="0"/>
              <w:jc w:val="center"/>
              <w:rPr>
                <w:b/>
                <w:bCs/>
                <w:szCs w:val="21"/>
              </w:rPr>
            </w:pPr>
            <w:r>
              <w:rPr>
                <w:b/>
                <w:bCs/>
                <w:szCs w:val="21"/>
              </w:rPr>
              <w:t>749.85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5" w:type="pct"/>
            <w:gridSpan w:val="2"/>
            <w:vAlign w:val="center"/>
          </w:tcPr>
          <w:p>
            <w:pPr>
              <w:pStyle w:val="2"/>
              <w:spacing w:after="0" w:line="240" w:lineRule="auto"/>
              <w:ind w:firstLine="0" w:firstLineChars="0"/>
              <w:jc w:val="center"/>
              <w:rPr>
                <w:b/>
                <w:bCs/>
                <w:szCs w:val="21"/>
              </w:rPr>
            </w:pPr>
            <w:r>
              <w:rPr>
                <w:b/>
                <w:bCs/>
                <w:szCs w:val="21"/>
              </w:rPr>
              <w:t>第四部分：独立费用</w:t>
            </w:r>
          </w:p>
        </w:tc>
        <w:tc>
          <w:tcPr>
            <w:tcW w:w="616" w:type="pct"/>
            <w:vAlign w:val="center"/>
          </w:tcPr>
          <w:p>
            <w:pPr>
              <w:pStyle w:val="2"/>
              <w:spacing w:after="0" w:line="240" w:lineRule="auto"/>
              <w:ind w:firstLine="0" w:firstLineChars="0"/>
              <w:jc w:val="center"/>
              <w:rPr>
                <w:b/>
                <w:bCs/>
                <w:szCs w:val="21"/>
              </w:rPr>
            </w:pPr>
            <w:r>
              <w:rPr>
                <w:b/>
                <w:bCs/>
                <w:szCs w:val="21"/>
              </w:rPr>
              <w:t>699.35</w:t>
            </w:r>
          </w:p>
        </w:tc>
        <w:tc>
          <w:tcPr>
            <w:tcW w:w="759" w:type="pct"/>
            <w:vAlign w:val="center"/>
          </w:tcPr>
          <w:p>
            <w:pPr>
              <w:pStyle w:val="2"/>
              <w:spacing w:after="0" w:line="240" w:lineRule="auto"/>
              <w:ind w:firstLine="0" w:firstLineChars="0"/>
              <w:jc w:val="center"/>
              <w:rPr>
                <w:b/>
                <w:bCs/>
                <w:szCs w:val="21"/>
              </w:rPr>
            </w:pPr>
            <w:r>
              <w:rPr>
                <w:b/>
                <w:bCs/>
                <w:szCs w:val="21"/>
              </w:rPr>
              <w:t>69.29</w:t>
            </w:r>
          </w:p>
        </w:tc>
        <w:tc>
          <w:tcPr>
            <w:tcW w:w="759" w:type="pct"/>
            <w:vAlign w:val="center"/>
          </w:tcPr>
          <w:p>
            <w:pPr>
              <w:pStyle w:val="2"/>
              <w:spacing w:after="0" w:line="240" w:lineRule="auto"/>
              <w:ind w:firstLine="0" w:firstLineChars="0"/>
              <w:jc w:val="center"/>
              <w:rPr>
                <w:b/>
                <w:bCs/>
                <w:szCs w:val="21"/>
              </w:rPr>
            </w:pPr>
            <w:r>
              <w:rPr>
                <w:b/>
                <w:bCs/>
                <w:szCs w:val="21"/>
              </w:rPr>
              <w:t>348.92</w:t>
            </w:r>
          </w:p>
        </w:tc>
        <w:tc>
          <w:tcPr>
            <w:tcW w:w="759" w:type="pct"/>
            <w:vAlign w:val="center"/>
          </w:tcPr>
          <w:p>
            <w:pPr>
              <w:pStyle w:val="2"/>
              <w:spacing w:after="0" w:line="240" w:lineRule="auto"/>
              <w:ind w:firstLine="0" w:firstLineChars="0"/>
              <w:jc w:val="center"/>
              <w:rPr>
                <w:b/>
                <w:bCs/>
                <w:szCs w:val="21"/>
              </w:rPr>
            </w:pPr>
            <w:r>
              <w:rPr>
                <w:b/>
                <w:bCs/>
                <w:szCs w:val="21"/>
              </w:rPr>
              <w:t>101.47</w:t>
            </w:r>
          </w:p>
        </w:tc>
        <w:tc>
          <w:tcPr>
            <w:tcW w:w="760" w:type="pct"/>
            <w:vAlign w:val="center"/>
          </w:tcPr>
          <w:p>
            <w:pPr>
              <w:pStyle w:val="2"/>
              <w:spacing w:after="0" w:line="240" w:lineRule="auto"/>
              <w:ind w:firstLine="0" w:firstLineChars="0"/>
              <w:jc w:val="center"/>
              <w:rPr>
                <w:b/>
                <w:bCs/>
                <w:szCs w:val="21"/>
              </w:rPr>
            </w:pPr>
            <w:r>
              <w:rPr>
                <w:b/>
                <w:bCs/>
                <w:szCs w:val="21"/>
              </w:rPr>
              <w:t>149.67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1</w:t>
            </w:r>
          </w:p>
        </w:tc>
        <w:tc>
          <w:tcPr>
            <w:tcW w:w="968" w:type="pct"/>
            <w:vAlign w:val="center"/>
          </w:tcPr>
          <w:p>
            <w:pPr>
              <w:spacing w:line="240" w:lineRule="auto"/>
              <w:ind w:firstLine="0" w:firstLineChars="0"/>
              <w:jc w:val="center"/>
              <w:rPr>
                <w:sz w:val="21"/>
                <w:szCs w:val="21"/>
              </w:rPr>
            </w:pPr>
            <w:r>
              <w:rPr>
                <w:kern w:val="0"/>
                <w:sz w:val="21"/>
                <w:szCs w:val="21"/>
              </w:rPr>
              <w:t>建设管理费</w:t>
            </w:r>
          </w:p>
        </w:tc>
        <w:tc>
          <w:tcPr>
            <w:tcW w:w="616" w:type="pct"/>
            <w:vAlign w:val="center"/>
          </w:tcPr>
          <w:p>
            <w:pPr>
              <w:pStyle w:val="2"/>
              <w:spacing w:after="0" w:line="240" w:lineRule="auto"/>
              <w:ind w:firstLine="0" w:firstLineChars="0"/>
              <w:jc w:val="center"/>
              <w:rPr>
                <w:szCs w:val="21"/>
              </w:rPr>
            </w:pPr>
            <w:r>
              <w:rPr>
                <w:szCs w:val="21"/>
              </w:rPr>
              <w:t>159.15</w:t>
            </w:r>
          </w:p>
        </w:tc>
        <w:tc>
          <w:tcPr>
            <w:tcW w:w="759" w:type="pct"/>
            <w:vAlign w:val="center"/>
          </w:tcPr>
          <w:p>
            <w:pPr>
              <w:pStyle w:val="2"/>
              <w:spacing w:after="0" w:line="240" w:lineRule="auto"/>
              <w:ind w:firstLine="0" w:firstLineChars="0"/>
              <w:jc w:val="center"/>
              <w:rPr>
                <w:szCs w:val="21"/>
              </w:rPr>
            </w:pPr>
            <w:r>
              <w:rPr>
                <w:szCs w:val="21"/>
              </w:rPr>
              <w:t>10.29</w:t>
            </w:r>
          </w:p>
        </w:tc>
        <w:tc>
          <w:tcPr>
            <w:tcW w:w="759" w:type="pct"/>
            <w:vAlign w:val="center"/>
          </w:tcPr>
          <w:p>
            <w:pPr>
              <w:pStyle w:val="2"/>
              <w:spacing w:after="0" w:line="240" w:lineRule="auto"/>
              <w:ind w:firstLine="0" w:firstLineChars="0"/>
              <w:jc w:val="center"/>
              <w:rPr>
                <w:szCs w:val="21"/>
              </w:rPr>
            </w:pPr>
            <w:r>
              <w:rPr>
                <w:szCs w:val="21"/>
              </w:rPr>
              <w:t>85.72</w:t>
            </w:r>
          </w:p>
        </w:tc>
        <w:tc>
          <w:tcPr>
            <w:tcW w:w="759" w:type="pct"/>
            <w:vAlign w:val="center"/>
          </w:tcPr>
          <w:p>
            <w:pPr>
              <w:pStyle w:val="2"/>
              <w:spacing w:after="0" w:line="240" w:lineRule="auto"/>
              <w:ind w:firstLine="0" w:firstLineChars="0"/>
              <w:jc w:val="center"/>
              <w:rPr>
                <w:szCs w:val="21"/>
              </w:rPr>
            </w:pPr>
            <w:r>
              <w:rPr>
                <w:szCs w:val="21"/>
              </w:rPr>
              <w:t>27.07</w:t>
            </w:r>
          </w:p>
        </w:tc>
        <w:tc>
          <w:tcPr>
            <w:tcW w:w="760" w:type="pct"/>
            <w:vAlign w:val="center"/>
          </w:tcPr>
          <w:p>
            <w:pPr>
              <w:pStyle w:val="2"/>
              <w:spacing w:after="0" w:line="240" w:lineRule="auto"/>
              <w:ind w:firstLine="0" w:firstLineChars="0"/>
              <w:jc w:val="center"/>
              <w:rPr>
                <w:szCs w:val="21"/>
              </w:rPr>
            </w:pPr>
            <w:r>
              <w:rPr>
                <w:szCs w:val="21"/>
              </w:rPr>
              <w:t>36.07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2</w:t>
            </w:r>
          </w:p>
        </w:tc>
        <w:tc>
          <w:tcPr>
            <w:tcW w:w="968" w:type="pct"/>
            <w:vAlign w:val="center"/>
          </w:tcPr>
          <w:p>
            <w:pPr>
              <w:spacing w:line="240" w:lineRule="auto"/>
              <w:ind w:firstLine="0" w:firstLineChars="0"/>
              <w:jc w:val="center"/>
              <w:rPr>
                <w:sz w:val="21"/>
                <w:szCs w:val="21"/>
              </w:rPr>
            </w:pPr>
            <w:r>
              <w:rPr>
                <w:kern w:val="0"/>
                <w:sz w:val="21"/>
                <w:szCs w:val="21"/>
              </w:rPr>
              <w:t>科研勘测设计费</w:t>
            </w:r>
          </w:p>
        </w:tc>
        <w:tc>
          <w:tcPr>
            <w:tcW w:w="616" w:type="pct"/>
            <w:vAlign w:val="center"/>
          </w:tcPr>
          <w:p>
            <w:pPr>
              <w:pStyle w:val="2"/>
              <w:spacing w:after="0" w:line="240" w:lineRule="auto"/>
              <w:ind w:firstLine="0" w:firstLineChars="0"/>
              <w:jc w:val="center"/>
              <w:rPr>
                <w:szCs w:val="21"/>
              </w:rPr>
            </w:pPr>
            <w:r>
              <w:rPr>
                <w:szCs w:val="21"/>
              </w:rPr>
              <w:t>49</w:t>
            </w:r>
          </w:p>
        </w:tc>
        <w:tc>
          <w:tcPr>
            <w:tcW w:w="759" w:type="pct"/>
            <w:vAlign w:val="center"/>
          </w:tcPr>
          <w:p>
            <w:pPr>
              <w:pStyle w:val="2"/>
              <w:spacing w:after="0" w:line="240" w:lineRule="auto"/>
              <w:ind w:firstLine="0" w:firstLineChars="0"/>
              <w:jc w:val="center"/>
              <w:rPr>
                <w:szCs w:val="21"/>
              </w:rPr>
            </w:pPr>
            <w:r>
              <w:rPr>
                <w:szCs w:val="21"/>
              </w:rPr>
              <w:t>49</w:t>
            </w: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p>
        </w:tc>
        <w:tc>
          <w:tcPr>
            <w:tcW w:w="760" w:type="pct"/>
            <w:vAlign w:val="center"/>
          </w:tcPr>
          <w:p>
            <w:pPr>
              <w:pStyle w:val="2"/>
              <w:spacing w:after="0" w:line="240" w:lineRule="auto"/>
              <w:ind w:firstLine="0" w:firstLineChars="0"/>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3</w:t>
            </w:r>
          </w:p>
        </w:tc>
        <w:tc>
          <w:tcPr>
            <w:tcW w:w="968" w:type="pct"/>
            <w:vAlign w:val="center"/>
          </w:tcPr>
          <w:p>
            <w:pPr>
              <w:spacing w:line="240" w:lineRule="auto"/>
              <w:ind w:firstLine="0" w:firstLineChars="0"/>
              <w:jc w:val="center"/>
              <w:rPr>
                <w:sz w:val="21"/>
                <w:szCs w:val="21"/>
              </w:rPr>
            </w:pPr>
            <w:r>
              <w:rPr>
                <w:kern w:val="0"/>
                <w:sz w:val="21"/>
                <w:szCs w:val="21"/>
              </w:rPr>
              <w:t>水土保持监理费</w:t>
            </w:r>
          </w:p>
        </w:tc>
        <w:tc>
          <w:tcPr>
            <w:tcW w:w="616" w:type="pct"/>
            <w:vAlign w:val="center"/>
          </w:tcPr>
          <w:p>
            <w:pPr>
              <w:pStyle w:val="2"/>
              <w:spacing w:after="0" w:line="240" w:lineRule="auto"/>
              <w:ind w:firstLine="0" w:firstLineChars="0"/>
              <w:jc w:val="center"/>
              <w:rPr>
                <w:szCs w:val="21"/>
              </w:rPr>
            </w:pPr>
            <w:r>
              <w:rPr>
                <w:szCs w:val="21"/>
              </w:rPr>
              <w:t>40</w:t>
            </w: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r>
              <w:rPr>
                <w:szCs w:val="21"/>
              </w:rPr>
              <w:t>40</w:t>
            </w:r>
          </w:p>
        </w:tc>
        <w:tc>
          <w:tcPr>
            <w:tcW w:w="759" w:type="pct"/>
            <w:vAlign w:val="center"/>
          </w:tcPr>
          <w:p>
            <w:pPr>
              <w:pStyle w:val="2"/>
              <w:spacing w:after="0" w:line="240" w:lineRule="auto"/>
              <w:ind w:firstLine="0" w:firstLineChars="0"/>
              <w:jc w:val="center"/>
              <w:rPr>
                <w:szCs w:val="21"/>
              </w:rPr>
            </w:pPr>
          </w:p>
        </w:tc>
        <w:tc>
          <w:tcPr>
            <w:tcW w:w="760" w:type="pct"/>
            <w:vAlign w:val="center"/>
          </w:tcPr>
          <w:p>
            <w:pPr>
              <w:pStyle w:val="2"/>
              <w:spacing w:after="0" w:line="240" w:lineRule="auto"/>
              <w:ind w:firstLine="0" w:firstLineChars="0"/>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4</w:t>
            </w:r>
          </w:p>
        </w:tc>
        <w:tc>
          <w:tcPr>
            <w:tcW w:w="968" w:type="pct"/>
            <w:vAlign w:val="center"/>
          </w:tcPr>
          <w:p>
            <w:pPr>
              <w:spacing w:line="240" w:lineRule="auto"/>
              <w:ind w:firstLine="0" w:firstLineChars="0"/>
              <w:jc w:val="center"/>
              <w:rPr>
                <w:sz w:val="21"/>
                <w:szCs w:val="21"/>
              </w:rPr>
            </w:pPr>
            <w:r>
              <w:rPr>
                <w:kern w:val="0"/>
                <w:sz w:val="21"/>
                <w:szCs w:val="21"/>
              </w:rPr>
              <w:t>水土保持监测费</w:t>
            </w:r>
          </w:p>
        </w:tc>
        <w:tc>
          <w:tcPr>
            <w:tcW w:w="616" w:type="pct"/>
            <w:vAlign w:val="center"/>
          </w:tcPr>
          <w:p>
            <w:pPr>
              <w:pStyle w:val="2"/>
              <w:spacing w:after="0" w:line="240" w:lineRule="auto"/>
              <w:ind w:firstLine="0" w:firstLineChars="0"/>
              <w:jc w:val="center"/>
              <w:rPr>
                <w:szCs w:val="21"/>
              </w:rPr>
            </w:pPr>
            <w:r>
              <w:rPr>
                <w:szCs w:val="21"/>
              </w:rPr>
              <w:t>372</w:t>
            </w: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r>
              <w:rPr>
                <w:szCs w:val="21"/>
              </w:rPr>
              <w:t>223.2</w:t>
            </w:r>
          </w:p>
        </w:tc>
        <w:tc>
          <w:tcPr>
            <w:tcW w:w="759" w:type="pct"/>
            <w:vAlign w:val="center"/>
          </w:tcPr>
          <w:p>
            <w:pPr>
              <w:pStyle w:val="2"/>
              <w:spacing w:after="0" w:line="240" w:lineRule="auto"/>
              <w:ind w:firstLine="0" w:firstLineChars="0"/>
              <w:jc w:val="center"/>
              <w:rPr>
                <w:szCs w:val="21"/>
              </w:rPr>
            </w:pPr>
            <w:r>
              <w:rPr>
                <w:szCs w:val="21"/>
              </w:rPr>
              <w:t>74.4</w:t>
            </w:r>
          </w:p>
        </w:tc>
        <w:tc>
          <w:tcPr>
            <w:tcW w:w="760" w:type="pct"/>
            <w:vAlign w:val="center"/>
          </w:tcPr>
          <w:p>
            <w:pPr>
              <w:pStyle w:val="2"/>
              <w:spacing w:after="0" w:line="240" w:lineRule="auto"/>
              <w:ind w:firstLine="0" w:firstLineChars="0"/>
              <w:jc w:val="center"/>
              <w:rPr>
                <w:szCs w:val="21"/>
              </w:rPr>
            </w:pPr>
            <w:r>
              <w:rPr>
                <w:szCs w:val="21"/>
              </w:rPr>
              <w:t>74.4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5</w:t>
            </w:r>
          </w:p>
        </w:tc>
        <w:tc>
          <w:tcPr>
            <w:tcW w:w="968" w:type="pct"/>
            <w:vAlign w:val="center"/>
          </w:tcPr>
          <w:p>
            <w:pPr>
              <w:spacing w:line="240" w:lineRule="auto"/>
              <w:ind w:firstLine="0" w:firstLineChars="0"/>
              <w:jc w:val="center"/>
              <w:rPr>
                <w:sz w:val="21"/>
                <w:szCs w:val="21"/>
              </w:rPr>
            </w:pPr>
            <w:r>
              <w:rPr>
                <w:kern w:val="0"/>
                <w:sz w:val="21"/>
                <w:szCs w:val="21"/>
              </w:rPr>
              <w:t>水土保持设施验收费</w:t>
            </w:r>
          </w:p>
        </w:tc>
        <w:tc>
          <w:tcPr>
            <w:tcW w:w="616" w:type="pct"/>
            <w:vAlign w:val="center"/>
          </w:tcPr>
          <w:p>
            <w:pPr>
              <w:pStyle w:val="2"/>
              <w:spacing w:after="0" w:line="240" w:lineRule="auto"/>
              <w:ind w:firstLine="0" w:firstLineChars="0"/>
              <w:jc w:val="center"/>
              <w:rPr>
                <w:szCs w:val="21"/>
              </w:rPr>
            </w:pPr>
            <w:r>
              <w:rPr>
                <w:szCs w:val="21"/>
              </w:rPr>
              <w:t>39.2</w:t>
            </w: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p>
        </w:tc>
        <w:tc>
          <w:tcPr>
            <w:tcW w:w="760" w:type="pct"/>
            <w:vAlign w:val="center"/>
          </w:tcPr>
          <w:p>
            <w:pPr>
              <w:pStyle w:val="2"/>
              <w:spacing w:after="0" w:line="240" w:lineRule="auto"/>
              <w:ind w:firstLine="0" w:firstLineChars="0"/>
              <w:jc w:val="center"/>
              <w:rPr>
                <w:szCs w:val="21"/>
              </w:rPr>
            </w:pPr>
            <w:r>
              <w:rPr>
                <w:szCs w:val="21"/>
              </w:rPr>
              <w:t>39.2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6</w:t>
            </w:r>
          </w:p>
        </w:tc>
        <w:tc>
          <w:tcPr>
            <w:tcW w:w="968" w:type="pct"/>
            <w:vAlign w:val="center"/>
          </w:tcPr>
          <w:p>
            <w:pPr>
              <w:spacing w:line="240" w:lineRule="auto"/>
              <w:ind w:firstLine="0" w:firstLineChars="0"/>
              <w:jc w:val="center"/>
              <w:rPr>
                <w:kern w:val="0"/>
                <w:sz w:val="21"/>
                <w:szCs w:val="21"/>
              </w:rPr>
            </w:pPr>
            <w:r>
              <w:rPr>
                <w:kern w:val="0"/>
                <w:sz w:val="21"/>
                <w:szCs w:val="21"/>
              </w:rPr>
              <w:t>招标代理服务费</w:t>
            </w:r>
          </w:p>
        </w:tc>
        <w:tc>
          <w:tcPr>
            <w:tcW w:w="616" w:type="pct"/>
            <w:vAlign w:val="center"/>
          </w:tcPr>
          <w:p>
            <w:pPr>
              <w:pStyle w:val="2"/>
              <w:spacing w:after="0" w:line="240" w:lineRule="auto"/>
              <w:ind w:firstLine="0" w:firstLineChars="0"/>
              <w:jc w:val="center"/>
              <w:rPr>
                <w:szCs w:val="21"/>
              </w:rPr>
            </w:pPr>
            <w:r>
              <w:rPr>
                <w:szCs w:val="21"/>
              </w:rPr>
              <w:t>10</w:t>
            </w:r>
          </w:p>
        </w:tc>
        <w:tc>
          <w:tcPr>
            <w:tcW w:w="759" w:type="pct"/>
            <w:vAlign w:val="center"/>
          </w:tcPr>
          <w:p>
            <w:pPr>
              <w:pStyle w:val="2"/>
              <w:spacing w:after="0" w:line="240" w:lineRule="auto"/>
              <w:ind w:firstLine="0" w:firstLineChars="0"/>
              <w:jc w:val="center"/>
              <w:rPr>
                <w:szCs w:val="21"/>
              </w:rPr>
            </w:pPr>
            <w:r>
              <w:rPr>
                <w:szCs w:val="21"/>
              </w:rPr>
              <w:t>10</w:t>
            </w: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p>
        </w:tc>
        <w:tc>
          <w:tcPr>
            <w:tcW w:w="760" w:type="pct"/>
            <w:vAlign w:val="center"/>
          </w:tcPr>
          <w:p>
            <w:pPr>
              <w:pStyle w:val="2"/>
              <w:spacing w:after="0" w:line="240" w:lineRule="auto"/>
              <w:ind w:firstLine="0" w:firstLineChars="0"/>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377" w:type="pct"/>
            <w:vAlign w:val="center"/>
          </w:tcPr>
          <w:p>
            <w:pPr>
              <w:spacing w:line="240" w:lineRule="auto"/>
              <w:ind w:firstLine="0" w:firstLineChars="0"/>
              <w:jc w:val="center"/>
              <w:rPr>
                <w:sz w:val="21"/>
                <w:szCs w:val="21"/>
              </w:rPr>
            </w:pPr>
            <w:r>
              <w:rPr>
                <w:sz w:val="21"/>
                <w:szCs w:val="21"/>
              </w:rPr>
              <w:t>7</w:t>
            </w:r>
          </w:p>
        </w:tc>
        <w:tc>
          <w:tcPr>
            <w:tcW w:w="968" w:type="pct"/>
            <w:vAlign w:val="center"/>
          </w:tcPr>
          <w:p>
            <w:pPr>
              <w:spacing w:line="240" w:lineRule="auto"/>
              <w:ind w:firstLine="0" w:firstLineChars="0"/>
              <w:jc w:val="center"/>
              <w:rPr>
                <w:sz w:val="21"/>
                <w:szCs w:val="21"/>
              </w:rPr>
            </w:pPr>
            <w:r>
              <w:rPr>
                <w:kern w:val="0"/>
                <w:sz w:val="21"/>
                <w:szCs w:val="21"/>
              </w:rPr>
              <w:t>经济技术咨询费</w:t>
            </w:r>
          </w:p>
        </w:tc>
        <w:tc>
          <w:tcPr>
            <w:tcW w:w="616" w:type="pct"/>
            <w:vAlign w:val="center"/>
          </w:tcPr>
          <w:p>
            <w:pPr>
              <w:pStyle w:val="2"/>
              <w:spacing w:after="0" w:line="240" w:lineRule="auto"/>
              <w:ind w:firstLine="0" w:firstLineChars="0"/>
              <w:jc w:val="center"/>
              <w:rPr>
                <w:szCs w:val="21"/>
              </w:rPr>
            </w:pPr>
            <w:r>
              <w:rPr>
                <w:szCs w:val="21"/>
              </w:rPr>
              <w:t>0</w:t>
            </w: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p>
        </w:tc>
        <w:tc>
          <w:tcPr>
            <w:tcW w:w="759" w:type="pct"/>
            <w:vAlign w:val="center"/>
          </w:tcPr>
          <w:p>
            <w:pPr>
              <w:pStyle w:val="2"/>
              <w:spacing w:after="0" w:line="240" w:lineRule="auto"/>
              <w:ind w:firstLine="0" w:firstLineChars="0"/>
              <w:jc w:val="center"/>
              <w:rPr>
                <w:szCs w:val="21"/>
              </w:rPr>
            </w:pPr>
          </w:p>
        </w:tc>
        <w:tc>
          <w:tcPr>
            <w:tcW w:w="760" w:type="pct"/>
            <w:vAlign w:val="center"/>
          </w:tcPr>
          <w:p>
            <w:pPr>
              <w:pStyle w:val="2"/>
              <w:spacing w:after="0" w:line="240" w:lineRule="auto"/>
              <w:ind w:firstLine="0" w:firstLineChars="0"/>
              <w:jc w:val="center"/>
              <w:rPr>
                <w:szCs w:val="21"/>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5" w:type="pct"/>
            <w:gridSpan w:val="2"/>
            <w:vAlign w:val="center"/>
          </w:tcPr>
          <w:p>
            <w:pPr>
              <w:spacing w:line="240" w:lineRule="auto"/>
              <w:ind w:firstLine="0" w:firstLineChars="0"/>
              <w:jc w:val="center"/>
              <w:rPr>
                <w:b/>
                <w:bCs/>
                <w:sz w:val="21"/>
                <w:szCs w:val="21"/>
              </w:rPr>
            </w:pPr>
            <w:r>
              <w:rPr>
                <w:b/>
                <w:bCs/>
                <w:sz w:val="21"/>
                <w:szCs w:val="21"/>
              </w:rPr>
              <w:t>基本预备费</w:t>
            </w:r>
          </w:p>
        </w:tc>
        <w:tc>
          <w:tcPr>
            <w:tcW w:w="616" w:type="pct"/>
            <w:vAlign w:val="center"/>
          </w:tcPr>
          <w:p>
            <w:pPr>
              <w:pStyle w:val="2"/>
              <w:spacing w:after="0" w:line="240" w:lineRule="auto"/>
              <w:ind w:firstLine="0" w:firstLineChars="0"/>
              <w:jc w:val="center"/>
              <w:rPr>
                <w:b/>
                <w:bCs/>
                <w:szCs w:val="21"/>
              </w:rPr>
            </w:pPr>
            <w:r>
              <w:rPr>
                <w:b/>
                <w:bCs/>
                <w:szCs w:val="21"/>
              </w:rPr>
              <w:t>862.69</w:t>
            </w:r>
          </w:p>
        </w:tc>
        <w:tc>
          <w:tcPr>
            <w:tcW w:w="759" w:type="pct"/>
            <w:vAlign w:val="center"/>
          </w:tcPr>
          <w:p>
            <w:pPr>
              <w:pStyle w:val="2"/>
              <w:spacing w:after="0" w:line="240" w:lineRule="auto"/>
              <w:ind w:firstLine="0" w:firstLineChars="0"/>
              <w:jc w:val="center"/>
              <w:rPr>
                <w:b/>
                <w:bCs/>
                <w:szCs w:val="21"/>
              </w:rPr>
            </w:pPr>
            <w:r>
              <w:rPr>
                <w:b/>
                <w:bCs/>
                <w:szCs w:val="21"/>
              </w:rPr>
              <w:t>6.93</w:t>
            </w:r>
          </w:p>
        </w:tc>
        <w:tc>
          <w:tcPr>
            <w:tcW w:w="759" w:type="pct"/>
            <w:vAlign w:val="center"/>
          </w:tcPr>
          <w:p>
            <w:pPr>
              <w:pStyle w:val="2"/>
              <w:spacing w:after="0" w:line="240" w:lineRule="auto"/>
              <w:ind w:firstLine="0" w:firstLineChars="0"/>
              <w:jc w:val="center"/>
              <w:rPr>
                <w:b/>
                <w:bCs/>
                <w:szCs w:val="21"/>
              </w:rPr>
            </w:pPr>
            <w:r>
              <w:rPr>
                <w:b/>
                <w:bCs/>
                <w:szCs w:val="21"/>
              </w:rPr>
              <w:t>476.1</w:t>
            </w:r>
            <w:r>
              <w:rPr>
                <w:rFonts w:hint="eastAsia"/>
                <w:b/>
                <w:bCs/>
                <w:szCs w:val="21"/>
              </w:rPr>
              <w:t>0</w:t>
            </w:r>
          </w:p>
        </w:tc>
        <w:tc>
          <w:tcPr>
            <w:tcW w:w="759" w:type="pct"/>
            <w:vAlign w:val="center"/>
          </w:tcPr>
          <w:p>
            <w:pPr>
              <w:pStyle w:val="2"/>
              <w:spacing w:after="0" w:line="240" w:lineRule="auto"/>
              <w:ind w:firstLine="0" w:firstLineChars="0"/>
              <w:jc w:val="center"/>
              <w:rPr>
                <w:b/>
                <w:bCs/>
                <w:szCs w:val="21"/>
              </w:rPr>
            </w:pPr>
            <w:r>
              <w:rPr>
                <w:b/>
                <w:bCs/>
                <w:szCs w:val="21"/>
              </w:rPr>
              <w:t>245.31</w:t>
            </w:r>
          </w:p>
        </w:tc>
        <w:tc>
          <w:tcPr>
            <w:tcW w:w="760" w:type="pct"/>
            <w:vAlign w:val="center"/>
          </w:tcPr>
          <w:p>
            <w:pPr>
              <w:pStyle w:val="2"/>
              <w:spacing w:after="0" w:line="240" w:lineRule="auto"/>
              <w:ind w:firstLine="0" w:firstLineChars="0"/>
              <w:jc w:val="center"/>
              <w:rPr>
                <w:b/>
                <w:bCs/>
                <w:szCs w:val="21"/>
              </w:rPr>
            </w:pPr>
            <w:r>
              <w:rPr>
                <w:b/>
                <w:bCs/>
                <w:szCs w:val="21"/>
              </w:rPr>
              <w:t>134.35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5" w:type="pct"/>
            <w:gridSpan w:val="2"/>
            <w:vAlign w:val="center"/>
          </w:tcPr>
          <w:p>
            <w:pPr>
              <w:spacing w:line="240" w:lineRule="auto"/>
              <w:ind w:firstLine="0" w:firstLineChars="0"/>
              <w:jc w:val="center"/>
              <w:rPr>
                <w:b/>
                <w:bCs/>
                <w:sz w:val="21"/>
                <w:szCs w:val="21"/>
              </w:rPr>
            </w:pPr>
            <w:r>
              <w:rPr>
                <w:b/>
                <w:bCs/>
                <w:sz w:val="21"/>
                <w:szCs w:val="21"/>
              </w:rPr>
              <w:t>水土保持补偿费</w:t>
            </w:r>
          </w:p>
        </w:tc>
        <w:tc>
          <w:tcPr>
            <w:tcW w:w="616" w:type="pct"/>
            <w:vAlign w:val="center"/>
          </w:tcPr>
          <w:p>
            <w:pPr>
              <w:pStyle w:val="2"/>
              <w:spacing w:after="0" w:line="240" w:lineRule="auto"/>
              <w:ind w:firstLine="0" w:firstLineChars="0"/>
              <w:jc w:val="center"/>
              <w:rPr>
                <w:b/>
                <w:bCs/>
                <w:szCs w:val="21"/>
              </w:rPr>
            </w:pPr>
            <w:r>
              <w:rPr>
                <w:b/>
                <w:bCs/>
                <w:szCs w:val="21"/>
              </w:rPr>
              <w:t>1200.082</w:t>
            </w:r>
          </w:p>
        </w:tc>
        <w:tc>
          <w:tcPr>
            <w:tcW w:w="759" w:type="pct"/>
            <w:vAlign w:val="center"/>
          </w:tcPr>
          <w:p>
            <w:pPr>
              <w:pStyle w:val="2"/>
              <w:spacing w:after="0" w:line="240" w:lineRule="auto"/>
              <w:ind w:firstLine="0" w:firstLineChars="0"/>
              <w:jc w:val="center"/>
              <w:rPr>
                <w:b/>
                <w:bCs/>
                <w:szCs w:val="21"/>
              </w:rPr>
            </w:pPr>
            <w:r>
              <w:rPr>
                <w:b/>
                <w:bCs/>
                <w:szCs w:val="21"/>
              </w:rPr>
              <w:t>374.97</w:t>
            </w:r>
          </w:p>
        </w:tc>
        <w:tc>
          <w:tcPr>
            <w:tcW w:w="759" w:type="pct"/>
            <w:vAlign w:val="center"/>
          </w:tcPr>
          <w:p>
            <w:pPr>
              <w:pStyle w:val="2"/>
              <w:spacing w:after="0" w:line="240" w:lineRule="auto"/>
              <w:ind w:firstLine="0" w:firstLineChars="0"/>
              <w:jc w:val="center"/>
              <w:rPr>
                <w:b/>
                <w:bCs/>
                <w:szCs w:val="21"/>
              </w:rPr>
            </w:pPr>
            <w:r>
              <w:rPr>
                <w:b/>
                <w:bCs/>
                <w:szCs w:val="21"/>
              </w:rPr>
              <w:t>437.46</w:t>
            </w:r>
          </w:p>
        </w:tc>
        <w:tc>
          <w:tcPr>
            <w:tcW w:w="759" w:type="pct"/>
            <w:vAlign w:val="center"/>
          </w:tcPr>
          <w:p>
            <w:pPr>
              <w:pStyle w:val="2"/>
              <w:spacing w:after="0" w:line="240" w:lineRule="auto"/>
              <w:ind w:firstLine="0" w:firstLineChars="0"/>
              <w:jc w:val="center"/>
              <w:rPr>
                <w:b/>
                <w:bCs/>
                <w:szCs w:val="21"/>
              </w:rPr>
            </w:pPr>
            <w:r>
              <w:rPr>
                <w:b/>
                <w:bCs/>
                <w:szCs w:val="21"/>
              </w:rPr>
              <w:t>312.47</w:t>
            </w:r>
          </w:p>
        </w:tc>
        <w:tc>
          <w:tcPr>
            <w:tcW w:w="760" w:type="pct"/>
            <w:vAlign w:val="center"/>
          </w:tcPr>
          <w:p>
            <w:pPr>
              <w:pStyle w:val="2"/>
              <w:spacing w:after="0" w:line="240" w:lineRule="auto"/>
              <w:ind w:firstLine="0" w:firstLineChars="0"/>
              <w:jc w:val="center"/>
              <w:rPr>
                <w:b/>
                <w:bCs/>
                <w:szCs w:val="21"/>
              </w:rPr>
            </w:pPr>
            <w:r>
              <w:rPr>
                <w:b/>
                <w:bCs/>
                <w:szCs w:val="21"/>
              </w:rPr>
              <w:t>75.18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345" w:type="pct"/>
            <w:gridSpan w:val="2"/>
            <w:vAlign w:val="center"/>
          </w:tcPr>
          <w:p>
            <w:pPr>
              <w:spacing w:line="240" w:lineRule="auto"/>
              <w:ind w:firstLine="0" w:firstLineChars="0"/>
              <w:jc w:val="center"/>
              <w:rPr>
                <w:b/>
                <w:bCs/>
                <w:sz w:val="21"/>
                <w:szCs w:val="21"/>
              </w:rPr>
            </w:pPr>
            <w:r>
              <w:rPr>
                <w:b/>
                <w:bCs/>
                <w:sz w:val="21"/>
                <w:szCs w:val="21"/>
              </w:rPr>
              <w:t>合计</w:t>
            </w:r>
          </w:p>
        </w:tc>
        <w:tc>
          <w:tcPr>
            <w:tcW w:w="616" w:type="pct"/>
            <w:vAlign w:val="center"/>
          </w:tcPr>
          <w:p>
            <w:pPr>
              <w:pStyle w:val="2"/>
              <w:spacing w:after="0" w:line="240" w:lineRule="auto"/>
              <w:ind w:firstLine="0" w:firstLineChars="0"/>
              <w:jc w:val="center"/>
              <w:rPr>
                <w:b/>
                <w:bCs/>
                <w:szCs w:val="21"/>
              </w:rPr>
            </w:pPr>
            <w:r>
              <w:rPr>
                <w:b/>
                <w:bCs/>
                <w:szCs w:val="21"/>
              </w:rPr>
              <w:t>20039.2</w:t>
            </w:r>
            <w:r>
              <w:rPr>
                <w:rFonts w:hint="eastAsia"/>
                <w:b/>
                <w:bCs/>
                <w:szCs w:val="21"/>
              </w:rPr>
              <w:t>0</w:t>
            </w:r>
          </w:p>
        </w:tc>
        <w:tc>
          <w:tcPr>
            <w:tcW w:w="759" w:type="pct"/>
            <w:vAlign w:val="center"/>
          </w:tcPr>
          <w:p>
            <w:pPr>
              <w:pStyle w:val="2"/>
              <w:spacing w:after="0" w:line="240" w:lineRule="auto"/>
              <w:ind w:firstLine="0" w:firstLineChars="0"/>
              <w:jc w:val="center"/>
              <w:rPr>
                <w:b/>
                <w:bCs/>
                <w:szCs w:val="21"/>
              </w:rPr>
            </w:pPr>
            <w:r>
              <w:rPr>
                <w:b/>
                <w:bCs/>
                <w:szCs w:val="21"/>
              </w:rPr>
              <w:t>734.1</w:t>
            </w:r>
            <w:r>
              <w:rPr>
                <w:rFonts w:hint="eastAsia"/>
                <w:b/>
                <w:bCs/>
                <w:szCs w:val="21"/>
              </w:rPr>
              <w:t>0</w:t>
            </w:r>
          </w:p>
        </w:tc>
        <w:tc>
          <w:tcPr>
            <w:tcW w:w="759" w:type="pct"/>
            <w:vAlign w:val="center"/>
          </w:tcPr>
          <w:p>
            <w:pPr>
              <w:pStyle w:val="2"/>
              <w:spacing w:after="0" w:line="240" w:lineRule="auto"/>
              <w:ind w:firstLine="0" w:firstLineChars="0"/>
              <w:jc w:val="center"/>
              <w:rPr>
                <w:b/>
                <w:bCs/>
                <w:szCs w:val="21"/>
              </w:rPr>
            </w:pPr>
            <w:r>
              <w:rPr>
                <w:b/>
                <w:bCs/>
                <w:szCs w:val="21"/>
              </w:rPr>
              <w:t>8916.42</w:t>
            </w:r>
          </w:p>
        </w:tc>
        <w:tc>
          <w:tcPr>
            <w:tcW w:w="759" w:type="pct"/>
            <w:vAlign w:val="center"/>
          </w:tcPr>
          <w:p>
            <w:pPr>
              <w:pStyle w:val="2"/>
              <w:spacing w:after="0" w:line="240" w:lineRule="auto"/>
              <w:ind w:firstLine="0" w:firstLineChars="0"/>
              <w:jc w:val="center"/>
              <w:rPr>
                <w:b/>
                <w:bCs/>
                <w:szCs w:val="21"/>
              </w:rPr>
            </w:pPr>
            <w:r>
              <w:rPr>
                <w:b/>
                <w:bCs/>
                <w:szCs w:val="21"/>
              </w:rPr>
              <w:t>6260.33</w:t>
            </w:r>
          </w:p>
        </w:tc>
        <w:tc>
          <w:tcPr>
            <w:tcW w:w="760" w:type="pct"/>
            <w:vAlign w:val="center"/>
          </w:tcPr>
          <w:p>
            <w:pPr>
              <w:pStyle w:val="2"/>
              <w:spacing w:after="0" w:line="240" w:lineRule="auto"/>
              <w:ind w:firstLine="0" w:firstLineChars="0"/>
              <w:jc w:val="center"/>
              <w:rPr>
                <w:b/>
                <w:bCs/>
                <w:szCs w:val="21"/>
              </w:rPr>
            </w:pPr>
            <w:r>
              <w:rPr>
                <w:b/>
                <w:bCs/>
                <w:szCs w:val="21"/>
              </w:rPr>
              <w:t>4128.35</w:t>
            </w:r>
          </w:p>
        </w:tc>
      </w:tr>
    </w:tbl>
    <w:p>
      <w:pPr>
        <w:pStyle w:val="68"/>
        <w:spacing w:beforeLines="50" w:after="120"/>
      </w:pPr>
      <w:r>
        <w:t>表7.1-13主体工程中具有水保功能措施工程量及投资表</w:t>
      </w:r>
    </w:p>
    <w:tbl>
      <w:tblPr>
        <w:tblStyle w:val="110"/>
        <w:tblW w:w="4996" w:type="pct"/>
        <w:tblInd w:w="0" w:type="dxa"/>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Layout w:type="autofit"/>
        <w:tblCellMar>
          <w:top w:w="0" w:type="dxa"/>
          <w:left w:w="108" w:type="dxa"/>
          <w:bottom w:w="0" w:type="dxa"/>
          <w:right w:w="108" w:type="dxa"/>
        </w:tblCellMar>
      </w:tblPr>
      <w:tblGrid>
        <w:gridCol w:w="823"/>
        <w:gridCol w:w="833"/>
        <w:gridCol w:w="1106"/>
        <w:gridCol w:w="1079"/>
        <w:gridCol w:w="906"/>
        <w:gridCol w:w="6"/>
        <w:gridCol w:w="45"/>
        <w:gridCol w:w="880"/>
        <w:gridCol w:w="1071"/>
        <w:gridCol w:w="1285"/>
        <w:gridCol w:w="1246"/>
      </w:tblGrid>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1489" w:type="pct"/>
            <w:gridSpan w:val="3"/>
            <w:vAlign w:val="center"/>
          </w:tcPr>
          <w:p>
            <w:pPr>
              <w:pStyle w:val="53"/>
              <w:jc w:val="center"/>
              <w:rPr>
                <w:rFonts w:eastAsia="仿宋_GB2312"/>
                <w:b/>
                <w:bCs/>
              </w:rPr>
            </w:pPr>
            <w:r>
              <w:rPr>
                <w:rFonts w:eastAsia="仿宋_GB2312"/>
                <w:b/>
                <w:bCs/>
              </w:rPr>
              <w:t>防治分区</w:t>
            </w:r>
          </w:p>
        </w:tc>
        <w:tc>
          <w:tcPr>
            <w:tcW w:w="581" w:type="pct"/>
            <w:vMerge w:val="restart"/>
            <w:vAlign w:val="center"/>
          </w:tcPr>
          <w:p>
            <w:pPr>
              <w:pStyle w:val="53"/>
              <w:jc w:val="center"/>
              <w:rPr>
                <w:rFonts w:eastAsia="仿宋_GB2312"/>
                <w:b/>
                <w:bCs/>
              </w:rPr>
            </w:pPr>
            <w:r>
              <w:rPr>
                <w:rFonts w:eastAsia="仿宋_GB2312"/>
                <w:b/>
                <w:bCs/>
              </w:rPr>
              <w:t>措施类型</w:t>
            </w:r>
          </w:p>
        </w:tc>
        <w:tc>
          <w:tcPr>
            <w:tcW w:w="989" w:type="pct"/>
            <w:gridSpan w:val="4"/>
            <w:vMerge w:val="restart"/>
            <w:vAlign w:val="center"/>
          </w:tcPr>
          <w:p>
            <w:pPr>
              <w:pStyle w:val="53"/>
              <w:jc w:val="center"/>
              <w:rPr>
                <w:rFonts w:eastAsia="仿宋_GB2312"/>
                <w:b/>
                <w:bCs/>
              </w:rPr>
            </w:pPr>
            <w:r>
              <w:rPr>
                <w:rFonts w:eastAsia="仿宋_GB2312"/>
                <w:b/>
                <w:bCs/>
              </w:rPr>
              <w:t>措施名称</w:t>
            </w:r>
          </w:p>
        </w:tc>
        <w:tc>
          <w:tcPr>
            <w:tcW w:w="577" w:type="pct"/>
            <w:vMerge w:val="restart"/>
            <w:vAlign w:val="center"/>
          </w:tcPr>
          <w:p>
            <w:pPr>
              <w:pStyle w:val="53"/>
              <w:jc w:val="center"/>
              <w:rPr>
                <w:rFonts w:eastAsia="仿宋_GB2312"/>
                <w:b/>
                <w:bCs/>
              </w:rPr>
            </w:pPr>
            <w:r>
              <w:rPr>
                <w:rFonts w:eastAsia="仿宋_GB2312"/>
                <w:b/>
                <w:bCs/>
              </w:rPr>
              <w:t>单位</w:t>
            </w:r>
          </w:p>
        </w:tc>
        <w:tc>
          <w:tcPr>
            <w:tcW w:w="691" w:type="pct"/>
            <w:vMerge w:val="restart"/>
            <w:vAlign w:val="center"/>
          </w:tcPr>
          <w:p>
            <w:pPr>
              <w:pStyle w:val="53"/>
              <w:jc w:val="center"/>
              <w:rPr>
                <w:rFonts w:eastAsia="仿宋_GB2312"/>
                <w:b/>
                <w:bCs/>
              </w:rPr>
            </w:pPr>
            <w:r>
              <w:rPr>
                <w:rFonts w:eastAsia="仿宋_GB2312"/>
                <w:b/>
                <w:bCs/>
              </w:rPr>
              <w:t>数量</w:t>
            </w:r>
          </w:p>
        </w:tc>
        <w:tc>
          <w:tcPr>
            <w:tcW w:w="671" w:type="pct"/>
            <w:vMerge w:val="restart"/>
            <w:vAlign w:val="center"/>
          </w:tcPr>
          <w:p>
            <w:pPr>
              <w:pStyle w:val="53"/>
              <w:jc w:val="center"/>
              <w:rPr>
                <w:rFonts w:eastAsia="仿宋_GB2312"/>
                <w:b/>
                <w:bCs/>
              </w:rPr>
            </w:pPr>
            <w:r>
              <w:rPr>
                <w:rFonts w:eastAsia="仿宋_GB2312"/>
                <w:b/>
                <w:bCs/>
              </w:rPr>
              <w:t>投资</w:t>
            </w:r>
          </w:p>
          <w:p>
            <w:pPr>
              <w:pStyle w:val="53"/>
              <w:jc w:val="center"/>
              <w:rPr>
                <w:rFonts w:eastAsia="仿宋_GB2312"/>
                <w:b/>
                <w:bCs/>
              </w:rPr>
            </w:pPr>
            <w:r>
              <w:rPr>
                <w:rFonts w:eastAsia="仿宋_GB2312"/>
                <w:b/>
                <w:bCs/>
              </w:rPr>
              <w:t>（万元）</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Align w:val="center"/>
          </w:tcPr>
          <w:p>
            <w:pPr>
              <w:pStyle w:val="53"/>
              <w:jc w:val="center"/>
              <w:rPr>
                <w:rFonts w:eastAsia="仿宋_GB2312"/>
                <w:b/>
                <w:bCs/>
              </w:rPr>
            </w:pPr>
            <w:r>
              <w:rPr>
                <w:rFonts w:eastAsia="仿宋_GB2312"/>
                <w:b/>
                <w:bCs/>
              </w:rPr>
              <w:t>一级分区</w:t>
            </w:r>
          </w:p>
        </w:tc>
        <w:tc>
          <w:tcPr>
            <w:tcW w:w="449" w:type="pct"/>
            <w:vAlign w:val="center"/>
          </w:tcPr>
          <w:p>
            <w:pPr>
              <w:pStyle w:val="53"/>
              <w:jc w:val="center"/>
              <w:rPr>
                <w:rFonts w:eastAsia="仿宋_GB2312"/>
                <w:b/>
                <w:bCs/>
              </w:rPr>
            </w:pPr>
            <w:r>
              <w:rPr>
                <w:rFonts w:eastAsia="仿宋_GB2312"/>
                <w:b/>
                <w:bCs/>
              </w:rPr>
              <w:t>二级分区</w:t>
            </w:r>
          </w:p>
        </w:tc>
        <w:tc>
          <w:tcPr>
            <w:tcW w:w="595" w:type="pct"/>
            <w:vAlign w:val="center"/>
          </w:tcPr>
          <w:p>
            <w:pPr>
              <w:pStyle w:val="53"/>
              <w:jc w:val="center"/>
              <w:rPr>
                <w:rFonts w:eastAsia="仿宋_GB2312"/>
                <w:b/>
                <w:bCs/>
              </w:rPr>
            </w:pPr>
            <w:r>
              <w:rPr>
                <w:rFonts w:eastAsia="仿宋_GB2312"/>
                <w:b/>
                <w:bCs/>
              </w:rPr>
              <w:t>三级分区</w:t>
            </w:r>
          </w:p>
        </w:tc>
        <w:tc>
          <w:tcPr>
            <w:tcW w:w="581" w:type="pct"/>
            <w:vMerge w:val="continue"/>
            <w:vAlign w:val="center"/>
          </w:tcPr>
          <w:p>
            <w:pPr>
              <w:pStyle w:val="53"/>
              <w:jc w:val="center"/>
              <w:rPr>
                <w:rFonts w:eastAsia="仿宋_GB2312"/>
                <w:b/>
                <w:bCs/>
              </w:rPr>
            </w:pPr>
          </w:p>
        </w:tc>
        <w:tc>
          <w:tcPr>
            <w:tcW w:w="989" w:type="pct"/>
            <w:gridSpan w:val="4"/>
            <w:vMerge w:val="continue"/>
            <w:vAlign w:val="center"/>
          </w:tcPr>
          <w:p>
            <w:pPr>
              <w:pStyle w:val="53"/>
              <w:jc w:val="center"/>
              <w:rPr>
                <w:rFonts w:eastAsia="仿宋_GB2312"/>
                <w:b/>
                <w:bCs/>
              </w:rPr>
            </w:pPr>
          </w:p>
        </w:tc>
        <w:tc>
          <w:tcPr>
            <w:tcW w:w="577" w:type="pct"/>
            <w:vMerge w:val="continue"/>
            <w:vAlign w:val="center"/>
          </w:tcPr>
          <w:p>
            <w:pPr>
              <w:pStyle w:val="53"/>
              <w:jc w:val="center"/>
              <w:rPr>
                <w:rFonts w:eastAsia="仿宋_GB2312"/>
                <w:b/>
                <w:bCs/>
              </w:rPr>
            </w:pPr>
          </w:p>
        </w:tc>
        <w:tc>
          <w:tcPr>
            <w:tcW w:w="691" w:type="pct"/>
            <w:vMerge w:val="continue"/>
            <w:vAlign w:val="center"/>
          </w:tcPr>
          <w:p>
            <w:pPr>
              <w:pStyle w:val="53"/>
              <w:jc w:val="center"/>
              <w:rPr>
                <w:rFonts w:eastAsia="仿宋_GB2312"/>
                <w:b/>
                <w:bCs/>
              </w:rPr>
            </w:pPr>
          </w:p>
        </w:tc>
        <w:tc>
          <w:tcPr>
            <w:tcW w:w="671" w:type="pct"/>
            <w:vMerge w:val="continue"/>
            <w:vAlign w:val="center"/>
          </w:tcPr>
          <w:p>
            <w:pPr>
              <w:pStyle w:val="53"/>
              <w:jc w:val="center"/>
              <w:rPr>
                <w:rFonts w:eastAsia="仿宋_GB2312"/>
                <w:b/>
                <w:bCs/>
              </w:rPr>
            </w:pP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restart"/>
            <w:vAlign w:val="center"/>
          </w:tcPr>
          <w:p>
            <w:pPr>
              <w:pStyle w:val="53"/>
              <w:jc w:val="center"/>
              <w:rPr>
                <w:rFonts w:eastAsia="仿宋_GB2312"/>
                <w:b/>
                <w:bCs/>
              </w:rPr>
            </w:pPr>
            <w:r>
              <w:rPr>
                <w:rFonts w:eastAsia="仿宋_GB2312"/>
              </w:rPr>
              <w:t>近期建设区</w:t>
            </w:r>
          </w:p>
        </w:tc>
        <w:tc>
          <w:tcPr>
            <w:tcW w:w="449" w:type="pct"/>
            <w:vMerge w:val="restart"/>
            <w:vAlign w:val="center"/>
          </w:tcPr>
          <w:p>
            <w:pPr>
              <w:pStyle w:val="53"/>
              <w:jc w:val="center"/>
              <w:rPr>
                <w:rFonts w:eastAsia="仿宋_GB2312"/>
              </w:rPr>
            </w:pPr>
            <w:r>
              <w:rPr>
                <w:rFonts w:eastAsia="仿宋_GB2312"/>
              </w:rPr>
              <w:t>工业用地区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已建区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jc w:val="center"/>
              <w:rPr>
                <w:b w:val="0"/>
                <w:sz w:val="21"/>
                <w:szCs w:val="21"/>
              </w:rPr>
            </w:pPr>
            <w:r>
              <w:rPr>
                <w:b w:val="0"/>
                <w:bCs/>
                <w:sz w:val="21"/>
                <w:szCs w:val="21"/>
              </w:rPr>
              <w:t>表土剥离</w:t>
            </w:r>
          </w:p>
        </w:tc>
        <w:tc>
          <w:tcPr>
            <w:tcW w:w="577"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jc w:val="center"/>
              <w:rPr>
                <w:b w:val="0"/>
                <w:sz w:val="21"/>
                <w:szCs w:val="21"/>
              </w:rPr>
            </w:pPr>
            <w:r>
              <w:rPr>
                <w:b w:val="0"/>
                <w:bCs/>
                <w:sz w:val="21"/>
                <w:szCs w:val="21"/>
              </w:rPr>
              <w:t>3.94</w:t>
            </w:r>
          </w:p>
        </w:tc>
        <w:tc>
          <w:tcPr>
            <w:tcW w:w="671" w:type="pct"/>
            <w:vAlign w:val="center"/>
          </w:tcPr>
          <w:p>
            <w:pPr>
              <w:pStyle w:val="68"/>
              <w:adjustRightInd/>
              <w:snapToGrid/>
              <w:spacing w:afterLines="0"/>
              <w:jc w:val="center"/>
              <w:rPr>
                <w:b w:val="0"/>
                <w:bCs/>
                <w:sz w:val="21"/>
                <w:szCs w:val="21"/>
              </w:rPr>
            </w:pPr>
            <w:r>
              <w:rPr>
                <w:b w:val="0"/>
                <w:bCs/>
                <w:sz w:val="21"/>
                <w:szCs w:val="21"/>
              </w:rPr>
              <w:t>19.70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22"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581"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989" w:type="pct"/>
            <w:gridSpan w:val="4"/>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表土回覆</w:t>
            </w:r>
          </w:p>
        </w:tc>
        <w:tc>
          <w:tcPr>
            <w:tcW w:w="577" w:type="pct"/>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3.94</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23.64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restar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Merge w:val="restar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表土剥离</w:t>
            </w:r>
          </w:p>
        </w:tc>
        <w:tc>
          <w:tcPr>
            <w:tcW w:w="577"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69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11.50</w:t>
            </w:r>
          </w:p>
        </w:tc>
        <w:tc>
          <w:tcPr>
            <w:tcW w:w="67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36"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表土回覆</w:t>
            </w:r>
          </w:p>
        </w:tc>
        <w:tc>
          <w:tcPr>
            <w:tcW w:w="577"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万m</w:t>
            </w:r>
            <w:r>
              <w:rPr>
                <w:b w:val="0"/>
                <w:bCs/>
                <w:sz w:val="21"/>
                <w:szCs w:val="21"/>
                <w:vertAlign w:val="superscript"/>
              </w:rPr>
              <w:t>3</w:t>
            </w:r>
          </w:p>
        </w:tc>
        <w:tc>
          <w:tcPr>
            <w:tcW w:w="69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7.68</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46.08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rPr>
            </w:pPr>
          </w:p>
        </w:tc>
        <w:tc>
          <w:tcPr>
            <w:tcW w:w="449" w:type="pct"/>
            <w:vMerge w:val="continue"/>
            <w:vAlign w:val="center"/>
          </w:tcPr>
          <w:p>
            <w:pPr>
              <w:pStyle w:val="53"/>
              <w:jc w:val="center"/>
              <w:rPr>
                <w:rFonts w:eastAsia="仿宋_GB2312"/>
              </w:rPr>
            </w:pPr>
          </w:p>
        </w:tc>
        <w:tc>
          <w:tcPr>
            <w:tcW w:w="3434" w:type="pct"/>
            <w:gridSpan w:val="8"/>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jc w:val="center"/>
              <w:rPr>
                <w:bCs/>
                <w:sz w:val="21"/>
                <w:szCs w:val="21"/>
              </w:rPr>
            </w:pPr>
            <w:r>
              <w:rPr>
                <w:bCs/>
                <w:sz w:val="21"/>
                <w:szCs w:val="21"/>
              </w:rPr>
              <w:t>146.92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restart"/>
            <w:vAlign w:val="center"/>
          </w:tcPr>
          <w:p>
            <w:pPr>
              <w:tabs>
                <w:tab w:val="left" w:pos="1050"/>
              </w:tabs>
              <w:spacing w:line="240" w:lineRule="auto"/>
              <w:ind w:firstLine="0" w:firstLineChars="0"/>
              <w:jc w:val="center"/>
              <w:rPr>
                <w:sz w:val="21"/>
                <w:szCs w:val="21"/>
              </w:rPr>
            </w:pPr>
            <w:r>
              <w:rPr>
                <w:sz w:val="21"/>
                <w:szCs w:val="21"/>
              </w:rPr>
              <w:t>道路与交通设施用地区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已建区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jc w:val="center"/>
              <w:rPr>
                <w:b w:val="0"/>
                <w:sz w:val="21"/>
                <w:szCs w:val="21"/>
              </w:rPr>
            </w:pPr>
            <w:r>
              <w:rPr>
                <w:b w:val="0"/>
                <w:bCs/>
                <w:sz w:val="21"/>
                <w:szCs w:val="21"/>
              </w:rPr>
              <w:t>表土回覆</w:t>
            </w:r>
          </w:p>
        </w:tc>
        <w:tc>
          <w:tcPr>
            <w:tcW w:w="577"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jc w:val="center"/>
              <w:rPr>
                <w:b w:val="0"/>
                <w:sz w:val="21"/>
                <w:szCs w:val="21"/>
              </w:rPr>
            </w:pPr>
            <w:r>
              <w:rPr>
                <w:b w:val="0"/>
                <w:bCs/>
                <w:sz w:val="21"/>
                <w:szCs w:val="21"/>
              </w:rPr>
              <w:t>2.41</w:t>
            </w:r>
          </w:p>
        </w:tc>
        <w:tc>
          <w:tcPr>
            <w:tcW w:w="671" w:type="pct"/>
            <w:vAlign w:val="center"/>
          </w:tcPr>
          <w:p>
            <w:pPr>
              <w:pStyle w:val="68"/>
              <w:adjustRightInd/>
              <w:snapToGrid/>
              <w:spacing w:afterLines="0"/>
              <w:jc w:val="center"/>
              <w:rPr>
                <w:b w:val="0"/>
                <w:bCs/>
                <w:sz w:val="21"/>
                <w:szCs w:val="21"/>
              </w:rPr>
            </w:pPr>
            <w:r>
              <w:rPr>
                <w:b w:val="0"/>
                <w:bCs/>
                <w:sz w:val="21"/>
                <w:szCs w:val="21"/>
              </w:rPr>
              <w:t>14.46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雨水管</w:t>
            </w:r>
          </w:p>
        </w:tc>
        <w:tc>
          <w:tcPr>
            <w:tcW w:w="577" w:type="pct"/>
            <w:vAlign w:val="center"/>
          </w:tcPr>
          <w:p>
            <w:pPr>
              <w:pStyle w:val="68"/>
              <w:adjustRightInd/>
              <w:snapToGrid/>
              <w:spacing w:afterLines="0"/>
              <w:jc w:val="center"/>
              <w:rPr>
                <w:b w:val="0"/>
                <w:sz w:val="21"/>
                <w:szCs w:val="21"/>
              </w:rPr>
            </w:pPr>
            <w:r>
              <w:rPr>
                <w:b w:val="0"/>
                <w:bCs/>
                <w:sz w:val="21"/>
                <w:szCs w:val="21"/>
              </w:rPr>
              <w:t>m</w:t>
            </w:r>
          </w:p>
        </w:tc>
        <w:tc>
          <w:tcPr>
            <w:tcW w:w="691" w:type="pct"/>
            <w:vAlign w:val="center"/>
          </w:tcPr>
          <w:p>
            <w:pPr>
              <w:pStyle w:val="68"/>
              <w:adjustRightInd/>
              <w:snapToGrid/>
              <w:spacing w:afterLines="0"/>
              <w:jc w:val="center"/>
              <w:rPr>
                <w:b w:val="0"/>
                <w:sz w:val="21"/>
                <w:szCs w:val="21"/>
              </w:rPr>
            </w:pPr>
            <w:r>
              <w:rPr>
                <w:b w:val="0"/>
                <w:bCs/>
                <w:sz w:val="21"/>
                <w:szCs w:val="21"/>
              </w:rPr>
              <w:t>2236</w:t>
            </w:r>
          </w:p>
        </w:tc>
        <w:tc>
          <w:tcPr>
            <w:tcW w:w="671" w:type="pct"/>
            <w:vAlign w:val="center"/>
          </w:tcPr>
          <w:p>
            <w:pPr>
              <w:pStyle w:val="68"/>
              <w:adjustRightInd/>
              <w:snapToGrid/>
              <w:spacing w:afterLines="0"/>
              <w:jc w:val="center"/>
              <w:rPr>
                <w:b w:val="0"/>
                <w:bCs/>
                <w:sz w:val="21"/>
                <w:szCs w:val="21"/>
              </w:rPr>
            </w:pPr>
            <w:r>
              <w:rPr>
                <w:b w:val="0"/>
                <w:bCs/>
                <w:sz w:val="21"/>
                <w:szCs w:val="21"/>
              </w:rPr>
              <w:t>111.80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雨水口</w:t>
            </w:r>
          </w:p>
        </w:tc>
        <w:tc>
          <w:tcPr>
            <w:tcW w:w="577" w:type="pct"/>
            <w:vAlign w:val="center"/>
          </w:tcPr>
          <w:p>
            <w:pPr>
              <w:pStyle w:val="68"/>
              <w:adjustRightInd/>
              <w:snapToGrid/>
              <w:spacing w:afterLines="0"/>
              <w:jc w:val="center"/>
              <w:rPr>
                <w:b w:val="0"/>
                <w:sz w:val="21"/>
                <w:szCs w:val="21"/>
              </w:rPr>
            </w:pPr>
            <w:r>
              <w:rPr>
                <w:b w:val="0"/>
                <w:bCs/>
                <w:sz w:val="21"/>
                <w:szCs w:val="21"/>
              </w:rPr>
              <w:t>个</w:t>
            </w:r>
          </w:p>
        </w:tc>
        <w:tc>
          <w:tcPr>
            <w:tcW w:w="691" w:type="pct"/>
            <w:vAlign w:val="center"/>
          </w:tcPr>
          <w:p>
            <w:pPr>
              <w:pStyle w:val="68"/>
              <w:adjustRightInd/>
              <w:snapToGrid/>
              <w:spacing w:afterLines="0"/>
              <w:jc w:val="center"/>
              <w:rPr>
                <w:b w:val="0"/>
                <w:sz w:val="21"/>
                <w:szCs w:val="21"/>
              </w:rPr>
            </w:pPr>
            <w:r>
              <w:rPr>
                <w:b w:val="0"/>
                <w:bCs/>
                <w:sz w:val="21"/>
                <w:szCs w:val="21"/>
              </w:rPr>
              <w:t>45</w:t>
            </w:r>
          </w:p>
        </w:tc>
        <w:tc>
          <w:tcPr>
            <w:tcW w:w="671" w:type="pct"/>
            <w:vAlign w:val="center"/>
          </w:tcPr>
          <w:p>
            <w:pPr>
              <w:pStyle w:val="68"/>
              <w:adjustRightInd/>
              <w:snapToGrid/>
              <w:spacing w:afterLines="0"/>
              <w:jc w:val="center"/>
              <w:rPr>
                <w:b w:val="0"/>
                <w:bCs/>
                <w:sz w:val="21"/>
                <w:szCs w:val="21"/>
              </w:rPr>
            </w:pPr>
            <w:r>
              <w:rPr>
                <w:b w:val="0"/>
                <w:bCs/>
                <w:sz w:val="21"/>
                <w:szCs w:val="21"/>
              </w:rPr>
              <w:t>5.40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植物措施</w:t>
            </w:r>
          </w:p>
        </w:tc>
        <w:tc>
          <w:tcPr>
            <w:tcW w:w="491" w:type="pct"/>
            <w:gridSpan w:val="2"/>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498" w:type="pct"/>
            <w:gridSpan w:val="2"/>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组成</w:t>
            </w:r>
          </w:p>
        </w:tc>
        <w:tc>
          <w:tcPr>
            <w:tcW w:w="577"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2.11</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153.60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89"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91" w:type="pct"/>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498" w:type="pct"/>
            <w:gridSpan w:val="2"/>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577"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69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516/0.07</w:t>
            </w:r>
          </w:p>
        </w:tc>
        <w:tc>
          <w:tcPr>
            <w:tcW w:w="67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51.60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7"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91" w:type="pct"/>
            <w:gridSpan w:val="2"/>
            <w:vMerge w:val="continue"/>
            <w:tcBorders>
              <w:right w:val="single" w:color="auto" w:sz="4" w:space="0"/>
            </w:tcBorders>
            <w:vAlign w:val="center"/>
          </w:tcPr>
          <w:p>
            <w:pPr>
              <w:pStyle w:val="68"/>
              <w:adjustRightInd/>
              <w:snapToGrid/>
              <w:spacing w:afterLines="0"/>
              <w:jc w:val="center"/>
              <w:rPr>
                <w:b w:val="0"/>
                <w:bCs/>
                <w:sz w:val="21"/>
                <w:szCs w:val="21"/>
              </w:rPr>
            </w:pPr>
          </w:p>
        </w:tc>
        <w:tc>
          <w:tcPr>
            <w:tcW w:w="498" w:type="pct"/>
            <w:gridSpan w:val="2"/>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577"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2.04</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102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continue"/>
            <w:vAlign w:val="center"/>
          </w:tcPr>
          <w:p>
            <w:pPr>
              <w:pStyle w:val="53"/>
              <w:jc w:val="center"/>
              <w:rPr>
                <w:rFonts w:eastAsia="仿宋_GB2312"/>
              </w:rPr>
            </w:pP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jc w:val="center"/>
              <w:rPr>
                <w:b w:val="0"/>
                <w:sz w:val="21"/>
                <w:szCs w:val="21"/>
              </w:rPr>
            </w:pPr>
            <w:r>
              <w:rPr>
                <w:b w:val="0"/>
                <w:bCs/>
                <w:sz w:val="21"/>
                <w:szCs w:val="21"/>
              </w:rPr>
              <w:t>表土剥离</w:t>
            </w:r>
          </w:p>
        </w:tc>
        <w:tc>
          <w:tcPr>
            <w:tcW w:w="577"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jc w:val="center"/>
              <w:rPr>
                <w:b w:val="0"/>
                <w:sz w:val="21"/>
                <w:szCs w:val="21"/>
              </w:rPr>
            </w:pPr>
            <w:r>
              <w:rPr>
                <w:b w:val="0"/>
                <w:sz w:val="21"/>
                <w:szCs w:val="21"/>
              </w:rPr>
              <w:t>3.94</w:t>
            </w:r>
          </w:p>
        </w:tc>
        <w:tc>
          <w:tcPr>
            <w:tcW w:w="671" w:type="pct"/>
            <w:vAlign w:val="center"/>
          </w:tcPr>
          <w:p>
            <w:pPr>
              <w:pStyle w:val="68"/>
              <w:adjustRightInd/>
              <w:snapToGrid/>
              <w:spacing w:afterLines="0"/>
              <w:jc w:val="center"/>
              <w:rPr>
                <w:b w:val="0"/>
                <w:bCs/>
                <w:sz w:val="21"/>
                <w:szCs w:val="21"/>
              </w:rPr>
            </w:pPr>
            <w:r>
              <w:rPr>
                <w:b w:val="0"/>
                <w:bCs/>
                <w:sz w:val="21"/>
                <w:szCs w:val="21"/>
              </w:rPr>
              <w:t>1.97</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6"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表土回覆</w:t>
            </w:r>
          </w:p>
        </w:tc>
        <w:tc>
          <w:tcPr>
            <w:tcW w:w="577" w:type="pct"/>
            <w:tcBorders>
              <w:bottom w:val="single" w:color="auto" w:sz="4" w:space="0"/>
            </w:tcBorders>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tcBorders>
              <w:bottom w:val="single" w:color="auto" w:sz="4" w:space="0"/>
            </w:tcBorders>
            <w:vAlign w:val="center"/>
          </w:tcPr>
          <w:p>
            <w:pPr>
              <w:pStyle w:val="68"/>
              <w:adjustRightInd/>
              <w:snapToGrid/>
              <w:spacing w:afterLines="0"/>
              <w:jc w:val="center"/>
              <w:rPr>
                <w:b w:val="0"/>
                <w:sz w:val="21"/>
                <w:szCs w:val="21"/>
              </w:rPr>
            </w:pPr>
            <w:r>
              <w:rPr>
                <w:b w:val="0"/>
                <w:sz w:val="21"/>
                <w:szCs w:val="21"/>
              </w:rPr>
              <w:t>3.94</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2.36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99"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雨水管</w:t>
            </w:r>
          </w:p>
        </w:tc>
        <w:tc>
          <w:tcPr>
            <w:tcW w:w="577" w:type="pct"/>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m</w:t>
            </w:r>
          </w:p>
        </w:tc>
        <w:tc>
          <w:tcPr>
            <w:tcW w:w="691" w:type="pct"/>
            <w:tcBorders>
              <w:top w:val="single" w:color="auto" w:sz="4" w:space="0"/>
              <w:bottom w:val="single" w:color="auto" w:sz="4" w:space="0"/>
            </w:tcBorders>
            <w:vAlign w:val="center"/>
          </w:tcPr>
          <w:p>
            <w:pPr>
              <w:pStyle w:val="68"/>
              <w:adjustRightInd/>
              <w:snapToGrid/>
              <w:spacing w:afterLines="0"/>
              <w:jc w:val="center"/>
              <w:rPr>
                <w:b w:val="0"/>
                <w:sz w:val="21"/>
                <w:szCs w:val="21"/>
              </w:rPr>
            </w:pPr>
            <w:r>
              <w:rPr>
                <w:b w:val="0"/>
                <w:bCs/>
                <w:sz w:val="21"/>
                <w:szCs w:val="21"/>
              </w:rPr>
              <w:t>6480</w:t>
            </w:r>
          </w:p>
        </w:tc>
        <w:tc>
          <w:tcPr>
            <w:tcW w:w="67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324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2"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tcBorders>
              <w:top w:val="single" w:color="auto" w:sz="4" w:space="0"/>
            </w:tcBorders>
            <w:vAlign w:val="center"/>
          </w:tcPr>
          <w:p>
            <w:pPr>
              <w:pStyle w:val="68"/>
              <w:adjustRightInd/>
              <w:snapToGrid/>
              <w:spacing w:afterLines="0"/>
              <w:jc w:val="center"/>
              <w:rPr>
                <w:b w:val="0"/>
                <w:sz w:val="21"/>
                <w:szCs w:val="21"/>
              </w:rPr>
            </w:pPr>
            <w:r>
              <w:rPr>
                <w:b w:val="0"/>
                <w:bCs/>
                <w:sz w:val="21"/>
                <w:szCs w:val="21"/>
              </w:rPr>
              <w:t>雨水口</w:t>
            </w:r>
          </w:p>
        </w:tc>
        <w:tc>
          <w:tcPr>
            <w:tcW w:w="577" w:type="pct"/>
            <w:tcBorders>
              <w:top w:val="single" w:color="auto" w:sz="4" w:space="0"/>
            </w:tcBorders>
            <w:vAlign w:val="center"/>
          </w:tcPr>
          <w:p>
            <w:pPr>
              <w:pStyle w:val="68"/>
              <w:adjustRightInd/>
              <w:snapToGrid/>
              <w:spacing w:afterLines="0"/>
              <w:jc w:val="center"/>
              <w:rPr>
                <w:b w:val="0"/>
                <w:sz w:val="21"/>
                <w:szCs w:val="21"/>
              </w:rPr>
            </w:pPr>
            <w:r>
              <w:rPr>
                <w:b w:val="0"/>
                <w:bCs/>
                <w:sz w:val="21"/>
                <w:szCs w:val="21"/>
              </w:rPr>
              <w:t>个</w:t>
            </w:r>
          </w:p>
        </w:tc>
        <w:tc>
          <w:tcPr>
            <w:tcW w:w="691" w:type="pct"/>
            <w:tcBorders>
              <w:top w:val="single" w:color="auto" w:sz="4" w:space="0"/>
            </w:tcBorders>
            <w:vAlign w:val="center"/>
          </w:tcPr>
          <w:p>
            <w:pPr>
              <w:pStyle w:val="68"/>
              <w:adjustRightInd/>
              <w:snapToGrid/>
              <w:spacing w:afterLines="0"/>
              <w:jc w:val="center"/>
              <w:rPr>
                <w:b w:val="0"/>
                <w:sz w:val="21"/>
                <w:szCs w:val="21"/>
              </w:rPr>
            </w:pPr>
            <w:r>
              <w:rPr>
                <w:b w:val="0"/>
                <w:bCs/>
                <w:sz w:val="21"/>
                <w:szCs w:val="21"/>
              </w:rPr>
              <w:t>130</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15.60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0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植物措施</w:t>
            </w:r>
          </w:p>
        </w:tc>
        <w:tc>
          <w:tcPr>
            <w:tcW w:w="488" w:type="pct"/>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501" w:type="pct"/>
            <w:gridSpan w:val="3"/>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组成</w:t>
            </w:r>
          </w:p>
        </w:tc>
        <w:tc>
          <w:tcPr>
            <w:tcW w:w="577"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3.22</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344.50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38"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88"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501" w:type="pct"/>
            <w:gridSpan w:val="3"/>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577"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69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1980/0.29</w:t>
            </w:r>
          </w:p>
        </w:tc>
        <w:tc>
          <w:tcPr>
            <w:tcW w:w="67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198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89"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88"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501" w:type="pct"/>
            <w:gridSpan w:val="3"/>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577"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2.93</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146.50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488" w:type="pct"/>
            <w:vMerge w:val="restart"/>
            <w:tcBorders>
              <w:right w:val="single" w:color="auto" w:sz="4" w:space="0"/>
            </w:tcBorders>
            <w:vAlign w:val="center"/>
          </w:tcPr>
          <w:p>
            <w:pPr>
              <w:spacing w:line="240" w:lineRule="auto"/>
              <w:ind w:firstLine="0" w:firstLineChars="0"/>
              <w:jc w:val="center"/>
            </w:pPr>
            <w:r>
              <w:t>边坡绿化</w:t>
            </w:r>
          </w:p>
        </w:tc>
        <w:tc>
          <w:tcPr>
            <w:tcW w:w="501" w:type="pct"/>
            <w:gridSpan w:val="3"/>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577"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jc w:val="center"/>
              <w:rPr>
                <w:b w:val="0"/>
                <w:bCs/>
                <w:sz w:val="21"/>
                <w:szCs w:val="21"/>
              </w:rPr>
            </w:pPr>
            <w:r>
              <w:rPr>
                <w:b w:val="0"/>
                <w:bCs/>
                <w:sz w:val="21"/>
                <w:szCs w:val="21"/>
              </w:rPr>
              <w:t>7.25</w:t>
            </w:r>
          </w:p>
        </w:tc>
        <w:tc>
          <w:tcPr>
            <w:tcW w:w="671" w:type="pct"/>
            <w:vAlign w:val="center"/>
          </w:tcPr>
          <w:p>
            <w:pPr>
              <w:pStyle w:val="68"/>
              <w:adjustRightInd/>
              <w:snapToGrid/>
              <w:spacing w:afterLines="0"/>
              <w:jc w:val="center"/>
              <w:rPr>
                <w:b w:val="0"/>
                <w:bCs/>
                <w:sz w:val="21"/>
                <w:szCs w:val="21"/>
              </w:rPr>
            </w:pPr>
            <w:r>
              <w:rPr>
                <w:b w:val="0"/>
                <w:bCs/>
                <w:sz w:val="21"/>
                <w:szCs w:val="21"/>
              </w:rPr>
              <w:t>8.70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bCs/>
                <w:sz w:val="21"/>
                <w:szCs w:val="21"/>
              </w:rPr>
            </w:pPr>
          </w:p>
        </w:tc>
        <w:tc>
          <w:tcPr>
            <w:tcW w:w="449" w:type="pct"/>
            <w:vMerge w:val="continue"/>
            <w:vAlign w:val="center"/>
          </w:tcPr>
          <w:p>
            <w:pPr>
              <w:tabs>
                <w:tab w:val="left" w:pos="1050"/>
              </w:tabs>
              <w:spacing w:line="240" w:lineRule="auto"/>
              <w:ind w:firstLine="0" w:firstLineChars="0"/>
              <w:jc w:val="center"/>
              <w:rPr>
                <w:bCs/>
                <w:sz w:val="21"/>
                <w:szCs w:val="21"/>
              </w:rPr>
            </w:pPr>
          </w:p>
        </w:tc>
        <w:tc>
          <w:tcPr>
            <w:tcW w:w="595" w:type="pct"/>
            <w:vMerge w:val="continue"/>
            <w:vAlign w:val="center"/>
          </w:tcPr>
          <w:p>
            <w:pPr>
              <w:tabs>
                <w:tab w:val="left" w:pos="1050"/>
              </w:tabs>
              <w:spacing w:line="240" w:lineRule="auto"/>
              <w:ind w:firstLine="0" w:firstLineChars="0"/>
              <w:jc w:val="center"/>
              <w:rPr>
                <w:bCs/>
                <w:sz w:val="21"/>
                <w:szCs w:val="21"/>
              </w:rPr>
            </w:pPr>
          </w:p>
        </w:tc>
        <w:tc>
          <w:tcPr>
            <w:tcW w:w="581" w:type="pct"/>
            <w:vMerge w:val="continue"/>
            <w:vAlign w:val="center"/>
          </w:tcPr>
          <w:p>
            <w:pPr>
              <w:tabs>
                <w:tab w:val="left" w:pos="1050"/>
              </w:tabs>
              <w:spacing w:line="240" w:lineRule="auto"/>
              <w:ind w:firstLine="0" w:firstLineChars="0"/>
              <w:jc w:val="center"/>
              <w:rPr>
                <w:bCs/>
                <w:sz w:val="21"/>
                <w:szCs w:val="21"/>
              </w:rPr>
            </w:pPr>
          </w:p>
        </w:tc>
        <w:tc>
          <w:tcPr>
            <w:tcW w:w="488" w:type="pct"/>
            <w:vMerge w:val="continue"/>
            <w:tcBorders>
              <w:right w:val="single" w:color="auto" w:sz="4" w:space="0"/>
            </w:tcBorders>
            <w:vAlign w:val="center"/>
          </w:tcPr>
          <w:p>
            <w:pPr>
              <w:pStyle w:val="68"/>
              <w:adjustRightInd/>
              <w:snapToGrid/>
              <w:spacing w:afterLines="0"/>
              <w:jc w:val="center"/>
              <w:rPr>
                <w:b w:val="0"/>
                <w:bCs/>
                <w:sz w:val="21"/>
                <w:szCs w:val="21"/>
              </w:rPr>
            </w:pPr>
          </w:p>
        </w:tc>
        <w:tc>
          <w:tcPr>
            <w:tcW w:w="501" w:type="pct"/>
            <w:gridSpan w:val="3"/>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577"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jc w:val="center"/>
              <w:rPr>
                <w:b w:val="0"/>
                <w:bCs/>
                <w:sz w:val="21"/>
                <w:szCs w:val="21"/>
              </w:rPr>
            </w:pPr>
            <w:r>
              <w:rPr>
                <w:b w:val="0"/>
                <w:bCs/>
                <w:sz w:val="21"/>
                <w:szCs w:val="21"/>
              </w:rPr>
              <w:t>3.11</w:t>
            </w:r>
          </w:p>
        </w:tc>
        <w:tc>
          <w:tcPr>
            <w:tcW w:w="671" w:type="pct"/>
            <w:vAlign w:val="center"/>
          </w:tcPr>
          <w:p>
            <w:pPr>
              <w:pStyle w:val="68"/>
              <w:adjustRightInd/>
              <w:snapToGrid/>
              <w:spacing w:afterLines="0"/>
              <w:jc w:val="center"/>
              <w:rPr>
                <w:b w:val="0"/>
                <w:bCs/>
                <w:sz w:val="21"/>
                <w:szCs w:val="21"/>
              </w:rPr>
            </w:pPr>
            <w:r>
              <w:rPr>
                <w:b w:val="0"/>
                <w:bCs/>
                <w:sz w:val="21"/>
                <w:szCs w:val="21"/>
              </w:rPr>
              <w:t>33.53</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continue"/>
            <w:vAlign w:val="center"/>
          </w:tcPr>
          <w:p>
            <w:pPr>
              <w:pStyle w:val="53"/>
              <w:jc w:val="center"/>
              <w:rPr>
                <w:rFonts w:eastAsia="仿宋_GB2312"/>
              </w:rPr>
            </w:pP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未建区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jc w:val="center"/>
              <w:rPr>
                <w:b w:val="0"/>
                <w:sz w:val="21"/>
                <w:szCs w:val="21"/>
              </w:rPr>
            </w:pPr>
            <w:r>
              <w:rPr>
                <w:b w:val="0"/>
                <w:bCs/>
                <w:sz w:val="21"/>
                <w:szCs w:val="21"/>
              </w:rPr>
              <w:t>雨水管</w:t>
            </w:r>
          </w:p>
        </w:tc>
        <w:tc>
          <w:tcPr>
            <w:tcW w:w="577" w:type="pct"/>
            <w:vAlign w:val="center"/>
          </w:tcPr>
          <w:p>
            <w:pPr>
              <w:pStyle w:val="68"/>
              <w:adjustRightInd/>
              <w:snapToGrid/>
              <w:spacing w:afterLines="0"/>
              <w:jc w:val="center"/>
              <w:rPr>
                <w:b w:val="0"/>
                <w:sz w:val="21"/>
                <w:szCs w:val="21"/>
              </w:rPr>
            </w:pPr>
            <w:r>
              <w:rPr>
                <w:b w:val="0"/>
                <w:bCs/>
                <w:sz w:val="21"/>
                <w:szCs w:val="21"/>
              </w:rPr>
              <w:t>m</w:t>
            </w:r>
          </w:p>
        </w:tc>
        <w:tc>
          <w:tcPr>
            <w:tcW w:w="691" w:type="pct"/>
            <w:vAlign w:val="center"/>
          </w:tcPr>
          <w:p>
            <w:pPr>
              <w:pStyle w:val="68"/>
              <w:adjustRightInd/>
              <w:snapToGrid/>
              <w:spacing w:afterLines="0"/>
              <w:jc w:val="center"/>
              <w:rPr>
                <w:b w:val="0"/>
                <w:bCs/>
                <w:sz w:val="21"/>
                <w:szCs w:val="21"/>
              </w:rPr>
            </w:pPr>
            <w:r>
              <w:rPr>
                <w:b w:val="0"/>
                <w:bCs/>
                <w:sz w:val="21"/>
                <w:szCs w:val="21"/>
              </w:rPr>
              <w:t>8750</w:t>
            </w:r>
          </w:p>
        </w:tc>
        <w:tc>
          <w:tcPr>
            <w:tcW w:w="671" w:type="pct"/>
            <w:vAlign w:val="center"/>
          </w:tcPr>
          <w:p>
            <w:pPr>
              <w:pStyle w:val="68"/>
              <w:adjustRightInd/>
              <w:snapToGrid/>
              <w:spacing w:afterLines="0"/>
              <w:jc w:val="center"/>
              <w:rPr>
                <w:b w:val="0"/>
                <w:bCs/>
                <w:sz w:val="21"/>
                <w:szCs w:val="21"/>
              </w:rPr>
            </w:pPr>
            <w:r>
              <w:rPr>
                <w:b w:val="0"/>
                <w:bCs/>
                <w:sz w:val="21"/>
                <w:szCs w:val="21"/>
              </w:rPr>
              <w:t>437.50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雨水口</w:t>
            </w:r>
          </w:p>
        </w:tc>
        <w:tc>
          <w:tcPr>
            <w:tcW w:w="577" w:type="pct"/>
            <w:vAlign w:val="center"/>
          </w:tcPr>
          <w:p>
            <w:pPr>
              <w:pStyle w:val="68"/>
              <w:adjustRightInd/>
              <w:snapToGrid/>
              <w:spacing w:afterLines="0"/>
              <w:jc w:val="center"/>
              <w:rPr>
                <w:b w:val="0"/>
                <w:sz w:val="21"/>
                <w:szCs w:val="21"/>
              </w:rPr>
            </w:pPr>
            <w:r>
              <w:rPr>
                <w:b w:val="0"/>
                <w:bCs/>
                <w:sz w:val="21"/>
                <w:szCs w:val="21"/>
              </w:rPr>
              <w:t>个</w:t>
            </w:r>
          </w:p>
        </w:tc>
        <w:tc>
          <w:tcPr>
            <w:tcW w:w="691" w:type="pct"/>
            <w:vAlign w:val="center"/>
          </w:tcPr>
          <w:p>
            <w:pPr>
              <w:pStyle w:val="68"/>
              <w:adjustRightInd/>
              <w:snapToGrid/>
              <w:spacing w:afterLines="0"/>
              <w:jc w:val="center"/>
              <w:rPr>
                <w:b w:val="0"/>
                <w:bCs/>
                <w:sz w:val="21"/>
                <w:szCs w:val="21"/>
              </w:rPr>
            </w:pPr>
            <w:r>
              <w:rPr>
                <w:b w:val="0"/>
                <w:bCs/>
                <w:sz w:val="21"/>
                <w:szCs w:val="21"/>
              </w:rPr>
              <w:t>175</w:t>
            </w:r>
          </w:p>
        </w:tc>
        <w:tc>
          <w:tcPr>
            <w:tcW w:w="671" w:type="pct"/>
            <w:vAlign w:val="center"/>
          </w:tcPr>
          <w:p>
            <w:pPr>
              <w:pStyle w:val="68"/>
              <w:adjustRightInd/>
              <w:snapToGrid/>
              <w:spacing w:afterLines="0"/>
              <w:jc w:val="center"/>
              <w:rPr>
                <w:b w:val="0"/>
                <w:bCs/>
                <w:sz w:val="21"/>
                <w:szCs w:val="21"/>
              </w:rPr>
            </w:pPr>
            <w:r>
              <w:rPr>
                <w:b w:val="0"/>
                <w:bCs/>
                <w:sz w:val="21"/>
                <w:szCs w:val="21"/>
              </w:rPr>
              <w:t>21</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42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植物措施</w:t>
            </w:r>
          </w:p>
        </w:tc>
        <w:tc>
          <w:tcPr>
            <w:tcW w:w="515" w:type="pct"/>
            <w:gridSpan w:val="3"/>
            <w:vMerge w:val="restart"/>
            <w:tcBorders>
              <w:right w:val="single" w:color="auto" w:sz="4" w:space="0"/>
            </w:tcBorders>
            <w:vAlign w:val="center"/>
          </w:tcPr>
          <w:p>
            <w:pPr>
              <w:pStyle w:val="68"/>
              <w:adjustRightInd/>
              <w:snapToGrid/>
              <w:spacing w:afterLines="0"/>
              <w:jc w:val="center"/>
              <w:rPr>
                <w:b w:val="0"/>
                <w:bCs/>
                <w:sz w:val="21"/>
                <w:szCs w:val="21"/>
              </w:rPr>
            </w:pPr>
            <w:r>
              <w:rPr>
                <w:b w:val="0"/>
                <w:bCs/>
                <w:sz w:val="21"/>
                <w:szCs w:val="21"/>
              </w:rPr>
              <w:t>道路综合绿化</w:t>
            </w:r>
          </w:p>
        </w:tc>
        <w:tc>
          <w:tcPr>
            <w:tcW w:w="474" w:type="pct"/>
            <w:tcBorders>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组成</w:t>
            </w:r>
          </w:p>
        </w:tc>
        <w:tc>
          <w:tcPr>
            <w:tcW w:w="577"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2.41</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257.50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262"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515" w:type="pct"/>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474" w:type="pct"/>
            <w:tcBorders>
              <w:top w:val="single" w:color="auto" w:sz="4" w:space="0"/>
              <w:left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行道树绿化</w:t>
            </w:r>
          </w:p>
        </w:tc>
        <w:tc>
          <w:tcPr>
            <w:tcW w:w="577"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株/hm</w:t>
            </w:r>
            <w:r>
              <w:rPr>
                <w:b w:val="0"/>
                <w:bCs/>
                <w:sz w:val="21"/>
                <w:szCs w:val="21"/>
                <w:vertAlign w:val="superscript"/>
              </w:rPr>
              <w:t>2</w:t>
            </w:r>
          </w:p>
        </w:tc>
        <w:tc>
          <w:tcPr>
            <w:tcW w:w="69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1475/0.21</w:t>
            </w:r>
          </w:p>
        </w:tc>
        <w:tc>
          <w:tcPr>
            <w:tcW w:w="671" w:type="pct"/>
            <w:tcBorders>
              <w:top w:val="single" w:color="auto" w:sz="4" w:space="0"/>
              <w:bottom w:val="single" w:color="auto" w:sz="4" w:space="0"/>
            </w:tcBorders>
            <w:vAlign w:val="center"/>
          </w:tcPr>
          <w:p>
            <w:pPr>
              <w:pStyle w:val="68"/>
              <w:adjustRightInd/>
              <w:snapToGrid/>
              <w:spacing w:afterLines="0"/>
              <w:jc w:val="center"/>
              <w:rPr>
                <w:b w:val="0"/>
                <w:bCs/>
                <w:sz w:val="21"/>
                <w:szCs w:val="21"/>
              </w:rPr>
            </w:pPr>
            <w:r>
              <w:rPr>
                <w:b w:val="0"/>
                <w:bCs/>
                <w:sz w:val="21"/>
                <w:szCs w:val="21"/>
              </w:rPr>
              <w:t>147.50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50" w:hRule="atLeast"/>
        </w:trPr>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515" w:type="pct"/>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474" w:type="pct"/>
            <w:tcBorders>
              <w:top w:val="single" w:color="auto" w:sz="4" w:space="0"/>
              <w:left w:val="single" w:color="auto" w:sz="4" w:space="0"/>
            </w:tcBorders>
            <w:vAlign w:val="center"/>
          </w:tcPr>
          <w:p>
            <w:pPr>
              <w:pStyle w:val="68"/>
              <w:adjustRightInd/>
              <w:snapToGrid/>
              <w:spacing w:afterLines="0"/>
              <w:jc w:val="center"/>
              <w:rPr>
                <w:b w:val="0"/>
                <w:bCs/>
                <w:sz w:val="21"/>
                <w:szCs w:val="21"/>
              </w:rPr>
            </w:pPr>
            <w:r>
              <w:rPr>
                <w:b w:val="0"/>
                <w:bCs/>
                <w:sz w:val="21"/>
                <w:szCs w:val="21"/>
              </w:rPr>
              <w:t>绿化带绿化</w:t>
            </w:r>
          </w:p>
        </w:tc>
        <w:tc>
          <w:tcPr>
            <w:tcW w:w="577"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2.20</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110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515" w:type="pct"/>
            <w:gridSpan w:val="3"/>
            <w:vMerge w:val="restart"/>
            <w:tcBorders>
              <w:right w:val="single" w:color="auto" w:sz="4" w:space="0"/>
            </w:tcBorders>
            <w:vAlign w:val="center"/>
          </w:tcPr>
          <w:p>
            <w:pPr>
              <w:spacing w:line="240" w:lineRule="auto"/>
              <w:ind w:firstLine="0" w:firstLineChars="0"/>
              <w:jc w:val="center"/>
              <w:rPr>
                <w:bCs/>
                <w:sz w:val="21"/>
                <w:szCs w:val="21"/>
              </w:rPr>
            </w:pPr>
            <w:r>
              <w:t>边坡绿化</w:t>
            </w:r>
          </w:p>
        </w:tc>
        <w:tc>
          <w:tcPr>
            <w:tcW w:w="474" w:type="pct"/>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喷播植草</w:t>
            </w:r>
          </w:p>
        </w:tc>
        <w:tc>
          <w:tcPr>
            <w:tcW w:w="577"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jc w:val="center"/>
              <w:rPr>
                <w:b w:val="0"/>
                <w:bCs/>
                <w:sz w:val="21"/>
                <w:szCs w:val="21"/>
              </w:rPr>
            </w:pPr>
            <w:r>
              <w:rPr>
                <w:b w:val="0"/>
                <w:bCs/>
                <w:sz w:val="21"/>
                <w:szCs w:val="21"/>
              </w:rPr>
              <w:t>1.30</w:t>
            </w:r>
          </w:p>
        </w:tc>
        <w:tc>
          <w:tcPr>
            <w:tcW w:w="671" w:type="pct"/>
            <w:vAlign w:val="center"/>
          </w:tcPr>
          <w:p>
            <w:pPr>
              <w:pStyle w:val="68"/>
              <w:adjustRightInd/>
              <w:snapToGrid/>
              <w:spacing w:afterLines="0"/>
              <w:jc w:val="center"/>
              <w:rPr>
                <w:b w:val="0"/>
                <w:bCs/>
                <w:sz w:val="21"/>
                <w:szCs w:val="21"/>
              </w:rPr>
            </w:pPr>
            <w:r>
              <w:rPr>
                <w:b w:val="0"/>
                <w:bCs/>
                <w:sz w:val="21"/>
                <w:szCs w:val="21"/>
              </w:rPr>
              <w:t>1.56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bCs/>
                <w:sz w:val="21"/>
                <w:szCs w:val="21"/>
              </w:rPr>
            </w:pPr>
          </w:p>
        </w:tc>
        <w:tc>
          <w:tcPr>
            <w:tcW w:w="449" w:type="pct"/>
            <w:vMerge w:val="continue"/>
            <w:vAlign w:val="center"/>
          </w:tcPr>
          <w:p>
            <w:pPr>
              <w:tabs>
                <w:tab w:val="left" w:pos="1050"/>
              </w:tabs>
              <w:spacing w:line="240" w:lineRule="auto"/>
              <w:ind w:firstLine="0" w:firstLineChars="0"/>
              <w:jc w:val="center"/>
              <w:rPr>
                <w:bCs/>
                <w:sz w:val="21"/>
                <w:szCs w:val="21"/>
              </w:rPr>
            </w:pPr>
          </w:p>
        </w:tc>
        <w:tc>
          <w:tcPr>
            <w:tcW w:w="595" w:type="pct"/>
            <w:vMerge w:val="continue"/>
            <w:vAlign w:val="center"/>
          </w:tcPr>
          <w:p>
            <w:pPr>
              <w:tabs>
                <w:tab w:val="left" w:pos="1050"/>
              </w:tabs>
              <w:spacing w:line="240" w:lineRule="auto"/>
              <w:ind w:firstLine="0" w:firstLineChars="0"/>
              <w:jc w:val="center"/>
              <w:rPr>
                <w:bCs/>
                <w:sz w:val="21"/>
                <w:szCs w:val="21"/>
              </w:rPr>
            </w:pPr>
          </w:p>
        </w:tc>
        <w:tc>
          <w:tcPr>
            <w:tcW w:w="581" w:type="pct"/>
            <w:vMerge w:val="continue"/>
            <w:vAlign w:val="center"/>
          </w:tcPr>
          <w:p>
            <w:pPr>
              <w:tabs>
                <w:tab w:val="left" w:pos="1050"/>
              </w:tabs>
              <w:spacing w:line="240" w:lineRule="auto"/>
              <w:ind w:firstLine="0" w:firstLineChars="0"/>
              <w:jc w:val="center"/>
              <w:rPr>
                <w:bCs/>
                <w:sz w:val="21"/>
                <w:szCs w:val="21"/>
              </w:rPr>
            </w:pPr>
          </w:p>
        </w:tc>
        <w:tc>
          <w:tcPr>
            <w:tcW w:w="515" w:type="pct"/>
            <w:gridSpan w:val="3"/>
            <w:vMerge w:val="continue"/>
            <w:tcBorders>
              <w:right w:val="single" w:color="auto" w:sz="4" w:space="0"/>
            </w:tcBorders>
            <w:vAlign w:val="center"/>
          </w:tcPr>
          <w:p>
            <w:pPr>
              <w:pStyle w:val="68"/>
              <w:adjustRightInd/>
              <w:snapToGrid/>
              <w:spacing w:afterLines="0"/>
              <w:jc w:val="center"/>
              <w:rPr>
                <w:b w:val="0"/>
                <w:bCs/>
                <w:sz w:val="21"/>
                <w:szCs w:val="21"/>
              </w:rPr>
            </w:pPr>
          </w:p>
        </w:tc>
        <w:tc>
          <w:tcPr>
            <w:tcW w:w="474" w:type="pct"/>
            <w:tcBorders>
              <w:left w:val="single" w:color="auto" w:sz="4" w:space="0"/>
            </w:tcBorders>
            <w:vAlign w:val="center"/>
          </w:tcPr>
          <w:p>
            <w:pPr>
              <w:pStyle w:val="68"/>
              <w:adjustRightInd/>
              <w:snapToGrid/>
              <w:spacing w:afterLines="0"/>
              <w:jc w:val="center"/>
              <w:rPr>
                <w:b w:val="0"/>
                <w:bCs/>
                <w:sz w:val="21"/>
                <w:szCs w:val="21"/>
              </w:rPr>
            </w:pPr>
            <w:r>
              <w:rPr>
                <w:b w:val="0"/>
                <w:bCs/>
                <w:sz w:val="21"/>
                <w:szCs w:val="21"/>
              </w:rPr>
              <w:t>挂三维网植草</w:t>
            </w:r>
          </w:p>
        </w:tc>
        <w:tc>
          <w:tcPr>
            <w:tcW w:w="577" w:type="pct"/>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vAlign w:val="center"/>
          </w:tcPr>
          <w:p>
            <w:pPr>
              <w:pStyle w:val="68"/>
              <w:adjustRightInd/>
              <w:snapToGrid/>
              <w:spacing w:afterLines="0"/>
              <w:jc w:val="center"/>
              <w:rPr>
                <w:b w:val="0"/>
                <w:bCs/>
                <w:sz w:val="21"/>
                <w:szCs w:val="21"/>
              </w:rPr>
            </w:pPr>
            <w:r>
              <w:rPr>
                <w:b w:val="0"/>
                <w:bCs/>
                <w:sz w:val="21"/>
                <w:szCs w:val="21"/>
              </w:rPr>
              <w:t>1.10</w:t>
            </w:r>
          </w:p>
        </w:tc>
        <w:tc>
          <w:tcPr>
            <w:tcW w:w="671" w:type="pct"/>
            <w:vAlign w:val="center"/>
          </w:tcPr>
          <w:p>
            <w:pPr>
              <w:pStyle w:val="68"/>
              <w:adjustRightInd/>
              <w:snapToGrid/>
              <w:spacing w:afterLines="0"/>
              <w:jc w:val="center"/>
              <w:rPr>
                <w:b w:val="0"/>
                <w:bCs/>
                <w:sz w:val="21"/>
                <w:szCs w:val="21"/>
              </w:rPr>
            </w:pPr>
            <w:r>
              <w:rPr>
                <w:b w:val="0"/>
                <w:bCs/>
                <w:sz w:val="21"/>
                <w:szCs w:val="21"/>
              </w:rPr>
              <w:t>11.86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continue"/>
            <w:vAlign w:val="center"/>
          </w:tcPr>
          <w:p>
            <w:pPr>
              <w:pStyle w:val="53"/>
              <w:jc w:val="center"/>
              <w:rPr>
                <w:rFonts w:eastAsia="仿宋_GB2312"/>
              </w:rPr>
            </w:pPr>
          </w:p>
        </w:tc>
        <w:tc>
          <w:tcPr>
            <w:tcW w:w="3434" w:type="pct"/>
            <w:gridSpan w:val="8"/>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jc w:val="center"/>
              <w:rPr>
                <w:bCs/>
                <w:sz w:val="21"/>
                <w:szCs w:val="21"/>
              </w:rPr>
            </w:pPr>
            <w:r>
              <w:rPr>
                <w:bCs/>
                <w:sz w:val="21"/>
                <w:szCs w:val="21"/>
              </w:rPr>
              <w:t>1745.34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restart"/>
            <w:vAlign w:val="center"/>
          </w:tcPr>
          <w:p>
            <w:pPr>
              <w:tabs>
                <w:tab w:val="left" w:pos="1050"/>
              </w:tabs>
              <w:spacing w:line="240" w:lineRule="auto"/>
              <w:ind w:firstLine="0" w:firstLineChars="0"/>
              <w:jc w:val="center"/>
              <w:rPr>
                <w:sz w:val="21"/>
                <w:szCs w:val="21"/>
              </w:rPr>
            </w:pPr>
            <w:r>
              <w:rPr>
                <w:sz w:val="21"/>
                <w:szCs w:val="21"/>
              </w:rPr>
              <w:t>公用设施用地区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Merge w:val="restar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jc w:val="center"/>
              <w:rPr>
                <w:b w:val="0"/>
                <w:sz w:val="21"/>
                <w:szCs w:val="21"/>
              </w:rPr>
            </w:pPr>
            <w:r>
              <w:rPr>
                <w:b w:val="0"/>
                <w:bCs/>
                <w:sz w:val="21"/>
                <w:szCs w:val="21"/>
              </w:rPr>
              <w:t>表土剥离</w:t>
            </w:r>
          </w:p>
        </w:tc>
        <w:tc>
          <w:tcPr>
            <w:tcW w:w="577"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jc w:val="center"/>
              <w:rPr>
                <w:b w:val="0"/>
                <w:bCs/>
                <w:sz w:val="21"/>
                <w:szCs w:val="21"/>
              </w:rPr>
            </w:pPr>
            <w:r>
              <w:rPr>
                <w:b w:val="0"/>
                <w:bCs/>
                <w:sz w:val="21"/>
                <w:szCs w:val="21"/>
              </w:rPr>
              <w:t>0.71</w:t>
            </w:r>
          </w:p>
        </w:tc>
        <w:tc>
          <w:tcPr>
            <w:tcW w:w="671" w:type="pct"/>
            <w:vAlign w:val="center"/>
          </w:tcPr>
          <w:p>
            <w:pPr>
              <w:pStyle w:val="68"/>
              <w:adjustRightInd/>
              <w:snapToGrid/>
              <w:spacing w:afterLines="0"/>
              <w:jc w:val="center"/>
              <w:rPr>
                <w:b w:val="0"/>
                <w:bCs/>
                <w:sz w:val="21"/>
                <w:szCs w:val="21"/>
              </w:rPr>
            </w:pPr>
            <w:r>
              <w:rPr>
                <w:b w:val="0"/>
                <w:bCs/>
                <w:sz w:val="21"/>
                <w:szCs w:val="21"/>
              </w:rPr>
              <w:t>3.55</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表土回覆</w:t>
            </w:r>
          </w:p>
        </w:tc>
        <w:tc>
          <w:tcPr>
            <w:tcW w:w="577"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vAlign w:val="center"/>
          </w:tcPr>
          <w:p>
            <w:pPr>
              <w:pStyle w:val="68"/>
              <w:adjustRightInd/>
              <w:snapToGrid/>
              <w:spacing w:afterLines="0"/>
              <w:jc w:val="center"/>
              <w:rPr>
                <w:b w:val="0"/>
                <w:bCs/>
                <w:sz w:val="21"/>
                <w:szCs w:val="21"/>
              </w:rPr>
            </w:pPr>
            <w:r>
              <w:rPr>
                <w:b w:val="0"/>
                <w:bCs/>
                <w:sz w:val="21"/>
                <w:szCs w:val="21"/>
              </w:rPr>
              <w:t>0.71</w:t>
            </w:r>
          </w:p>
        </w:tc>
        <w:tc>
          <w:tcPr>
            <w:tcW w:w="671" w:type="pct"/>
            <w:vAlign w:val="center"/>
          </w:tcPr>
          <w:p>
            <w:pPr>
              <w:pStyle w:val="68"/>
              <w:adjustRightInd/>
              <w:snapToGrid/>
              <w:spacing w:afterLines="0"/>
              <w:jc w:val="center"/>
              <w:rPr>
                <w:b w:val="0"/>
                <w:bCs/>
                <w:sz w:val="21"/>
                <w:szCs w:val="21"/>
              </w:rPr>
            </w:pPr>
            <w:r>
              <w:rPr>
                <w:b w:val="0"/>
                <w:bCs/>
                <w:sz w:val="21"/>
                <w:szCs w:val="21"/>
              </w:rPr>
              <w:t>4.26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雨水管</w:t>
            </w:r>
          </w:p>
        </w:tc>
        <w:tc>
          <w:tcPr>
            <w:tcW w:w="577" w:type="pct"/>
            <w:vAlign w:val="center"/>
          </w:tcPr>
          <w:p>
            <w:pPr>
              <w:pStyle w:val="68"/>
              <w:adjustRightInd/>
              <w:snapToGrid/>
              <w:spacing w:afterLines="0"/>
              <w:jc w:val="center"/>
              <w:rPr>
                <w:b w:val="0"/>
                <w:sz w:val="21"/>
                <w:szCs w:val="21"/>
              </w:rPr>
            </w:pPr>
            <w:r>
              <w:rPr>
                <w:b w:val="0"/>
                <w:bCs/>
                <w:sz w:val="21"/>
                <w:szCs w:val="21"/>
              </w:rPr>
              <w:t>m</w:t>
            </w:r>
          </w:p>
        </w:tc>
        <w:tc>
          <w:tcPr>
            <w:tcW w:w="691" w:type="pct"/>
            <w:vAlign w:val="center"/>
          </w:tcPr>
          <w:p>
            <w:pPr>
              <w:pStyle w:val="68"/>
              <w:adjustRightInd/>
              <w:snapToGrid/>
              <w:spacing w:afterLines="0"/>
              <w:jc w:val="center"/>
              <w:rPr>
                <w:b w:val="0"/>
                <w:bCs/>
                <w:sz w:val="21"/>
                <w:szCs w:val="21"/>
              </w:rPr>
            </w:pPr>
            <w:r>
              <w:rPr>
                <w:b w:val="0"/>
                <w:bCs/>
                <w:sz w:val="21"/>
                <w:szCs w:val="21"/>
              </w:rPr>
              <w:t>4546</w:t>
            </w:r>
          </w:p>
        </w:tc>
        <w:tc>
          <w:tcPr>
            <w:tcW w:w="671" w:type="pct"/>
            <w:vAlign w:val="center"/>
          </w:tcPr>
          <w:p>
            <w:pPr>
              <w:pStyle w:val="68"/>
              <w:adjustRightInd/>
              <w:snapToGrid/>
              <w:spacing w:afterLines="0"/>
              <w:jc w:val="center"/>
              <w:rPr>
                <w:b w:val="0"/>
                <w:bCs/>
                <w:sz w:val="21"/>
                <w:szCs w:val="21"/>
              </w:rPr>
            </w:pPr>
            <w:r>
              <w:rPr>
                <w:b w:val="0"/>
                <w:bCs/>
                <w:sz w:val="21"/>
                <w:szCs w:val="21"/>
              </w:rPr>
              <w:t>227.30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雨水口</w:t>
            </w:r>
          </w:p>
        </w:tc>
        <w:tc>
          <w:tcPr>
            <w:tcW w:w="577" w:type="pct"/>
            <w:vAlign w:val="center"/>
          </w:tcPr>
          <w:p>
            <w:pPr>
              <w:pStyle w:val="68"/>
              <w:adjustRightInd/>
              <w:snapToGrid/>
              <w:spacing w:afterLines="0"/>
              <w:jc w:val="center"/>
              <w:rPr>
                <w:b w:val="0"/>
                <w:sz w:val="21"/>
                <w:szCs w:val="21"/>
              </w:rPr>
            </w:pPr>
            <w:r>
              <w:rPr>
                <w:b w:val="0"/>
                <w:bCs/>
                <w:sz w:val="21"/>
                <w:szCs w:val="21"/>
              </w:rPr>
              <w:t>个</w:t>
            </w:r>
          </w:p>
        </w:tc>
        <w:tc>
          <w:tcPr>
            <w:tcW w:w="691" w:type="pct"/>
            <w:vAlign w:val="center"/>
          </w:tcPr>
          <w:p>
            <w:pPr>
              <w:pStyle w:val="68"/>
              <w:adjustRightInd/>
              <w:snapToGrid/>
              <w:spacing w:afterLines="0"/>
              <w:jc w:val="center"/>
              <w:rPr>
                <w:b w:val="0"/>
                <w:bCs/>
                <w:sz w:val="21"/>
                <w:szCs w:val="21"/>
              </w:rPr>
            </w:pPr>
            <w:r>
              <w:rPr>
                <w:b w:val="0"/>
                <w:bCs/>
                <w:sz w:val="21"/>
                <w:szCs w:val="21"/>
              </w:rPr>
              <w:t>159</w:t>
            </w:r>
          </w:p>
        </w:tc>
        <w:tc>
          <w:tcPr>
            <w:tcW w:w="671" w:type="pct"/>
            <w:vAlign w:val="center"/>
          </w:tcPr>
          <w:p>
            <w:pPr>
              <w:pStyle w:val="68"/>
              <w:adjustRightInd/>
              <w:snapToGrid/>
              <w:spacing w:afterLines="0"/>
              <w:jc w:val="center"/>
              <w:rPr>
                <w:b w:val="0"/>
                <w:bCs/>
                <w:sz w:val="21"/>
                <w:szCs w:val="21"/>
              </w:rPr>
            </w:pPr>
            <w:r>
              <w:rPr>
                <w:b w:val="0"/>
                <w:bCs/>
                <w:sz w:val="21"/>
                <w:szCs w:val="21"/>
              </w:rPr>
              <w:t>19.08</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tabs>
                <w:tab w:val="left" w:pos="1050"/>
              </w:tabs>
              <w:spacing w:line="240" w:lineRule="auto"/>
              <w:ind w:firstLine="0" w:firstLineChars="0"/>
              <w:jc w:val="center"/>
              <w:rPr>
                <w:sz w:val="21"/>
                <w:szCs w:val="21"/>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vAlign w:val="center"/>
          </w:tcPr>
          <w:p>
            <w:pPr>
              <w:tabs>
                <w:tab w:val="left" w:pos="1050"/>
              </w:tabs>
              <w:spacing w:line="240" w:lineRule="auto"/>
              <w:ind w:firstLine="0" w:firstLineChars="0"/>
              <w:jc w:val="center"/>
              <w:rPr>
                <w:sz w:val="21"/>
                <w:szCs w:val="21"/>
              </w:rPr>
            </w:pPr>
          </w:p>
        </w:tc>
        <w:tc>
          <w:tcPr>
            <w:tcW w:w="581" w:type="pct"/>
            <w:vMerge w:val="continue"/>
            <w:vAlign w:val="center"/>
          </w:tcPr>
          <w:p>
            <w:pPr>
              <w:tabs>
                <w:tab w:val="left" w:pos="1050"/>
              </w:tabs>
              <w:spacing w:line="240" w:lineRule="auto"/>
              <w:ind w:firstLine="0" w:firstLineChars="0"/>
              <w:jc w:val="center"/>
              <w:rPr>
                <w:sz w:val="21"/>
                <w:szCs w:val="21"/>
              </w:rPr>
            </w:pPr>
          </w:p>
        </w:tc>
        <w:tc>
          <w:tcPr>
            <w:tcW w:w="989" w:type="pct"/>
            <w:gridSpan w:val="4"/>
            <w:vAlign w:val="center"/>
          </w:tcPr>
          <w:p>
            <w:pPr>
              <w:pStyle w:val="68"/>
              <w:adjustRightInd/>
              <w:snapToGrid/>
              <w:spacing w:afterLines="0"/>
              <w:jc w:val="center"/>
              <w:rPr>
                <w:b w:val="0"/>
                <w:sz w:val="21"/>
                <w:szCs w:val="21"/>
              </w:rPr>
            </w:pPr>
            <w:r>
              <w:rPr>
                <w:b w:val="0"/>
                <w:bCs/>
                <w:sz w:val="21"/>
                <w:szCs w:val="21"/>
              </w:rPr>
              <w:t>排水沟</w:t>
            </w:r>
          </w:p>
        </w:tc>
        <w:tc>
          <w:tcPr>
            <w:tcW w:w="577" w:type="pct"/>
            <w:vAlign w:val="center"/>
          </w:tcPr>
          <w:p>
            <w:pPr>
              <w:pStyle w:val="68"/>
              <w:adjustRightInd/>
              <w:snapToGrid/>
              <w:spacing w:afterLines="0"/>
              <w:jc w:val="center"/>
              <w:rPr>
                <w:b w:val="0"/>
                <w:sz w:val="21"/>
                <w:szCs w:val="21"/>
              </w:rPr>
            </w:pPr>
            <w:r>
              <w:rPr>
                <w:b w:val="0"/>
                <w:bCs/>
                <w:sz w:val="21"/>
                <w:szCs w:val="21"/>
              </w:rPr>
              <w:t>m</w:t>
            </w:r>
          </w:p>
        </w:tc>
        <w:tc>
          <w:tcPr>
            <w:tcW w:w="691" w:type="pct"/>
            <w:vAlign w:val="center"/>
          </w:tcPr>
          <w:p>
            <w:pPr>
              <w:pStyle w:val="68"/>
              <w:adjustRightInd/>
              <w:snapToGrid/>
              <w:spacing w:afterLines="0"/>
              <w:jc w:val="center"/>
              <w:rPr>
                <w:b w:val="0"/>
                <w:bCs/>
                <w:sz w:val="21"/>
                <w:szCs w:val="21"/>
              </w:rPr>
            </w:pPr>
            <w:r>
              <w:rPr>
                <w:b w:val="0"/>
                <w:bCs/>
                <w:sz w:val="21"/>
                <w:szCs w:val="21"/>
              </w:rPr>
              <w:t>408</w:t>
            </w:r>
          </w:p>
        </w:tc>
        <w:tc>
          <w:tcPr>
            <w:tcW w:w="671" w:type="pct"/>
            <w:vAlign w:val="center"/>
          </w:tcPr>
          <w:p>
            <w:pPr>
              <w:pStyle w:val="68"/>
              <w:adjustRightInd/>
              <w:snapToGrid/>
              <w:spacing w:afterLines="0"/>
              <w:jc w:val="center"/>
              <w:rPr>
                <w:b w:val="0"/>
                <w:bCs/>
                <w:sz w:val="21"/>
                <w:szCs w:val="21"/>
              </w:rPr>
            </w:pPr>
            <w:r>
              <w:rPr>
                <w:b w:val="0"/>
                <w:bCs/>
                <w:sz w:val="21"/>
                <w:szCs w:val="21"/>
              </w:rPr>
              <w:t>20.40</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67" w:hRule="atLeast"/>
        </w:trPr>
        <w:tc>
          <w:tcPr>
            <w:tcW w:w="444" w:type="pct"/>
            <w:vMerge w:val="continue"/>
            <w:vAlign w:val="center"/>
          </w:tcPr>
          <w:p>
            <w:pPr>
              <w:pStyle w:val="53"/>
              <w:jc w:val="center"/>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58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577"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2.36</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305.29</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110" w:hRule="atLeast"/>
        </w:trPr>
        <w:tc>
          <w:tcPr>
            <w:tcW w:w="444" w:type="pct"/>
            <w:vMerge w:val="continue"/>
            <w:vAlign w:val="center"/>
          </w:tcPr>
          <w:p>
            <w:pPr>
              <w:pStyle w:val="53"/>
              <w:jc w:val="center"/>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未建区</w:t>
            </w:r>
          </w:p>
        </w:tc>
        <w:tc>
          <w:tcPr>
            <w:tcW w:w="58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577"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4.89</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632.56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3434" w:type="pct"/>
            <w:gridSpan w:val="8"/>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jc w:val="center"/>
              <w:rPr>
                <w:bCs/>
                <w:sz w:val="21"/>
                <w:szCs w:val="21"/>
              </w:rPr>
            </w:pPr>
            <w:r>
              <w:rPr>
                <w:bCs/>
                <w:sz w:val="21"/>
                <w:szCs w:val="21"/>
              </w:rPr>
              <w:t>1212.44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restart"/>
            <w:vAlign w:val="center"/>
          </w:tcPr>
          <w:p>
            <w:pPr>
              <w:tabs>
                <w:tab w:val="left" w:pos="1050"/>
              </w:tabs>
              <w:spacing w:line="240" w:lineRule="auto"/>
              <w:ind w:firstLine="0" w:firstLineChars="0"/>
              <w:jc w:val="center"/>
              <w:rPr>
                <w:sz w:val="21"/>
                <w:szCs w:val="21"/>
              </w:rPr>
            </w:pPr>
            <w:r>
              <w:rPr>
                <w:sz w:val="21"/>
                <w:szCs w:val="21"/>
              </w:rPr>
              <w:t>绿地与广场用地区</w:t>
            </w:r>
          </w:p>
        </w:tc>
        <w:tc>
          <w:tcPr>
            <w:tcW w:w="595" w:type="pct"/>
            <w:vMerge w:val="restart"/>
            <w:vAlign w:val="center"/>
          </w:tcPr>
          <w:p>
            <w:pPr>
              <w:tabs>
                <w:tab w:val="left" w:pos="1050"/>
              </w:tabs>
              <w:spacing w:line="240" w:lineRule="auto"/>
              <w:ind w:firstLine="0" w:firstLineChars="0"/>
              <w:jc w:val="center"/>
              <w:rPr>
                <w:sz w:val="21"/>
                <w:szCs w:val="21"/>
              </w:rPr>
            </w:pPr>
            <w:r>
              <w:rPr>
                <w:sz w:val="21"/>
                <w:szCs w:val="21"/>
              </w:rPr>
              <w:t>在建区</w:t>
            </w:r>
          </w:p>
        </w:tc>
        <w:tc>
          <w:tcPr>
            <w:tcW w:w="581" w:type="pct"/>
            <w:vAlign w:val="center"/>
          </w:tcPr>
          <w:p>
            <w:pPr>
              <w:tabs>
                <w:tab w:val="left" w:pos="1050"/>
              </w:tabs>
              <w:spacing w:line="240" w:lineRule="auto"/>
              <w:ind w:firstLine="0" w:firstLineChars="0"/>
              <w:jc w:val="center"/>
              <w:rPr>
                <w:sz w:val="21"/>
                <w:szCs w:val="21"/>
              </w:rPr>
            </w:pPr>
            <w:r>
              <w:rPr>
                <w:sz w:val="21"/>
                <w:szCs w:val="21"/>
              </w:rPr>
              <w:t>工程措施</w:t>
            </w:r>
          </w:p>
        </w:tc>
        <w:tc>
          <w:tcPr>
            <w:tcW w:w="989" w:type="pct"/>
            <w:gridSpan w:val="4"/>
            <w:vAlign w:val="center"/>
          </w:tcPr>
          <w:p>
            <w:pPr>
              <w:pStyle w:val="68"/>
              <w:adjustRightInd/>
              <w:snapToGrid/>
              <w:spacing w:afterLines="0"/>
              <w:jc w:val="center"/>
              <w:rPr>
                <w:b w:val="0"/>
                <w:sz w:val="21"/>
                <w:szCs w:val="21"/>
              </w:rPr>
            </w:pPr>
            <w:r>
              <w:rPr>
                <w:b w:val="0"/>
                <w:bCs/>
                <w:sz w:val="21"/>
                <w:szCs w:val="21"/>
              </w:rPr>
              <w:t>表土回覆</w:t>
            </w:r>
          </w:p>
        </w:tc>
        <w:tc>
          <w:tcPr>
            <w:tcW w:w="577" w:type="pct"/>
            <w:vAlign w:val="center"/>
          </w:tcPr>
          <w:p>
            <w:pPr>
              <w:pStyle w:val="68"/>
              <w:adjustRightInd/>
              <w:snapToGrid/>
              <w:spacing w:afterLines="0"/>
              <w:jc w:val="center"/>
              <w:rPr>
                <w:b w:val="0"/>
                <w:sz w:val="21"/>
                <w:szCs w:val="21"/>
              </w:rPr>
            </w:pPr>
            <w:r>
              <w:rPr>
                <w:b w:val="0"/>
                <w:bCs/>
                <w:sz w:val="21"/>
                <w:szCs w:val="21"/>
              </w:rPr>
              <w:t>万m</w:t>
            </w:r>
            <w:r>
              <w:rPr>
                <w:b w:val="0"/>
                <w:bCs/>
                <w:sz w:val="21"/>
                <w:szCs w:val="21"/>
                <w:vertAlign w:val="superscript"/>
              </w:rPr>
              <w:t>3</w:t>
            </w:r>
          </w:p>
        </w:tc>
        <w:tc>
          <w:tcPr>
            <w:tcW w:w="691" w:type="pct"/>
            <w:vAlign w:val="center"/>
          </w:tcPr>
          <w:p>
            <w:pPr>
              <w:tabs>
                <w:tab w:val="left" w:pos="1050"/>
              </w:tabs>
              <w:spacing w:line="240" w:lineRule="auto"/>
              <w:ind w:firstLine="0" w:firstLineChars="0"/>
              <w:jc w:val="center"/>
              <w:rPr>
                <w:sz w:val="21"/>
                <w:szCs w:val="21"/>
              </w:rPr>
            </w:pPr>
            <w:r>
              <w:rPr>
                <w:sz w:val="21"/>
                <w:szCs w:val="21"/>
              </w:rPr>
              <w:t>1.41</w:t>
            </w:r>
          </w:p>
        </w:tc>
        <w:tc>
          <w:tcPr>
            <w:tcW w:w="671" w:type="pct"/>
            <w:vAlign w:val="center"/>
          </w:tcPr>
          <w:p>
            <w:pPr>
              <w:pStyle w:val="68"/>
              <w:adjustRightInd/>
              <w:snapToGrid/>
              <w:spacing w:afterLines="0"/>
              <w:jc w:val="center"/>
              <w:rPr>
                <w:b w:val="0"/>
                <w:bCs/>
                <w:sz w:val="21"/>
                <w:szCs w:val="21"/>
              </w:rPr>
            </w:pPr>
            <w:r>
              <w:rPr>
                <w:b w:val="0"/>
                <w:bCs/>
                <w:sz w:val="21"/>
                <w:szCs w:val="21"/>
              </w:rPr>
              <w:t>8.46</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524" w:hRule="atLeast"/>
        </w:trPr>
        <w:tc>
          <w:tcPr>
            <w:tcW w:w="444" w:type="pct"/>
            <w:vMerge w:val="continue"/>
            <w:vAlign w:val="center"/>
          </w:tcPr>
          <w:p>
            <w:pPr>
              <w:pStyle w:val="53"/>
              <w:jc w:val="center"/>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vMerge w:val="continue"/>
            <w:tcBorders>
              <w:bottom w:val="single" w:color="auto" w:sz="4" w:space="0"/>
            </w:tcBorders>
            <w:vAlign w:val="center"/>
          </w:tcPr>
          <w:p>
            <w:pPr>
              <w:tabs>
                <w:tab w:val="left" w:pos="1050"/>
              </w:tabs>
              <w:spacing w:line="240" w:lineRule="auto"/>
              <w:ind w:firstLine="0" w:firstLineChars="0"/>
              <w:jc w:val="center"/>
              <w:rPr>
                <w:sz w:val="21"/>
                <w:szCs w:val="21"/>
              </w:rPr>
            </w:pPr>
          </w:p>
        </w:tc>
        <w:tc>
          <w:tcPr>
            <w:tcW w:w="58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577"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bottom w:val="single" w:color="auto" w:sz="4" w:space="0"/>
            </w:tcBorders>
            <w:vAlign w:val="center"/>
          </w:tcPr>
          <w:p>
            <w:pPr>
              <w:tabs>
                <w:tab w:val="left" w:pos="1050"/>
              </w:tabs>
              <w:spacing w:line="240" w:lineRule="auto"/>
              <w:ind w:firstLine="0" w:firstLineChars="0"/>
              <w:jc w:val="center"/>
              <w:rPr>
                <w:sz w:val="21"/>
                <w:szCs w:val="21"/>
              </w:rPr>
            </w:pPr>
            <w:r>
              <w:rPr>
                <w:sz w:val="21"/>
                <w:szCs w:val="21"/>
              </w:rPr>
              <w:t>6.64</w:t>
            </w:r>
          </w:p>
        </w:tc>
        <w:tc>
          <w:tcPr>
            <w:tcW w:w="671" w:type="pct"/>
            <w:tcBorders>
              <w:bottom w:val="single" w:color="auto" w:sz="4" w:space="0"/>
            </w:tcBorders>
            <w:vAlign w:val="center"/>
          </w:tcPr>
          <w:p>
            <w:pPr>
              <w:pStyle w:val="68"/>
              <w:adjustRightInd/>
              <w:snapToGrid/>
              <w:spacing w:afterLines="0"/>
              <w:jc w:val="center"/>
              <w:rPr>
                <w:b w:val="0"/>
                <w:bCs/>
                <w:sz w:val="21"/>
                <w:szCs w:val="21"/>
              </w:rPr>
            </w:pPr>
            <w:r>
              <w:rPr>
                <w:b w:val="0"/>
                <w:bCs/>
                <w:sz w:val="21"/>
                <w:szCs w:val="21"/>
              </w:rPr>
              <w:t>858.94</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rPr>
          <w:trHeight w:val="323" w:hRule="atLeast"/>
        </w:trPr>
        <w:tc>
          <w:tcPr>
            <w:tcW w:w="444" w:type="pct"/>
            <w:vMerge w:val="continue"/>
            <w:vAlign w:val="center"/>
          </w:tcPr>
          <w:p>
            <w:pPr>
              <w:pStyle w:val="53"/>
              <w:jc w:val="center"/>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595"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未建区</w:t>
            </w:r>
          </w:p>
        </w:tc>
        <w:tc>
          <w:tcPr>
            <w:tcW w:w="58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植物措施</w:t>
            </w:r>
          </w:p>
        </w:tc>
        <w:tc>
          <w:tcPr>
            <w:tcW w:w="989" w:type="pct"/>
            <w:gridSpan w:val="4"/>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乔灌草综合绿化</w:t>
            </w:r>
          </w:p>
        </w:tc>
        <w:tc>
          <w:tcPr>
            <w:tcW w:w="577"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hm</w:t>
            </w:r>
            <w:r>
              <w:rPr>
                <w:b w:val="0"/>
                <w:bCs/>
                <w:sz w:val="21"/>
                <w:szCs w:val="21"/>
                <w:vertAlign w:val="superscript"/>
              </w:rPr>
              <w:t>2</w:t>
            </w:r>
          </w:p>
        </w:tc>
        <w:tc>
          <w:tcPr>
            <w:tcW w:w="691" w:type="pct"/>
            <w:tcBorders>
              <w:top w:val="single" w:color="auto" w:sz="4" w:space="0"/>
            </w:tcBorders>
            <w:vAlign w:val="center"/>
          </w:tcPr>
          <w:p>
            <w:pPr>
              <w:tabs>
                <w:tab w:val="left" w:pos="1050"/>
              </w:tabs>
              <w:spacing w:line="240" w:lineRule="auto"/>
              <w:ind w:firstLine="0" w:firstLineChars="0"/>
              <w:jc w:val="center"/>
              <w:rPr>
                <w:sz w:val="21"/>
                <w:szCs w:val="21"/>
              </w:rPr>
            </w:pPr>
            <w:r>
              <w:rPr>
                <w:sz w:val="21"/>
                <w:szCs w:val="21"/>
              </w:rPr>
              <w:t>41.57</w:t>
            </w:r>
          </w:p>
        </w:tc>
        <w:tc>
          <w:tcPr>
            <w:tcW w:w="671" w:type="pct"/>
            <w:tcBorders>
              <w:top w:val="single" w:color="auto" w:sz="4" w:space="0"/>
            </w:tcBorders>
            <w:vAlign w:val="center"/>
          </w:tcPr>
          <w:p>
            <w:pPr>
              <w:pStyle w:val="68"/>
              <w:adjustRightInd/>
              <w:snapToGrid/>
              <w:spacing w:afterLines="0"/>
              <w:jc w:val="center"/>
              <w:rPr>
                <w:b w:val="0"/>
                <w:bCs/>
                <w:sz w:val="21"/>
                <w:szCs w:val="21"/>
              </w:rPr>
            </w:pPr>
            <w:r>
              <w:rPr>
                <w:b w:val="0"/>
                <w:bCs/>
                <w:sz w:val="21"/>
                <w:szCs w:val="21"/>
              </w:rPr>
              <w:t>5377.42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44" w:type="pct"/>
            <w:vMerge w:val="continue"/>
            <w:vAlign w:val="center"/>
          </w:tcPr>
          <w:p>
            <w:pPr>
              <w:pStyle w:val="53"/>
              <w:jc w:val="center"/>
              <w:rPr>
                <w:rFonts w:eastAsia="仿宋_GB2312"/>
                <w:b/>
                <w:bCs/>
              </w:rPr>
            </w:pPr>
          </w:p>
        </w:tc>
        <w:tc>
          <w:tcPr>
            <w:tcW w:w="449" w:type="pct"/>
            <w:vMerge w:val="continue"/>
            <w:vAlign w:val="center"/>
          </w:tcPr>
          <w:p>
            <w:pPr>
              <w:tabs>
                <w:tab w:val="left" w:pos="1050"/>
              </w:tabs>
              <w:spacing w:line="240" w:lineRule="auto"/>
              <w:ind w:firstLine="0" w:firstLineChars="0"/>
              <w:jc w:val="center"/>
              <w:rPr>
                <w:sz w:val="21"/>
                <w:szCs w:val="21"/>
              </w:rPr>
            </w:pPr>
          </w:p>
        </w:tc>
        <w:tc>
          <w:tcPr>
            <w:tcW w:w="3434" w:type="pct"/>
            <w:gridSpan w:val="8"/>
            <w:tcBorders>
              <w:bottom w:val="single" w:color="auto" w:sz="4" w:space="0"/>
            </w:tcBorders>
            <w:vAlign w:val="center"/>
          </w:tcPr>
          <w:p>
            <w:pPr>
              <w:tabs>
                <w:tab w:val="left" w:pos="1050"/>
              </w:tabs>
              <w:spacing w:line="240" w:lineRule="auto"/>
              <w:ind w:firstLine="0" w:firstLineChars="0"/>
              <w:jc w:val="center"/>
              <w:rPr>
                <w:b/>
                <w:bCs/>
                <w:sz w:val="21"/>
                <w:szCs w:val="21"/>
              </w:rPr>
            </w:pPr>
            <w:r>
              <w:rPr>
                <w:b/>
                <w:bCs/>
                <w:sz w:val="21"/>
                <w:szCs w:val="21"/>
              </w:rPr>
              <w:t>小计</w:t>
            </w:r>
          </w:p>
        </w:tc>
        <w:tc>
          <w:tcPr>
            <w:tcW w:w="671" w:type="pct"/>
            <w:vAlign w:val="center"/>
          </w:tcPr>
          <w:p>
            <w:pPr>
              <w:pStyle w:val="68"/>
              <w:adjustRightInd/>
              <w:snapToGrid/>
              <w:spacing w:afterLines="0"/>
              <w:jc w:val="center"/>
              <w:rPr>
                <w:bCs/>
                <w:sz w:val="21"/>
                <w:szCs w:val="21"/>
              </w:rPr>
            </w:pPr>
            <w:r>
              <w:rPr>
                <w:bCs/>
                <w:sz w:val="21"/>
                <w:szCs w:val="21"/>
              </w:rPr>
              <w:t>6244.82</w:t>
            </w:r>
          </w:p>
        </w:tc>
      </w:tr>
      <w:tr>
        <w:tblPrEx>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Ex>
        <w:tc>
          <w:tcPr>
            <w:tcW w:w="4328" w:type="pct"/>
            <w:gridSpan w:val="10"/>
            <w:tcBorders>
              <w:top w:val="single" w:color="auto" w:sz="4" w:space="0"/>
            </w:tcBorders>
            <w:vAlign w:val="center"/>
          </w:tcPr>
          <w:p>
            <w:pPr>
              <w:tabs>
                <w:tab w:val="left" w:pos="1050"/>
              </w:tabs>
              <w:spacing w:line="240" w:lineRule="auto"/>
              <w:ind w:firstLine="0" w:firstLineChars="0"/>
              <w:jc w:val="center"/>
              <w:rPr>
                <w:b/>
                <w:bCs/>
                <w:sz w:val="21"/>
                <w:szCs w:val="21"/>
              </w:rPr>
            </w:pPr>
            <w:r>
              <w:rPr>
                <w:b/>
                <w:bCs/>
                <w:sz w:val="21"/>
                <w:szCs w:val="21"/>
              </w:rPr>
              <w:t>合计</w:t>
            </w:r>
          </w:p>
        </w:tc>
        <w:tc>
          <w:tcPr>
            <w:tcW w:w="671" w:type="pct"/>
            <w:vAlign w:val="center"/>
          </w:tcPr>
          <w:p>
            <w:pPr>
              <w:pStyle w:val="68"/>
              <w:adjustRightInd/>
              <w:snapToGrid/>
              <w:spacing w:afterLines="0"/>
              <w:jc w:val="center"/>
              <w:rPr>
                <w:b w:val="0"/>
                <w:bCs/>
                <w:sz w:val="21"/>
                <w:szCs w:val="21"/>
              </w:rPr>
            </w:pPr>
            <w:r>
              <w:rPr>
                <w:sz w:val="21"/>
                <w:szCs w:val="21"/>
              </w:rPr>
              <w:t>9349.52</w:t>
            </w:r>
          </w:p>
        </w:tc>
      </w:tr>
    </w:tbl>
    <w:p>
      <w:pPr>
        <w:pStyle w:val="5"/>
        <w:spacing w:beforeLines="50"/>
      </w:pPr>
      <w:bookmarkStart w:id="217" w:name="_Toc2877"/>
      <w:r>
        <w:t>7.2效益分析</w:t>
      </w:r>
      <w:bookmarkEnd w:id="209"/>
      <w:bookmarkEnd w:id="210"/>
      <w:bookmarkEnd w:id="211"/>
      <w:bookmarkEnd w:id="212"/>
      <w:bookmarkEnd w:id="213"/>
      <w:bookmarkEnd w:id="214"/>
      <w:bookmarkEnd w:id="215"/>
      <w:bookmarkEnd w:id="217"/>
    </w:p>
    <w:bookmarkEnd w:id="216"/>
    <w:p>
      <w:pPr>
        <w:pStyle w:val="35"/>
        <w:adjustRightInd w:val="0"/>
        <w:snapToGrid w:val="0"/>
        <w:ind w:left="0" w:leftChars="0" w:firstLine="480" w:firstLineChars="200"/>
        <w:rPr>
          <w:sz w:val="24"/>
          <w:szCs w:val="24"/>
        </w:rPr>
      </w:pPr>
      <w:r>
        <w:rPr>
          <w:sz w:val="24"/>
          <w:szCs w:val="24"/>
        </w:rPr>
        <w:t>本项目水土保持方案设计以减轻和控制工程施工作业带及影响范围内的水土流失为主要目的，水土保持措施实施减轻因工程建设带来的水土流失影响，恢复和改善工程沿线地区生态环境，维持沿线地区社会经济的持续发展。只要认真落实本报告提出的水土保持防治措施，必将起到良好的生态效益、社会效益和经济效益。</w:t>
      </w:r>
    </w:p>
    <w:p>
      <w:pPr>
        <w:pStyle w:val="6"/>
        <w:adjustRightInd w:val="0"/>
        <w:snapToGrid w:val="0"/>
      </w:pPr>
      <w:r>
        <w:t>7.2.1水土保持效益</w:t>
      </w:r>
    </w:p>
    <w:p>
      <w:pPr>
        <w:autoSpaceDE w:val="0"/>
        <w:autoSpaceDN w:val="0"/>
        <w:adjustRightInd w:val="0"/>
        <w:snapToGrid w:val="0"/>
        <w:ind w:firstLine="480"/>
        <w:rPr>
          <w:lang w:val="zh-CN"/>
        </w:rPr>
      </w:pPr>
      <w:r>
        <w:rPr>
          <w:lang w:val="zh-CN"/>
        </w:rPr>
        <w:t>本水土保持方案中对各防治区均规划了水土保持措施。通过各项水土保持措施的实施，因工程建设引起的水土流失将得到有效控制，同时降低了施工场地原地面水土流失，取得良好的生态效益。</w:t>
      </w:r>
    </w:p>
    <w:p>
      <w:pPr>
        <w:autoSpaceDE w:val="0"/>
        <w:autoSpaceDN w:val="0"/>
        <w:adjustRightInd w:val="0"/>
        <w:snapToGrid w:val="0"/>
        <w:ind w:firstLine="480"/>
        <w:rPr>
          <w:lang w:val="zh-CN"/>
        </w:rPr>
      </w:pPr>
      <w:r>
        <w:rPr>
          <w:lang w:val="zh-CN"/>
        </w:rPr>
        <w:t>水土保持效益指标包括扰动土地治理率、水土流失治理度、水土流失控制比、拦渣率、植被恢复系数和林草覆盖率等。根据本报告采取的各项措施，计算结果、达标情况见下表。</w:t>
      </w:r>
    </w:p>
    <w:p>
      <w:pPr>
        <w:pStyle w:val="47"/>
        <w:adjustRightInd w:val="0"/>
        <w:rPr>
          <w:b w:val="0"/>
        </w:rPr>
      </w:pPr>
      <w:r>
        <w:rPr>
          <w:bCs/>
        </w:rPr>
        <w:t>表7.2-1设计水平年方案目标值计算表</w:t>
      </w:r>
    </w:p>
    <w:tbl>
      <w:tblPr>
        <w:tblStyle w:val="36"/>
        <w:tblW w:w="0" w:type="auto"/>
        <w:jc w:val="center"/>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Layout w:type="fixed"/>
        <w:tblCellMar>
          <w:top w:w="0" w:type="dxa"/>
          <w:left w:w="108" w:type="dxa"/>
          <w:bottom w:w="0" w:type="dxa"/>
          <w:right w:w="108" w:type="dxa"/>
        </w:tblCellMar>
      </w:tblPr>
      <w:tblGrid>
        <w:gridCol w:w="692"/>
        <w:gridCol w:w="1379"/>
        <w:gridCol w:w="2302"/>
        <w:gridCol w:w="1827"/>
        <w:gridCol w:w="1913"/>
        <w:gridCol w:w="1129"/>
      </w:tblGrid>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339" w:hRule="atLeast"/>
          <w:jc w:val="center"/>
        </w:trPr>
        <w:tc>
          <w:tcPr>
            <w:tcW w:w="692" w:type="dxa"/>
            <w:tcBorders>
              <w:tl2br w:val="nil"/>
              <w:tr2bl w:val="nil"/>
            </w:tcBorders>
            <w:vAlign w:val="center"/>
          </w:tcPr>
          <w:p>
            <w:pPr>
              <w:pStyle w:val="53"/>
              <w:spacing w:line="220" w:lineRule="exact"/>
              <w:rPr>
                <w:rFonts w:eastAsia="仿宋_GB2312"/>
                <w:b/>
                <w:bCs/>
              </w:rPr>
            </w:pPr>
            <w:r>
              <w:rPr>
                <w:rFonts w:eastAsia="仿宋_GB2312"/>
                <w:b/>
                <w:bCs/>
              </w:rPr>
              <w:t>序号</w:t>
            </w:r>
          </w:p>
        </w:tc>
        <w:tc>
          <w:tcPr>
            <w:tcW w:w="1379" w:type="dxa"/>
            <w:tcBorders>
              <w:tl2br w:val="nil"/>
              <w:tr2bl w:val="nil"/>
            </w:tcBorders>
            <w:vAlign w:val="center"/>
          </w:tcPr>
          <w:p>
            <w:pPr>
              <w:pStyle w:val="53"/>
              <w:spacing w:line="220" w:lineRule="exact"/>
              <w:rPr>
                <w:rFonts w:eastAsia="仿宋_GB2312"/>
                <w:b/>
                <w:bCs/>
              </w:rPr>
            </w:pPr>
            <w:r>
              <w:rPr>
                <w:rFonts w:eastAsia="仿宋_GB2312"/>
                <w:b/>
                <w:bCs/>
              </w:rPr>
              <w:t>项目</w:t>
            </w:r>
          </w:p>
        </w:tc>
        <w:tc>
          <w:tcPr>
            <w:tcW w:w="2302" w:type="dxa"/>
            <w:tcBorders>
              <w:tl2br w:val="nil"/>
              <w:tr2bl w:val="nil"/>
            </w:tcBorders>
            <w:vAlign w:val="center"/>
          </w:tcPr>
          <w:p>
            <w:pPr>
              <w:pStyle w:val="53"/>
              <w:spacing w:line="220" w:lineRule="exact"/>
              <w:rPr>
                <w:rFonts w:eastAsia="仿宋_GB2312"/>
                <w:b/>
                <w:bCs/>
              </w:rPr>
            </w:pPr>
            <w:r>
              <w:rPr>
                <w:rFonts w:eastAsia="仿宋_GB2312"/>
                <w:b/>
                <w:bCs/>
              </w:rPr>
              <w:t>计算方法</w:t>
            </w:r>
          </w:p>
        </w:tc>
        <w:tc>
          <w:tcPr>
            <w:tcW w:w="3740" w:type="dxa"/>
            <w:gridSpan w:val="2"/>
            <w:tcBorders>
              <w:tl2br w:val="nil"/>
              <w:tr2bl w:val="nil"/>
            </w:tcBorders>
            <w:vAlign w:val="center"/>
          </w:tcPr>
          <w:p>
            <w:pPr>
              <w:pStyle w:val="53"/>
              <w:spacing w:line="220" w:lineRule="exact"/>
              <w:rPr>
                <w:rFonts w:eastAsia="仿宋_GB2312"/>
                <w:b/>
                <w:bCs/>
              </w:rPr>
            </w:pPr>
            <w:r>
              <w:rPr>
                <w:rFonts w:eastAsia="仿宋_GB2312"/>
                <w:b/>
                <w:bCs/>
              </w:rPr>
              <w:t>计算数据</w:t>
            </w:r>
          </w:p>
        </w:tc>
        <w:tc>
          <w:tcPr>
            <w:tcW w:w="1129" w:type="dxa"/>
            <w:tcBorders>
              <w:tl2br w:val="nil"/>
              <w:tr2bl w:val="nil"/>
            </w:tcBorders>
            <w:vAlign w:val="center"/>
          </w:tcPr>
          <w:p>
            <w:pPr>
              <w:pStyle w:val="53"/>
              <w:spacing w:line="220" w:lineRule="exact"/>
              <w:rPr>
                <w:rFonts w:eastAsia="仿宋_GB2312"/>
                <w:b/>
                <w:bCs/>
              </w:rPr>
            </w:pPr>
            <w:r>
              <w:rPr>
                <w:rFonts w:eastAsia="仿宋_GB2312"/>
                <w:b/>
                <w:bCs/>
              </w:rPr>
              <w:t>计算结果</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95" w:hRule="atLeast"/>
          <w:jc w:val="center"/>
        </w:trPr>
        <w:tc>
          <w:tcPr>
            <w:tcW w:w="692" w:type="dxa"/>
            <w:tcBorders>
              <w:tl2br w:val="nil"/>
              <w:tr2bl w:val="nil"/>
            </w:tcBorders>
            <w:vAlign w:val="center"/>
          </w:tcPr>
          <w:p>
            <w:pPr>
              <w:pStyle w:val="53"/>
              <w:spacing w:line="220" w:lineRule="exact"/>
              <w:rPr>
                <w:rFonts w:eastAsia="仿宋_GB2312"/>
              </w:rPr>
            </w:pPr>
            <w:r>
              <w:rPr>
                <w:rFonts w:eastAsia="仿宋_GB2312"/>
              </w:rPr>
              <w:t>1</w:t>
            </w:r>
          </w:p>
        </w:tc>
        <w:tc>
          <w:tcPr>
            <w:tcW w:w="1379" w:type="dxa"/>
            <w:tcBorders>
              <w:tl2br w:val="nil"/>
              <w:tr2bl w:val="nil"/>
            </w:tcBorders>
            <w:vAlign w:val="center"/>
          </w:tcPr>
          <w:p>
            <w:pPr>
              <w:pStyle w:val="53"/>
              <w:spacing w:line="220" w:lineRule="exact"/>
              <w:rPr>
                <w:rFonts w:eastAsia="仿宋_GB2312"/>
              </w:rPr>
            </w:pPr>
            <w:r>
              <w:rPr>
                <w:rFonts w:eastAsia="仿宋_GB2312"/>
                <w:lang w:val="zh-CN"/>
              </w:rPr>
              <w:t>水土流失治理度</w:t>
            </w:r>
          </w:p>
        </w:tc>
        <w:tc>
          <w:tcPr>
            <w:tcW w:w="2302" w:type="dxa"/>
            <w:tcBorders>
              <w:tl2br w:val="nil"/>
              <w:tr2bl w:val="nil"/>
            </w:tcBorders>
            <w:vAlign w:val="center"/>
          </w:tcPr>
          <w:p>
            <w:pPr>
              <w:pStyle w:val="53"/>
              <w:spacing w:line="220" w:lineRule="exact"/>
              <w:rPr>
                <w:rFonts w:eastAsia="仿宋_GB2312"/>
              </w:rPr>
            </w:pPr>
            <w:r>
              <w:rPr>
                <w:rFonts w:eastAsia="仿宋_GB2312"/>
              </w:rPr>
              <w:t>水土流失治理达标面积/水土流失总面积</w:t>
            </w:r>
          </w:p>
        </w:tc>
        <w:tc>
          <w:tcPr>
            <w:tcW w:w="1827" w:type="dxa"/>
            <w:tcBorders>
              <w:tl2br w:val="nil"/>
              <w:tr2bl w:val="nil"/>
            </w:tcBorders>
            <w:vAlign w:val="center"/>
          </w:tcPr>
          <w:p>
            <w:pPr>
              <w:pStyle w:val="53"/>
              <w:spacing w:line="220" w:lineRule="exact"/>
              <w:rPr>
                <w:rFonts w:eastAsia="仿宋_GB2312"/>
              </w:rPr>
            </w:pPr>
            <w:r>
              <w:rPr>
                <w:rFonts w:eastAsia="仿宋_GB2312"/>
              </w:rPr>
              <w:t>水土流失治理达标面积1100hm</w:t>
            </w:r>
            <w:r>
              <w:rPr>
                <w:rFonts w:eastAsia="仿宋_GB2312"/>
                <w:vertAlign w:val="superscript"/>
              </w:rPr>
              <w:t>2</w:t>
            </w:r>
          </w:p>
        </w:tc>
        <w:tc>
          <w:tcPr>
            <w:tcW w:w="1913" w:type="dxa"/>
            <w:tcBorders>
              <w:tl2br w:val="nil"/>
              <w:tr2bl w:val="nil"/>
            </w:tcBorders>
            <w:vAlign w:val="center"/>
          </w:tcPr>
          <w:p>
            <w:pPr>
              <w:pStyle w:val="53"/>
              <w:spacing w:line="220" w:lineRule="exact"/>
              <w:rPr>
                <w:rFonts w:eastAsia="仿宋_GB2312"/>
              </w:rPr>
            </w:pPr>
            <w:r>
              <w:rPr>
                <w:rFonts w:eastAsia="仿宋_GB2312"/>
              </w:rPr>
              <w:t>水土流失总面积1129.18hm</w:t>
            </w:r>
            <w:r>
              <w:rPr>
                <w:rFonts w:eastAsia="仿宋_GB2312"/>
                <w:vertAlign w:val="superscript"/>
              </w:rPr>
              <w:t>2</w:t>
            </w:r>
          </w:p>
        </w:tc>
        <w:tc>
          <w:tcPr>
            <w:tcW w:w="1129" w:type="dxa"/>
            <w:tcBorders>
              <w:tl2br w:val="nil"/>
              <w:tr2bl w:val="nil"/>
            </w:tcBorders>
            <w:vAlign w:val="center"/>
          </w:tcPr>
          <w:p>
            <w:pPr>
              <w:pStyle w:val="53"/>
              <w:spacing w:line="220" w:lineRule="exact"/>
              <w:rPr>
                <w:rFonts w:eastAsia="仿宋_GB2312"/>
              </w:rPr>
            </w:pPr>
            <w:r>
              <w:rPr>
                <w:rFonts w:eastAsia="仿宋_GB2312"/>
              </w:rPr>
              <w:t>97.42%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41" w:hRule="atLeast"/>
          <w:jc w:val="center"/>
        </w:trPr>
        <w:tc>
          <w:tcPr>
            <w:tcW w:w="692" w:type="dxa"/>
            <w:tcBorders>
              <w:tl2br w:val="nil"/>
              <w:tr2bl w:val="nil"/>
            </w:tcBorders>
            <w:vAlign w:val="center"/>
          </w:tcPr>
          <w:p>
            <w:pPr>
              <w:pStyle w:val="53"/>
              <w:spacing w:line="220" w:lineRule="exact"/>
              <w:rPr>
                <w:rFonts w:eastAsia="仿宋_GB2312"/>
              </w:rPr>
            </w:pPr>
            <w:r>
              <w:rPr>
                <w:rFonts w:eastAsia="仿宋_GB2312"/>
              </w:rPr>
              <w:t>2</w:t>
            </w:r>
          </w:p>
        </w:tc>
        <w:tc>
          <w:tcPr>
            <w:tcW w:w="1379" w:type="dxa"/>
            <w:tcBorders>
              <w:tl2br w:val="nil"/>
              <w:tr2bl w:val="nil"/>
            </w:tcBorders>
            <w:vAlign w:val="center"/>
          </w:tcPr>
          <w:p>
            <w:pPr>
              <w:pStyle w:val="53"/>
              <w:spacing w:line="220" w:lineRule="exact"/>
              <w:rPr>
                <w:rFonts w:eastAsia="仿宋_GB2312"/>
              </w:rPr>
            </w:pPr>
            <w:r>
              <w:rPr>
                <w:rFonts w:eastAsia="仿宋_GB2312"/>
                <w:lang w:val="zh-CN"/>
              </w:rPr>
              <w:t>土壤流失控制比</w:t>
            </w:r>
          </w:p>
        </w:tc>
        <w:tc>
          <w:tcPr>
            <w:tcW w:w="2302" w:type="dxa"/>
            <w:tcBorders>
              <w:tl2br w:val="nil"/>
              <w:tr2bl w:val="nil"/>
            </w:tcBorders>
            <w:vAlign w:val="center"/>
          </w:tcPr>
          <w:p>
            <w:pPr>
              <w:pStyle w:val="53"/>
              <w:spacing w:line="220" w:lineRule="exact"/>
              <w:rPr>
                <w:rFonts w:eastAsia="仿宋_GB2312"/>
              </w:rPr>
            </w:pPr>
            <w:r>
              <w:rPr>
                <w:rFonts w:eastAsia="仿宋_GB2312"/>
              </w:rPr>
              <w:t>容许土壤流失量/治理后每平方km年平均土壤流失量</w:t>
            </w:r>
          </w:p>
        </w:tc>
        <w:tc>
          <w:tcPr>
            <w:tcW w:w="1827" w:type="dxa"/>
            <w:tcBorders>
              <w:tl2br w:val="nil"/>
              <w:tr2bl w:val="nil"/>
            </w:tcBorders>
            <w:vAlign w:val="center"/>
          </w:tcPr>
          <w:p>
            <w:pPr>
              <w:pStyle w:val="53"/>
              <w:spacing w:line="220" w:lineRule="exact"/>
              <w:rPr>
                <w:rFonts w:eastAsia="仿宋_GB2312"/>
              </w:rPr>
            </w:pPr>
            <w:r>
              <w:rPr>
                <w:rFonts w:eastAsia="仿宋_GB2312"/>
              </w:rPr>
              <w:t>容许土壤流失量500t/km</w:t>
            </w:r>
            <w:r>
              <w:rPr>
                <w:rFonts w:eastAsia="仿宋_GB2312"/>
                <w:vertAlign w:val="superscript"/>
              </w:rPr>
              <w:t>2</w:t>
            </w:r>
            <w:r>
              <w:rPr>
                <w:rFonts w:eastAsia="仿宋_GB2312"/>
              </w:rPr>
              <w:t>·a</w:t>
            </w:r>
          </w:p>
        </w:tc>
        <w:tc>
          <w:tcPr>
            <w:tcW w:w="1913" w:type="dxa"/>
            <w:tcBorders>
              <w:tl2br w:val="nil"/>
              <w:tr2bl w:val="nil"/>
            </w:tcBorders>
            <w:vAlign w:val="center"/>
          </w:tcPr>
          <w:p>
            <w:pPr>
              <w:pStyle w:val="53"/>
              <w:spacing w:line="220" w:lineRule="exact"/>
              <w:rPr>
                <w:rFonts w:eastAsia="仿宋_GB2312"/>
              </w:rPr>
            </w:pPr>
            <w:r>
              <w:rPr>
                <w:rFonts w:eastAsia="仿宋_GB2312"/>
              </w:rPr>
              <w:t>治理后每平方km年平均土壤流失量500t/km</w:t>
            </w:r>
            <w:r>
              <w:rPr>
                <w:rFonts w:eastAsia="仿宋_GB2312"/>
                <w:vertAlign w:val="superscript"/>
              </w:rPr>
              <w:t>2</w:t>
            </w:r>
            <w:r>
              <w:rPr>
                <w:rFonts w:eastAsia="仿宋_GB2312"/>
              </w:rPr>
              <w:t>·a</w:t>
            </w:r>
          </w:p>
        </w:tc>
        <w:tc>
          <w:tcPr>
            <w:tcW w:w="1129" w:type="dxa"/>
            <w:tcBorders>
              <w:tl2br w:val="nil"/>
              <w:tr2bl w:val="nil"/>
            </w:tcBorders>
            <w:vAlign w:val="center"/>
          </w:tcPr>
          <w:p>
            <w:pPr>
              <w:pStyle w:val="53"/>
              <w:spacing w:line="220" w:lineRule="exact"/>
              <w:rPr>
                <w:rFonts w:eastAsia="仿宋_GB2312"/>
              </w:rPr>
            </w:pPr>
            <w:r>
              <w:rPr>
                <w:rFonts w:eastAsia="仿宋_GB2312"/>
              </w:rPr>
              <w:t>1.0</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586" w:hRule="atLeast"/>
          <w:jc w:val="center"/>
        </w:trPr>
        <w:tc>
          <w:tcPr>
            <w:tcW w:w="692" w:type="dxa"/>
            <w:tcBorders>
              <w:tl2br w:val="nil"/>
              <w:tr2bl w:val="nil"/>
            </w:tcBorders>
            <w:vAlign w:val="center"/>
          </w:tcPr>
          <w:p>
            <w:pPr>
              <w:pStyle w:val="53"/>
              <w:spacing w:line="220" w:lineRule="exact"/>
              <w:rPr>
                <w:rFonts w:eastAsia="仿宋_GB2312"/>
              </w:rPr>
            </w:pPr>
            <w:r>
              <w:rPr>
                <w:rFonts w:eastAsia="仿宋_GB2312"/>
              </w:rPr>
              <w:t>3</w:t>
            </w:r>
          </w:p>
        </w:tc>
        <w:tc>
          <w:tcPr>
            <w:tcW w:w="1379" w:type="dxa"/>
            <w:tcBorders>
              <w:tl2br w:val="nil"/>
              <w:tr2bl w:val="nil"/>
            </w:tcBorders>
            <w:vAlign w:val="center"/>
          </w:tcPr>
          <w:p>
            <w:pPr>
              <w:pStyle w:val="53"/>
              <w:spacing w:line="220" w:lineRule="exact"/>
              <w:rPr>
                <w:rFonts w:eastAsia="仿宋_GB2312"/>
              </w:rPr>
            </w:pPr>
            <w:r>
              <w:rPr>
                <w:rFonts w:eastAsia="仿宋_GB2312"/>
                <w:lang w:val="zh-CN"/>
              </w:rPr>
              <w:t>渣土</w:t>
            </w:r>
            <w:r>
              <w:rPr>
                <w:rFonts w:eastAsia="仿宋_GB2312"/>
              </w:rPr>
              <w:t>防护</w:t>
            </w:r>
            <w:r>
              <w:rPr>
                <w:rFonts w:eastAsia="仿宋_GB2312"/>
                <w:lang w:val="zh-CN"/>
              </w:rPr>
              <w:t>率</w:t>
            </w:r>
          </w:p>
        </w:tc>
        <w:tc>
          <w:tcPr>
            <w:tcW w:w="2302" w:type="dxa"/>
            <w:tcBorders>
              <w:tl2br w:val="nil"/>
              <w:tr2bl w:val="nil"/>
            </w:tcBorders>
            <w:vAlign w:val="center"/>
          </w:tcPr>
          <w:p>
            <w:pPr>
              <w:pStyle w:val="53"/>
              <w:spacing w:line="220" w:lineRule="exact"/>
              <w:rPr>
                <w:rFonts w:eastAsia="仿宋_GB2312"/>
              </w:rPr>
            </w:pPr>
            <w:r>
              <w:rPr>
                <w:rFonts w:eastAsia="仿宋_GB2312"/>
              </w:rPr>
              <w:t>采取措施实际挡护的永久弃渣、临时堆土数量/永久弃渣和临时堆土总量</w:t>
            </w:r>
          </w:p>
        </w:tc>
        <w:tc>
          <w:tcPr>
            <w:tcW w:w="1827" w:type="dxa"/>
            <w:tcBorders>
              <w:tl2br w:val="nil"/>
              <w:tr2bl w:val="nil"/>
            </w:tcBorders>
            <w:vAlign w:val="center"/>
          </w:tcPr>
          <w:p>
            <w:pPr>
              <w:pStyle w:val="53"/>
              <w:spacing w:line="220" w:lineRule="exact"/>
              <w:rPr>
                <w:rFonts w:eastAsia="仿宋_GB2312"/>
              </w:rPr>
            </w:pPr>
            <w:r>
              <w:rPr>
                <w:rFonts w:eastAsia="仿宋_GB2312"/>
              </w:rPr>
              <w:t>采取措施实际挡护的永久弃渣、临时堆土数量79万m</w:t>
            </w:r>
            <w:r>
              <w:rPr>
                <w:rFonts w:eastAsia="仿宋_GB2312"/>
                <w:vertAlign w:val="superscript"/>
              </w:rPr>
              <w:t>3</w:t>
            </w:r>
          </w:p>
        </w:tc>
        <w:tc>
          <w:tcPr>
            <w:tcW w:w="1913" w:type="dxa"/>
            <w:tcBorders>
              <w:tl2br w:val="nil"/>
              <w:tr2bl w:val="nil"/>
            </w:tcBorders>
            <w:vAlign w:val="center"/>
          </w:tcPr>
          <w:p>
            <w:pPr>
              <w:pStyle w:val="53"/>
              <w:spacing w:line="220" w:lineRule="exact"/>
              <w:rPr>
                <w:rFonts w:eastAsia="仿宋_GB2312"/>
              </w:rPr>
            </w:pPr>
            <w:r>
              <w:rPr>
                <w:rFonts w:eastAsia="仿宋_GB2312"/>
              </w:rPr>
              <w:t>永久弃渣和临时堆土总量81.26万m</w:t>
            </w:r>
            <w:r>
              <w:rPr>
                <w:rFonts w:eastAsia="仿宋_GB2312"/>
                <w:vertAlign w:val="superscript"/>
              </w:rPr>
              <w:t>3</w:t>
            </w:r>
          </w:p>
        </w:tc>
        <w:tc>
          <w:tcPr>
            <w:tcW w:w="1129" w:type="dxa"/>
            <w:tcBorders>
              <w:tl2br w:val="nil"/>
              <w:tr2bl w:val="nil"/>
            </w:tcBorders>
            <w:vAlign w:val="center"/>
          </w:tcPr>
          <w:p>
            <w:pPr>
              <w:pStyle w:val="53"/>
              <w:spacing w:line="220" w:lineRule="exact"/>
              <w:rPr>
                <w:rFonts w:eastAsia="仿宋_GB2312"/>
              </w:rPr>
            </w:pPr>
            <w:r>
              <w:rPr>
                <w:rFonts w:eastAsia="仿宋_GB2312"/>
              </w:rPr>
              <w:t>97.22%</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trHeight w:val="629" w:hRule="atLeast"/>
          <w:jc w:val="center"/>
        </w:trPr>
        <w:tc>
          <w:tcPr>
            <w:tcW w:w="692" w:type="dxa"/>
            <w:tcBorders>
              <w:tl2br w:val="nil"/>
              <w:tr2bl w:val="nil"/>
            </w:tcBorders>
            <w:vAlign w:val="center"/>
          </w:tcPr>
          <w:p>
            <w:pPr>
              <w:pStyle w:val="53"/>
              <w:spacing w:line="220" w:lineRule="exact"/>
              <w:rPr>
                <w:rFonts w:eastAsia="仿宋_GB2312"/>
              </w:rPr>
            </w:pPr>
            <w:r>
              <w:rPr>
                <w:rFonts w:eastAsia="仿宋_GB2312"/>
              </w:rPr>
              <w:t>4</w:t>
            </w:r>
          </w:p>
        </w:tc>
        <w:tc>
          <w:tcPr>
            <w:tcW w:w="1379" w:type="dxa"/>
            <w:tcBorders>
              <w:tl2br w:val="nil"/>
              <w:tr2bl w:val="nil"/>
            </w:tcBorders>
            <w:vAlign w:val="center"/>
          </w:tcPr>
          <w:p>
            <w:pPr>
              <w:pStyle w:val="53"/>
              <w:spacing w:line="220" w:lineRule="exact"/>
              <w:rPr>
                <w:rFonts w:eastAsia="仿宋_GB2312"/>
              </w:rPr>
            </w:pPr>
            <w:r>
              <w:rPr>
                <w:rFonts w:eastAsia="仿宋_GB2312"/>
                <w:lang w:val="zh-CN"/>
              </w:rPr>
              <w:t>表土保护率</w:t>
            </w:r>
          </w:p>
        </w:tc>
        <w:tc>
          <w:tcPr>
            <w:tcW w:w="2302" w:type="dxa"/>
            <w:tcBorders>
              <w:tl2br w:val="nil"/>
              <w:tr2bl w:val="nil"/>
            </w:tcBorders>
            <w:vAlign w:val="center"/>
          </w:tcPr>
          <w:p>
            <w:pPr>
              <w:pStyle w:val="53"/>
              <w:spacing w:line="220" w:lineRule="exact"/>
              <w:rPr>
                <w:rFonts w:eastAsia="仿宋_GB2312"/>
              </w:rPr>
            </w:pPr>
            <w:r>
              <w:rPr>
                <w:rFonts w:eastAsia="仿宋_GB2312"/>
              </w:rPr>
              <w:t>保护的表土数量/可剥离表土总量</w:t>
            </w:r>
          </w:p>
        </w:tc>
        <w:tc>
          <w:tcPr>
            <w:tcW w:w="1827" w:type="dxa"/>
            <w:tcBorders>
              <w:tl2br w:val="nil"/>
              <w:tr2bl w:val="nil"/>
            </w:tcBorders>
            <w:vAlign w:val="center"/>
          </w:tcPr>
          <w:p>
            <w:pPr>
              <w:pStyle w:val="53"/>
              <w:spacing w:line="220" w:lineRule="exact"/>
              <w:rPr>
                <w:rFonts w:eastAsia="仿宋_GB2312"/>
              </w:rPr>
            </w:pPr>
            <w:r>
              <w:rPr>
                <w:rFonts w:eastAsia="仿宋_GB2312"/>
              </w:rPr>
              <w:t>保护的表土数量</w:t>
            </w:r>
            <w:r>
              <w:rPr>
                <w:rFonts w:hint="eastAsia" w:eastAsia="仿宋_GB2312"/>
              </w:rPr>
              <w:t>165.35万m</w:t>
            </w:r>
            <w:r>
              <w:rPr>
                <w:rFonts w:eastAsia="仿宋_GB2312"/>
                <w:vertAlign w:val="superscript"/>
              </w:rPr>
              <w:t>3</w:t>
            </w:r>
          </w:p>
        </w:tc>
        <w:tc>
          <w:tcPr>
            <w:tcW w:w="1913" w:type="dxa"/>
            <w:tcBorders>
              <w:tl2br w:val="nil"/>
              <w:tr2bl w:val="nil"/>
            </w:tcBorders>
            <w:vAlign w:val="center"/>
          </w:tcPr>
          <w:p>
            <w:pPr>
              <w:pStyle w:val="53"/>
              <w:spacing w:line="220" w:lineRule="exact"/>
              <w:rPr>
                <w:rFonts w:eastAsia="仿宋_GB2312"/>
              </w:rPr>
            </w:pPr>
            <w:r>
              <w:rPr>
                <w:rFonts w:eastAsia="仿宋_GB2312"/>
              </w:rPr>
              <w:t>可剥离表土总量</w:t>
            </w:r>
            <w:r>
              <w:rPr>
                <w:rFonts w:hint="eastAsia" w:eastAsia="仿宋_GB2312"/>
              </w:rPr>
              <w:t>179.13</w:t>
            </w:r>
            <w:r>
              <w:rPr>
                <w:rFonts w:eastAsia="仿宋_GB2312"/>
              </w:rPr>
              <w:t>万m</w:t>
            </w:r>
            <w:r>
              <w:rPr>
                <w:rFonts w:eastAsia="仿宋_GB2312"/>
                <w:vertAlign w:val="superscript"/>
              </w:rPr>
              <w:t>3</w:t>
            </w:r>
          </w:p>
        </w:tc>
        <w:tc>
          <w:tcPr>
            <w:tcW w:w="1129" w:type="dxa"/>
            <w:tcBorders>
              <w:tl2br w:val="nil"/>
              <w:tr2bl w:val="nil"/>
            </w:tcBorders>
            <w:vAlign w:val="center"/>
          </w:tcPr>
          <w:p>
            <w:pPr>
              <w:pStyle w:val="53"/>
              <w:spacing w:line="220" w:lineRule="exact"/>
              <w:rPr>
                <w:rFonts w:eastAsia="仿宋_GB2312"/>
              </w:rPr>
            </w:pPr>
            <w:r>
              <w:rPr>
                <w:rFonts w:hint="eastAsia" w:eastAsia="仿宋_GB2312"/>
              </w:rPr>
              <w:t>92.31</w:t>
            </w:r>
            <w:r>
              <w:rPr>
                <w:rFonts w:eastAsia="仿宋_GB2312"/>
              </w:rPr>
              <w:t>%</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92" w:type="dxa"/>
            <w:tcBorders>
              <w:tl2br w:val="nil"/>
              <w:tr2bl w:val="nil"/>
            </w:tcBorders>
            <w:vAlign w:val="center"/>
          </w:tcPr>
          <w:p>
            <w:pPr>
              <w:pStyle w:val="53"/>
              <w:spacing w:line="220" w:lineRule="exact"/>
              <w:rPr>
                <w:rFonts w:eastAsia="仿宋_GB2312"/>
              </w:rPr>
            </w:pPr>
            <w:r>
              <w:rPr>
                <w:rFonts w:eastAsia="仿宋_GB2312"/>
              </w:rPr>
              <w:t>5</w:t>
            </w:r>
          </w:p>
        </w:tc>
        <w:tc>
          <w:tcPr>
            <w:tcW w:w="1379" w:type="dxa"/>
            <w:tcBorders>
              <w:tl2br w:val="nil"/>
              <w:tr2bl w:val="nil"/>
            </w:tcBorders>
            <w:vAlign w:val="center"/>
          </w:tcPr>
          <w:p>
            <w:pPr>
              <w:pStyle w:val="53"/>
              <w:spacing w:line="220" w:lineRule="exact"/>
              <w:rPr>
                <w:rFonts w:eastAsia="仿宋_GB2312"/>
              </w:rPr>
            </w:pPr>
            <w:r>
              <w:rPr>
                <w:rFonts w:eastAsia="仿宋_GB2312"/>
                <w:lang w:val="zh-CN"/>
              </w:rPr>
              <w:t>林草植被恢复率</w:t>
            </w:r>
          </w:p>
        </w:tc>
        <w:tc>
          <w:tcPr>
            <w:tcW w:w="2302" w:type="dxa"/>
            <w:tcBorders>
              <w:tl2br w:val="nil"/>
              <w:tr2bl w:val="nil"/>
            </w:tcBorders>
            <w:vAlign w:val="center"/>
          </w:tcPr>
          <w:p>
            <w:pPr>
              <w:pStyle w:val="53"/>
              <w:spacing w:line="220" w:lineRule="exact"/>
              <w:rPr>
                <w:rFonts w:eastAsia="仿宋_GB2312"/>
              </w:rPr>
            </w:pPr>
            <w:r>
              <w:rPr>
                <w:rFonts w:eastAsia="仿宋_GB2312"/>
              </w:rPr>
              <w:t>项目防治范围内的林草类植被面积/可恢复林草植被面积</w:t>
            </w:r>
          </w:p>
        </w:tc>
        <w:tc>
          <w:tcPr>
            <w:tcW w:w="1827" w:type="dxa"/>
            <w:tcBorders>
              <w:tl2br w:val="nil"/>
              <w:tr2bl w:val="nil"/>
            </w:tcBorders>
            <w:vAlign w:val="center"/>
          </w:tcPr>
          <w:p>
            <w:pPr>
              <w:pStyle w:val="53"/>
              <w:spacing w:line="220" w:lineRule="exact"/>
              <w:rPr>
                <w:rFonts w:eastAsia="仿宋_GB2312"/>
              </w:rPr>
            </w:pPr>
            <w:r>
              <w:rPr>
                <w:rFonts w:eastAsia="仿宋_GB2312"/>
              </w:rPr>
              <w:t>项目防治范围内的林草类植被面积171.09hm</w:t>
            </w:r>
            <w:r>
              <w:rPr>
                <w:rFonts w:eastAsia="仿宋_GB2312"/>
                <w:vertAlign w:val="superscript"/>
              </w:rPr>
              <w:t>2</w:t>
            </w:r>
            <w:r>
              <w:rPr>
                <w:rFonts w:eastAsia="仿宋_GB2312"/>
              </w:rPr>
              <w:t>，远期林草植被面积255.86hm</w:t>
            </w:r>
            <w:r>
              <w:rPr>
                <w:rFonts w:eastAsia="仿宋_GB2312"/>
                <w:vertAlign w:val="superscript"/>
              </w:rPr>
              <w:t>2</w:t>
            </w:r>
            <w:r>
              <w:rPr>
                <w:rFonts w:eastAsia="仿宋_GB2312"/>
              </w:rPr>
              <w:t>，合计426.95hm</w:t>
            </w:r>
            <w:r>
              <w:rPr>
                <w:rFonts w:eastAsia="仿宋_GB2312"/>
                <w:vertAlign w:val="superscript"/>
              </w:rPr>
              <w:t>2</w:t>
            </w:r>
          </w:p>
        </w:tc>
        <w:tc>
          <w:tcPr>
            <w:tcW w:w="1913" w:type="dxa"/>
            <w:tcBorders>
              <w:tl2br w:val="nil"/>
              <w:tr2bl w:val="nil"/>
            </w:tcBorders>
            <w:vAlign w:val="center"/>
          </w:tcPr>
          <w:p>
            <w:pPr>
              <w:pStyle w:val="53"/>
              <w:spacing w:line="220" w:lineRule="exact"/>
              <w:rPr>
                <w:rFonts w:eastAsia="仿宋_GB2312"/>
              </w:rPr>
            </w:pPr>
            <w:r>
              <w:rPr>
                <w:rFonts w:eastAsia="仿宋_GB2312"/>
              </w:rPr>
              <w:t>可恢复林草植被面积430hm</w:t>
            </w:r>
            <w:r>
              <w:rPr>
                <w:rFonts w:eastAsia="仿宋_GB2312"/>
                <w:vertAlign w:val="superscript"/>
              </w:rPr>
              <w:t>2</w:t>
            </w:r>
            <w:r>
              <w:rPr>
                <w:rFonts w:eastAsia="仿宋_GB2312"/>
              </w:rPr>
              <w:t>（含远期林草植被面积255.86hm</w:t>
            </w:r>
            <w:r>
              <w:rPr>
                <w:rFonts w:eastAsia="仿宋_GB2312"/>
                <w:vertAlign w:val="superscript"/>
              </w:rPr>
              <w:t>2</w:t>
            </w:r>
            <w:r>
              <w:rPr>
                <w:rFonts w:eastAsia="仿宋_GB2312"/>
              </w:rPr>
              <w:t>）</w:t>
            </w:r>
          </w:p>
        </w:tc>
        <w:tc>
          <w:tcPr>
            <w:tcW w:w="1129" w:type="dxa"/>
            <w:tcBorders>
              <w:tl2br w:val="nil"/>
              <w:tr2bl w:val="nil"/>
            </w:tcBorders>
            <w:vAlign w:val="center"/>
          </w:tcPr>
          <w:p>
            <w:pPr>
              <w:pStyle w:val="53"/>
              <w:spacing w:line="220" w:lineRule="exact"/>
              <w:rPr>
                <w:rFonts w:eastAsia="仿宋_GB2312"/>
              </w:rPr>
            </w:pPr>
            <w:r>
              <w:rPr>
                <w:rFonts w:eastAsia="仿宋_GB2312"/>
              </w:rPr>
              <w:t>99.29%</w:t>
            </w:r>
          </w:p>
        </w:tc>
      </w:tr>
      <w:tr>
        <w:tblPrEx>
          <w:tblBorders>
            <w:top w:val="single" w:color="000000" w:sz="12" w:space="0"/>
            <w:left w:val="single" w:color="000000" w:sz="12" w:space="0"/>
            <w:bottom w:val="single" w:color="000000" w:sz="12" w:space="0"/>
            <w:right w:val="single" w:color="000000" w:sz="12" w:space="0"/>
            <w:insideH w:val="single" w:color="000000" w:sz="4" w:space="0"/>
            <w:insideV w:val="single" w:color="000000" w:sz="4" w:space="0"/>
          </w:tblBorders>
          <w:tblCellMar>
            <w:top w:w="0" w:type="dxa"/>
            <w:left w:w="108" w:type="dxa"/>
            <w:bottom w:w="0" w:type="dxa"/>
            <w:right w:w="108" w:type="dxa"/>
          </w:tblCellMar>
        </w:tblPrEx>
        <w:trPr>
          <w:jc w:val="center"/>
        </w:trPr>
        <w:tc>
          <w:tcPr>
            <w:tcW w:w="692" w:type="dxa"/>
            <w:tcBorders>
              <w:tl2br w:val="nil"/>
              <w:tr2bl w:val="nil"/>
            </w:tcBorders>
            <w:vAlign w:val="center"/>
          </w:tcPr>
          <w:p>
            <w:pPr>
              <w:pStyle w:val="53"/>
              <w:spacing w:line="220" w:lineRule="exact"/>
              <w:rPr>
                <w:rFonts w:eastAsia="仿宋_GB2312"/>
              </w:rPr>
            </w:pPr>
            <w:r>
              <w:rPr>
                <w:rFonts w:eastAsia="仿宋_GB2312"/>
              </w:rPr>
              <w:t>6</w:t>
            </w:r>
          </w:p>
        </w:tc>
        <w:tc>
          <w:tcPr>
            <w:tcW w:w="1379" w:type="dxa"/>
            <w:tcBorders>
              <w:tl2br w:val="nil"/>
              <w:tr2bl w:val="nil"/>
            </w:tcBorders>
            <w:vAlign w:val="center"/>
          </w:tcPr>
          <w:p>
            <w:pPr>
              <w:pStyle w:val="53"/>
              <w:spacing w:line="220" w:lineRule="exact"/>
              <w:rPr>
                <w:rFonts w:eastAsia="仿宋_GB2312"/>
              </w:rPr>
            </w:pPr>
            <w:r>
              <w:rPr>
                <w:rFonts w:eastAsia="仿宋_GB2312"/>
                <w:lang w:val="zh-CN"/>
              </w:rPr>
              <w:t>林草覆盖率</w:t>
            </w:r>
          </w:p>
        </w:tc>
        <w:tc>
          <w:tcPr>
            <w:tcW w:w="2302" w:type="dxa"/>
            <w:tcBorders>
              <w:tl2br w:val="nil"/>
              <w:tr2bl w:val="nil"/>
            </w:tcBorders>
            <w:vAlign w:val="center"/>
          </w:tcPr>
          <w:p>
            <w:pPr>
              <w:pStyle w:val="53"/>
              <w:spacing w:line="220" w:lineRule="exact"/>
              <w:rPr>
                <w:rFonts w:eastAsia="仿宋_GB2312"/>
              </w:rPr>
            </w:pPr>
            <w:r>
              <w:rPr>
                <w:rFonts w:eastAsia="仿宋_GB2312"/>
              </w:rPr>
              <w:t>项目防治范围内的林草类植被面积/总面积</w:t>
            </w:r>
          </w:p>
        </w:tc>
        <w:tc>
          <w:tcPr>
            <w:tcW w:w="1827" w:type="dxa"/>
            <w:tcBorders>
              <w:tl2br w:val="nil"/>
              <w:tr2bl w:val="nil"/>
            </w:tcBorders>
            <w:vAlign w:val="center"/>
          </w:tcPr>
          <w:p>
            <w:pPr>
              <w:pStyle w:val="53"/>
              <w:spacing w:line="220" w:lineRule="exact"/>
              <w:rPr>
                <w:rFonts w:eastAsia="仿宋_GB2312"/>
              </w:rPr>
            </w:pPr>
            <w:r>
              <w:rPr>
                <w:rFonts w:eastAsia="仿宋_GB2312"/>
              </w:rPr>
              <w:t>项目防治范围内的林草类植被面积171.09hm</w:t>
            </w:r>
            <w:r>
              <w:rPr>
                <w:rFonts w:eastAsia="仿宋_GB2312"/>
                <w:vertAlign w:val="superscript"/>
              </w:rPr>
              <w:t>2</w:t>
            </w:r>
            <w:r>
              <w:rPr>
                <w:rFonts w:eastAsia="仿宋_GB2312"/>
              </w:rPr>
              <w:t>，远期林草植被面积255.86hm</w:t>
            </w:r>
            <w:r>
              <w:rPr>
                <w:rFonts w:eastAsia="仿宋_GB2312"/>
                <w:vertAlign w:val="superscript"/>
              </w:rPr>
              <w:t>2</w:t>
            </w:r>
            <w:r>
              <w:rPr>
                <w:rFonts w:eastAsia="仿宋_GB2312"/>
              </w:rPr>
              <w:t>，合计426.95hm</w:t>
            </w:r>
            <w:r>
              <w:rPr>
                <w:rFonts w:eastAsia="仿宋_GB2312"/>
                <w:vertAlign w:val="superscript"/>
              </w:rPr>
              <w:t>2</w:t>
            </w:r>
          </w:p>
        </w:tc>
        <w:tc>
          <w:tcPr>
            <w:tcW w:w="1913" w:type="dxa"/>
            <w:tcBorders>
              <w:tl2br w:val="nil"/>
              <w:tr2bl w:val="nil"/>
            </w:tcBorders>
            <w:vAlign w:val="center"/>
          </w:tcPr>
          <w:p>
            <w:pPr>
              <w:pStyle w:val="53"/>
              <w:spacing w:line="220" w:lineRule="exact"/>
              <w:rPr>
                <w:rFonts w:eastAsia="仿宋_GB2312"/>
              </w:rPr>
            </w:pPr>
            <w:r>
              <w:rPr>
                <w:rFonts w:eastAsia="仿宋_GB2312"/>
              </w:rPr>
              <w:t>总面积1129.18hm</w:t>
            </w:r>
            <w:r>
              <w:rPr>
                <w:rFonts w:eastAsia="仿宋_GB2312"/>
                <w:vertAlign w:val="superscript"/>
              </w:rPr>
              <w:t>2</w:t>
            </w:r>
          </w:p>
        </w:tc>
        <w:tc>
          <w:tcPr>
            <w:tcW w:w="1129" w:type="dxa"/>
            <w:tcBorders>
              <w:tl2br w:val="nil"/>
              <w:tr2bl w:val="nil"/>
            </w:tcBorders>
            <w:vAlign w:val="center"/>
          </w:tcPr>
          <w:p>
            <w:pPr>
              <w:pStyle w:val="53"/>
              <w:spacing w:line="220" w:lineRule="exact"/>
              <w:rPr>
                <w:rFonts w:eastAsia="仿宋_GB2312"/>
              </w:rPr>
            </w:pPr>
            <w:r>
              <w:rPr>
                <w:rFonts w:eastAsia="仿宋_GB2312"/>
              </w:rPr>
              <w:t>37.81%</w:t>
            </w:r>
          </w:p>
        </w:tc>
      </w:tr>
    </w:tbl>
    <w:p>
      <w:pPr>
        <w:keepNext/>
        <w:keepLines/>
        <w:tabs>
          <w:tab w:val="left" w:pos="1664"/>
        </w:tabs>
        <w:adjustRightInd w:val="0"/>
        <w:snapToGrid w:val="0"/>
        <w:spacing w:beforeLines="50"/>
        <w:ind w:firstLine="420"/>
        <w:rPr>
          <w:b/>
          <w:bCs/>
          <w:sz w:val="21"/>
          <w:szCs w:val="21"/>
        </w:rPr>
      </w:pPr>
      <w:r>
        <w:rPr>
          <w:rFonts w:hint="eastAsia"/>
          <w:sz w:val="21"/>
          <w:szCs w:val="21"/>
          <w:lang w:val="zh-CN"/>
        </w:rPr>
        <w:t>*备注：</w:t>
      </w:r>
      <w:r>
        <w:rPr>
          <w:rFonts w:hint="eastAsia"/>
          <w:sz w:val="21"/>
          <w:szCs w:val="21"/>
        </w:rPr>
        <w:t>近期实施的林草</w:t>
      </w:r>
      <w:r>
        <w:rPr>
          <w:sz w:val="21"/>
          <w:szCs w:val="21"/>
        </w:rPr>
        <w:t>植被面积</w:t>
      </w:r>
      <w:r>
        <w:rPr>
          <w:rFonts w:hint="eastAsia"/>
          <w:sz w:val="21"/>
          <w:szCs w:val="21"/>
        </w:rPr>
        <w:t>为</w:t>
      </w:r>
      <w:r>
        <w:rPr>
          <w:sz w:val="21"/>
          <w:szCs w:val="21"/>
        </w:rPr>
        <w:t>171.09hm</w:t>
      </w:r>
      <w:r>
        <w:rPr>
          <w:sz w:val="21"/>
          <w:szCs w:val="21"/>
          <w:vertAlign w:val="superscript"/>
        </w:rPr>
        <w:t>2</w:t>
      </w:r>
      <w:r>
        <w:rPr>
          <w:sz w:val="21"/>
          <w:szCs w:val="21"/>
        </w:rPr>
        <w:t>，远期</w:t>
      </w:r>
      <w:r>
        <w:rPr>
          <w:rFonts w:hint="eastAsia"/>
          <w:sz w:val="21"/>
          <w:szCs w:val="21"/>
        </w:rPr>
        <w:t>现状</w:t>
      </w:r>
      <w:r>
        <w:rPr>
          <w:sz w:val="21"/>
          <w:szCs w:val="21"/>
        </w:rPr>
        <w:t>林草植被面积</w:t>
      </w:r>
      <w:r>
        <w:rPr>
          <w:rFonts w:hint="eastAsia"/>
          <w:sz w:val="21"/>
          <w:szCs w:val="21"/>
        </w:rPr>
        <w:t>为</w:t>
      </w:r>
      <w:r>
        <w:rPr>
          <w:sz w:val="21"/>
          <w:szCs w:val="21"/>
        </w:rPr>
        <w:t>255.86hm</w:t>
      </w:r>
      <w:r>
        <w:rPr>
          <w:sz w:val="21"/>
          <w:szCs w:val="21"/>
          <w:vertAlign w:val="superscript"/>
        </w:rPr>
        <w:t>2</w:t>
      </w:r>
      <w:r>
        <w:rPr>
          <w:sz w:val="21"/>
          <w:szCs w:val="21"/>
        </w:rPr>
        <w:t>，合计林草植被面积</w:t>
      </w:r>
      <w:r>
        <w:rPr>
          <w:rFonts w:hint="eastAsia"/>
          <w:sz w:val="21"/>
          <w:szCs w:val="21"/>
        </w:rPr>
        <w:t>为</w:t>
      </w:r>
      <w:r>
        <w:rPr>
          <w:sz w:val="21"/>
          <w:szCs w:val="21"/>
        </w:rPr>
        <w:t>426.95hm</w:t>
      </w:r>
      <w:r>
        <w:rPr>
          <w:sz w:val="21"/>
          <w:szCs w:val="21"/>
          <w:vertAlign w:val="superscript"/>
        </w:rPr>
        <w:t>2</w:t>
      </w:r>
      <w:r>
        <w:rPr>
          <w:sz w:val="21"/>
          <w:szCs w:val="21"/>
        </w:rPr>
        <w:t>，</w:t>
      </w:r>
      <w:r>
        <w:rPr>
          <w:rFonts w:hint="eastAsia"/>
          <w:sz w:val="21"/>
          <w:szCs w:val="21"/>
        </w:rPr>
        <w:t>项目区</w:t>
      </w:r>
      <w:r>
        <w:rPr>
          <w:sz w:val="21"/>
          <w:szCs w:val="21"/>
          <w:lang w:val="zh-CN"/>
        </w:rPr>
        <w:t>林草覆盖率</w:t>
      </w:r>
      <w:r>
        <w:rPr>
          <w:sz w:val="21"/>
          <w:szCs w:val="21"/>
        </w:rPr>
        <w:t>37.81%</w:t>
      </w:r>
      <w:r>
        <w:rPr>
          <w:rFonts w:hint="eastAsia"/>
          <w:sz w:val="21"/>
          <w:szCs w:val="21"/>
        </w:rPr>
        <w:t>，</w:t>
      </w:r>
      <w:r>
        <w:rPr>
          <w:sz w:val="21"/>
          <w:szCs w:val="21"/>
        </w:rPr>
        <w:t>在方案服务期内达标。</w:t>
      </w:r>
      <w:r>
        <w:rPr>
          <w:rFonts w:hint="eastAsia"/>
          <w:sz w:val="21"/>
          <w:szCs w:val="21"/>
        </w:rPr>
        <w:t>在</w:t>
      </w:r>
      <w:r>
        <w:rPr>
          <w:sz w:val="21"/>
          <w:szCs w:val="21"/>
        </w:rPr>
        <w:t>远期</w:t>
      </w:r>
      <w:r>
        <w:rPr>
          <w:rFonts w:hint="eastAsia"/>
          <w:sz w:val="21"/>
          <w:szCs w:val="21"/>
        </w:rPr>
        <w:t>建设开工</w:t>
      </w:r>
      <w:r>
        <w:rPr>
          <w:sz w:val="21"/>
          <w:szCs w:val="21"/>
        </w:rPr>
        <w:t>后，远期</w:t>
      </w:r>
      <w:r>
        <w:rPr>
          <w:rFonts w:hint="eastAsia"/>
          <w:sz w:val="21"/>
          <w:szCs w:val="21"/>
        </w:rPr>
        <w:t>现状植物措施面积将被企业、道路、公服设施等占用，远期建设期的林草</w:t>
      </w:r>
      <w:r>
        <w:rPr>
          <w:sz w:val="21"/>
          <w:szCs w:val="21"/>
        </w:rPr>
        <w:t>覆盖率</w:t>
      </w:r>
      <w:r>
        <w:rPr>
          <w:rFonts w:hint="eastAsia"/>
          <w:sz w:val="21"/>
          <w:szCs w:val="21"/>
        </w:rPr>
        <w:t>将有所下降。</w:t>
      </w:r>
      <w:r>
        <w:rPr>
          <w:sz w:val="21"/>
          <w:szCs w:val="21"/>
        </w:rPr>
        <w:t>建议</w:t>
      </w:r>
      <w:r>
        <w:rPr>
          <w:rFonts w:hint="eastAsia"/>
          <w:sz w:val="21"/>
          <w:szCs w:val="21"/>
        </w:rPr>
        <w:t>园区后续</w:t>
      </w:r>
      <w:r>
        <w:rPr>
          <w:sz w:val="21"/>
          <w:szCs w:val="21"/>
        </w:rPr>
        <w:t>设计及建设</w:t>
      </w:r>
      <w:r>
        <w:rPr>
          <w:rFonts w:hint="eastAsia"/>
          <w:sz w:val="21"/>
          <w:szCs w:val="21"/>
        </w:rPr>
        <w:t>过程中</w:t>
      </w:r>
      <w:r>
        <w:rPr>
          <w:sz w:val="21"/>
          <w:szCs w:val="21"/>
        </w:rPr>
        <w:t>，应</w:t>
      </w:r>
      <w:r>
        <w:rPr>
          <w:rFonts w:hint="eastAsia"/>
          <w:sz w:val="21"/>
          <w:szCs w:val="21"/>
        </w:rPr>
        <w:t>综合考虑</w:t>
      </w:r>
      <w:r>
        <w:rPr>
          <w:sz w:val="21"/>
          <w:szCs w:val="21"/>
        </w:rPr>
        <w:t>工业园区</w:t>
      </w:r>
      <w:r>
        <w:rPr>
          <w:rFonts w:hint="eastAsia"/>
          <w:sz w:val="21"/>
          <w:szCs w:val="21"/>
        </w:rPr>
        <w:t>对</w:t>
      </w:r>
      <w:r>
        <w:rPr>
          <w:sz w:val="21"/>
          <w:szCs w:val="21"/>
        </w:rPr>
        <w:t>绿化的相关</w:t>
      </w:r>
      <w:r>
        <w:rPr>
          <w:rFonts w:hint="eastAsia"/>
          <w:sz w:val="21"/>
          <w:szCs w:val="21"/>
        </w:rPr>
        <w:t>规定及</w:t>
      </w:r>
      <w:r>
        <w:rPr>
          <w:sz w:val="21"/>
          <w:szCs w:val="21"/>
        </w:rPr>
        <w:t>水土保持相关法律法规要求</w:t>
      </w:r>
      <w:r>
        <w:rPr>
          <w:rFonts w:hint="eastAsia"/>
          <w:sz w:val="21"/>
          <w:szCs w:val="21"/>
        </w:rPr>
        <w:t>，结合</w:t>
      </w:r>
      <w:r>
        <w:rPr>
          <w:sz w:val="21"/>
          <w:szCs w:val="21"/>
        </w:rPr>
        <w:t>化工园区及周边环境</w:t>
      </w:r>
      <w:r>
        <w:rPr>
          <w:rFonts w:hint="eastAsia"/>
          <w:sz w:val="21"/>
          <w:szCs w:val="21"/>
        </w:rPr>
        <w:t>整治</w:t>
      </w:r>
      <w:r>
        <w:rPr>
          <w:sz w:val="21"/>
          <w:szCs w:val="21"/>
        </w:rPr>
        <w:t>，</w:t>
      </w:r>
      <w:r>
        <w:rPr>
          <w:rFonts w:hint="eastAsia"/>
          <w:sz w:val="21"/>
          <w:szCs w:val="21"/>
        </w:rPr>
        <w:t>加强</w:t>
      </w:r>
      <w:r>
        <w:rPr>
          <w:sz w:val="21"/>
          <w:szCs w:val="21"/>
        </w:rPr>
        <w:t>绿化</w:t>
      </w:r>
      <w:r>
        <w:rPr>
          <w:rFonts w:hint="eastAsia"/>
          <w:sz w:val="21"/>
          <w:szCs w:val="21"/>
        </w:rPr>
        <w:t>建设</w:t>
      </w:r>
      <w:r>
        <w:rPr>
          <w:sz w:val="21"/>
          <w:szCs w:val="21"/>
        </w:rPr>
        <w:t>，保证林草覆盖率</w:t>
      </w:r>
      <w:r>
        <w:rPr>
          <w:rFonts w:hint="eastAsia"/>
          <w:sz w:val="21"/>
          <w:szCs w:val="21"/>
        </w:rPr>
        <w:t>达标</w:t>
      </w:r>
      <w:r>
        <w:rPr>
          <w:sz w:val="21"/>
          <w:szCs w:val="21"/>
        </w:rPr>
        <w:t>。</w:t>
      </w:r>
    </w:p>
    <w:p>
      <w:pPr>
        <w:pStyle w:val="47"/>
        <w:adjustRightInd w:val="0"/>
      </w:pPr>
      <w:r>
        <w:rPr>
          <w:bCs/>
        </w:rPr>
        <w:t>表7.2-2水土保持方案编制目标达标情况</w:t>
      </w:r>
    </w:p>
    <w:tbl>
      <w:tblPr>
        <w:tblStyle w:val="36"/>
        <w:tblW w:w="0" w:type="auto"/>
        <w:jc w:val="cente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Layout w:type="fixed"/>
        <w:tblCellMar>
          <w:top w:w="0" w:type="dxa"/>
          <w:left w:w="108" w:type="dxa"/>
          <w:bottom w:w="0" w:type="dxa"/>
          <w:right w:w="108" w:type="dxa"/>
        </w:tblCellMar>
      </w:tblPr>
      <w:tblGrid>
        <w:gridCol w:w="721"/>
        <w:gridCol w:w="3648"/>
        <w:gridCol w:w="1836"/>
        <w:gridCol w:w="1710"/>
        <w:gridCol w:w="1327"/>
      </w:tblGrid>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2" w:hRule="atLeast"/>
          <w:jc w:val="center"/>
        </w:trPr>
        <w:tc>
          <w:tcPr>
            <w:tcW w:w="721" w:type="dxa"/>
            <w:tcBorders>
              <w:tl2br w:val="nil"/>
              <w:tr2bl w:val="nil"/>
            </w:tcBorders>
            <w:vAlign w:val="center"/>
          </w:tcPr>
          <w:p>
            <w:pPr>
              <w:pStyle w:val="53"/>
              <w:rPr>
                <w:rFonts w:eastAsia="仿宋_GB2312"/>
                <w:b/>
                <w:bCs/>
              </w:rPr>
            </w:pPr>
            <w:r>
              <w:rPr>
                <w:rFonts w:eastAsia="仿宋_GB2312"/>
                <w:b/>
                <w:bCs/>
              </w:rPr>
              <w:t>序号</w:t>
            </w:r>
          </w:p>
        </w:tc>
        <w:tc>
          <w:tcPr>
            <w:tcW w:w="3648" w:type="dxa"/>
            <w:tcBorders>
              <w:tl2br w:val="nil"/>
              <w:tr2bl w:val="nil"/>
            </w:tcBorders>
            <w:vAlign w:val="center"/>
          </w:tcPr>
          <w:p>
            <w:pPr>
              <w:pStyle w:val="53"/>
              <w:rPr>
                <w:rFonts w:eastAsia="仿宋_GB2312"/>
                <w:b/>
                <w:bCs/>
              </w:rPr>
            </w:pPr>
            <w:r>
              <w:rPr>
                <w:rFonts w:eastAsia="仿宋_GB2312"/>
                <w:b/>
                <w:bCs/>
              </w:rPr>
              <w:t>指标名称</w:t>
            </w:r>
          </w:p>
        </w:tc>
        <w:tc>
          <w:tcPr>
            <w:tcW w:w="1836" w:type="dxa"/>
            <w:tcBorders>
              <w:tl2br w:val="nil"/>
              <w:tr2bl w:val="nil"/>
            </w:tcBorders>
            <w:vAlign w:val="center"/>
          </w:tcPr>
          <w:p>
            <w:pPr>
              <w:pStyle w:val="53"/>
              <w:rPr>
                <w:rFonts w:eastAsia="仿宋_GB2312"/>
                <w:b/>
                <w:bCs/>
              </w:rPr>
            </w:pPr>
            <w:r>
              <w:rPr>
                <w:rFonts w:eastAsia="仿宋_GB2312"/>
                <w:b/>
                <w:bCs/>
              </w:rPr>
              <w:t>防治目标</w:t>
            </w:r>
          </w:p>
        </w:tc>
        <w:tc>
          <w:tcPr>
            <w:tcW w:w="1710" w:type="dxa"/>
            <w:tcBorders>
              <w:tl2br w:val="nil"/>
              <w:tr2bl w:val="nil"/>
            </w:tcBorders>
            <w:vAlign w:val="center"/>
          </w:tcPr>
          <w:p>
            <w:pPr>
              <w:pStyle w:val="53"/>
              <w:rPr>
                <w:rFonts w:eastAsia="仿宋_GB2312"/>
                <w:b/>
                <w:bCs/>
              </w:rPr>
            </w:pPr>
            <w:r>
              <w:rPr>
                <w:rFonts w:eastAsia="仿宋_GB2312"/>
                <w:b/>
                <w:bCs/>
              </w:rPr>
              <w:t>方案实现目标</w:t>
            </w:r>
          </w:p>
        </w:tc>
        <w:tc>
          <w:tcPr>
            <w:tcW w:w="1327" w:type="dxa"/>
            <w:tcBorders>
              <w:tl2br w:val="nil"/>
              <w:tr2bl w:val="nil"/>
            </w:tcBorders>
            <w:vAlign w:val="center"/>
          </w:tcPr>
          <w:p>
            <w:pPr>
              <w:pStyle w:val="53"/>
              <w:rPr>
                <w:rFonts w:eastAsia="仿宋_GB2312"/>
                <w:b/>
                <w:bCs/>
              </w:rPr>
            </w:pPr>
            <w:r>
              <w:rPr>
                <w:rFonts w:eastAsia="仿宋_GB2312"/>
                <w:b/>
                <w:bCs/>
              </w:rPr>
              <w:t>达标情况</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721" w:type="dxa"/>
            <w:tcBorders>
              <w:tl2br w:val="nil"/>
              <w:tr2bl w:val="nil"/>
            </w:tcBorders>
            <w:vAlign w:val="center"/>
          </w:tcPr>
          <w:p>
            <w:pPr>
              <w:pStyle w:val="53"/>
              <w:rPr>
                <w:rFonts w:eastAsia="仿宋_GB2312"/>
              </w:rPr>
            </w:pPr>
            <w:r>
              <w:rPr>
                <w:rFonts w:eastAsia="仿宋_GB2312"/>
              </w:rPr>
              <w:t>1</w:t>
            </w:r>
          </w:p>
        </w:tc>
        <w:tc>
          <w:tcPr>
            <w:tcW w:w="3648" w:type="dxa"/>
            <w:tcBorders>
              <w:tl2br w:val="nil"/>
              <w:tr2bl w:val="nil"/>
            </w:tcBorders>
            <w:vAlign w:val="center"/>
          </w:tcPr>
          <w:p>
            <w:pPr>
              <w:pStyle w:val="53"/>
              <w:rPr>
                <w:rFonts w:eastAsia="仿宋_GB2312"/>
              </w:rPr>
            </w:pPr>
            <w:r>
              <w:rPr>
                <w:rFonts w:eastAsia="仿宋_GB2312"/>
                <w:lang w:val="zh-CN"/>
              </w:rPr>
              <w:t>水土流失治理度</w:t>
            </w:r>
          </w:p>
        </w:tc>
        <w:tc>
          <w:tcPr>
            <w:tcW w:w="1836" w:type="dxa"/>
            <w:tcBorders>
              <w:tl2br w:val="nil"/>
              <w:tr2bl w:val="nil"/>
            </w:tcBorders>
            <w:vAlign w:val="center"/>
          </w:tcPr>
          <w:p>
            <w:pPr>
              <w:pStyle w:val="53"/>
              <w:rPr>
                <w:rFonts w:eastAsia="仿宋_GB2312"/>
              </w:rPr>
            </w:pPr>
            <w:r>
              <w:rPr>
                <w:rFonts w:eastAsia="仿宋_GB2312"/>
              </w:rPr>
              <w:t>97%</w:t>
            </w:r>
          </w:p>
        </w:tc>
        <w:tc>
          <w:tcPr>
            <w:tcW w:w="1710" w:type="dxa"/>
            <w:tcBorders>
              <w:tl2br w:val="nil"/>
              <w:tr2bl w:val="nil"/>
            </w:tcBorders>
            <w:vAlign w:val="center"/>
          </w:tcPr>
          <w:p>
            <w:pPr>
              <w:pStyle w:val="53"/>
              <w:spacing w:line="220" w:lineRule="exact"/>
              <w:rPr>
                <w:rFonts w:eastAsia="仿宋_GB2312"/>
              </w:rPr>
            </w:pPr>
            <w:r>
              <w:rPr>
                <w:rFonts w:eastAsia="仿宋_GB2312"/>
              </w:rPr>
              <w:t>97.42%</w:t>
            </w:r>
          </w:p>
        </w:tc>
        <w:tc>
          <w:tcPr>
            <w:tcW w:w="1327" w:type="dxa"/>
            <w:tcBorders>
              <w:tl2br w:val="nil"/>
              <w:tr2bl w:val="nil"/>
            </w:tcBorders>
            <w:vAlign w:val="center"/>
          </w:tcPr>
          <w:p>
            <w:pPr>
              <w:pStyle w:val="53"/>
              <w:rPr>
                <w:rFonts w:eastAsia="仿宋_GB2312"/>
              </w:rPr>
            </w:pPr>
            <w:r>
              <w:rPr>
                <w:rFonts w:eastAsia="仿宋_GB2312"/>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71" w:hRule="atLeast"/>
          <w:jc w:val="center"/>
        </w:trPr>
        <w:tc>
          <w:tcPr>
            <w:tcW w:w="721" w:type="dxa"/>
            <w:tcBorders>
              <w:tl2br w:val="nil"/>
              <w:tr2bl w:val="nil"/>
            </w:tcBorders>
            <w:vAlign w:val="center"/>
          </w:tcPr>
          <w:p>
            <w:pPr>
              <w:pStyle w:val="53"/>
              <w:rPr>
                <w:rFonts w:eastAsia="仿宋_GB2312"/>
              </w:rPr>
            </w:pPr>
            <w:r>
              <w:rPr>
                <w:rFonts w:eastAsia="仿宋_GB2312"/>
              </w:rPr>
              <w:t>2</w:t>
            </w:r>
          </w:p>
        </w:tc>
        <w:tc>
          <w:tcPr>
            <w:tcW w:w="3648" w:type="dxa"/>
            <w:tcBorders>
              <w:tl2br w:val="nil"/>
              <w:tr2bl w:val="nil"/>
            </w:tcBorders>
            <w:vAlign w:val="center"/>
          </w:tcPr>
          <w:p>
            <w:pPr>
              <w:pStyle w:val="53"/>
              <w:rPr>
                <w:rFonts w:eastAsia="仿宋_GB2312"/>
              </w:rPr>
            </w:pPr>
            <w:r>
              <w:rPr>
                <w:rFonts w:eastAsia="仿宋_GB2312"/>
                <w:lang w:val="zh-CN"/>
              </w:rPr>
              <w:t>土壤流失控制比</w:t>
            </w:r>
          </w:p>
        </w:tc>
        <w:tc>
          <w:tcPr>
            <w:tcW w:w="1836" w:type="dxa"/>
            <w:tcBorders>
              <w:tl2br w:val="nil"/>
              <w:tr2bl w:val="nil"/>
            </w:tcBorders>
            <w:vAlign w:val="center"/>
          </w:tcPr>
          <w:p>
            <w:pPr>
              <w:pStyle w:val="53"/>
              <w:rPr>
                <w:rFonts w:eastAsia="仿宋_GB2312"/>
              </w:rPr>
            </w:pPr>
            <w:r>
              <w:rPr>
                <w:rFonts w:eastAsia="仿宋_GB2312"/>
              </w:rPr>
              <w:t>1.0</w:t>
            </w:r>
          </w:p>
        </w:tc>
        <w:tc>
          <w:tcPr>
            <w:tcW w:w="1710" w:type="dxa"/>
            <w:tcBorders>
              <w:tl2br w:val="nil"/>
              <w:tr2bl w:val="nil"/>
            </w:tcBorders>
            <w:vAlign w:val="center"/>
          </w:tcPr>
          <w:p>
            <w:pPr>
              <w:pStyle w:val="53"/>
              <w:spacing w:line="220" w:lineRule="exact"/>
              <w:rPr>
                <w:rFonts w:eastAsia="仿宋_GB2312"/>
              </w:rPr>
            </w:pPr>
            <w:r>
              <w:rPr>
                <w:rFonts w:eastAsia="仿宋_GB2312"/>
              </w:rPr>
              <w:t>1.0</w:t>
            </w:r>
          </w:p>
        </w:tc>
        <w:tc>
          <w:tcPr>
            <w:tcW w:w="1327" w:type="dxa"/>
            <w:tcBorders>
              <w:tl2br w:val="nil"/>
              <w:tr2bl w:val="nil"/>
            </w:tcBorders>
            <w:vAlign w:val="center"/>
          </w:tcPr>
          <w:p>
            <w:pPr>
              <w:pStyle w:val="53"/>
              <w:rPr>
                <w:rFonts w:eastAsia="仿宋_GB2312"/>
              </w:rPr>
            </w:pPr>
            <w:r>
              <w:rPr>
                <w:rFonts w:eastAsia="仿宋_GB2312"/>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82" w:hRule="atLeast"/>
          <w:jc w:val="center"/>
        </w:trPr>
        <w:tc>
          <w:tcPr>
            <w:tcW w:w="721" w:type="dxa"/>
            <w:tcBorders>
              <w:tl2br w:val="nil"/>
              <w:tr2bl w:val="nil"/>
            </w:tcBorders>
            <w:vAlign w:val="center"/>
          </w:tcPr>
          <w:p>
            <w:pPr>
              <w:pStyle w:val="53"/>
              <w:rPr>
                <w:rFonts w:eastAsia="仿宋_GB2312"/>
              </w:rPr>
            </w:pPr>
            <w:r>
              <w:rPr>
                <w:rFonts w:eastAsia="仿宋_GB2312"/>
              </w:rPr>
              <w:t>3</w:t>
            </w:r>
          </w:p>
        </w:tc>
        <w:tc>
          <w:tcPr>
            <w:tcW w:w="3648" w:type="dxa"/>
            <w:tcBorders>
              <w:tl2br w:val="nil"/>
              <w:tr2bl w:val="nil"/>
            </w:tcBorders>
            <w:vAlign w:val="center"/>
          </w:tcPr>
          <w:p>
            <w:pPr>
              <w:pStyle w:val="53"/>
              <w:rPr>
                <w:rFonts w:eastAsia="仿宋_GB2312"/>
              </w:rPr>
            </w:pPr>
            <w:r>
              <w:rPr>
                <w:rFonts w:eastAsia="仿宋_GB2312"/>
                <w:lang w:val="zh-CN"/>
              </w:rPr>
              <w:t>渣土防护率</w:t>
            </w:r>
          </w:p>
        </w:tc>
        <w:tc>
          <w:tcPr>
            <w:tcW w:w="1836" w:type="dxa"/>
            <w:tcBorders>
              <w:tl2br w:val="nil"/>
              <w:tr2bl w:val="nil"/>
            </w:tcBorders>
            <w:vAlign w:val="center"/>
          </w:tcPr>
          <w:p>
            <w:pPr>
              <w:pStyle w:val="53"/>
              <w:rPr>
                <w:rFonts w:eastAsia="仿宋_GB2312"/>
              </w:rPr>
            </w:pPr>
            <w:r>
              <w:rPr>
                <w:rFonts w:eastAsia="仿宋_GB2312"/>
              </w:rPr>
              <w:t>94%</w:t>
            </w:r>
          </w:p>
        </w:tc>
        <w:tc>
          <w:tcPr>
            <w:tcW w:w="1710" w:type="dxa"/>
            <w:tcBorders>
              <w:tl2br w:val="nil"/>
              <w:tr2bl w:val="nil"/>
            </w:tcBorders>
            <w:vAlign w:val="center"/>
          </w:tcPr>
          <w:p>
            <w:pPr>
              <w:pStyle w:val="53"/>
              <w:spacing w:line="220" w:lineRule="exact"/>
              <w:rPr>
                <w:rFonts w:eastAsia="仿宋_GB2312"/>
              </w:rPr>
            </w:pPr>
            <w:r>
              <w:rPr>
                <w:rFonts w:eastAsia="仿宋_GB2312"/>
              </w:rPr>
              <w:t>97.22%</w:t>
            </w:r>
          </w:p>
        </w:tc>
        <w:tc>
          <w:tcPr>
            <w:tcW w:w="1327" w:type="dxa"/>
            <w:tcBorders>
              <w:tl2br w:val="nil"/>
              <w:tr2bl w:val="nil"/>
            </w:tcBorders>
            <w:vAlign w:val="center"/>
          </w:tcPr>
          <w:p>
            <w:pPr>
              <w:pStyle w:val="53"/>
              <w:rPr>
                <w:rFonts w:eastAsia="仿宋_GB2312"/>
              </w:rPr>
            </w:pPr>
            <w:r>
              <w:rPr>
                <w:rFonts w:eastAsia="仿宋_GB2312"/>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49" w:hRule="atLeast"/>
          <w:jc w:val="center"/>
        </w:trPr>
        <w:tc>
          <w:tcPr>
            <w:tcW w:w="721" w:type="dxa"/>
            <w:tcBorders>
              <w:tl2br w:val="nil"/>
              <w:tr2bl w:val="nil"/>
            </w:tcBorders>
            <w:vAlign w:val="center"/>
          </w:tcPr>
          <w:p>
            <w:pPr>
              <w:pStyle w:val="53"/>
              <w:rPr>
                <w:rFonts w:eastAsia="仿宋_GB2312"/>
              </w:rPr>
            </w:pPr>
            <w:r>
              <w:rPr>
                <w:rFonts w:eastAsia="仿宋_GB2312"/>
              </w:rPr>
              <w:t>4</w:t>
            </w:r>
          </w:p>
        </w:tc>
        <w:tc>
          <w:tcPr>
            <w:tcW w:w="3648" w:type="dxa"/>
            <w:tcBorders>
              <w:tl2br w:val="nil"/>
              <w:tr2bl w:val="nil"/>
            </w:tcBorders>
            <w:vAlign w:val="center"/>
          </w:tcPr>
          <w:p>
            <w:pPr>
              <w:pStyle w:val="53"/>
              <w:rPr>
                <w:rFonts w:eastAsia="仿宋_GB2312"/>
              </w:rPr>
            </w:pPr>
            <w:r>
              <w:rPr>
                <w:rFonts w:eastAsia="仿宋_GB2312"/>
                <w:lang w:val="zh-CN"/>
              </w:rPr>
              <w:t>表土保护率</w:t>
            </w:r>
          </w:p>
        </w:tc>
        <w:tc>
          <w:tcPr>
            <w:tcW w:w="1836" w:type="dxa"/>
            <w:tcBorders>
              <w:tl2br w:val="nil"/>
              <w:tr2bl w:val="nil"/>
            </w:tcBorders>
            <w:vAlign w:val="center"/>
          </w:tcPr>
          <w:p>
            <w:pPr>
              <w:pStyle w:val="53"/>
              <w:rPr>
                <w:rFonts w:eastAsia="仿宋_GB2312"/>
              </w:rPr>
            </w:pPr>
            <w:r>
              <w:rPr>
                <w:rFonts w:eastAsia="仿宋_GB2312"/>
              </w:rPr>
              <w:t>92%</w:t>
            </w:r>
          </w:p>
        </w:tc>
        <w:tc>
          <w:tcPr>
            <w:tcW w:w="1710" w:type="dxa"/>
            <w:tcBorders>
              <w:tl2br w:val="nil"/>
              <w:tr2bl w:val="nil"/>
            </w:tcBorders>
            <w:vAlign w:val="center"/>
          </w:tcPr>
          <w:p>
            <w:pPr>
              <w:pStyle w:val="53"/>
              <w:spacing w:line="220" w:lineRule="exact"/>
              <w:rPr>
                <w:rFonts w:eastAsia="仿宋_GB2312"/>
              </w:rPr>
            </w:pPr>
            <w:r>
              <w:rPr>
                <w:rFonts w:hint="eastAsia" w:eastAsia="仿宋_GB2312"/>
              </w:rPr>
              <w:t>92.31%</w:t>
            </w:r>
          </w:p>
        </w:tc>
        <w:tc>
          <w:tcPr>
            <w:tcW w:w="1327" w:type="dxa"/>
            <w:tcBorders>
              <w:tl2br w:val="nil"/>
              <w:tr2bl w:val="nil"/>
            </w:tcBorders>
            <w:vAlign w:val="center"/>
          </w:tcPr>
          <w:p>
            <w:pPr>
              <w:pStyle w:val="53"/>
              <w:rPr>
                <w:rFonts w:eastAsia="仿宋_GB2312"/>
              </w:rPr>
            </w:pPr>
            <w:r>
              <w:rPr>
                <w:rFonts w:eastAsia="仿宋_GB2312"/>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3" w:hRule="atLeast"/>
          <w:jc w:val="center"/>
        </w:trPr>
        <w:tc>
          <w:tcPr>
            <w:tcW w:w="721" w:type="dxa"/>
            <w:tcBorders>
              <w:tl2br w:val="nil"/>
              <w:tr2bl w:val="nil"/>
            </w:tcBorders>
            <w:vAlign w:val="center"/>
          </w:tcPr>
          <w:p>
            <w:pPr>
              <w:pStyle w:val="53"/>
              <w:rPr>
                <w:rFonts w:eastAsia="仿宋_GB2312"/>
              </w:rPr>
            </w:pPr>
            <w:r>
              <w:rPr>
                <w:rFonts w:eastAsia="仿宋_GB2312"/>
              </w:rPr>
              <w:t>5</w:t>
            </w:r>
          </w:p>
        </w:tc>
        <w:tc>
          <w:tcPr>
            <w:tcW w:w="3648" w:type="dxa"/>
            <w:tcBorders>
              <w:tl2br w:val="nil"/>
              <w:tr2bl w:val="nil"/>
            </w:tcBorders>
            <w:vAlign w:val="center"/>
          </w:tcPr>
          <w:p>
            <w:pPr>
              <w:pStyle w:val="53"/>
              <w:rPr>
                <w:rFonts w:eastAsia="仿宋_GB2312"/>
              </w:rPr>
            </w:pPr>
            <w:r>
              <w:rPr>
                <w:rFonts w:eastAsia="仿宋_GB2312"/>
                <w:lang w:val="zh-CN"/>
              </w:rPr>
              <w:t>林草植被恢复率</w:t>
            </w:r>
          </w:p>
        </w:tc>
        <w:tc>
          <w:tcPr>
            <w:tcW w:w="1836" w:type="dxa"/>
            <w:tcBorders>
              <w:tl2br w:val="nil"/>
              <w:tr2bl w:val="nil"/>
            </w:tcBorders>
            <w:vAlign w:val="center"/>
          </w:tcPr>
          <w:p>
            <w:pPr>
              <w:pStyle w:val="53"/>
              <w:rPr>
                <w:rFonts w:eastAsia="仿宋_GB2312"/>
              </w:rPr>
            </w:pPr>
            <w:r>
              <w:rPr>
                <w:rFonts w:eastAsia="仿宋_GB2312"/>
              </w:rPr>
              <w:t>97%</w:t>
            </w:r>
          </w:p>
        </w:tc>
        <w:tc>
          <w:tcPr>
            <w:tcW w:w="1710" w:type="dxa"/>
            <w:tcBorders>
              <w:tl2br w:val="nil"/>
              <w:tr2bl w:val="nil"/>
            </w:tcBorders>
            <w:vAlign w:val="center"/>
          </w:tcPr>
          <w:p>
            <w:pPr>
              <w:pStyle w:val="53"/>
              <w:spacing w:line="220" w:lineRule="exact"/>
              <w:rPr>
                <w:rFonts w:eastAsia="仿宋_GB2312"/>
              </w:rPr>
            </w:pPr>
            <w:r>
              <w:rPr>
                <w:rFonts w:eastAsia="仿宋_GB2312"/>
              </w:rPr>
              <w:t>99.29%</w:t>
            </w:r>
          </w:p>
        </w:tc>
        <w:tc>
          <w:tcPr>
            <w:tcW w:w="1327" w:type="dxa"/>
            <w:tcBorders>
              <w:tl2br w:val="nil"/>
              <w:tr2bl w:val="nil"/>
            </w:tcBorders>
            <w:vAlign w:val="center"/>
          </w:tcPr>
          <w:p>
            <w:pPr>
              <w:pStyle w:val="53"/>
              <w:rPr>
                <w:rFonts w:eastAsia="仿宋_GB2312"/>
              </w:rPr>
            </w:pPr>
            <w:r>
              <w:rPr>
                <w:rFonts w:eastAsia="仿宋_GB2312"/>
              </w:rPr>
              <w:t>达标</w:t>
            </w:r>
          </w:p>
        </w:tc>
      </w:tr>
      <w:tr>
        <w:tblPrEx>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108" w:type="dxa"/>
            <w:bottom w:w="0" w:type="dxa"/>
            <w:right w:w="108" w:type="dxa"/>
          </w:tblCellMar>
        </w:tblPrEx>
        <w:trPr>
          <w:trHeight w:val="391" w:hRule="atLeast"/>
          <w:jc w:val="center"/>
        </w:trPr>
        <w:tc>
          <w:tcPr>
            <w:tcW w:w="721" w:type="dxa"/>
            <w:tcBorders>
              <w:tl2br w:val="nil"/>
              <w:tr2bl w:val="nil"/>
            </w:tcBorders>
            <w:vAlign w:val="center"/>
          </w:tcPr>
          <w:p>
            <w:pPr>
              <w:pStyle w:val="53"/>
              <w:rPr>
                <w:rFonts w:eastAsia="仿宋_GB2312"/>
              </w:rPr>
            </w:pPr>
            <w:r>
              <w:rPr>
                <w:rFonts w:eastAsia="仿宋_GB2312"/>
              </w:rPr>
              <w:t>6</w:t>
            </w:r>
          </w:p>
        </w:tc>
        <w:tc>
          <w:tcPr>
            <w:tcW w:w="3648" w:type="dxa"/>
            <w:tcBorders>
              <w:tl2br w:val="nil"/>
              <w:tr2bl w:val="nil"/>
            </w:tcBorders>
            <w:vAlign w:val="center"/>
          </w:tcPr>
          <w:p>
            <w:pPr>
              <w:pStyle w:val="53"/>
              <w:rPr>
                <w:rFonts w:eastAsia="仿宋_GB2312"/>
              </w:rPr>
            </w:pPr>
            <w:r>
              <w:rPr>
                <w:rFonts w:eastAsia="仿宋_GB2312"/>
                <w:lang w:val="zh-CN"/>
              </w:rPr>
              <w:t>林草覆盖率</w:t>
            </w:r>
          </w:p>
        </w:tc>
        <w:tc>
          <w:tcPr>
            <w:tcW w:w="1836" w:type="dxa"/>
            <w:tcBorders>
              <w:tl2br w:val="nil"/>
              <w:tr2bl w:val="nil"/>
            </w:tcBorders>
            <w:vAlign w:val="center"/>
          </w:tcPr>
          <w:p>
            <w:pPr>
              <w:pStyle w:val="53"/>
              <w:rPr>
                <w:rFonts w:eastAsia="仿宋_GB2312"/>
              </w:rPr>
            </w:pPr>
            <w:r>
              <w:rPr>
                <w:rFonts w:eastAsia="仿宋_GB2312"/>
              </w:rPr>
              <w:t>23%</w:t>
            </w:r>
          </w:p>
        </w:tc>
        <w:tc>
          <w:tcPr>
            <w:tcW w:w="1710" w:type="dxa"/>
            <w:tcBorders>
              <w:tl2br w:val="nil"/>
              <w:tr2bl w:val="nil"/>
            </w:tcBorders>
            <w:vAlign w:val="center"/>
          </w:tcPr>
          <w:p>
            <w:pPr>
              <w:pStyle w:val="53"/>
              <w:spacing w:line="220" w:lineRule="exact"/>
              <w:rPr>
                <w:rFonts w:eastAsia="仿宋_GB2312"/>
              </w:rPr>
            </w:pPr>
            <w:r>
              <w:rPr>
                <w:rFonts w:eastAsia="仿宋_GB2312"/>
              </w:rPr>
              <w:t>37.81%</w:t>
            </w:r>
          </w:p>
        </w:tc>
        <w:tc>
          <w:tcPr>
            <w:tcW w:w="1327" w:type="dxa"/>
            <w:tcBorders>
              <w:tl2br w:val="nil"/>
              <w:tr2bl w:val="nil"/>
            </w:tcBorders>
            <w:vAlign w:val="center"/>
          </w:tcPr>
          <w:p>
            <w:pPr>
              <w:pStyle w:val="53"/>
              <w:rPr>
                <w:rFonts w:eastAsia="仿宋_GB2312"/>
              </w:rPr>
            </w:pPr>
            <w:r>
              <w:rPr>
                <w:rFonts w:eastAsia="仿宋_GB2312"/>
              </w:rPr>
              <w:t>达标</w:t>
            </w:r>
          </w:p>
        </w:tc>
      </w:tr>
    </w:tbl>
    <w:p>
      <w:pPr>
        <w:adjustRightInd w:val="0"/>
        <w:snapToGrid w:val="0"/>
        <w:spacing w:beforeLines="50"/>
        <w:ind w:firstLine="480"/>
      </w:pPr>
      <w:r>
        <w:rPr>
          <w:lang w:val="zh-CN"/>
        </w:rPr>
        <w:t>园区建设</w:t>
      </w:r>
      <w:r>
        <w:t>水土流失治理度</w:t>
      </w:r>
      <w:r>
        <w:rPr>
          <w:lang w:val="zh-CN"/>
        </w:rPr>
        <w:t>为</w:t>
      </w:r>
      <w:r>
        <w:t>97.42%</w:t>
      </w:r>
      <w:r>
        <w:rPr>
          <w:lang w:val="zh-CN"/>
        </w:rPr>
        <w:t>，土壤流失控制比为1</w:t>
      </w:r>
      <w:r>
        <w:t>.0</w:t>
      </w:r>
      <w:r>
        <w:rPr>
          <w:lang w:val="zh-CN"/>
        </w:rPr>
        <w:t>，渣土防护率为</w:t>
      </w:r>
      <w:r>
        <w:t>97.22</w:t>
      </w:r>
      <w:r>
        <w:rPr>
          <w:lang w:val="zh-CN"/>
        </w:rPr>
        <w:t>%</w:t>
      </w:r>
      <w:r>
        <w:t>，表土保护率为</w:t>
      </w:r>
      <w:r>
        <w:rPr>
          <w:rFonts w:hint="eastAsia"/>
        </w:rPr>
        <w:t>92.31%</w:t>
      </w:r>
      <w:r>
        <w:t>，</w:t>
      </w:r>
      <w:r>
        <w:rPr>
          <w:lang w:val="zh-CN"/>
        </w:rPr>
        <w:t>林草植被恢复率为</w:t>
      </w:r>
      <w:r>
        <w:t>99.29%</w:t>
      </w:r>
      <w:r>
        <w:rPr>
          <w:lang w:val="zh-CN"/>
        </w:rPr>
        <w:t>，林草覆盖率为</w:t>
      </w:r>
      <w:r>
        <w:t>37.81%。</w:t>
      </w:r>
      <w:r>
        <w:rPr>
          <w:lang w:val="zh-CN"/>
        </w:rPr>
        <w:t>各项均达到本报告确定的防治目标。水土保持措施带来的生态效益、社会效益是显著的，对于防治区水土流失起着十分重要的作用。因此，所实施的水土保持工程措施、植物措施和施工临时防护工程是可行和必要的。通过</w:t>
      </w:r>
      <w:r>
        <w:rPr>
          <w:rFonts w:hint="eastAsia"/>
          <w:lang w:val="zh-CN"/>
        </w:rPr>
        <w:t>确定的水土保持措施体系实施后，林草植被恢复面积426.95hm</w:t>
      </w:r>
      <w:r>
        <w:rPr>
          <w:rFonts w:hint="eastAsia"/>
          <w:vertAlign w:val="superscript"/>
          <w:lang w:val="zh-CN"/>
        </w:rPr>
        <w:t>2</w:t>
      </w:r>
      <w:r>
        <w:rPr>
          <w:rFonts w:hint="eastAsia"/>
          <w:lang w:val="zh-CN"/>
        </w:rPr>
        <w:t>，可减少水土流失量为50856t，园区水土流失可基本得到有效治理和控制，生态环境得到保护和恢复。</w:t>
      </w:r>
    </w:p>
    <w:p>
      <w:pPr>
        <w:pStyle w:val="6"/>
        <w:adjustRightInd w:val="0"/>
        <w:snapToGrid w:val="0"/>
      </w:pPr>
      <w:r>
        <w:t>7.2.2生态效益</w:t>
      </w:r>
    </w:p>
    <w:p>
      <w:pPr>
        <w:adjustRightInd w:val="0"/>
        <w:snapToGrid w:val="0"/>
        <w:ind w:firstLine="480"/>
        <w:rPr>
          <w:szCs w:val="24"/>
        </w:rPr>
      </w:pPr>
      <w:r>
        <w:rPr>
          <w:szCs w:val="24"/>
        </w:rPr>
        <w:t>通过本报告的实施，可使项目区扰动区域水土流失得到有效治理。各防治分区皆采取了相应水土保持措施，降低了可能造成的水土流失危害，并结合水土流失防治和生态景观要求，采用工程措施和植物措施，恢复原有的水土保持功能和自然景观，及时恢复了地表植被。各个施工地块皆设置完善的排水系统，使天然降雨通过排水沟和沉沙池等设施，顺畅排导。</w:t>
      </w:r>
    </w:p>
    <w:p>
      <w:pPr>
        <w:adjustRightInd w:val="0"/>
        <w:snapToGrid w:val="0"/>
        <w:ind w:firstLine="480"/>
        <w:rPr>
          <w:lang w:val="zh-CN"/>
        </w:rPr>
      </w:pPr>
      <w:r>
        <w:rPr>
          <w:szCs w:val="24"/>
        </w:rPr>
        <w:t>通过水土保持各项措施的有效实施，在水、土和生物等方面改善其生态环境，提高生态效益，使建设区的生态环境得到逐步改善，生态环境走向良性循环</w:t>
      </w:r>
      <w:r>
        <w:t>。</w:t>
      </w:r>
    </w:p>
    <w:p>
      <w:pPr>
        <w:pStyle w:val="6"/>
        <w:adjustRightInd w:val="0"/>
        <w:snapToGrid w:val="0"/>
      </w:pPr>
      <w:r>
        <w:t>7.2.3社会效益</w:t>
      </w:r>
    </w:p>
    <w:p>
      <w:pPr>
        <w:adjustRightInd w:val="0"/>
        <w:snapToGrid w:val="0"/>
        <w:ind w:firstLine="480"/>
      </w:pPr>
      <w:r>
        <w:t>通过认真贯彻水土保持法律法规，因地制宜地采取水土保持预防、治理、监督检查和监测措施，使项目建设期可能发生的水土流失及危害降到最低限度，从而确保项目建设顺利进行，不仅有利于项目区社会经济发展，又美化工程区环境，促进当地经济持续发展。项目实施后，可促进项目区国民经济、社会事业稳步发展，实现项目建设带动地方经济发展的目标。</w:t>
      </w:r>
    </w:p>
    <w:p>
      <w:pPr>
        <w:pStyle w:val="6"/>
        <w:adjustRightInd w:val="0"/>
        <w:snapToGrid w:val="0"/>
      </w:pPr>
      <w:r>
        <w:t>7.2.4效益分析结论</w:t>
      </w:r>
    </w:p>
    <w:p>
      <w:pPr>
        <w:ind w:firstLine="480"/>
        <w:sectPr>
          <w:pgSz w:w="11905" w:h="16838"/>
          <w:pgMar w:top="1417" w:right="1417" w:bottom="1417" w:left="1417" w:header="850" w:footer="992" w:gutter="0"/>
          <w:cols w:space="720" w:num="1"/>
          <w:docGrid w:linePitch="330" w:charSpace="0"/>
        </w:sectPr>
      </w:pPr>
      <w:r>
        <w:rPr>
          <w:szCs w:val="24"/>
        </w:rPr>
        <w:t>主体工程能正确处理项目建设与生态环境保护的关系，设计了雨水管网、景观绿化工程等具有水土保持功能的措施，结合本报告所设计的工程措施和临时措施，形成了综合的水土流失防治体系。方案实施后，可使项目区生态环境得到逐步改善，生态环境走向良性循环；同时，可促进经济、社会的可持续发展，具有良好的生态效益和社会效益</w:t>
      </w:r>
      <w:r>
        <w:t>。</w:t>
      </w:r>
    </w:p>
    <w:p>
      <w:pPr>
        <w:pStyle w:val="4"/>
      </w:pPr>
      <w:bookmarkStart w:id="218" w:name="_Toc12589"/>
      <w:bookmarkStart w:id="219" w:name="_Toc6307190"/>
      <w:r>
        <w:t>8水土保持管理</w:t>
      </w:r>
      <w:bookmarkEnd w:id="218"/>
      <w:bookmarkEnd w:id="219"/>
    </w:p>
    <w:p>
      <w:pPr>
        <w:pStyle w:val="5"/>
      </w:pPr>
      <w:bookmarkStart w:id="220" w:name="_Toc11493"/>
      <w:bookmarkStart w:id="221" w:name="_Toc6307191"/>
      <w:r>
        <w:t>8.1组织管理</w:t>
      </w:r>
      <w:bookmarkEnd w:id="220"/>
      <w:bookmarkEnd w:id="221"/>
    </w:p>
    <w:p>
      <w:pPr>
        <w:ind w:firstLine="480"/>
      </w:pPr>
      <w:r>
        <w:t>乐山高新区五通桥基地管理委员作为园区管理机构，为园区整体的水土流失防治监督管理责任主体，同时应落实园区水土流失防治主体责任，负责组织园区区域水土保持评估报告编制及报批工作，做好区域内土石方综合利用、调配及集中堆放（重点是表土中转场、土石方中转场）的水土流失防治工作，加强表土保护及土石方管理，组织或指导开展区域内水土保持监测工作，配合水行政主管部门对相关违法行为进行调查处理，配合开展区域水土保持目标考核。另外，园区管理委员会应督促、指导园区入驻项目做好水土流失防治工作，明确入驻园区生产建设项目水土保持准入要求，并总体管理与控制园区及入驻项目的水土流失防治工作，推动实现园区绿色循环低碳发展。</w:t>
      </w:r>
    </w:p>
    <w:p>
      <w:pPr>
        <w:ind w:firstLine="480"/>
      </w:pPr>
      <w:r>
        <w:t>在园区公共基础设施与五通一平施工期间，积极与设计、施工、监理单位保持联系，协调好水土保持区域评估方案与各个入驻企业单位的关系，确保的正常开展和顺利进行。并监督施工单位加强施工期间的施工行为，减少水土流失的产生，深入工程现场进行检查和观测，掌握工程施工和运行期间的水土流失状况及其防治措施落实状况，为有关部门决策提供基础资料。组织开展对施工单位、监理单位、监测单位水土保持工作的检查，并接受水行政主管部门监督管理。</w:t>
      </w:r>
    </w:p>
    <w:p>
      <w:pPr>
        <w:ind w:firstLine="480"/>
      </w:pPr>
      <w:r>
        <w:t>针对于本园区的组织管理，本报告补充如下的管理措施：</w:t>
      </w:r>
    </w:p>
    <w:p>
      <w:pPr>
        <w:ind w:firstLine="480"/>
      </w:pPr>
      <w:r>
        <w:t>1、与园区建设的相关单位签订协议，在各个环节逐一落实水土流失防治责任，在合同文件中明确设计、施工、监理、监测单位所应遵守的水土保持条款。</w:t>
      </w:r>
    </w:p>
    <w:p>
      <w:pPr>
        <w:ind w:firstLine="480"/>
      </w:pPr>
      <w:r>
        <w:t>2、落实水土保持专项监理，可委托专门的水土保持监理单位负责水土保持监理工作，监理月报、监理年报及时报建设业主和当地水行政主管部门备案。</w:t>
      </w:r>
    </w:p>
    <w:p>
      <w:pPr>
        <w:ind w:firstLine="480"/>
      </w:pPr>
      <w:r>
        <w:t>3、委托专门的水土保持监测单位或自行监测，按水土保持相关的法律法规、标准和水土保持区域评估方案中的监测要求编制监测实施方案，监测季度报告，监测年度报告与监测总结报告，开展水土保持监测工作。监测成果定期向当地水行政主管部门报告。</w:t>
      </w:r>
    </w:p>
    <w:p>
      <w:pPr>
        <w:ind w:firstLine="480"/>
      </w:pPr>
      <w:r>
        <w:t>4、进一步建立、健全各项档案，积累、分析整编资料，为水土保持工程验收提供相关资料。主体工程投入运行前建设业主及时组织参建单位（包括设计单位、施工单位、监理单位、监测单位、方案编制单位）验收水土保持设施。</w:t>
      </w:r>
    </w:p>
    <w:p>
      <w:pPr>
        <w:ind w:firstLine="480"/>
      </w:pPr>
      <w:r>
        <w:t>5、水土保持设施工程验收后，建设业主应加强水土保持设施后续管护和维修，运行管护维修费用从运行费中列支；因施工临时扰动而在本报告确定的园区以外建设水土保持设施应由园区法人移交土地权属单位或个人继续管理维护，或恢复原状。</w:t>
      </w:r>
    </w:p>
    <w:p>
      <w:pPr>
        <w:ind w:firstLine="480"/>
      </w:pPr>
      <w:r>
        <w:t>6、工程运行期间，及时组织人员维护具有水土保持功能的设施，加强宣传引导，进行水土保持普法宣传。</w:t>
      </w:r>
    </w:p>
    <w:p>
      <w:pPr>
        <w:ind w:firstLine="480"/>
      </w:pPr>
      <w:r>
        <w:t>7、做好本园区内土石中转场土石方综合利用、调配及集中堆放的水土流失工作，加强表土中转场的表土保护。</w:t>
      </w:r>
      <w:r>
        <w:rPr>
          <w:rFonts w:hint="eastAsia"/>
        </w:rPr>
        <w:t>加强对于在建区域可剥离的表土进行剥离，对于零星堆放的表土进行收集后集中堆放。</w:t>
      </w:r>
    </w:p>
    <w:p>
      <w:pPr>
        <w:ind w:firstLine="480"/>
      </w:pPr>
      <w:r>
        <w:t>8、入驻开发区的生产建设项目共享水土保持区域评估成果，其水土保持方案实行承诺制管理。园区管理委员会应加强与各个入驻企业单位联系，明确提出水土保持准入要求，由生产建设单位在项目开工建设前，按规定编制水土保持方案报告书（或报告表），从省级水行政主管部门水土保持方案专家库中自行选取至少一名专家签署是否同意意见，并进行自主公开后，向具有相应水土保持方案审批权限的审批部门提交申请材料审批部门按承诺制管理要求办理，具体办理程序按照办水保〔2020〕160号文执行。</w:t>
      </w:r>
    </w:p>
    <w:p>
      <w:pPr>
        <w:ind w:firstLine="480"/>
      </w:pPr>
      <w:r>
        <w:t>9、园区管理委员会统一实施的“五通一平”工程及公共基础设施，水土保持补偿费由园区管理委员会在“五通一平”开工前向园区所在地水行政主管部门缴纳。入驻开发区的生产建设项目水土保持补偿费由生产建设单位在项目开工前向开发区所在地水行政主管部门缴纳。</w:t>
      </w:r>
    </w:p>
    <w:p>
      <w:pPr>
        <w:pStyle w:val="5"/>
      </w:pPr>
      <w:bookmarkStart w:id="222" w:name="_Toc6307192"/>
      <w:bookmarkStart w:id="223" w:name="_Toc13078"/>
      <w:r>
        <w:t>8.2后续设计</w:t>
      </w:r>
      <w:bookmarkEnd w:id="222"/>
      <w:bookmarkEnd w:id="223"/>
    </w:p>
    <w:p>
      <w:pPr>
        <w:ind w:firstLine="480"/>
        <w:rPr>
          <w:szCs w:val="24"/>
        </w:rPr>
      </w:pPr>
      <w:r>
        <w:rPr>
          <w:szCs w:val="24"/>
        </w:rPr>
        <w:t>园区水土保持评估报告对园内生产建设项目水土保持工作提出了总的框架要求，经水行政主管部门批复后，建设单位还应落实水土保持后续设计工作。其中，由建设单位负责投资建设的基础配套工程，建设单位应委托设计单位按设计程序进行水土保持工程的初步设计及、施工图设计工作，编制单册或专章。</w:t>
      </w:r>
    </w:p>
    <w:p>
      <w:pPr>
        <w:ind w:firstLine="480"/>
        <w:rPr>
          <w:szCs w:val="24"/>
        </w:rPr>
      </w:pPr>
      <w:r>
        <w:rPr>
          <w:szCs w:val="24"/>
        </w:rPr>
        <w:t>园区内引进的具体投资项目，则应由引进企业负责具体项目的水土保持后续设计工作并负责实施，园区水土保持专门管理机构要加强统筹协调，对企业生产建设活动水土保持工作提出要求，实行承诺制管理，督促各类项目开展水土保持报备，开展水土保持措施设计，对施工扰动行为实施监督管理，做好水土流失防治工作。</w:t>
      </w:r>
    </w:p>
    <w:p>
      <w:pPr>
        <w:ind w:firstLine="480"/>
        <w:rPr>
          <w:szCs w:val="24"/>
        </w:rPr>
      </w:pPr>
      <w:r>
        <w:rPr>
          <w:szCs w:val="24"/>
        </w:rPr>
        <w:t>根据《四川省水利厅关于推行水土保持区域评估制度的通知》（川水函〔2020〕1246号）有关规定，园区水土保持区域评估报告批准以后，园区控制性详细规划如有重大调整的，应重新编报水土保持区域评估报告报原审批单位审批。园区内项目水土保持报告经批准后，生产建设项目的地点、规模发生重大变化的，应当补充或者修改水土保持报告并报原备案（审批）机关批准。水土保持报告实施过程中，水土保持措施需要做出重大变更的，应按程序规定重新进行报批。</w:t>
      </w:r>
    </w:p>
    <w:p>
      <w:pPr>
        <w:ind w:firstLine="480"/>
        <w:rPr>
          <w:szCs w:val="24"/>
        </w:rPr>
      </w:pPr>
      <w:r>
        <w:rPr>
          <w:szCs w:val="24"/>
        </w:rPr>
        <w:t>根据《水利部关于进一步深化“放管服”改革全面加强水土保持监管》的意见（水保〔2019〕160号）的要求，建设单位应当依据批准的水土保持报告与主体工程同步开展水土保持初步设计和施工图设计，按程序与主体工程设计一并报经有关部门审核，作为水土保持措施实施的依据。重要基础设施、表土中转场、土石方临时中转场等重要防护对象应当开展点对点勘察与设计。无设计的水土保持措施，不得通过水土保持设施自主验收。</w:t>
      </w:r>
    </w:p>
    <w:p>
      <w:pPr>
        <w:ind w:firstLine="480"/>
        <w:rPr>
          <w:szCs w:val="24"/>
        </w:rPr>
      </w:pPr>
      <w:r>
        <w:rPr>
          <w:szCs w:val="24"/>
        </w:rPr>
        <w:t>后续水土保持措施设计可在批准的水土保持报告的措施总体体系基础上有所调整，但不得低于原技术标准和防护要求。</w:t>
      </w:r>
    </w:p>
    <w:p>
      <w:pPr>
        <w:ind w:firstLine="480"/>
        <w:rPr>
          <w:szCs w:val="24"/>
        </w:rPr>
      </w:pPr>
      <w:r>
        <w:rPr>
          <w:szCs w:val="24"/>
        </w:rPr>
        <w:t>水土保持报告经批准后，后续设计或施工过程中：若项目的地点、规模发生重大变化的，应当补充或修改水土保持报告并报原审批机关批准；水土保持报告实施过程中，水土保持措施需要作出重大变更的，应根据水利部办公厅关于印发《水利部生产建设项目水土保持方案变更管理规定（试行）》的通知（办水保〔2016〕65号）和《四川省水利厅关于印发四川省生产建设项目水土保持措施变更管理办法（试行）的通知》（川水函〔2015〕1561号）的要求，及时向原审批水行政主管部门办理措施变更审批手续。</w:t>
      </w:r>
    </w:p>
    <w:p>
      <w:pPr>
        <w:ind w:firstLine="480"/>
      </w:pPr>
      <w:r>
        <w:rPr>
          <w:szCs w:val="24"/>
        </w:rPr>
        <w:t>根据《水利部关于进一步深化“放管服”改革全面加强水土保持监管》的意见（水保〔2019〕160号）的要求，需在批准的水土保持报告确定的专门存放地外新设土石方中转场的，生产建设单位可在征得所在地县级水行政主管部门同意后先行使用，同步做好防护措施，保证不产生水土流失危害，并及时向原审批部门办理变更审批手续。</w:t>
      </w:r>
    </w:p>
    <w:p>
      <w:pPr>
        <w:pStyle w:val="5"/>
      </w:pPr>
      <w:bookmarkStart w:id="224" w:name="_Toc6307193"/>
      <w:bookmarkStart w:id="225" w:name="_Toc11945"/>
      <w:r>
        <w:t>8.3水土保持监测</w:t>
      </w:r>
      <w:bookmarkEnd w:id="224"/>
      <w:bookmarkEnd w:id="225"/>
    </w:p>
    <w:p>
      <w:pPr>
        <w:ind w:firstLine="480"/>
        <w:rPr>
          <w:kern w:val="0"/>
          <w:szCs w:val="24"/>
        </w:rPr>
      </w:pPr>
      <w:r>
        <w:rPr>
          <w:kern w:val="0"/>
          <w:szCs w:val="24"/>
        </w:rPr>
        <w:t>根据《国务院关于第一批清理规范89项国务院部门行政审批中介服务事项的决定》（国发〔2015〕58号），建设单位可按水土保持报告的监测要求，自行编制水土保持监测报告，也可委托具有相应水土流失监测能力的机构编制。监测单位应编制《生产建设项目水土保持监测实施方案》，需在工程施工准备期开始时，选派监测人员进场确定监测点位、布设水土保持监测设施，对项目建设过程中水土流失的产生部位及危害进行监测，同时对方案的实施过程及实施后土壤流失量的变化和水土保持效果进行跟踪调查和监测，将出现的问题及时向上级主管部门汇报，并提出处理意见。对原始监测资料进行系统汇总、整理和分析，并编制水土保持监测成果报告，监测成果报告应定期报送水行政主管部门。园区管理机构即管委会应当对区域开发和建设过程中水土流失防治情况组织开展动态监测，并将监测成果及时报送水土保持报告审批机关。近期重点监测任务为对近期规划实施区尽快组织开展水土保持回顾调查监测及在建项目水土流失现状、危害、措施实施及防治效果监测。</w:t>
      </w:r>
    </w:p>
    <w:p>
      <w:pPr>
        <w:ind w:firstLine="480"/>
      </w:pPr>
      <w:r>
        <w:rPr>
          <w:kern w:val="0"/>
          <w:szCs w:val="24"/>
        </w:rPr>
        <w:t>根据《水利部办公厅关于进一步优化开发区内生产建设项目水土保持管理工作的意见》（办水保〔2020〕235号）、《四川省水利厅关于推行水土保持区域评估制度的通知》（川水函〔2020〕1246号）有关规定，园区管理机构应按照批准的水土保持区域评估报告开展“五通”工程、表土及土石方中转场等公共基础设施的水土保持监测工作，园区入驻项目应依法自行开展水土保持监测工作。根据《水利部关于进一步深化“放管服”改革全面加强水土保持监管》的意见（水保〔2019〕160号）等文件的要求，编制水土保持方案报告书的项目，应当依法开展水土保持监测工作。实行水土保持监测“绿黄红”三色评价，水土保持监测单位根据监测情况在监测季报和总结报告等监测成果中提出“绿黄红”三色评价结论。监测成果应当公开，建设单位应当在工程建设期间将水土保持监测季报在其官方网站公开，同时在业主项目部和施工项目部公开。水行政主管部门对监测评价结论为“红色”的项目，纳入重点监管对象</w:t>
      </w:r>
      <w:r>
        <w:t>。水土保持竣工验收时需提交水土保持监测报告、临时点位和影像资料，作为水土保持设施竣工验收的依据。</w:t>
      </w:r>
    </w:p>
    <w:p>
      <w:pPr>
        <w:pStyle w:val="5"/>
      </w:pPr>
      <w:bookmarkStart w:id="226" w:name="_Toc6307194"/>
      <w:bookmarkStart w:id="227" w:name="_Toc25326"/>
      <w:r>
        <w:t>8.4水土保持监理</w:t>
      </w:r>
      <w:bookmarkEnd w:id="226"/>
      <w:bookmarkEnd w:id="227"/>
    </w:p>
    <w:p>
      <w:pPr>
        <w:ind w:firstLine="480"/>
      </w:pPr>
      <w:r>
        <w:t>本园区未单独对水土保持设施的监理进行单独招标，后续需完善水土保持监理工作，根据《四川省水利厅关于推行水土保持区域评估制度的通知》（川水函〔2020〕1246号），开发区管理机构应按照批准的水土保持区域评估报告实施水土保持监理。开发区内生产建设项目的水土保持监理，由生产建设单位开展，或由开发区管理机构统一开展。针对本园区的水土保持监理，本评估方案提出如下的管理要求：</w:t>
      </w:r>
    </w:p>
    <w:p>
      <w:pPr>
        <w:ind w:firstLine="480"/>
      </w:pPr>
      <w:r>
        <w:t>1、进一步补充完善水土保持专项监理合同，就水土保持监理事宜进行明确，若合同中未明确水土保持监理责任应及时补充签订水土保持监理的相关事宜。</w:t>
      </w:r>
    </w:p>
    <w:p>
      <w:pPr>
        <w:ind w:firstLine="480"/>
      </w:pPr>
      <w:r>
        <w:t>2、根据有关法律、法规及工程承包合同中的水土保持要求，对施工单位的水土保持工作采取检查、旁站和指令文件等监理方式进行现场监督检查，通过质量控制、进度控制和投资控制，保证水土保持设施的如期建设和功能的正常发挥，结合现场巡查，提出要求限期完成的有关水土保持工作。</w:t>
      </w:r>
    </w:p>
    <w:p>
      <w:pPr>
        <w:ind w:firstLine="480"/>
      </w:pPr>
      <w:r>
        <w:t>3、在场平施工期间，应根据水土保持相关法律法规和技术标准、水土保持区域评估方案设计要求，开展施工期水土保持工程监理工作，全面监督和检查施工单位水保方案的实施和效果，力求在计划的投资、进度和质量目标内实施水保方案措施，使水土保持工程按时、保质保量完成，使水土流失得以及时有效的防治。</w:t>
      </w:r>
    </w:p>
    <w:p>
      <w:pPr>
        <w:ind w:firstLine="480"/>
      </w:pPr>
      <w:r>
        <w:t>4、在施工的各个阶段随时进行质量监督，提交水土保持监理日志、水土保持监理月报，及时向建设单位汇报施工中出现的问题。</w:t>
      </w:r>
    </w:p>
    <w:p>
      <w:pPr>
        <w:ind w:firstLine="480"/>
      </w:pPr>
      <w:r>
        <w:t>5、对施工单位的水土保持季报、年报进行审查，提出审查、修改意见。</w:t>
      </w:r>
    </w:p>
    <w:p>
      <w:pPr>
        <w:ind w:firstLine="480"/>
      </w:pPr>
      <w:r>
        <w:t>6、依据有关法律、法规及工程承包合同，协助处理各种水土保持纠纷。</w:t>
      </w:r>
    </w:p>
    <w:p>
      <w:pPr>
        <w:ind w:firstLine="480"/>
      </w:pPr>
      <w:r>
        <w:t>7、编制水土保持监理工作报告（季报、年报），作为开发建设园区水土保持设施验收的基础和水土保持验收报告必备的专项报告；工作报告要对水土保持监理工作进行总结，提出存在的重大水土保持问题和解决问题的办法，以及水土保持监理工作计划安排和工作重点；定期归档监理成果。</w:t>
      </w:r>
    </w:p>
    <w:p>
      <w:pPr>
        <w:pStyle w:val="5"/>
      </w:pPr>
      <w:bookmarkStart w:id="228" w:name="_Toc6307195"/>
      <w:bookmarkStart w:id="229" w:name="_Toc7378"/>
      <w:r>
        <w:t>8.5水土保持施工</w:t>
      </w:r>
      <w:bookmarkEnd w:id="228"/>
      <w:bookmarkEnd w:id="229"/>
    </w:p>
    <w:p>
      <w:pPr>
        <w:ind w:firstLine="480"/>
        <w:rPr>
          <w:szCs w:val="24"/>
        </w:rPr>
      </w:pPr>
      <w:r>
        <w:rPr>
          <w:szCs w:val="24"/>
        </w:rPr>
        <w:t>建设单位在工程发包标书中应将水土保持工程技术要求和水土保持的各项工作内容均纳入到招标文件的正式条款中，并明确施工单位应履行的水土流失防治责任、义务和处罚。将水土保持工程列入招标合同中，以合同条款形式明确施工单位应按设计要求，进行施工。</w:t>
      </w:r>
    </w:p>
    <w:p>
      <w:pPr>
        <w:ind w:firstLine="480"/>
        <w:rPr>
          <w:szCs w:val="24"/>
        </w:rPr>
      </w:pPr>
      <w:r>
        <w:rPr>
          <w:szCs w:val="24"/>
        </w:rPr>
        <w:t>施工单位应配备专门的人员负责水土保持报告的实施工作。解决措施实施过程中的技术问题，接受当地水行政主管部门的监督检查。</w:t>
      </w:r>
    </w:p>
    <w:p>
      <w:pPr>
        <w:ind w:firstLine="480"/>
        <w:rPr>
          <w:szCs w:val="24"/>
        </w:rPr>
      </w:pPr>
      <w:r>
        <w:rPr>
          <w:szCs w:val="24"/>
        </w:rPr>
        <w:t>在施工过程中，施工单位对其责任范围内的水土保持负责；施工单位应采取有效措施，尽量减少其防治责任范围内的水土流失，避免对征地范围外的土地进行扰动和植被破坏，避免对周边生态环境造成影响。</w:t>
      </w:r>
    </w:p>
    <w:p>
      <w:pPr>
        <w:ind w:firstLine="480"/>
        <w:rPr>
          <w:szCs w:val="24"/>
        </w:rPr>
      </w:pPr>
      <w:r>
        <w:rPr>
          <w:szCs w:val="24"/>
        </w:rPr>
        <w:t>对外购砂、石、土料，施工单位必须到已编报水土保持报告（表）的合法砂、石、土料场购买，并在供料合同中注明水土流失防治责任由供方负责。</w:t>
      </w:r>
    </w:p>
    <w:p>
      <w:pPr>
        <w:ind w:firstLine="480"/>
        <w:rPr>
          <w:szCs w:val="24"/>
        </w:rPr>
      </w:pPr>
      <w:r>
        <w:rPr>
          <w:szCs w:val="24"/>
        </w:rPr>
        <w:t>根据园区统一规划，入驻企业项目施工的二次土石方挖填工程量（包括余方、借方、表土）考虑在园区内通过同期建设项目之间相互调配，或者通过园区规划的表土中转场、土石方中转场临时堆存，再调配至后期建设项目，确保实现土石方园区内平衡、不出园区。</w:t>
      </w:r>
    </w:p>
    <w:p>
      <w:pPr>
        <w:ind w:firstLine="480"/>
      </w:pPr>
      <w:r>
        <w:rPr>
          <w:szCs w:val="24"/>
        </w:rPr>
        <w:t>根据《水利部关于进一步深化“放管服”改革全面加强水土保持监管》的意见（水保〔2019〕160号）的要求，施工单位应严格控制施工扰动范围，禁止随意占压破坏地表植被，生产建设单位应当加强对施工单位的管理，在招投标文件和施工合同中明确施工单位的水土保持责任，强化奖惩制度，规范施工行为。</w:t>
      </w:r>
    </w:p>
    <w:p>
      <w:pPr>
        <w:pStyle w:val="5"/>
      </w:pPr>
      <w:bookmarkStart w:id="230" w:name="_Toc6307196"/>
      <w:bookmarkStart w:id="231" w:name="_Toc18430"/>
      <w:r>
        <w:t>8.6水土保持设施验收</w:t>
      </w:r>
      <w:bookmarkEnd w:id="230"/>
      <w:bookmarkEnd w:id="231"/>
    </w:p>
    <w:p>
      <w:pPr>
        <w:ind w:firstLine="480"/>
      </w:pPr>
      <w:r>
        <w:t>2017年9月，《国务院关于取消一批行政许可事项的决定》（国发〔2017〕46号）取消了各级水行政主管部门实施的生产建设项目水土保持设施验收审批行政许可事项，转为生产建设单位按照有关要求自主开展水土保持设施验收，并报水行政部门备案。根据</w:t>
      </w:r>
      <w:r>
        <w:rPr>
          <w:szCs w:val="24"/>
        </w:rPr>
        <w:t>水土保持设施的验收按照《四川省水利厅转发&lt;水利部关于加强事中事后监管规范生产建设项目水土保持设施自主验收&gt;的通知》（川水函〔2018〕887号）及水利部关于进一步深化“放管服”改革全面加强水土保持监管的意见（水保〔2019〕160号）</w:t>
      </w:r>
      <w:r>
        <w:t>进行自主验收。验收流程如下：</w:t>
      </w:r>
    </w:p>
    <w:p>
      <w:pPr>
        <w:ind w:firstLine="480"/>
      </w:pPr>
      <w:r>
        <w:t>1、编制验收报告</w:t>
      </w:r>
    </w:p>
    <w:p>
      <w:pPr>
        <w:ind w:firstLine="480"/>
      </w:pPr>
      <w:r>
        <w:rPr>
          <w:szCs w:val="24"/>
        </w:rPr>
        <w:t>生产建设单位应当根据水土保持区域评估方案及其审批决定等</w:t>
      </w:r>
      <w:r>
        <w:t>，</w:t>
      </w:r>
      <w:r>
        <w:rPr>
          <w:szCs w:val="24"/>
        </w:rPr>
        <w:t>组织第三方机构编制验收报告</w:t>
      </w:r>
      <w:r>
        <w:t>。</w:t>
      </w:r>
    </w:p>
    <w:p>
      <w:pPr>
        <w:ind w:firstLine="480"/>
      </w:pPr>
      <w:r>
        <w:t>2、组织验收工作组</w:t>
      </w:r>
    </w:p>
    <w:p>
      <w:pPr>
        <w:ind w:firstLine="480"/>
        <w:rPr>
          <w:szCs w:val="24"/>
        </w:rPr>
      </w:pPr>
      <w:r>
        <w:t>包括</w:t>
      </w:r>
      <w:r>
        <w:rPr>
          <w:szCs w:val="24"/>
        </w:rPr>
        <w:t>由生产建设单位、水土保持区域评估方案编制、设计、施工、监测、监理及验收报告编制等单位代表组成</w:t>
      </w:r>
      <w:r>
        <w:t>，</w:t>
      </w:r>
      <w:r>
        <w:rPr>
          <w:szCs w:val="24"/>
        </w:rPr>
        <w:t>邀请水土保持专家参加验收。</w:t>
      </w:r>
    </w:p>
    <w:p>
      <w:pPr>
        <w:ind w:firstLine="480"/>
      </w:pPr>
      <w:r>
        <w:t>3、开展自主验收</w:t>
      </w:r>
    </w:p>
    <w:p>
      <w:pPr>
        <w:ind w:firstLine="480"/>
        <w:rPr>
          <w:szCs w:val="24"/>
        </w:rPr>
      </w:pPr>
      <w:r>
        <w:rPr>
          <w:szCs w:val="24"/>
        </w:rPr>
        <w:t>①现场检查</w:t>
      </w:r>
      <w:r>
        <w:t>：</w:t>
      </w:r>
      <w:r>
        <w:rPr>
          <w:szCs w:val="24"/>
        </w:rPr>
        <w:t>验收工作组应对各防治区的水土保持措施实施情况和措施的外观、数量、防治效果进行检查</w:t>
      </w:r>
      <w:r>
        <w:t>。</w:t>
      </w:r>
      <w:r>
        <w:rPr>
          <w:szCs w:val="24"/>
        </w:rPr>
        <w:t>重点查看土石方中转场、高陡边坡、取料场、施工道路等扰动破坏严重的区域</w:t>
      </w:r>
      <w:r>
        <w:t>。</w:t>
      </w:r>
    </w:p>
    <w:p>
      <w:pPr>
        <w:ind w:firstLine="480"/>
        <w:rPr>
          <w:szCs w:val="24"/>
        </w:rPr>
      </w:pPr>
      <w:r>
        <w:rPr>
          <w:szCs w:val="24"/>
        </w:rPr>
        <w:t>②资料查阅</w:t>
      </w:r>
      <w:r>
        <w:t>：</w:t>
      </w:r>
      <w:r>
        <w:rPr>
          <w:szCs w:val="24"/>
        </w:rPr>
        <w:t>重点查阅水土保持区域评估方案审批、后续设计及设计变更资料、水土保持补偿费缴纳凭证、水土保持监测记录及监测季报、水土保持监理记录及监理报表、水土保持单位工程及分部工程验收签证、水行政主管部门历次监督检查意见及整改情况等资料</w:t>
      </w:r>
      <w:r>
        <w:t>。</w:t>
      </w:r>
    </w:p>
    <w:p>
      <w:pPr>
        <w:ind w:firstLine="480"/>
      </w:pPr>
      <w:r>
        <w:rPr>
          <w:szCs w:val="24"/>
        </w:rPr>
        <w:t>③召开会议</w:t>
      </w:r>
      <w:r>
        <w:t>：</w:t>
      </w:r>
      <w:r>
        <w:rPr>
          <w:szCs w:val="24"/>
        </w:rPr>
        <w:t>验收工作组在听取水土保持区域评估方案编制、设计、施工、监理、监测、验收报告编制等单位汇报</w:t>
      </w:r>
      <w:r>
        <w:t>，</w:t>
      </w:r>
      <w:r>
        <w:rPr>
          <w:szCs w:val="24"/>
        </w:rPr>
        <w:t>并经质询讨论后</w:t>
      </w:r>
      <w:r>
        <w:t>，</w:t>
      </w:r>
      <w:r>
        <w:rPr>
          <w:szCs w:val="24"/>
        </w:rPr>
        <w:t>宣布验收意见</w:t>
      </w:r>
      <w:r>
        <w:t>，</w:t>
      </w:r>
      <w:r>
        <w:rPr>
          <w:szCs w:val="24"/>
        </w:rPr>
        <w:t>对满足验收合格条件的</w:t>
      </w:r>
      <w:r>
        <w:t>，</w:t>
      </w:r>
      <w:r>
        <w:rPr>
          <w:szCs w:val="24"/>
        </w:rPr>
        <w:t>形成生产建设项目水土保持设施验收鉴定书，验收组成员签字</w:t>
      </w:r>
      <w:r>
        <w:t>。</w:t>
      </w:r>
      <w:r>
        <w:rPr>
          <w:szCs w:val="24"/>
        </w:rPr>
        <w:t>对不满足验收合格条件的生产建设项目</w:t>
      </w:r>
      <w:r>
        <w:t>，</w:t>
      </w:r>
      <w:r>
        <w:rPr>
          <w:szCs w:val="24"/>
        </w:rPr>
        <w:t>形成不予通过验收的意见</w:t>
      </w:r>
      <w:r>
        <w:t>，</w:t>
      </w:r>
      <w:r>
        <w:rPr>
          <w:szCs w:val="24"/>
        </w:rPr>
        <w:t>明确具体原因和整改要求</w:t>
      </w:r>
      <w:r>
        <w:t>，</w:t>
      </w:r>
      <w:r>
        <w:rPr>
          <w:szCs w:val="24"/>
        </w:rPr>
        <w:t>验收组成员签字</w:t>
      </w:r>
      <w:r>
        <w:t>。</w:t>
      </w:r>
    </w:p>
    <w:p>
      <w:pPr>
        <w:ind w:firstLine="480"/>
      </w:pPr>
      <w:r>
        <w:t>4、验收公示</w:t>
      </w:r>
    </w:p>
    <w:p>
      <w:pPr>
        <w:ind w:firstLine="480"/>
      </w:pPr>
      <w:r>
        <w:t>对验收合格的园区，除按照国家规定需要保密的情形外，生产建设单位应在10个工作日内将水土保持设施验收鉴定书、水土保持监测总结报告和水土保持设施验收报告通过其官方网站或上级单位网站、行业网站、园区属地政府部门网站向社会公开，公示的时间不得少于20个工作日，并注明该园区建设单位和水土保持设施验收报备机关的联系电话，对于公众反映的主要问题和意见ꎬ生产建设单位应当及时给予处理或者回应。</w:t>
      </w:r>
    </w:p>
    <w:p>
      <w:pPr>
        <w:ind w:firstLine="480"/>
      </w:pPr>
      <w:r>
        <w:t>5、验收材料报备</w:t>
      </w:r>
    </w:p>
    <w:p>
      <w:pPr>
        <w:ind w:firstLine="480"/>
      </w:pPr>
      <w:r>
        <w:rPr>
          <w:szCs w:val="24"/>
        </w:rPr>
        <w:t>生产建设单位应当在向社会公开水土保持设施验收材料后、生产建设项目投产使用前</w:t>
      </w:r>
      <w:r>
        <w:t>，</w:t>
      </w:r>
      <w:r>
        <w:rPr>
          <w:szCs w:val="24"/>
        </w:rPr>
        <w:t>向水土保持设施验收报备机关报备验收材料</w:t>
      </w:r>
      <w:r>
        <w:t>，</w:t>
      </w:r>
      <w:r>
        <w:rPr>
          <w:szCs w:val="24"/>
        </w:rPr>
        <w:t>报备材料包括水土保持设施验收报备申请函、水土保持设施验收鉴定书、水土保持设施验收报告和水土保持监测总结报告</w:t>
      </w:r>
      <w:r>
        <w:t>，</w:t>
      </w:r>
      <w:r>
        <w:rPr>
          <w:szCs w:val="24"/>
        </w:rPr>
        <w:t>报备的材料为纸质版1份</w:t>
      </w:r>
      <w:r>
        <w:t>、</w:t>
      </w:r>
      <w:r>
        <w:rPr>
          <w:szCs w:val="24"/>
        </w:rPr>
        <w:t>电子版1份（pdf＋wold格式）（可供网上公开）</w:t>
      </w:r>
      <w:r>
        <w:t>，</w:t>
      </w:r>
      <w:r>
        <w:rPr>
          <w:szCs w:val="24"/>
        </w:rPr>
        <w:t>纸质版材料应当加盖单位公章</w:t>
      </w:r>
      <w:r>
        <w:t>，</w:t>
      </w:r>
      <w:r>
        <w:rPr>
          <w:szCs w:val="24"/>
        </w:rPr>
        <w:t>并经相关责任人员签字（原件）</w:t>
      </w:r>
      <w:r>
        <w:t>。</w:t>
      </w:r>
    </w:p>
    <w:p>
      <w:pPr>
        <w:ind w:firstLine="480"/>
      </w:pPr>
      <w:r>
        <w:t>6、填报验收信息</w:t>
      </w:r>
    </w:p>
    <w:p>
      <w:pPr>
        <w:ind w:firstLine="480"/>
      </w:pPr>
      <w:r>
        <w:rPr>
          <w:szCs w:val="24"/>
        </w:rPr>
        <w:t>建设单位应当在取得报备证明后5个工作日内登录全国水土保持监督管理系统平台</w:t>
      </w:r>
      <w:r>
        <w:t>，</w:t>
      </w:r>
      <w:r>
        <w:rPr>
          <w:szCs w:val="24"/>
        </w:rPr>
        <w:t>填报生产建设项目基本信息、水土保持设施验收情况等相关信息</w:t>
      </w:r>
      <w:r>
        <w:t>。</w:t>
      </w:r>
    </w:p>
    <w:p>
      <w:pPr>
        <w:ind w:firstLine="480"/>
      </w:pPr>
      <w:r>
        <w:t>7、验收后的巡查管护与养护</w:t>
      </w:r>
    </w:p>
    <w:p>
      <w:pPr>
        <w:ind w:firstLine="480"/>
      </w:pPr>
      <w:r>
        <w:t>在本园区进行水土保持设施专项验收报备后，建设单位应组建后续管理维护人员，制订管理、维护、养护方案，落实后续巡查管护与养护资金。每隔一定时间对园区进行工程措施与植物措施的巡查，对出现破损老化区域及时进行补救；对沿线植物出现枯死、生长不佳的乔木与灌木及时进行更换或养护，花草覆盖区域出现缺失、遗漏、踩踏等表现不佳的区域及时进行补栽</w:t>
      </w:r>
      <w:r>
        <w:rPr>
          <w:szCs w:val="24"/>
        </w:rPr>
        <w:t>。</w:t>
      </w:r>
    </w:p>
    <w:sectPr>
      <w:headerReference r:id="rId40" w:type="default"/>
      <w:headerReference r:id="rId41" w:type="even"/>
      <w:pgSz w:w="11905" w:h="16838"/>
      <w:pgMar w:top="1417" w:right="1417" w:bottom="1417" w:left="1417" w:header="850" w:footer="992" w:gutter="0"/>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2CA99C8-9644-45AB-A1E5-81C10DF839E5}"/>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8B9AA31B-49EA-469C-96F7-05F104886D87}"/>
  </w:font>
  <w:font w:name="仿宋">
    <w:panose1 w:val="02010609060101010101"/>
    <w:charset w:val="86"/>
    <w:family w:val="modern"/>
    <w:pitch w:val="default"/>
    <w:sig w:usb0="800002BF" w:usb1="38CF7CFA" w:usb2="00000016" w:usb3="00000000" w:csb0="00040001" w:csb1="00000000"/>
    <w:embedRegular r:id="rId3" w:fontKey="{1FB7902B-9224-439E-AC44-1DB3DF3F9FDB}"/>
  </w:font>
  <w:font w:name="微软雅黑">
    <w:panose1 w:val="020B0503020204020204"/>
    <w:charset w:val="86"/>
    <w:family w:val="swiss"/>
    <w:pitch w:val="default"/>
    <w:sig w:usb0="80000287" w:usb1="280F3C52" w:usb2="00000016" w:usb3="00000000" w:csb0="0004001F" w:csb1="00000000"/>
  </w:font>
  <w:font w:name="Cambria">
    <w:panose1 w:val="02040503050406030204"/>
    <w:charset w:val="00"/>
    <w:family w:val="roman"/>
    <w:pitch w:val="default"/>
    <w:sig w:usb0="E00002FF" w:usb1="400004FF" w:usb2="00000000" w:usb3="00000000" w:csb0="2000019F" w:csb1="00000000"/>
  </w:font>
  <w:font w:name="Cambria Math">
    <w:panose1 w:val="02040503050406030204"/>
    <w:charset w:val="00"/>
    <w:family w:val="roman"/>
    <w:pitch w:val="default"/>
    <w:sig w:usb0="E00002FF" w:usb1="420024FF" w:usb2="00000000" w:usb3="00000000" w:csb0="2000019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right"/>
    </w:pPr>
    <w:r>
      <w:rPr>
        <w:sz w:val="18"/>
      </w:rPr>
      <w:pict>
        <v:shape id="文本框 2065" o:spid="_x0000_s2056" o:spt="202" type="#_x0000_t202" style="position:absolute;left:0pt;margin-top:0pt;height:144pt;width:144pt;mso-position-horizontal:center;mso-position-horizontal-relative:margin;mso-wrap-style:none;z-index:251678720;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hpgkvTAAAABQEAAA8AAAAAAAAAAQAgAAAAIgAAAGRycy9k&#10;b3ducmV2LnhtbFBLAQIUABQAAAAIAIdO4kDcoBgTzgEAAJwDAAAOAAAAAAAAAAEAIAAAACIBAABk&#10;cnMvZTJvRG9jLnhtbFBLBQYAAAAABgAGAFkBAABiBQAAAAA=&#10;">
          <v:path/>
          <v:fill on="f" focussize="0,0"/>
          <v:stroke on="f" weight="1.25pt" joinstyle="miter"/>
          <v:imagedata o:title=""/>
          <o:lock v:ext="edit"/>
          <v:textbox inset="0mm,0mm,0mm,0mm" style="mso-fit-shape-to-text:t;">
            <w:txbxContent>
              <w:p>
                <w:pPr>
                  <w:pStyle w:val="23"/>
                  <w:rPr>
                    <w:rFonts w:eastAsia="仿宋_GB2312"/>
                  </w:rPr>
                </w:pPr>
                <w:r>
                  <w:fldChar w:fldCharType="begin"/>
                </w:r>
                <w:r>
                  <w:instrText xml:space="preserve"> PAGE  \* MERGEFORMAT </w:instrText>
                </w:r>
                <w:r>
                  <w:fldChar w:fldCharType="separate"/>
                </w:r>
                <w:r>
                  <w:t>I</w:t>
                </w:r>
                <w: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right"/>
      <w:rPr>
        <w:rFonts w:eastAsia="仿宋_GB2312"/>
      </w:rPr>
    </w:pPr>
    <w:r>
      <w:rPr>
        <w:sz w:val="18"/>
      </w:rPr>
      <w:pict>
        <v:shape id="文本框 2066" o:spid="_x0000_s2055" o:spt="202" type="#_x0000_t202" style="position:absolute;left:0pt;margin-top:0pt;height:144pt;width:144pt;mso-position-horizontal:center;mso-position-horizontal-relative:margin;mso-wrap-style:none;z-index:25168076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">
          <v:path/>
          <v:fill on="f" focussize="0,0"/>
          <v:stroke on="f" weight="1.25pt" joinstyle="miter"/>
          <v:imagedata o:title=""/>
          <o:lock v:ext="edit"/>
          <v:textbox inset="0mm,0mm,0mm,0mm" style="mso-fit-shape-to-text:t;">
            <w:txbxContent>
              <w:p>
                <w:pPr>
                  <w:pStyle w:val="23"/>
                  <w:rPr>
                    <w:rFonts w:eastAsia="仿宋_GB2312"/>
                  </w:rPr>
                </w:pPr>
                <w:r>
                  <w:fldChar w:fldCharType="begin"/>
                </w:r>
                <w:r>
                  <w:instrText xml:space="preserve"> PAGE  \* MERGEFORMAT </w:instrText>
                </w:r>
                <w:r>
                  <w:fldChar w:fldCharType="separate"/>
                </w:r>
                <w:r>
                  <w:t>12</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right"/>
      <w:rPr>
        <w:szCs w:val="24"/>
      </w:rPr>
    </w:pPr>
    <w:r>
      <w:rPr>
        <w:szCs w:val="24"/>
      </w:rPr>
      <w:pict>
        <v:shape id="文本框 2073" o:spid="_x0000_s2054" o:spt="202" type="#_x0000_t202" style="position:absolute;left:0pt;margin-top:0pt;height:13.8pt;width:18.35pt;mso-position-horizontal:center;mso-position-horizontal-relative:margin;z-index:251677696;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oaYJL0wAAAAUBAAAP&#10;AAAAAAAAAAEAIAAAACIAAABkcnMvZG93bnJldi54bWxQSwECFAAUAAAACACHTuJAblm41OQBAADB&#10;AwAADgAAAAAAAAABACAAAAAiAQAAZHJzL2Uyb0RvYy54bWxQSwUGAAAAAAYABgBZAQAAeAUAAAAA&#10;">
          <v:path/>
          <v:fill on="f" focussize="0,0"/>
          <v:stroke on="f" weight="1.25pt" joinstyle="miter"/>
          <v:imagedata o:title=""/>
          <o:lock v:ext="edit"/>
          <v:textbox inset="0mm,0mm,0mm,0mm" style="mso-fit-shape-to-text:t;">
            <w:txbxContent>
              <w:p>
                <w:pPr>
                  <w:pStyle w:val="23"/>
                  <w:rPr>
                    <w:rFonts w:eastAsia="仿宋_GB2312"/>
                  </w:rPr>
                </w:pPr>
                <w:r>
                  <w:rPr>
                    <w:rFonts w:hint="eastAsia"/>
                    <w:szCs w:val="24"/>
                  </w:rPr>
                  <w:fldChar w:fldCharType="begin"/>
                </w:r>
                <w:r>
                  <w:rPr>
                    <w:rFonts w:hint="eastAsia"/>
                    <w:szCs w:val="24"/>
                  </w:rPr>
                  <w:instrText xml:space="preserve"> PAGE  \* MERGEFORMAT </w:instrText>
                </w:r>
                <w:r>
                  <w:rPr>
                    <w:rFonts w:hint="eastAsia"/>
                    <w:szCs w:val="24"/>
                  </w:rPr>
                  <w:fldChar w:fldCharType="separate"/>
                </w:r>
                <w:r>
                  <w:rPr>
                    <w:szCs w:val="24"/>
                  </w:rPr>
                  <w:t>3</w:t>
                </w:r>
                <w:r>
                  <w:rPr>
                    <w:rFonts w:hint="eastAsia"/>
                    <w:szCs w:val="24"/>
                  </w:rPr>
                  <w:fldChar w:fldCharType="end"/>
                </w:r>
              </w:p>
            </w:txbxContent>
          </v:textbox>
        </v:shape>
      </w:pict>
    </w:r>
    <w:r>
      <w:rPr>
        <w:rFonts w:hint="eastAsia"/>
        <w:szCs w:val="24"/>
      </w:rPr>
      <w:t>四川省水利科学研究院</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left"/>
      <w:rPr>
        <w:rFonts w:eastAsia="仿宋_GB2312"/>
      </w:rPr>
    </w:pPr>
    <w:r>
      <w:rPr>
        <w:sz w:val="18"/>
      </w:rPr>
      <w:pict>
        <v:shape id="文本框 2068" o:spid="_x0000_s2053" o:spt="202" type="#_x0000_t202" style="position:absolute;left:0pt;margin-top:0pt;height:144pt;width:144pt;mso-position-horizontal:center;mso-position-horizontal-relative:margin;mso-wrap-style:none;z-index:251673600;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GhpgkvTAAAABQEAAA8A&#10;AAAAAAAAAQAgAAAAIgAAAGRycy9kb3ducmV2LnhtbFBLAQIUABQAAAAIAIdO4kD3r4l34wEAAMED&#10;AAAOAAAAAAAAAAEAIAAAACIBAABkcnMvZTJvRG9jLnhtbFBLBQYAAAAABgAGAFkBAAB3BQAAAAA=&#10;">
          <v:path/>
          <v:fill on="f" focussize="0,0"/>
          <v:stroke on="f" weight="1.25pt" joinstyle="miter"/>
          <v:imagedata o:title=""/>
          <o:lock v:ext="edit"/>
          <v:textbox inset="0mm,0mm,0mm,0mm" style="mso-fit-shape-to-text:t;">
            <w:txbxContent>
              <w:p>
                <w:pPr>
                  <w:pStyle w:val="23"/>
                  <w:rPr>
                    <w:rFonts w:eastAsia="仿宋_GB2312"/>
                    <w:szCs w:val="24"/>
                  </w:rPr>
                </w:pPr>
                <w:r>
                  <w:rPr>
                    <w:rFonts w:hint="eastAsia"/>
                    <w:szCs w:val="24"/>
                  </w:rPr>
                  <w:fldChar w:fldCharType="begin"/>
                </w:r>
                <w:r>
                  <w:rPr>
                    <w:rFonts w:hint="eastAsia"/>
                    <w:szCs w:val="24"/>
                  </w:rPr>
                  <w:instrText xml:space="preserve"> PAGE  \* MERGEFORMAT </w:instrText>
                </w:r>
                <w:r>
                  <w:rPr>
                    <w:rFonts w:hint="eastAsia"/>
                    <w:szCs w:val="24"/>
                  </w:rPr>
                  <w:fldChar w:fldCharType="separate"/>
                </w:r>
                <w:r>
                  <w:rPr>
                    <w:szCs w:val="24"/>
                  </w:rPr>
                  <w:t>26</w:t>
                </w:r>
                <w:r>
                  <w:rPr>
                    <w:rFonts w:hint="eastAsia"/>
                    <w:szCs w:val="24"/>
                  </w:rPr>
                  <w:fldChar w:fldCharType="end"/>
                </w:r>
              </w:p>
            </w:txbxContent>
          </v:textbox>
        </v:shape>
      </w:pict>
    </w:r>
    <w:r>
      <w:rPr>
        <w:rFonts w:hint="eastAsia"/>
        <w:szCs w:val="24"/>
      </w:rPr>
      <w:t>四川省水利科学研究院</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tabs>
        <w:tab w:val="left" w:pos="12788"/>
        <w:tab w:val="clear" w:pos="4153"/>
      </w:tabs>
      <w:jc w:val="right"/>
    </w:pPr>
    <w:r>
      <w:rPr>
        <w:sz w:val="18"/>
      </w:rPr>
      <w:pict>
        <v:shape id="文本框 2069" o:spid="_x0000_s2052" o:spt="202" type="#_x0000_t202" style="position:absolute;left:0pt;margin-top:0pt;height:144pt;width:144pt;mso-position-horizontal:center;mso-position-horizontal-relative:margin;mso-wrap-style:none;z-index:251674624;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BoaYJL0wAAAAUBAAAP&#10;AAAAAAAAAAEAIAAAACIAAABkcnMvZG93bnJldi54bWxQSwECFAAUAAAACACHTuJALWALVOQBAADB&#10;AwAADgAAAAAAAAABACAAAAAiAQAAZHJzL2Uyb0RvYy54bWxQSwUGAAAAAAYABgBZAQAAeAUAAAAA&#10;">
          <v:path/>
          <v:fill on="f" focussize="0,0"/>
          <v:stroke on="f" weight="1.25pt" joinstyle="miter"/>
          <v:imagedata o:title=""/>
          <o:lock v:ext="edit"/>
          <v:textbox inset="0mm,0mm,0mm,0mm" style="mso-fit-shape-to-text:t;">
            <w:txbxContent>
              <w:p>
                <w:pPr>
                  <w:pStyle w:val="23"/>
                  <w:rPr>
                    <w:rFonts w:eastAsia="仿宋_GB2312"/>
                  </w:rPr>
                </w:pPr>
                <w:r>
                  <w:fldChar w:fldCharType="begin"/>
                </w:r>
                <w:r>
                  <w:instrText xml:space="preserve"> PAGE  \* MERGEFORMAT </w:instrText>
                </w:r>
                <w:r>
                  <w:fldChar w:fldCharType="separate"/>
                </w:r>
                <w:r>
                  <w:t>124</w:t>
                </w:r>
                <w:r>
                  <w:fldChar w:fldCharType="end"/>
                </w:r>
              </w:p>
            </w:txbxContent>
          </v:textbox>
        </v:shape>
      </w:pict>
    </w:r>
    <w:r>
      <w:rPr>
        <w:rFonts w:hint="eastAsia"/>
      </w:rPr>
      <w:tab/>
    </w:r>
    <w:r>
      <w:rPr>
        <w:rFonts w:hint="eastAsia"/>
        <w:szCs w:val="24"/>
      </w:rPr>
      <w:t>四川省水利科学研究院</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firstLineChars="200"/>
      <w:jc w:val="right"/>
    </w:pPr>
    <w:r>
      <w:rPr>
        <w:sz w:val="18"/>
      </w:rPr>
      <w:pict>
        <v:shape id="文本框 2070" o:spid="_x0000_s2051" o:spt="202" type="#_x0000_t202" style="position:absolute;left:0pt;margin-top:0pt;height:144pt;width:144pt;mso-position-horizontal:center;mso-position-horizontal-relative:margin;mso-wrap-style:none;z-index:251675648;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GhpgkvTAAAABQEAAA8A&#10;AAAAAAAAAQAgAAAAIgAAAGRycy9kb3ducmV2LnhtbFBLAQIUABQAAAAIAIdO4kAACT+w4wEAAMED&#10;AAAOAAAAAAAAAAEAIAAAACIBAABkcnMvZTJvRG9jLnhtbFBLBQYAAAAABgAGAFkBAAB3BQAAAAA=&#10;">
          <v:path/>
          <v:fill on="f" focussize="0,0"/>
          <v:stroke on="f" weight="1.25pt" joinstyle="miter"/>
          <v:imagedata o:title=""/>
          <o:lock v:ext="edit"/>
          <v:textbox inset="0mm,0mm,0mm,0mm" style="mso-fit-shape-to-text:t;">
            <w:txbxContent>
              <w:p>
                <w:pPr>
                  <w:pStyle w:val="23"/>
                  <w:rPr>
                    <w:rFonts w:eastAsia="仿宋_GB2312"/>
                  </w:rPr>
                </w:pPr>
                <w:r>
                  <w:fldChar w:fldCharType="begin"/>
                </w:r>
                <w:r>
                  <w:instrText xml:space="preserve"> PAGE  \* MERGEFORMAT </w:instrText>
                </w:r>
                <w:r>
                  <w:fldChar w:fldCharType="separate"/>
                </w:r>
                <w:r>
                  <w:t>139</w:t>
                </w:r>
                <w:r>
                  <w:fldChar w:fldCharType="end"/>
                </w:r>
              </w:p>
            </w:txbxContent>
          </v:textbox>
        </v:shape>
      </w:pict>
    </w:r>
    <w:r>
      <w:rPr>
        <w:rFonts w:hint="eastAsia"/>
        <w:szCs w:val="24"/>
      </w:rPr>
      <w:t>四川省水利科学研究院</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left"/>
      <w:rPr>
        <w:rFonts w:eastAsia="仿宋_GB2312"/>
      </w:rPr>
    </w:pPr>
    <w:r>
      <w:rPr>
        <w:sz w:val="18"/>
      </w:rPr>
      <w:pict>
        <v:shape id="文本框 2071" o:spid="_x0000_s2050" o:spt="202" type="#_x0000_t202" style="position:absolute;left:0pt;margin-top:0pt;height:144pt;width:144pt;mso-position-horizontal:center;mso-position-horizontal-relative:margin;mso-wrap-style:none;z-index:251676672;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GhpgkvTAAAABQEAAA8A&#10;AAAAAAAAAQAgAAAAIgAAAGRycy9kb3ducmV2LnhtbFBLAQIUABQAAAAIAIdO4kDaxr2T4wEAAMED&#10;AAAOAAAAAAAAAAEAIAAAACIBAABkcnMvZTJvRG9jLnhtbFBLBQYAAAAABgAGAFkBAAB3BQAAAAA=&#10;">
          <v:path/>
          <v:fill on="f" focussize="0,0"/>
          <v:stroke on="f" weight="1.25pt" joinstyle="miter"/>
          <v:imagedata o:title=""/>
          <o:lock v:ext="edit"/>
          <v:textbox inset="0mm,0mm,0mm,0mm" style="mso-fit-shape-to-text:t;">
            <w:txbxContent>
              <w:p>
                <w:pPr>
                  <w:pStyle w:val="23"/>
                  <w:rPr>
                    <w:rFonts w:eastAsia="仿宋_GB2312"/>
                  </w:rPr>
                </w:pPr>
                <w:r>
                  <w:fldChar w:fldCharType="begin"/>
                </w:r>
                <w:r>
                  <w:instrText xml:space="preserve"> PAGE  \* MERGEFORMAT </w:instrText>
                </w:r>
                <w:r>
                  <w:fldChar w:fldCharType="separate"/>
                </w:r>
                <w:r>
                  <w:t>142</w:t>
                </w:r>
                <w:r>
                  <w:fldChar w:fldCharType="end"/>
                </w:r>
              </w:p>
            </w:txbxContent>
          </v:textbox>
        </v:shape>
      </w:pict>
    </w:r>
    <w:r>
      <w:rPr>
        <w:rFonts w:hint="eastAsia"/>
        <w:szCs w:val="24"/>
      </w:rPr>
      <w:t>四川省水利科学研究院</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jc w:val="right"/>
    </w:pPr>
    <w:r>
      <w:rPr>
        <w:sz w:val="18"/>
      </w:rPr>
      <w:pict>
        <v:shape id="文本框 2072" o:spid="_x0000_s2049"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">
          <v:path/>
          <v:fill on="f" focussize="0,0"/>
          <v:stroke on="f" weight="1.25pt" joinstyle="miter"/>
          <v:imagedata o:title=""/>
          <o:lock v:ext="edit"/>
          <v:textbox inset="0mm,0mm,0mm,0mm" style="mso-fit-shape-to-text:t;">
            <w:txbxContent>
              <w:p>
                <w:pPr>
                  <w:pStyle w:val="23"/>
                  <w:rPr>
                    <w:rFonts w:eastAsia="仿宋_GB2312"/>
                  </w:rPr>
                </w:pPr>
                <w:r>
                  <w:fldChar w:fldCharType="begin"/>
                </w:r>
                <w:r>
                  <w:instrText xml:space="preserve"> PAGE  \* MERGEFORMAT </w:instrText>
                </w:r>
                <w:r>
                  <w:fldChar w:fldCharType="separate"/>
                </w:r>
                <w:r>
                  <w:t>166</w:t>
                </w:r>
                <w:r>
                  <w:fldChar w:fldCharType="end"/>
                </w:r>
              </w:p>
            </w:txbxContent>
          </v:textbox>
        </v:shape>
      </w:pict>
    </w:r>
    <w:r>
      <w:rPr>
        <w:rFonts w:hint="eastAsia"/>
        <w:szCs w:val="24"/>
      </w:rPr>
      <w:t>四川省水利科学研究院</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2项目概况</w:t>
    </w:r>
  </w:p>
  <w:p>
    <w:pPr>
      <w:pStyle w:val="24"/>
      <w:pBdr>
        <w:bottom w:val="none" w:color="auto" w:sz="0" w:space="1"/>
      </w:pBdr>
      <w:jc w:val="right"/>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3项目水土保持评价</w:t>
    </w:r>
  </w:p>
  <w:p>
    <w:pPr>
      <w:pStyle w:val="24"/>
      <w:pBdr>
        <w:bottom w:val="none" w:color="auto" w:sz="0" w:space="1"/>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2项目概况</w:t>
    </w:r>
  </w:p>
  <w:p>
    <w:pPr>
      <w:pStyle w:val="24"/>
      <w:pBdr>
        <w:bottom w:val="none" w:color="auto" w:sz="0" w:space="1"/>
      </w:pBd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hint="eastAsia" w:eastAsia="仿宋"/>
        <w:sz w:val="24"/>
        <w:szCs w:val="24"/>
      </w:rPr>
      <w:t>3项目水土保持评价</w:t>
    </w:r>
  </w:p>
  <w:p>
    <w:pPr>
      <w:pStyle w:val="24"/>
      <w:pBdr>
        <w:bottom w:val="none" w:color="auto" w:sz="0" w:space="1"/>
      </w:pBdr>
      <w:rPr>
        <w:b/>
        <w:bCs/>
      </w:rP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hint="eastAsia" w:eastAsia="仿宋"/>
        <w:sz w:val="24"/>
        <w:szCs w:val="24"/>
      </w:rPr>
      <w:t>3项目水土保持评价</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hint="eastAsia" w:eastAsia="仿宋"/>
        <w:sz w:val="24"/>
        <w:szCs w:val="24"/>
      </w:rPr>
      <w:t>4水土流失分析调查及预测</w:t>
    </w:r>
  </w:p>
  <w:p>
    <w:pPr>
      <w:pStyle w:val="24"/>
      <w:pBdr>
        <w:bottom w:val="none" w:color="auto" w:sz="0" w:space="1"/>
      </w:pBdr>
      <w:rPr>
        <w:b/>
        <w:bCs/>
      </w:rP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hint="eastAsia" w:eastAsia="仿宋"/>
        <w:sz w:val="24"/>
        <w:szCs w:val="24"/>
      </w:rPr>
      <w:t>4水土流失分析调查及预测</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5水土保持措施</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5水土保持措施</w:t>
    </w:r>
  </w:p>
  <w:p>
    <w:pPr>
      <w:pStyle w:val="24"/>
      <w:pBdr>
        <w:bottom w:val="none" w:color="auto" w:sz="0" w:space="1"/>
      </w:pBd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6水土保持监测</w:t>
    </w:r>
  </w:p>
  <w:p>
    <w:pPr>
      <w:pStyle w:val="2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6水土保持监测</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6水土保持监测</w:t>
    </w:r>
  </w:p>
  <w:p>
    <w:pPr>
      <w:pStyle w:val="24"/>
      <w:pBdr>
        <w:bottom w:val="none" w:color="auto" w:sz="0" w:space="1"/>
      </w:pBdr>
      <w:rPr>
        <w:rFonts w:eastAsia="仿宋"/>
        <w:b/>
        <w:bCs/>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6水土保持监测</w:t>
    </w:r>
  </w:p>
  <w:p>
    <w:pPr>
      <w:pStyle w:val="24"/>
      <w:pBdr>
        <w:bottom w:val="none" w:color="auto" w:sz="0" w:space="1"/>
      </w:pBdr>
      <w:tabs>
        <w:tab w:val="left" w:pos="12266"/>
        <w:tab w:val="clear" w:pos="4153"/>
      </w:tabs>
      <w:jc w:val="both"/>
      <w:rPr>
        <w:rFonts w:eastAsia="仿宋"/>
        <w:b/>
        <w:bCs/>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6水土保持监测</w:t>
    </w:r>
  </w:p>
  <w:p>
    <w:pPr>
      <w:pStyle w:val="24"/>
      <w:pBdr>
        <w:bottom w:val="none" w:color="auto" w:sz="0" w:space="1"/>
      </w:pBd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6水土保持监测</w:t>
    </w:r>
  </w:p>
  <w:p>
    <w:pPr>
      <w:pStyle w:val="24"/>
      <w:pBdr>
        <w:bottom w:val="none" w:color="auto" w:sz="0" w:space="1"/>
      </w:pBd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none" w:color="auto" w:sz="0" w:space="1"/>
      </w:pBdr>
      <w:jc w:val="right"/>
    </w:pPr>
    <w:r>
      <w:rPr>
        <w:rFonts w:eastAsia="仿宋"/>
        <w:sz w:val="24"/>
        <w:szCs w:val="24"/>
      </w:rPr>
      <w:t>7水土保持投资概算及效益分析</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7水土保持投资概算及效益分析</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pPr>
    <w:r>
      <w:rPr>
        <w:rFonts w:hint="eastAsia" w:eastAsia="仿宋"/>
        <w:sz w:val="24"/>
        <w:szCs w:val="24"/>
      </w:rPr>
      <w:t>8水土保持管理</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pPr>
    <w:r>
      <w:rPr>
        <w:rFonts w:hint="eastAsia" w:eastAsia="仿宋"/>
        <w:sz w:val="24"/>
        <w:szCs w:val="24"/>
      </w:rPr>
      <w:t>水土保持补偿费计算专章</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1综合说明</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1综合说明</w:t>
    </w:r>
  </w:p>
  <w:p>
    <w:pPr>
      <w:pStyle w:val="24"/>
      <w:pBdr>
        <w:bottom w:val="none" w:color="auto" w:sz="0" w:space="1"/>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2</w:t>
    </w:r>
    <w:r>
      <w:rPr>
        <w:rFonts w:hint="eastAsia" w:eastAsia="仿宋"/>
        <w:sz w:val="24"/>
        <w:szCs w:val="24"/>
      </w:rPr>
      <w:t>区域</w:t>
    </w:r>
    <w:r>
      <w:rPr>
        <w:rFonts w:eastAsia="仿宋"/>
        <w:sz w:val="24"/>
        <w:szCs w:val="24"/>
      </w:rPr>
      <w:t>概况</w:t>
    </w:r>
  </w:p>
  <w:p>
    <w:pPr>
      <w:pStyle w:val="24"/>
      <w:pBdr>
        <w:bottom w:val="none" w:color="auto" w:sz="0" w:space="1"/>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2项目概况</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2项目概况</w:t>
    </w:r>
  </w:p>
  <w:p>
    <w:pPr>
      <w:pStyle w:val="24"/>
      <w:pBdr>
        <w:bottom w:val="none" w:color="auto" w:sz="0" w:space="1"/>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pBdr>
        <w:bottom w:val="thinThickSmallGap" w:color="auto" w:sz="12" w:space="1"/>
      </w:pBdr>
      <w:jc w:val="right"/>
      <w:rPr>
        <w:rFonts w:eastAsia="仿宋"/>
        <w:sz w:val="24"/>
        <w:szCs w:val="24"/>
      </w:rPr>
    </w:pPr>
    <w:r>
      <w:rPr>
        <w:rFonts w:eastAsia="仿宋"/>
        <w:sz w:val="24"/>
        <w:szCs w:val="24"/>
      </w:rPr>
      <w:t>2项目概况</w:t>
    </w:r>
  </w:p>
  <w:p>
    <w:pPr>
      <w:pStyle w:val="24"/>
      <w:pBdr>
        <w:bottom w:val="none" w:color="auto" w:sz="0" w:space="1"/>
      </w:pBdr>
      <w:rPr>
        <w:b/>
        <w:b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D"/>
    <w:multiLevelType w:val="singleLevel"/>
    <w:tmpl w:val="0000000D"/>
    <w:lvl w:ilvl="0" w:tentative="0">
      <w:start w:val="1"/>
      <w:numFmt w:val="decimal"/>
      <w:suff w:val="nothing"/>
      <w:lvlText w:val="（%1）"/>
      <w:lvlJc w:val="left"/>
      <w:pPr>
        <w:ind w:left="0" w:firstLine="42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hideSpellingErrors/>
  <w:documentProtection w:enforcement="0"/>
  <w:defaultTabStop w:val="720"/>
  <w:drawingGridHorizontalSpacing w:val="240"/>
  <w:drawingGridVerticalSpacing w:val="-7946"/>
  <w:noPunctuationKerning w:val="1"/>
  <w:characterSpacingControl w:val="doNotCompress"/>
  <w:doNotValidateAgainstSchema/>
  <w:doNotDemarcateInvalidXml/>
  <w:hdrShapeDefaults>
    <o:shapelayout v:ext="edit">
      <o:idmap v:ext="edit" data="2"/>
    </o:shapelayout>
  </w:hdrShapeDefaults>
  <w:footnotePr>
    <w:footnote w:id="0"/>
    <w:footnote w:id="1"/>
  </w:footnotePr>
  <w:endnotePr>
    <w:endnote w:id="0"/>
    <w:endnote w:id="1"/>
  </w:endnotePr>
  <w:compat>
    <w:spaceForUL/>
    <w:doNotLeaveBackslashAlone/>
    <w:doNotExpandShiftReturn/>
    <w:doNotWrapTextWithPunct/>
    <w:doNotUseEastAsianBreakRules/>
    <w:useFELayout/>
    <w:doNotUseIndentAsNumberingTabStop/>
    <w:compatSetting w:name="compatibilityMode" w:uri="http://schemas.microsoft.com/office/word" w:val="12"/>
  </w:compat>
  <w:docVars>
    <w:docVar w:name="commondata" w:val="eyJoZGlkIjoiZGQzMzI3ZDYxMDRhYWQ5ZGE4ZWY0NGJhNTJiODExOGQifQ=="/>
  </w:docVars>
  <w:rsids>
    <w:rsidRoot w:val="00172A27"/>
    <w:rsid w:val="000279C3"/>
    <w:rsid w:val="00030FDD"/>
    <w:rsid w:val="00046426"/>
    <w:rsid w:val="00046A18"/>
    <w:rsid w:val="00053D34"/>
    <w:rsid w:val="0006064D"/>
    <w:rsid w:val="00081F5C"/>
    <w:rsid w:val="000862AE"/>
    <w:rsid w:val="000C1EA5"/>
    <w:rsid w:val="000C3DA7"/>
    <w:rsid w:val="000C480B"/>
    <w:rsid w:val="000C5126"/>
    <w:rsid w:val="000D7CE5"/>
    <w:rsid w:val="000F7C0D"/>
    <w:rsid w:val="00117C8C"/>
    <w:rsid w:val="00133AAE"/>
    <w:rsid w:val="00152226"/>
    <w:rsid w:val="0016017C"/>
    <w:rsid w:val="001602E8"/>
    <w:rsid w:val="00171B8C"/>
    <w:rsid w:val="00172A27"/>
    <w:rsid w:val="00172CA4"/>
    <w:rsid w:val="00173FFB"/>
    <w:rsid w:val="00174C26"/>
    <w:rsid w:val="001806C6"/>
    <w:rsid w:val="00186CD1"/>
    <w:rsid w:val="00187AE5"/>
    <w:rsid w:val="001B4C16"/>
    <w:rsid w:val="001B54E3"/>
    <w:rsid w:val="001B6BDF"/>
    <w:rsid w:val="001F1BC1"/>
    <w:rsid w:val="00200421"/>
    <w:rsid w:val="00245F49"/>
    <w:rsid w:val="00250F05"/>
    <w:rsid w:val="002614AC"/>
    <w:rsid w:val="00285BA3"/>
    <w:rsid w:val="002B1CE1"/>
    <w:rsid w:val="002C006D"/>
    <w:rsid w:val="0032748A"/>
    <w:rsid w:val="00327601"/>
    <w:rsid w:val="00345A80"/>
    <w:rsid w:val="00347BCE"/>
    <w:rsid w:val="00361026"/>
    <w:rsid w:val="00383389"/>
    <w:rsid w:val="003C270A"/>
    <w:rsid w:val="003C724F"/>
    <w:rsid w:val="003D359C"/>
    <w:rsid w:val="003E0D7D"/>
    <w:rsid w:val="004147AC"/>
    <w:rsid w:val="0041526B"/>
    <w:rsid w:val="004378B2"/>
    <w:rsid w:val="00451719"/>
    <w:rsid w:val="004736C3"/>
    <w:rsid w:val="00475D63"/>
    <w:rsid w:val="00487EE0"/>
    <w:rsid w:val="00494633"/>
    <w:rsid w:val="004966C5"/>
    <w:rsid w:val="004A02AE"/>
    <w:rsid w:val="004C05F7"/>
    <w:rsid w:val="004D32DF"/>
    <w:rsid w:val="00505CC5"/>
    <w:rsid w:val="00540924"/>
    <w:rsid w:val="00564F60"/>
    <w:rsid w:val="00574A5A"/>
    <w:rsid w:val="00576AF3"/>
    <w:rsid w:val="00577AB1"/>
    <w:rsid w:val="005A2214"/>
    <w:rsid w:val="005A2408"/>
    <w:rsid w:val="005C1CFC"/>
    <w:rsid w:val="005C74BB"/>
    <w:rsid w:val="006100E8"/>
    <w:rsid w:val="00641773"/>
    <w:rsid w:val="006422CC"/>
    <w:rsid w:val="00651C11"/>
    <w:rsid w:val="00655FA4"/>
    <w:rsid w:val="00670559"/>
    <w:rsid w:val="00695F2E"/>
    <w:rsid w:val="006972B2"/>
    <w:rsid w:val="006A04D3"/>
    <w:rsid w:val="006A5FF2"/>
    <w:rsid w:val="00717B45"/>
    <w:rsid w:val="00725CD0"/>
    <w:rsid w:val="00741FD2"/>
    <w:rsid w:val="00762C54"/>
    <w:rsid w:val="00765E64"/>
    <w:rsid w:val="00776CD8"/>
    <w:rsid w:val="00776DD0"/>
    <w:rsid w:val="00794421"/>
    <w:rsid w:val="007B3F3D"/>
    <w:rsid w:val="007B6A76"/>
    <w:rsid w:val="007C08BB"/>
    <w:rsid w:val="007D798B"/>
    <w:rsid w:val="007F2594"/>
    <w:rsid w:val="007F5DD0"/>
    <w:rsid w:val="00820251"/>
    <w:rsid w:val="008302C5"/>
    <w:rsid w:val="00833498"/>
    <w:rsid w:val="00874C2A"/>
    <w:rsid w:val="00886242"/>
    <w:rsid w:val="008B2F24"/>
    <w:rsid w:val="008D132B"/>
    <w:rsid w:val="008D6521"/>
    <w:rsid w:val="008E34FA"/>
    <w:rsid w:val="008E7321"/>
    <w:rsid w:val="00923FA2"/>
    <w:rsid w:val="0093250D"/>
    <w:rsid w:val="0096034F"/>
    <w:rsid w:val="009902FB"/>
    <w:rsid w:val="00991772"/>
    <w:rsid w:val="00993DDD"/>
    <w:rsid w:val="009B2E85"/>
    <w:rsid w:val="009B3B36"/>
    <w:rsid w:val="009C3CDC"/>
    <w:rsid w:val="009E3678"/>
    <w:rsid w:val="009E59EE"/>
    <w:rsid w:val="009F5184"/>
    <w:rsid w:val="00A0668A"/>
    <w:rsid w:val="00A4202B"/>
    <w:rsid w:val="00AA2893"/>
    <w:rsid w:val="00AA318D"/>
    <w:rsid w:val="00AA3D23"/>
    <w:rsid w:val="00AC2AAD"/>
    <w:rsid w:val="00AE37B4"/>
    <w:rsid w:val="00AF26BD"/>
    <w:rsid w:val="00AF3A0E"/>
    <w:rsid w:val="00AF5895"/>
    <w:rsid w:val="00B205F4"/>
    <w:rsid w:val="00B3044B"/>
    <w:rsid w:val="00B33FF2"/>
    <w:rsid w:val="00B701B7"/>
    <w:rsid w:val="00B931CF"/>
    <w:rsid w:val="00BB2193"/>
    <w:rsid w:val="00BC26A9"/>
    <w:rsid w:val="00BD69CE"/>
    <w:rsid w:val="00BF5A03"/>
    <w:rsid w:val="00C05A09"/>
    <w:rsid w:val="00C30069"/>
    <w:rsid w:val="00C53908"/>
    <w:rsid w:val="00C56A5C"/>
    <w:rsid w:val="00C75A0B"/>
    <w:rsid w:val="00C75E8E"/>
    <w:rsid w:val="00CD75BF"/>
    <w:rsid w:val="00CE5D59"/>
    <w:rsid w:val="00D07539"/>
    <w:rsid w:val="00D07767"/>
    <w:rsid w:val="00D11F28"/>
    <w:rsid w:val="00D356AF"/>
    <w:rsid w:val="00D71BEB"/>
    <w:rsid w:val="00D80411"/>
    <w:rsid w:val="00D858CA"/>
    <w:rsid w:val="00D96800"/>
    <w:rsid w:val="00DA26AC"/>
    <w:rsid w:val="00DB6D79"/>
    <w:rsid w:val="00DD3B54"/>
    <w:rsid w:val="00E00ECB"/>
    <w:rsid w:val="00E17E1C"/>
    <w:rsid w:val="00E22CFD"/>
    <w:rsid w:val="00E23DBA"/>
    <w:rsid w:val="00E30BB0"/>
    <w:rsid w:val="00E4337D"/>
    <w:rsid w:val="00E5366E"/>
    <w:rsid w:val="00E61EFC"/>
    <w:rsid w:val="00E71356"/>
    <w:rsid w:val="00EA4346"/>
    <w:rsid w:val="00EA69EB"/>
    <w:rsid w:val="00EB0AEC"/>
    <w:rsid w:val="00EB1F6A"/>
    <w:rsid w:val="00ED5C75"/>
    <w:rsid w:val="00F21D5D"/>
    <w:rsid w:val="00F267EF"/>
    <w:rsid w:val="00F37C2D"/>
    <w:rsid w:val="00F42101"/>
    <w:rsid w:val="00F44428"/>
    <w:rsid w:val="00F8138B"/>
    <w:rsid w:val="00F97636"/>
    <w:rsid w:val="00FF5E5B"/>
    <w:rsid w:val="01080A12"/>
    <w:rsid w:val="010C367D"/>
    <w:rsid w:val="012071E5"/>
    <w:rsid w:val="012D45B1"/>
    <w:rsid w:val="012E1F25"/>
    <w:rsid w:val="013F46E8"/>
    <w:rsid w:val="0147511F"/>
    <w:rsid w:val="015076CB"/>
    <w:rsid w:val="0158044D"/>
    <w:rsid w:val="01581BA6"/>
    <w:rsid w:val="015F2228"/>
    <w:rsid w:val="01636479"/>
    <w:rsid w:val="01670BE3"/>
    <w:rsid w:val="01826EA2"/>
    <w:rsid w:val="018C249A"/>
    <w:rsid w:val="01945F0D"/>
    <w:rsid w:val="01987FE8"/>
    <w:rsid w:val="01A54310"/>
    <w:rsid w:val="01BB4E65"/>
    <w:rsid w:val="01BD695B"/>
    <w:rsid w:val="01C47CF3"/>
    <w:rsid w:val="01D86637"/>
    <w:rsid w:val="01DE1773"/>
    <w:rsid w:val="01E305A8"/>
    <w:rsid w:val="01F70C6C"/>
    <w:rsid w:val="01F80E68"/>
    <w:rsid w:val="01FE2BD2"/>
    <w:rsid w:val="02065D1A"/>
    <w:rsid w:val="021C4696"/>
    <w:rsid w:val="021C7A8A"/>
    <w:rsid w:val="02215C7B"/>
    <w:rsid w:val="022D0999"/>
    <w:rsid w:val="022F2C26"/>
    <w:rsid w:val="0230135D"/>
    <w:rsid w:val="02342087"/>
    <w:rsid w:val="02420D3D"/>
    <w:rsid w:val="0247134A"/>
    <w:rsid w:val="024A1251"/>
    <w:rsid w:val="025A529E"/>
    <w:rsid w:val="027179B2"/>
    <w:rsid w:val="02754CF7"/>
    <w:rsid w:val="027B1053"/>
    <w:rsid w:val="027F1604"/>
    <w:rsid w:val="02821A5E"/>
    <w:rsid w:val="02865F6E"/>
    <w:rsid w:val="028C53DF"/>
    <w:rsid w:val="028E20EC"/>
    <w:rsid w:val="029842C2"/>
    <w:rsid w:val="02A058A2"/>
    <w:rsid w:val="02A57B8D"/>
    <w:rsid w:val="02A67539"/>
    <w:rsid w:val="02A84988"/>
    <w:rsid w:val="02B16677"/>
    <w:rsid w:val="02B7291B"/>
    <w:rsid w:val="02BB7C66"/>
    <w:rsid w:val="02C47896"/>
    <w:rsid w:val="02C94203"/>
    <w:rsid w:val="02CE01A5"/>
    <w:rsid w:val="02D5127C"/>
    <w:rsid w:val="02DF7226"/>
    <w:rsid w:val="02EB2886"/>
    <w:rsid w:val="02F020F9"/>
    <w:rsid w:val="02F07CC6"/>
    <w:rsid w:val="02F31ED7"/>
    <w:rsid w:val="03012229"/>
    <w:rsid w:val="030B768E"/>
    <w:rsid w:val="032875BA"/>
    <w:rsid w:val="03291391"/>
    <w:rsid w:val="032F4BA3"/>
    <w:rsid w:val="033C2131"/>
    <w:rsid w:val="034474ED"/>
    <w:rsid w:val="034D03E7"/>
    <w:rsid w:val="035A1BDF"/>
    <w:rsid w:val="035A6FCA"/>
    <w:rsid w:val="035B26F0"/>
    <w:rsid w:val="03720CDE"/>
    <w:rsid w:val="0377188D"/>
    <w:rsid w:val="037B4EBD"/>
    <w:rsid w:val="03820F4E"/>
    <w:rsid w:val="038778C6"/>
    <w:rsid w:val="03A149B7"/>
    <w:rsid w:val="03B01391"/>
    <w:rsid w:val="03B1669E"/>
    <w:rsid w:val="03C3054B"/>
    <w:rsid w:val="03C975B0"/>
    <w:rsid w:val="03DE05C3"/>
    <w:rsid w:val="03E45C6D"/>
    <w:rsid w:val="03E620DF"/>
    <w:rsid w:val="03EE186E"/>
    <w:rsid w:val="03F54B22"/>
    <w:rsid w:val="040000EA"/>
    <w:rsid w:val="04074A2A"/>
    <w:rsid w:val="0420584D"/>
    <w:rsid w:val="04240091"/>
    <w:rsid w:val="0424392D"/>
    <w:rsid w:val="04296264"/>
    <w:rsid w:val="0432597F"/>
    <w:rsid w:val="04374CC5"/>
    <w:rsid w:val="043E78D0"/>
    <w:rsid w:val="044029A5"/>
    <w:rsid w:val="04494535"/>
    <w:rsid w:val="044B6418"/>
    <w:rsid w:val="04514F61"/>
    <w:rsid w:val="04522BC9"/>
    <w:rsid w:val="045525AB"/>
    <w:rsid w:val="04561CA4"/>
    <w:rsid w:val="045A1DF1"/>
    <w:rsid w:val="045F2EBA"/>
    <w:rsid w:val="046E3079"/>
    <w:rsid w:val="0471485B"/>
    <w:rsid w:val="04742C0A"/>
    <w:rsid w:val="04754411"/>
    <w:rsid w:val="04861D62"/>
    <w:rsid w:val="048E7480"/>
    <w:rsid w:val="04902E6B"/>
    <w:rsid w:val="04911858"/>
    <w:rsid w:val="04922410"/>
    <w:rsid w:val="04A6582D"/>
    <w:rsid w:val="04A94602"/>
    <w:rsid w:val="04AB1142"/>
    <w:rsid w:val="04C97DA2"/>
    <w:rsid w:val="04D906C4"/>
    <w:rsid w:val="04ED1825"/>
    <w:rsid w:val="04ED3152"/>
    <w:rsid w:val="05015EA4"/>
    <w:rsid w:val="050505DE"/>
    <w:rsid w:val="050747CF"/>
    <w:rsid w:val="050D1D59"/>
    <w:rsid w:val="051160A8"/>
    <w:rsid w:val="05125EDE"/>
    <w:rsid w:val="05152962"/>
    <w:rsid w:val="051D4572"/>
    <w:rsid w:val="051F4BDE"/>
    <w:rsid w:val="051F6720"/>
    <w:rsid w:val="052D7132"/>
    <w:rsid w:val="05340028"/>
    <w:rsid w:val="053E0EA6"/>
    <w:rsid w:val="056F54F3"/>
    <w:rsid w:val="057A64E9"/>
    <w:rsid w:val="05843DBC"/>
    <w:rsid w:val="0599193D"/>
    <w:rsid w:val="05BA07C3"/>
    <w:rsid w:val="05BC3E14"/>
    <w:rsid w:val="05C778FD"/>
    <w:rsid w:val="05DF0842"/>
    <w:rsid w:val="05E13239"/>
    <w:rsid w:val="05E82BC0"/>
    <w:rsid w:val="06081C62"/>
    <w:rsid w:val="0618349C"/>
    <w:rsid w:val="061927F4"/>
    <w:rsid w:val="06237AB8"/>
    <w:rsid w:val="062959A9"/>
    <w:rsid w:val="062E5929"/>
    <w:rsid w:val="063127E5"/>
    <w:rsid w:val="06390F3E"/>
    <w:rsid w:val="064D4061"/>
    <w:rsid w:val="064F6ED7"/>
    <w:rsid w:val="065B15E4"/>
    <w:rsid w:val="065F10D4"/>
    <w:rsid w:val="067115CE"/>
    <w:rsid w:val="06721C75"/>
    <w:rsid w:val="06764918"/>
    <w:rsid w:val="06817174"/>
    <w:rsid w:val="068E6510"/>
    <w:rsid w:val="0693149E"/>
    <w:rsid w:val="069E5968"/>
    <w:rsid w:val="06A74079"/>
    <w:rsid w:val="06AA0689"/>
    <w:rsid w:val="06AB7674"/>
    <w:rsid w:val="06AC0092"/>
    <w:rsid w:val="06B036DE"/>
    <w:rsid w:val="06B06A95"/>
    <w:rsid w:val="06B22A1C"/>
    <w:rsid w:val="06C071A1"/>
    <w:rsid w:val="06C74ECC"/>
    <w:rsid w:val="06C93E24"/>
    <w:rsid w:val="06CA55DC"/>
    <w:rsid w:val="06CB3794"/>
    <w:rsid w:val="06D64668"/>
    <w:rsid w:val="06D718AF"/>
    <w:rsid w:val="06DF5D71"/>
    <w:rsid w:val="06F318D6"/>
    <w:rsid w:val="0701276A"/>
    <w:rsid w:val="070C53DF"/>
    <w:rsid w:val="070D0AB4"/>
    <w:rsid w:val="07136A03"/>
    <w:rsid w:val="07146C2B"/>
    <w:rsid w:val="071E115C"/>
    <w:rsid w:val="07204C3C"/>
    <w:rsid w:val="07325FB7"/>
    <w:rsid w:val="073C5744"/>
    <w:rsid w:val="07403DF9"/>
    <w:rsid w:val="07454E7C"/>
    <w:rsid w:val="07583E9D"/>
    <w:rsid w:val="075854A9"/>
    <w:rsid w:val="07641782"/>
    <w:rsid w:val="076D030F"/>
    <w:rsid w:val="077C7A64"/>
    <w:rsid w:val="077E0924"/>
    <w:rsid w:val="077F6FD3"/>
    <w:rsid w:val="07812A3C"/>
    <w:rsid w:val="07844961"/>
    <w:rsid w:val="078C55F0"/>
    <w:rsid w:val="078D7049"/>
    <w:rsid w:val="078E3E99"/>
    <w:rsid w:val="07903FF7"/>
    <w:rsid w:val="0798520B"/>
    <w:rsid w:val="07A84BD5"/>
    <w:rsid w:val="07B072E5"/>
    <w:rsid w:val="07B45450"/>
    <w:rsid w:val="07B63CE2"/>
    <w:rsid w:val="07C70EF8"/>
    <w:rsid w:val="07CA2ED7"/>
    <w:rsid w:val="07F230A1"/>
    <w:rsid w:val="08017DB7"/>
    <w:rsid w:val="080414DD"/>
    <w:rsid w:val="08071ADA"/>
    <w:rsid w:val="08080399"/>
    <w:rsid w:val="08161CBE"/>
    <w:rsid w:val="081A4ACB"/>
    <w:rsid w:val="082B1164"/>
    <w:rsid w:val="08312493"/>
    <w:rsid w:val="08354784"/>
    <w:rsid w:val="083566D7"/>
    <w:rsid w:val="083E30C4"/>
    <w:rsid w:val="08686CE6"/>
    <w:rsid w:val="086E4073"/>
    <w:rsid w:val="087B7477"/>
    <w:rsid w:val="08816E02"/>
    <w:rsid w:val="089D0D20"/>
    <w:rsid w:val="08A34114"/>
    <w:rsid w:val="08A441E0"/>
    <w:rsid w:val="08A737BE"/>
    <w:rsid w:val="08B62A16"/>
    <w:rsid w:val="08BA0E0D"/>
    <w:rsid w:val="08C0302C"/>
    <w:rsid w:val="08DA23EB"/>
    <w:rsid w:val="08E8202A"/>
    <w:rsid w:val="08E83AE2"/>
    <w:rsid w:val="08F17FDE"/>
    <w:rsid w:val="08F203BB"/>
    <w:rsid w:val="08F55BC3"/>
    <w:rsid w:val="090B4CF2"/>
    <w:rsid w:val="090D02AC"/>
    <w:rsid w:val="090E1F34"/>
    <w:rsid w:val="09110C6F"/>
    <w:rsid w:val="091B157F"/>
    <w:rsid w:val="0939414D"/>
    <w:rsid w:val="093C718A"/>
    <w:rsid w:val="09464E87"/>
    <w:rsid w:val="095E4E94"/>
    <w:rsid w:val="095E7CAD"/>
    <w:rsid w:val="09671FCD"/>
    <w:rsid w:val="09700C89"/>
    <w:rsid w:val="097703E2"/>
    <w:rsid w:val="0979700E"/>
    <w:rsid w:val="09876536"/>
    <w:rsid w:val="099346C1"/>
    <w:rsid w:val="099843CC"/>
    <w:rsid w:val="099B2CB9"/>
    <w:rsid w:val="099E2C51"/>
    <w:rsid w:val="09A253F4"/>
    <w:rsid w:val="09A43EBC"/>
    <w:rsid w:val="09A45BC6"/>
    <w:rsid w:val="09AC1E77"/>
    <w:rsid w:val="09BC6B76"/>
    <w:rsid w:val="09BF25F2"/>
    <w:rsid w:val="09C20ACB"/>
    <w:rsid w:val="09C45293"/>
    <w:rsid w:val="09DC14C7"/>
    <w:rsid w:val="09E11C5B"/>
    <w:rsid w:val="09E21497"/>
    <w:rsid w:val="09E43E13"/>
    <w:rsid w:val="09EA59EB"/>
    <w:rsid w:val="0A00497C"/>
    <w:rsid w:val="0A070DD0"/>
    <w:rsid w:val="0A1A5CB2"/>
    <w:rsid w:val="0A1C42E9"/>
    <w:rsid w:val="0A2226F7"/>
    <w:rsid w:val="0A250854"/>
    <w:rsid w:val="0A2B615B"/>
    <w:rsid w:val="0A337F1D"/>
    <w:rsid w:val="0A367498"/>
    <w:rsid w:val="0A445440"/>
    <w:rsid w:val="0A4557E9"/>
    <w:rsid w:val="0A4B0FDA"/>
    <w:rsid w:val="0A543B3B"/>
    <w:rsid w:val="0A562E68"/>
    <w:rsid w:val="0A5820D6"/>
    <w:rsid w:val="0A5B60C7"/>
    <w:rsid w:val="0A5E16A3"/>
    <w:rsid w:val="0A616013"/>
    <w:rsid w:val="0A673F06"/>
    <w:rsid w:val="0A6D0CBD"/>
    <w:rsid w:val="0A9123E5"/>
    <w:rsid w:val="0A922065"/>
    <w:rsid w:val="0A9578EF"/>
    <w:rsid w:val="0AA51D17"/>
    <w:rsid w:val="0AA55203"/>
    <w:rsid w:val="0ABD54E5"/>
    <w:rsid w:val="0AC24DB3"/>
    <w:rsid w:val="0AC62A01"/>
    <w:rsid w:val="0ACA5794"/>
    <w:rsid w:val="0AD41D47"/>
    <w:rsid w:val="0AD45D79"/>
    <w:rsid w:val="0AFF7DEF"/>
    <w:rsid w:val="0B0A2FA9"/>
    <w:rsid w:val="0B0A6F6E"/>
    <w:rsid w:val="0B0C485D"/>
    <w:rsid w:val="0B325403"/>
    <w:rsid w:val="0B411CC6"/>
    <w:rsid w:val="0B412CEC"/>
    <w:rsid w:val="0B476485"/>
    <w:rsid w:val="0B4831DB"/>
    <w:rsid w:val="0B495582"/>
    <w:rsid w:val="0B52755A"/>
    <w:rsid w:val="0B6530B0"/>
    <w:rsid w:val="0B6D1EA2"/>
    <w:rsid w:val="0B70592B"/>
    <w:rsid w:val="0B773AB2"/>
    <w:rsid w:val="0B796FFB"/>
    <w:rsid w:val="0B7D061D"/>
    <w:rsid w:val="0B815649"/>
    <w:rsid w:val="0B8250E0"/>
    <w:rsid w:val="0B837E17"/>
    <w:rsid w:val="0B8A0D52"/>
    <w:rsid w:val="0B8F3202"/>
    <w:rsid w:val="0B927A0A"/>
    <w:rsid w:val="0B93537C"/>
    <w:rsid w:val="0B952722"/>
    <w:rsid w:val="0B9C3825"/>
    <w:rsid w:val="0BA0772C"/>
    <w:rsid w:val="0BAC1514"/>
    <w:rsid w:val="0BB9314C"/>
    <w:rsid w:val="0BBB664F"/>
    <w:rsid w:val="0BBE3CE1"/>
    <w:rsid w:val="0BC92842"/>
    <w:rsid w:val="0BE74194"/>
    <w:rsid w:val="0BED1877"/>
    <w:rsid w:val="0BF16A29"/>
    <w:rsid w:val="0BF422BF"/>
    <w:rsid w:val="0BF928B1"/>
    <w:rsid w:val="0C0C18A5"/>
    <w:rsid w:val="0C12435F"/>
    <w:rsid w:val="0C13618A"/>
    <w:rsid w:val="0C1A05E9"/>
    <w:rsid w:val="0C3F7E14"/>
    <w:rsid w:val="0C464B57"/>
    <w:rsid w:val="0C4C582D"/>
    <w:rsid w:val="0C573BA0"/>
    <w:rsid w:val="0C6141D1"/>
    <w:rsid w:val="0C66012E"/>
    <w:rsid w:val="0C7536ED"/>
    <w:rsid w:val="0C7B5CE1"/>
    <w:rsid w:val="0C7D31A8"/>
    <w:rsid w:val="0C840B99"/>
    <w:rsid w:val="0C903A31"/>
    <w:rsid w:val="0CA63264"/>
    <w:rsid w:val="0CAC2389"/>
    <w:rsid w:val="0CAD6D11"/>
    <w:rsid w:val="0CB11F5E"/>
    <w:rsid w:val="0CD0413A"/>
    <w:rsid w:val="0CD06E77"/>
    <w:rsid w:val="0CD67369"/>
    <w:rsid w:val="0CDF6902"/>
    <w:rsid w:val="0CE2046F"/>
    <w:rsid w:val="0CE67036"/>
    <w:rsid w:val="0CE9383E"/>
    <w:rsid w:val="0CF67611"/>
    <w:rsid w:val="0CFA78FC"/>
    <w:rsid w:val="0D026504"/>
    <w:rsid w:val="0D092982"/>
    <w:rsid w:val="0D137DCB"/>
    <w:rsid w:val="0D14455E"/>
    <w:rsid w:val="0D2E1421"/>
    <w:rsid w:val="0D2E2B59"/>
    <w:rsid w:val="0D306941"/>
    <w:rsid w:val="0D345128"/>
    <w:rsid w:val="0D505423"/>
    <w:rsid w:val="0D5071C5"/>
    <w:rsid w:val="0D6D16E7"/>
    <w:rsid w:val="0D7B2DAD"/>
    <w:rsid w:val="0D812D2F"/>
    <w:rsid w:val="0D8C2D5C"/>
    <w:rsid w:val="0D8D32DC"/>
    <w:rsid w:val="0DA33F9D"/>
    <w:rsid w:val="0DA375CF"/>
    <w:rsid w:val="0DA620F9"/>
    <w:rsid w:val="0DB3033B"/>
    <w:rsid w:val="0DC030B8"/>
    <w:rsid w:val="0DC9777B"/>
    <w:rsid w:val="0DCF447C"/>
    <w:rsid w:val="0DD51C7C"/>
    <w:rsid w:val="0DD91BFD"/>
    <w:rsid w:val="0DD9510C"/>
    <w:rsid w:val="0DD963DE"/>
    <w:rsid w:val="0DDD2FD8"/>
    <w:rsid w:val="0DE82AB5"/>
    <w:rsid w:val="0DEB31FB"/>
    <w:rsid w:val="0DEE1A67"/>
    <w:rsid w:val="0E176BEB"/>
    <w:rsid w:val="0E2220EE"/>
    <w:rsid w:val="0E2252F7"/>
    <w:rsid w:val="0E243AE7"/>
    <w:rsid w:val="0E311989"/>
    <w:rsid w:val="0E452AF3"/>
    <w:rsid w:val="0E4913E9"/>
    <w:rsid w:val="0E506DB7"/>
    <w:rsid w:val="0E664363"/>
    <w:rsid w:val="0E6B4973"/>
    <w:rsid w:val="0E71115A"/>
    <w:rsid w:val="0E750B43"/>
    <w:rsid w:val="0E7C656A"/>
    <w:rsid w:val="0E7C767B"/>
    <w:rsid w:val="0E8041C5"/>
    <w:rsid w:val="0E805E57"/>
    <w:rsid w:val="0E811DAA"/>
    <w:rsid w:val="0E825B5E"/>
    <w:rsid w:val="0E8B1B41"/>
    <w:rsid w:val="0E930862"/>
    <w:rsid w:val="0E9401DA"/>
    <w:rsid w:val="0EA10C91"/>
    <w:rsid w:val="0EB33BC3"/>
    <w:rsid w:val="0EB912D7"/>
    <w:rsid w:val="0EC62B67"/>
    <w:rsid w:val="0EDD2762"/>
    <w:rsid w:val="0EF56A7A"/>
    <w:rsid w:val="0EF81541"/>
    <w:rsid w:val="0F0A6D3C"/>
    <w:rsid w:val="0F0C2D0F"/>
    <w:rsid w:val="0F1B4F07"/>
    <w:rsid w:val="0F1F4D44"/>
    <w:rsid w:val="0F334164"/>
    <w:rsid w:val="0F42334C"/>
    <w:rsid w:val="0F46331D"/>
    <w:rsid w:val="0F4A7B25"/>
    <w:rsid w:val="0F590F31"/>
    <w:rsid w:val="0F5F6446"/>
    <w:rsid w:val="0F697AF2"/>
    <w:rsid w:val="0F6D575B"/>
    <w:rsid w:val="0F7179E5"/>
    <w:rsid w:val="0F7A5ED6"/>
    <w:rsid w:val="0F8056FF"/>
    <w:rsid w:val="0F8C278D"/>
    <w:rsid w:val="0F950E9E"/>
    <w:rsid w:val="0FA54A69"/>
    <w:rsid w:val="0FA65B39"/>
    <w:rsid w:val="0FAB7E8E"/>
    <w:rsid w:val="0FAE4168"/>
    <w:rsid w:val="0FB3634F"/>
    <w:rsid w:val="0FB755BA"/>
    <w:rsid w:val="0FB81985"/>
    <w:rsid w:val="0FC12C46"/>
    <w:rsid w:val="0FD41C88"/>
    <w:rsid w:val="0FE63AC6"/>
    <w:rsid w:val="0FF06F8D"/>
    <w:rsid w:val="100F2D70"/>
    <w:rsid w:val="101471EE"/>
    <w:rsid w:val="101B27C3"/>
    <w:rsid w:val="102E3F3C"/>
    <w:rsid w:val="10306466"/>
    <w:rsid w:val="10354B11"/>
    <w:rsid w:val="104B7348"/>
    <w:rsid w:val="104D4A80"/>
    <w:rsid w:val="104F5351"/>
    <w:rsid w:val="10547377"/>
    <w:rsid w:val="10562BD3"/>
    <w:rsid w:val="105B4138"/>
    <w:rsid w:val="1065329D"/>
    <w:rsid w:val="10731B67"/>
    <w:rsid w:val="107D6C1D"/>
    <w:rsid w:val="107E469F"/>
    <w:rsid w:val="10855441"/>
    <w:rsid w:val="108F1BEA"/>
    <w:rsid w:val="10A1718E"/>
    <w:rsid w:val="10BF3B40"/>
    <w:rsid w:val="10D32C41"/>
    <w:rsid w:val="10D51608"/>
    <w:rsid w:val="10D7292B"/>
    <w:rsid w:val="10D878ED"/>
    <w:rsid w:val="10DE4D86"/>
    <w:rsid w:val="10E06AD8"/>
    <w:rsid w:val="10E130BF"/>
    <w:rsid w:val="10EC17B7"/>
    <w:rsid w:val="110253C6"/>
    <w:rsid w:val="110A2235"/>
    <w:rsid w:val="111579DA"/>
    <w:rsid w:val="111927C8"/>
    <w:rsid w:val="111E4A98"/>
    <w:rsid w:val="112278CE"/>
    <w:rsid w:val="11256B7F"/>
    <w:rsid w:val="112A0531"/>
    <w:rsid w:val="112D7F9A"/>
    <w:rsid w:val="112F3D99"/>
    <w:rsid w:val="11352297"/>
    <w:rsid w:val="115D427D"/>
    <w:rsid w:val="11824CA9"/>
    <w:rsid w:val="11850CAC"/>
    <w:rsid w:val="11AE2F10"/>
    <w:rsid w:val="11B57FB0"/>
    <w:rsid w:val="11C75C80"/>
    <w:rsid w:val="11C87354"/>
    <w:rsid w:val="11E655C2"/>
    <w:rsid w:val="11E93033"/>
    <w:rsid w:val="11E94908"/>
    <w:rsid w:val="11EE5A02"/>
    <w:rsid w:val="120174E4"/>
    <w:rsid w:val="12056664"/>
    <w:rsid w:val="1206072F"/>
    <w:rsid w:val="12110F7F"/>
    <w:rsid w:val="1213784E"/>
    <w:rsid w:val="12166264"/>
    <w:rsid w:val="12243F9E"/>
    <w:rsid w:val="122E4051"/>
    <w:rsid w:val="1230601B"/>
    <w:rsid w:val="12343092"/>
    <w:rsid w:val="12344C6A"/>
    <w:rsid w:val="12347F9D"/>
    <w:rsid w:val="12394A8E"/>
    <w:rsid w:val="12494D2D"/>
    <w:rsid w:val="124C21B0"/>
    <w:rsid w:val="1253668A"/>
    <w:rsid w:val="125A07D1"/>
    <w:rsid w:val="12705D8B"/>
    <w:rsid w:val="127368B0"/>
    <w:rsid w:val="12744159"/>
    <w:rsid w:val="127C2D4C"/>
    <w:rsid w:val="12A2529E"/>
    <w:rsid w:val="12B73245"/>
    <w:rsid w:val="12C13B55"/>
    <w:rsid w:val="12C7072D"/>
    <w:rsid w:val="12CA63C3"/>
    <w:rsid w:val="12D57A74"/>
    <w:rsid w:val="12DA0C7B"/>
    <w:rsid w:val="12E515A2"/>
    <w:rsid w:val="1308405C"/>
    <w:rsid w:val="13084C34"/>
    <w:rsid w:val="13116BD7"/>
    <w:rsid w:val="131477AF"/>
    <w:rsid w:val="1329320B"/>
    <w:rsid w:val="132B721C"/>
    <w:rsid w:val="132F56F9"/>
    <w:rsid w:val="13330723"/>
    <w:rsid w:val="13335A00"/>
    <w:rsid w:val="133550C3"/>
    <w:rsid w:val="13393B30"/>
    <w:rsid w:val="13403EA3"/>
    <w:rsid w:val="13556691"/>
    <w:rsid w:val="13560D6A"/>
    <w:rsid w:val="13573AC8"/>
    <w:rsid w:val="135E446F"/>
    <w:rsid w:val="13624B30"/>
    <w:rsid w:val="137413BD"/>
    <w:rsid w:val="137E250A"/>
    <w:rsid w:val="138A1DAD"/>
    <w:rsid w:val="13963AC1"/>
    <w:rsid w:val="13980936"/>
    <w:rsid w:val="139A0570"/>
    <w:rsid w:val="13B01C0F"/>
    <w:rsid w:val="13B45FE0"/>
    <w:rsid w:val="13D42198"/>
    <w:rsid w:val="13D470FD"/>
    <w:rsid w:val="13DC3F1C"/>
    <w:rsid w:val="13DF1397"/>
    <w:rsid w:val="13E61EBD"/>
    <w:rsid w:val="13E64FA4"/>
    <w:rsid w:val="13ED77CE"/>
    <w:rsid w:val="14041782"/>
    <w:rsid w:val="140F22B0"/>
    <w:rsid w:val="1411278E"/>
    <w:rsid w:val="141817CE"/>
    <w:rsid w:val="14320A28"/>
    <w:rsid w:val="14353303"/>
    <w:rsid w:val="144E5009"/>
    <w:rsid w:val="144E6B5A"/>
    <w:rsid w:val="14541A21"/>
    <w:rsid w:val="14552A46"/>
    <w:rsid w:val="14560D56"/>
    <w:rsid w:val="145A1FE5"/>
    <w:rsid w:val="145A7E72"/>
    <w:rsid w:val="14601958"/>
    <w:rsid w:val="1462527F"/>
    <w:rsid w:val="146C3A50"/>
    <w:rsid w:val="146F1953"/>
    <w:rsid w:val="14831A28"/>
    <w:rsid w:val="149F0681"/>
    <w:rsid w:val="14A54A6E"/>
    <w:rsid w:val="14A612C9"/>
    <w:rsid w:val="14B264D3"/>
    <w:rsid w:val="14BC1F4C"/>
    <w:rsid w:val="14CD6DDC"/>
    <w:rsid w:val="14D5274A"/>
    <w:rsid w:val="14E013D0"/>
    <w:rsid w:val="14E07EEB"/>
    <w:rsid w:val="14F40071"/>
    <w:rsid w:val="14F92448"/>
    <w:rsid w:val="14FF535B"/>
    <w:rsid w:val="15027387"/>
    <w:rsid w:val="150B21E3"/>
    <w:rsid w:val="1524098A"/>
    <w:rsid w:val="152C66A2"/>
    <w:rsid w:val="153765F0"/>
    <w:rsid w:val="15415618"/>
    <w:rsid w:val="15420E65"/>
    <w:rsid w:val="155268FB"/>
    <w:rsid w:val="1560191E"/>
    <w:rsid w:val="156636B5"/>
    <w:rsid w:val="156A53A0"/>
    <w:rsid w:val="15777DC9"/>
    <w:rsid w:val="157D77F0"/>
    <w:rsid w:val="157E6FFE"/>
    <w:rsid w:val="158023E4"/>
    <w:rsid w:val="15804642"/>
    <w:rsid w:val="158148D4"/>
    <w:rsid w:val="15842C45"/>
    <w:rsid w:val="158B4D5D"/>
    <w:rsid w:val="158C3A67"/>
    <w:rsid w:val="15923AD3"/>
    <w:rsid w:val="159F47BD"/>
    <w:rsid w:val="159F4C86"/>
    <w:rsid w:val="15A83574"/>
    <w:rsid w:val="15AF23A5"/>
    <w:rsid w:val="15BD7BC5"/>
    <w:rsid w:val="15CC7688"/>
    <w:rsid w:val="15CF5D4C"/>
    <w:rsid w:val="15D7317B"/>
    <w:rsid w:val="15EA319D"/>
    <w:rsid w:val="15FC2AA9"/>
    <w:rsid w:val="160C6A02"/>
    <w:rsid w:val="16126F47"/>
    <w:rsid w:val="16142BE7"/>
    <w:rsid w:val="16165BCA"/>
    <w:rsid w:val="16191A44"/>
    <w:rsid w:val="162716E7"/>
    <w:rsid w:val="1627221C"/>
    <w:rsid w:val="16340D4E"/>
    <w:rsid w:val="16371982"/>
    <w:rsid w:val="1638204E"/>
    <w:rsid w:val="163C5E0A"/>
    <w:rsid w:val="16430AC0"/>
    <w:rsid w:val="164A40D7"/>
    <w:rsid w:val="164E02F9"/>
    <w:rsid w:val="16515E32"/>
    <w:rsid w:val="16635A5B"/>
    <w:rsid w:val="1679088D"/>
    <w:rsid w:val="169C6B62"/>
    <w:rsid w:val="16A76625"/>
    <w:rsid w:val="16A85139"/>
    <w:rsid w:val="16AA0DCF"/>
    <w:rsid w:val="16AB5FA5"/>
    <w:rsid w:val="16C37103"/>
    <w:rsid w:val="16D13B4B"/>
    <w:rsid w:val="16DD0170"/>
    <w:rsid w:val="16DE4E51"/>
    <w:rsid w:val="16E94214"/>
    <w:rsid w:val="16F24EAA"/>
    <w:rsid w:val="16F87A0A"/>
    <w:rsid w:val="16FC2523"/>
    <w:rsid w:val="170145FD"/>
    <w:rsid w:val="170F26A3"/>
    <w:rsid w:val="171019D3"/>
    <w:rsid w:val="17131FDA"/>
    <w:rsid w:val="17154810"/>
    <w:rsid w:val="172574C8"/>
    <w:rsid w:val="175211CE"/>
    <w:rsid w:val="17584C4E"/>
    <w:rsid w:val="175C38F4"/>
    <w:rsid w:val="175E3962"/>
    <w:rsid w:val="175F42E3"/>
    <w:rsid w:val="17606E66"/>
    <w:rsid w:val="177453C0"/>
    <w:rsid w:val="177A0040"/>
    <w:rsid w:val="177D7712"/>
    <w:rsid w:val="1780085F"/>
    <w:rsid w:val="178428D7"/>
    <w:rsid w:val="178A2F73"/>
    <w:rsid w:val="17A10E21"/>
    <w:rsid w:val="17A21572"/>
    <w:rsid w:val="17AC14E3"/>
    <w:rsid w:val="17AC78A9"/>
    <w:rsid w:val="17B133ED"/>
    <w:rsid w:val="17B27080"/>
    <w:rsid w:val="17B730F8"/>
    <w:rsid w:val="17B86109"/>
    <w:rsid w:val="17C26F0A"/>
    <w:rsid w:val="17C61BBF"/>
    <w:rsid w:val="17C70D29"/>
    <w:rsid w:val="17CE4F1B"/>
    <w:rsid w:val="17D62327"/>
    <w:rsid w:val="17D93317"/>
    <w:rsid w:val="17DB07D7"/>
    <w:rsid w:val="17E80DEA"/>
    <w:rsid w:val="17F24A20"/>
    <w:rsid w:val="17F44428"/>
    <w:rsid w:val="17FA6EAF"/>
    <w:rsid w:val="180814F3"/>
    <w:rsid w:val="180A6B96"/>
    <w:rsid w:val="180B5558"/>
    <w:rsid w:val="18297794"/>
    <w:rsid w:val="182B4B93"/>
    <w:rsid w:val="182D65B9"/>
    <w:rsid w:val="18314FC0"/>
    <w:rsid w:val="1833191C"/>
    <w:rsid w:val="18345F44"/>
    <w:rsid w:val="18362F28"/>
    <w:rsid w:val="185235D5"/>
    <w:rsid w:val="18527AE0"/>
    <w:rsid w:val="1853159F"/>
    <w:rsid w:val="18547CD9"/>
    <w:rsid w:val="18552337"/>
    <w:rsid w:val="18567CEA"/>
    <w:rsid w:val="18642D2B"/>
    <w:rsid w:val="18726C15"/>
    <w:rsid w:val="187647B8"/>
    <w:rsid w:val="187759D5"/>
    <w:rsid w:val="18786026"/>
    <w:rsid w:val="18930DC4"/>
    <w:rsid w:val="189317E1"/>
    <w:rsid w:val="18932590"/>
    <w:rsid w:val="18980424"/>
    <w:rsid w:val="18B1372F"/>
    <w:rsid w:val="18B564A0"/>
    <w:rsid w:val="18B70802"/>
    <w:rsid w:val="18CB084B"/>
    <w:rsid w:val="18DB24A0"/>
    <w:rsid w:val="18FF3D60"/>
    <w:rsid w:val="190633BF"/>
    <w:rsid w:val="19085B63"/>
    <w:rsid w:val="190A51FF"/>
    <w:rsid w:val="191A70DD"/>
    <w:rsid w:val="192141DA"/>
    <w:rsid w:val="192570B8"/>
    <w:rsid w:val="19332236"/>
    <w:rsid w:val="19452D72"/>
    <w:rsid w:val="19460085"/>
    <w:rsid w:val="19492209"/>
    <w:rsid w:val="194C3354"/>
    <w:rsid w:val="19696513"/>
    <w:rsid w:val="196E2C19"/>
    <w:rsid w:val="19790C25"/>
    <w:rsid w:val="198567EB"/>
    <w:rsid w:val="1993382D"/>
    <w:rsid w:val="199E7D0E"/>
    <w:rsid w:val="199F5196"/>
    <w:rsid w:val="19AB33DA"/>
    <w:rsid w:val="19AB35F9"/>
    <w:rsid w:val="19AC28E0"/>
    <w:rsid w:val="19B87511"/>
    <w:rsid w:val="19BB07C5"/>
    <w:rsid w:val="19BF638E"/>
    <w:rsid w:val="19C05792"/>
    <w:rsid w:val="19C43B38"/>
    <w:rsid w:val="19CE05F3"/>
    <w:rsid w:val="19D24EF8"/>
    <w:rsid w:val="19E53290"/>
    <w:rsid w:val="19F34005"/>
    <w:rsid w:val="19FB244B"/>
    <w:rsid w:val="1A007FF1"/>
    <w:rsid w:val="1A177AC0"/>
    <w:rsid w:val="1A181476"/>
    <w:rsid w:val="1A2118C7"/>
    <w:rsid w:val="1A2D1FED"/>
    <w:rsid w:val="1A3B71EE"/>
    <w:rsid w:val="1A3F5404"/>
    <w:rsid w:val="1A427535"/>
    <w:rsid w:val="1A4768A9"/>
    <w:rsid w:val="1A48432A"/>
    <w:rsid w:val="1A4B344A"/>
    <w:rsid w:val="1A584F56"/>
    <w:rsid w:val="1A593329"/>
    <w:rsid w:val="1A6577DA"/>
    <w:rsid w:val="1A7309F2"/>
    <w:rsid w:val="1A742D94"/>
    <w:rsid w:val="1A7921E0"/>
    <w:rsid w:val="1A8731F4"/>
    <w:rsid w:val="1A87729A"/>
    <w:rsid w:val="1A885944"/>
    <w:rsid w:val="1A8C7B66"/>
    <w:rsid w:val="1A980C31"/>
    <w:rsid w:val="1AB96F3D"/>
    <w:rsid w:val="1AD0774C"/>
    <w:rsid w:val="1ADC6192"/>
    <w:rsid w:val="1AE16AA7"/>
    <w:rsid w:val="1AEE236F"/>
    <w:rsid w:val="1AF571AB"/>
    <w:rsid w:val="1B0A73AB"/>
    <w:rsid w:val="1B224C1C"/>
    <w:rsid w:val="1B2266D2"/>
    <w:rsid w:val="1B286FC3"/>
    <w:rsid w:val="1B300D8A"/>
    <w:rsid w:val="1B3674BF"/>
    <w:rsid w:val="1B3734E0"/>
    <w:rsid w:val="1B486006"/>
    <w:rsid w:val="1B4C3604"/>
    <w:rsid w:val="1B4D5548"/>
    <w:rsid w:val="1B531365"/>
    <w:rsid w:val="1B5D63F1"/>
    <w:rsid w:val="1B681F80"/>
    <w:rsid w:val="1B72693D"/>
    <w:rsid w:val="1B831FD7"/>
    <w:rsid w:val="1B84064D"/>
    <w:rsid w:val="1B8751B7"/>
    <w:rsid w:val="1B9101F5"/>
    <w:rsid w:val="1B915C2F"/>
    <w:rsid w:val="1B954BF1"/>
    <w:rsid w:val="1BA61885"/>
    <w:rsid w:val="1BA6336D"/>
    <w:rsid w:val="1BAE4EF6"/>
    <w:rsid w:val="1BD46FCF"/>
    <w:rsid w:val="1BEA20AB"/>
    <w:rsid w:val="1BED0EBF"/>
    <w:rsid w:val="1BFE58FB"/>
    <w:rsid w:val="1C044060"/>
    <w:rsid w:val="1C053465"/>
    <w:rsid w:val="1C147F84"/>
    <w:rsid w:val="1C197E29"/>
    <w:rsid w:val="1C1A7AA9"/>
    <w:rsid w:val="1C1C60FF"/>
    <w:rsid w:val="1C3112C0"/>
    <w:rsid w:val="1C32142D"/>
    <w:rsid w:val="1C3B39BC"/>
    <w:rsid w:val="1C3C12E2"/>
    <w:rsid w:val="1C4E5804"/>
    <w:rsid w:val="1C5839EC"/>
    <w:rsid w:val="1C5D7A0C"/>
    <w:rsid w:val="1C692A69"/>
    <w:rsid w:val="1C74143C"/>
    <w:rsid w:val="1C807B80"/>
    <w:rsid w:val="1C931CF1"/>
    <w:rsid w:val="1C9664E1"/>
    <w:rsid w:val="1C971F36"/>
    <w:rsid w:val="1C976FB2"/>
    <w:rsid w:val="1CA14B85"/>
    <w:rsid w:val="1CA3451A"/>
    <w:rsid w:val="1CB96604"/>
    <w:rsid w:val="1CC74FD6"/>
    <w:rsid w:val="1CEA738A"/>
    <w:rsid w:val="1CEC58AA"/>
    <w:rsid w:val="1CF21D0A"/>
    <w:rsid w:val="1D0E1819"/>
    <w:rsid w:val="1D157A1B"/>
    <w:rsid w:val="1D19713F"/>
    <w:rsid w:val="1D2D0DEF"/>
    <w:rsid w:val="1D3E773E"/>
    <w:rsid w:val="1D3E79B0"/>
    <w:rsid w:val="1D436612"/>
    <w:rsid w:val="1D4D7249"/>
    <w:rsid w:val="1D592705"/>
    <w:rsid w:val="1D59471B"/>
    <w:rsid w:val="1D6351FA"/>
    <w:rsid w:val="1D6568A6"/>
    <w:rsid w:val="1D6A41A3"/>
    <w:rsid w:val="1D7038BD"/>
    <w:rsid w:val="1D7A676B"/>
    <w:rsid w:val="1D7D1A93"/>
    <w:rsid w:val="1D800099"/>
    <w:rsid w:val="1D820C7F"/>
    <w:rsid w:val="1D8C49C7"/>
    <w:rsid w:val="1D8E540C"/>
    <w:rsid w:val="1D8F18A8"/>
    <w:rsid w:val="1D9147E7"/>
    <w:rsid w:val="1D982F3C"/>
    <w:rsid w:val="1DA172EB"/>
    <w:rsid w:val="1DAE2FC1"/>
    <w:rsid w:val="1DB469E0"/>
    <w:rsid w:val="1DBA6285"/>
    <w:rsid w:val="1DBD168C"/>
    <w:rsid w:val="1DC56349"/>
    <w:rsid w:val="1DC6444B"/>
    <w:rsid w:val="1DC65566"/>
    <w:rsid w:val="1DCB473D"/>
    <w:rsid w:val="1DDB46DD"/>
    <w:rsid w:val="1DDE0474"/>
    <w:rsid w:val="1DEC42B4"/>
    <w:rsid w:val="1DF946A5"/>
    <w:rsid w:val="1E061BD3"/>
    <w:rsid w:val="1E073003"/>
    <w:rsid w:val="1E077654"/>
    <w:rsid w:val="1E132223"/>
    <w:rsid w:val="1E150685"/>
    <w:rsid w:val="1E196345"/>
    <w:rsid w:val="1E1B36DB"/>
    <w:rsid w:val="1E1E3578"/>
    <w:rsid w:val="1E1F1478"/>
    <w:rsid w:val="1E1F4CFA"/>
    <w:rsid w:val="1E2112AD"/>
    <w:rsid w:val="1E247477"/>
    <w:rsid w:val="1E2D008F"/>
    <w:rsid w:val="1E2F020C"/>
    <w:rsid w:val="1E3173A3"/>
    <w:rsid w:val="1E37603B"/>
    <w:rsid w:val="1E4004A8"/>
    <w:rsid w:val="1E443DDD"/>
    <w:rsid w:val="1E4F7829"/>
    <w:rsid w:val="1E5A65F4"/>
    <w:rsid w:val="1E684636"/>
    <w:rsid w:val="1E71264E"/>
    <w:rsid w:val="1E7803CB"/>
    <w:rsid w:val="1E7D7B6F"/>
    <w:rsid w:val="1E85149C"/>
    <w:rsid w:val="1E925491"/>
    <w:rsid w:val="1E934C6D"/>
    <w:rsid w:val="1E984943"/>
    <w:rsid w:val="1EA2204E"/>
    <w:rsid w:val="1EA3682A"/>
    <w:rsid w:val="1EA44F54"/>
    <w:rsid w:val="1EA83BBB"/>
    <w:rsid w:val="1EB8717C"/>
    <w:rsid w:val="1EC73863"/>
    <w:rsid w:val="1ECA566E"/>
    <w:rsid w:val="1EDB553E"/>
    <w:rsid w:val="1EE02246"/>
    <w:rsid w:val="1EE47F3C"/>
    <w:rsid w:val="1EEA44C0"/>
    <w:rsid w:val="1EF04C88"/>
    <w:rsid w:val="1EF246E5"/>
    <w:rsid w:val="1EFC55E3"/>
    <w:rsid w:val="1EFF75E8"/>
    <w:rsid w:val="1F057ADE"/>
    <w:rsid w:val="1F0771F7"/>
    <w:rsid w:val="1F0E7506"/>
    <w:rsid w:val="1F1E215B"/>
    <w:rsid w:val="1F297CFB"/>
    <w:rsid w:val="1F304B38"/>
    <w:rsid w:val="1F3E4B6B"/>
    <w:rsid w:val="1F3E7394"/>
    <w:rsid w:val="1F4924CA"/>
    <w:rsid w:val="1F4D263E"/>
    <w:rsid w:val="1F5617FE"/>
    <w:rsid w:val="1F590FBD"/>
    <w:rsid w:val="1F5D49BB"/>
    <w:rsid w:val="1F66300A"/>
    <w:rsid w:val="1F6D7F66"/>
    <w:rsid w:val="1F6E2B06"/>
    <w:rsid w:val="1F7347A2"/>
    <w:rsid w:val="1F7F013A"/>
    <w:rsid w:val="1F7F2660"/>
    <w:rsid w:val="1F8623CF"/>
    <w:rsid w:val="1F8A4EEE"/>
    <w:rsid w:val="1F90634B"/>
    <w:rsid w:val="1FA30FFF"/>
    <w:rsid w:val="1FA5165B"/>
    <w:rsid w:val="1FB47328"/>
    <w:rsid w:val="1FB9689D"/>
    <w:rsid w:val="1FC00C01"/>
    <w:rsid w:val="1FC10A48"/>
    <w:rsid w:val="1FCA128A"/>
    <w:rsid w:val="1FCB0295"/>
    <w:rsid w:val="1FDC04D4"/>
    <w:rsid w:val="1FDD5508"/>
    <w:rsid w:val="1FE521F3"/>
    <w:rsid w:val="1FEB4DCB"/>
    <w:rsid w:val="1FF82788"/>
    <w:rsid w:val="1FFE458D"/>
    <w:rsid w:val="20006240"/>
    <w:rsid w:val="20042D24"/>
    <w:rsid w:val="20043C15"/>
    <w:rsid w:val="200F4E0D"/>
    <w:rsid w:val="20343172"/>
    <w:rsid w:val="2034516F"/>
    <w:rsid w:val="20383DA2"/>
    <w:rsid w:val="203C17F2"/>
    <w:rsid w:val="204004F3"/>
    <w:rsid w:val="20425A33"/>
    <w:rsid w:val="2046647E"/>
    <w:rsid w:val="20563D01"/>
    <w:rsid w:val="2061464C"/>
    <w:rsid w:val="2074194C"/>
    <w:rsid w:val="207451CF"/>
    <w:rsid w:val="20822C24"/>
    <w:rsid w:val="20893D9F"/>
    <w:rsid w:val="208E1E98"/>
    <w:rsid w:val="20924D47"/>
    <w:rsid w:val="20947F28"/>
    <w:rsid w:val="209F7777"/>
    <w:rsid w:val="20A80EEE"/>
    <w:rsid w:val="20B004AC"/>
    <w:rsid w:val="20BD6CCC"/>
    <w:rsid w:val="20C73DEA"/>
    <w:rsid w:val="20CD4236"/>
    <w:rsid w:val="20FB092C"/>
    <w:rsid w:val="20FE18B0"/>
    <w:rsid w:val="20FF03ED"/>
    <w:rsid w:val="210E023E"/>
    <w:rsid w:val="21222D6A"/>
    <w:rsid w:val="2131571E"/>
    <w:rsid w:val="21436DBD"/>
    <w:rsid w:val="21436EFA"/>
    <w:rsid w:val="215D5998"/>
    <w:rsid w:val="2160562E"/>
    <w:rsid w:val="21624363"/>
    <w:rsid w:val="216A315E"/>
    <w:rsid w:val="21742B3C"/>
    <w:rsid w:val="2179622A"/>
    <w:rsid w:val="217E3AA2"/>
    <w:rsid w:val="219F4265"/>
    <w:rsid w:val="21A734D8"/>
    <w:rsid w:val="21B376FD"/>
    <w:rsid w:val="21B55968"/>
    <w:rsid w:val="21BF4CC5"/>
    <w:rsid w:val="21C173F0"/>
    <w:rsid w:val="21C5554D"/>
    <w:rsid w:val="21C57FF4"/>
    <w:rsid w:val="21C847FC"/>
    <w:rsid w:val="21CB7752"/>
    <w:rsid w:val="21E1194D"/>
    <w:rsid w:val="21E63907"/>
    <w:rsid w:val="21E73DD9"/>
    <w:rsid w:val="21EB06F8"/>
    <w:rsid w:val="21F430C2"/>
    <w:rsid w:val="21F869EE"/>
    <w:rsid w:val="22053A86"/>
    <w:rsid w:val="220B36ED"/>
    <w:rsid w:val="220C40E4"/>
    <w:rsid w:val="22125F12"/>
    <w:rsid w:val="22154AF9"/>
    <w:rsid w:val="221C6E2C"/>
    <w:rsid w:val="2220773B"/>
    <w:rsid w:val="222143BC"/>
    <w:rsid w:val="2228253A"/>
    <w:rsid w:val="2229085C"/>
    <w:rsid w:val="223117AA"/>
    <w:rsid w:val="22315125"/>
    <w:rsid w:val="223E67D7"/>
    <w:rsid w:val="22542FA5"/>
    <w:rsid w:val="22590EA2"/>
    <w:rsid w:val="225A4F63"/>
    <w:rsid w:val="22602004"/>
    <w:rsid w:val="22652D77"/>
    <w:rsid w:val="2277704A"/>
    <w:rsid w:val="227F2C29"/>
    <w:rsid w:val="22817E82"/>
    <w:rsid w:val="22A805E7"/>
    <w:rsid w:val="22AA563C"/>
    <w:rsid w:val="22AB4DEF"/>
    <w:rsid w:val="22AC2723"/>
    <w:rsid w:val="22AD77A4"/>
    <w:rsid w:val="22AF37F5"/>
    <w:rsid w:val="22BB723B"/>
    <w:rsid w:val="22C17369"/>
    <w:rsid w:val="22CB40EE"/>
    <w:rsid w:val="22D31C13"/>
    <w:rsid w:val="22D55A53"/>
    <w:rsid w:val="22D84B50"/>
    <w:rsid w:val="22ED6B5D"/>
    <w:rsid w:val="22F55635"/>
    <w:rsid w:val="22FA6B3F"/>
    <w:rsid w:val="230044F9"/>
    <w:rsid w:val="230107AF"/>
    <w:rsid w:val="230372B3"/>
    <w:rsid w:val="23064C7E"/>
    <w:rsid w:val="23143199"/>
    <w:rsid w:val="23185706"/>
    <w:rsid w:val="231D2E14"/>
    <w:rsid w:val="23287C3C"/>
    <w:rsid w:val="23305593"/>
    <w:rsid w:val="2337408D"/>
    <w:rsid w:val="233911DB"/>
    <w:rsid w:val="233B0E5B"/>
    <w:rsid w:val="23471A32"/>
    <w:rsid w:val="23490136"/>
    <w:rsid w:val="234D23FA"/>
    <w:rsid w:val="234E207A"/>
    <w:rsid w:val="235C0EF6"/>
    <w:rsid w:val="236A6126"/>
    <w:rsid w:val="236B1787"/>
    <w:rsid w:val="237D5147"/>
    <w:rsid w:val="23827D58"/>
    <w:rsid w:val="2390119A"/>
    <w:rsid w:val="23944D6C"/>
    <w:rsid w:val="2397085C"/>
    <w:rsid w:val="239C0C8D"/>
    <w:rsid w:val="239C2AD8"/>
    <w:rsid w:val="23AD1A19"/>
    <w:rsid w:val="23CB7951"/>
    <w:rsid w:val="23DA7D91"/>
    <w:rsid w:val="23DE58D7"/>
    <w:rsid w:val="23E92278"/>
    <w:rsid w:val="23EA7CFA"/>
    <w:rsid w:val="240D1487"/>
    <w:rsid w:val="24157E0B"/>
    <w:rsid w:val="24162460"/>
    <w:rsid w:val="241A0FE7"/>
    <w:rsid w:val="241E041F"/>
    <w:rsid w:val="242258D5"/>
    <w:rsid w:val="242C48C0"/>
    <w:rsid w:val="243B4281"/>
    <w:rsid w:val="24400708"/>
    <w:rsid w:val="244554A5"/>
    <w:rsid w:val="24531D92"/>
    <w:rsid w:val="24545B99"/>
    <w:rsid w:val="24561C0A"/>
    <w:rsid w:val="245A717F"/>
    <w:rsid w:val="245E2BF6"/>
    <w:rsid w:val="24615888"/>
    <w:rsid w:val="24681644"/>
    <w:rsid w:val="246F5B2E"/>
    <w:rsid w:val="247750AC"/>
    <w:rsid w:val="247C7006"/>
    <w:rsid w:val="24857F83"/>
    <w:rsid w:val="24925284"/>
    <w:rsid w:val="24A55E42"/>
    <w:rsid w:val="24A94E07"/>
    <w:rsid w:val="24D1342B"/>
    <w:rsid w:val="24D151E8"/>
    <w:rsid w:val="24DD344A"/>
    <w:rsid w:val="24E306CA"/>
    <w:rsid w:val="24F064BD"/>
    <w:rsid w:val="24FE653D"/>
    <w:rsid w:val="250613CB"/>
    <w:rsid w:val="250A5BD3"/>
    <w:rsid w:val="250C12B4"/>
    <w:rsid w:val="250E1DB1"/>
    <w:rsid w:val="251B2BA7"/>
    <w:rsid w:val="25256789"/>
    <w:rsid w:val="252866D1"/>
    <w:rsid w:val="25297B6B"/>
    <w:rsid w:val="252A120C"/>
    <w:rsid w:val="252A64E6"/>
    <w:rsid w:val="253D21C7"/>
    <w:rsid w:val="25413B2E"/>
    <w:rsid w:val="25465361"/>
    <w:rsid w:val="254838B6"/>
    <w:rsid w:val="255110C3"/>
    <w:rsid w:val="255538BC"/>
    <w:rsid w:val="25671B96"/>
    <w:rsid w:val="256E78CC"/>
    <w:rsid w:val="25745797"/>
    <w:rsid w:val="25797277"/>
    <w:rsid w:val="25850D9A"/>
    <w:rsid w:val="2598673B"/>
    <w:rsid w:val="25A07673"/>
    <w:rsid w:val="25A563CE"/>
    <w:rsid w:val="25B27C25"/>
    <w:rsid w:val="25BF4D4F"/>
    <w:rsid w:val="25DA5423"/>
    <w:rsid w:val="25E04181"/>
    <w:rsid w:val="25E50DB2"/>
    <w:rsid w:val="25EC0CEC"/>
    <w:rsid w:val="25EE0C55"/>
    <w:rsid w:val="25FB54F9"/>
    <w:rsid w:val="260E0F06"/>
    <w:rsid w:val="261C1FE8"/>
    <w:rsid w:val="261C4494"/>
    <w:rsid w:val="261E6B42"/>
    <w:rsid w:val="26200E47"/>
    <w:rsid w:val="26250EA4"/>
    <w:rsid w:val="262E1F92"/>
    <w:rsid w:val="263D69F5"/>
    <w:rsid w:val="264244A1"/>
    <w:rsid w:val="264249D5"/>
    <w:rsid w:val="264834DB"/>
    <w:rsid w:val="264A1001"/>
    <w:rsid w:val="26637B64"/>
    <w:rsid w:val="266447A8"/>
    <w:rsid w:val="26775645"/>
    <w:rsid w:val="26804A23"/>
    <w:rsid w:val="268B6DE9"/>
    <w:rsid w:val="26914E82"/>
    <w:rsid w:val="269D1FFF"/>
    <w:rsid w:val="269D7480"/>
    <w:rsid w:val="26AD1E75"/>
    <w:rsid w:val="26B300BB"/>
    <w:rsid w:val="26C716D2"/>
    <w:rsid w:val="26C73C75"/>
    <w:rsid w:val="26C76FF4"/>
    <w:rsid w:val="26CB7914"/>
    <w:rsid w:val="26CC683F"/>
    <w:rsid w:val="26D42B4F"/>
    <w:rsid w:val="26D926BA"/>
    <w:rsid w:val="26E9290B"/>
    <w:rsid w:val="26F03689"/>
    <w:rsid w:val="26F32B65"/>
    <w:rsid w:val="26F566D6"/>
    <w:rsid w:val="26FD1886"/>
    <w:rsid w:val="27015D0E"/>
    <w:rsid w:val="271933B4"/>
    <w:rsid w:val="272A0AD1"/>
    <w:rsid w:val="272A364F"/>
    <w:rsid w:val="272A419C"/>
    <w:rsid w:val="27373EBA"/>
    <w:rsid w:val="273C5BBB"/>
    <w:rsid w:val="273D00F1"/>
    <w:rsid w:val="273F6CCC"/>
    <w:rsid w:val="2740603C"/>
    <w:rsid w:val="27411648"/>
    <w:rsid w:val="27643F7B"/>
    <w:rsid w:val="2768649A"/>
    <w:rsid w:val="277516C9"/>
    <w:rsid w:val="277D65A6"/>
    <w:rsid w:val="278C2824"/>
    <w:rsid w:val="27A60A1A"/>
    <w:rsid w:val="27AC17DC"/>
    <w:rsid w:val="27AF3FCA"/>
    <w:rsid w:val="27B01338"/>
    <w:rsid w:val="27BB513C"/>
    <w:rsid w:val="27C15E67"/>
    <w:rsid w:val="27C333B3"/>
    <w:rsid w:val="27CA298E"/>
    <w:rsid w:val="27CF3DDC"/>
    <w:rsid w:val="27D27437"/>
    <w:rsid w:val="27D33279"/>
    <w:rsid w:val="27DD2AAE"/>
    <w:rsid w:val="27F11AD9"/>
    <w:rsid w:val="28083169"/>
    <w:rsid w:val="281025A5"/>
    <w:rsid w:val="281C03E3"/>
    <w:rsid w:val="28203EEE"/>
    <w:rsid w:val="282136DA"/>
    <w:rsid w:val="282249BA"/>
    <w:rsid w:val="283B6D0F"/>
    <w:rsid w:val="284A2FB2"/>
    <w:rsid w:val="284A74CB"/>
    <w:rsid w:val="284B2C3B"/>
    <w:rsid w:val="284C5708"/>
    <w:rsid w:val="284D0C41"/>
    <w:rsid w:val="28516D39"/>
    <w:rsid w:val="285E431C"/>
    <w:rsid w:val="28666C7D"/>
    <w:rsid w:val="286E54EA"/>
    <w:rsid w:val="2872422B"/>
    <w:rsid w:val="28795C6C"/>
    <w:rsid w:val="287A5DB9"/>
    <w:rsid w:val="288051AE"/>
    <w:rsid w:val="288373CE"/>
    <w:rsid w:val="288604CA"/>
    <w:rsid w:val="2886580A"/>
    <w:rsid w:val="288E219C"/>
    <w:rsid w:val="2894468D"/>
    <w:rsid w:val="28B975DD"/>
    <w:rsid w:val="28BC10AF"/>
    <w:rsid w:val="28BF67A1"/>
    <w:rsid w:val="28C72916"/>
    <w:rsid w:val="28DD1632"/>
    <w:rsid w:val="28E71D8F"/>
    <w:rsid w:val="28ED0D31"/>
    <w:rsid w:val="28ED75D8"/>
    <w:rsid w:val="28FD484F"/>
    <w:rsid w:val="290A2936"/>
    <w:rsid w:val="29111CBB"/>
    <w:rsid w:val="29186DE7"/>
    <w:rsid w:val="291E56A0"/>
    <w:rsid w:val="29245D79"/>
    <w:rsid w:val="2935022C"/>
    <w:rsid w:val="293B35F3"/>
    <w:rsid w:val="29453D02"/>
    <w:rsid w:val="29510C23"/>
    <w:rsid w:val="29657F00"/>
    <w:rsid w:val="296B31B9"/>
    <w:rsid w:val="29814156"/>
    <w:rsid w:val="299943C1"/>
    <w:rsid w:val="29A504DF"/>
    <w:rsid w:val="29A90B1B"/>
    <w:rsid w:val="29AE5D4B"/>
    <w:rsid w:val="29B25523"/>
    <w:rsid w:val="29B803FD"/>
    <w:rsid w:val="29BC0105"/>
    <w:rsid w:val="29C27A8F"/>
    <w:rsid w:val="29C66A53"/>
    <w:rsid w:val="29CC039F"/>
    <w:rsid w:val="29CD5E21"/>
    <w:rsid w:val="29CD6C8A"/>
    <w:rsid w:val="29D976DC"/>
    <w:rsid w:val="29DB7B11"/>
    <w:rsid w:val="29EA758C"/>
    <w:rsid w:val="29F333EC"/>
    <w:rsid w:val="2A067935"/>
    <w:rsid w:val="2A076A1B"/>
    <w:rsid w:val="2A097B3F"/>
    <w:rsid w:val="2A186DAB"/>
    <w:rsid w:val="2A187A67"/>
    <w:rsid w:val="2A1B7813"/>
    <w:rsid w:val="2A3859A4"/>
    <w:rsid w:val="2A3E0BD6"/>
    <w:rsid w:val="2A4028DC"/>
    <w:rsid w:val="2A57091B"/>
    <w:rsid w:val="2A5F2322"/>
    <w:rsid w:val="2A63541A"/>
    <w:rsid w:val="2A6850DE"/>
    <w:rsid w:val="2A6A5F4A"/>
    <w:rsid w:val="2A6F5A55"/>
    <w:rsid w:val="2A7824D1"/>
    <w:rsid w:val="2A7F0BFC"/>
    <w:rsid w:val="2A872A0F"/>
    <w:rsid w:val="2A9A4271"/>
    <w:rsid w:val="2AAC2C4C"/>
    <w:rsid w:val="2AB3299A"/>
    <w:rsid w:val="2AB538C0"/>
    <w:rsid w:val="2ABD5E30"/>
    <w:rsid w:val="2AC668A3"/>
    <w:rsid w:val="2AC84EE5"/>
    <w:rsid w:val="2AD1281A"/>
    <w:rsid w:val="2AD51ED6"/>
    <w:rsid w:val="2ADC2718"/>
    <w:rsid w:val="2AE0391F"/>
    <w:rsid w:val="2AE913B6"/>
    <w:rsid w:val="2AF07C9E"/>
    <w:rsid w:val="2AF721FD"/>
    <w:rsid w:val="2AFD6E9F"/>
    <w:rsid w:val="2B093457"/>
    <w:rsid w:val="2B227DE3"/>
    <w:rsid w:val="2B312B90"/>
    <w:rsid w:val="2B3925DF"/>
    <w:rsid w:val="2B3B360F"/>
    <w:rsid w:val="2B3E3E52"/>
    <w:rsid w:val="2B4E03C3"/>
    <w:rsid w:val="2B524D23"/>
    <w:rsid w:val="2B5760DD"/>
    <w:rsid w:val="2B596A3C"/>
    <w:rsid w:val="2B625C22"/>
    <w:rsid w:val="2B65243A"/>
    <w:rsid w:val="2B6C545C"/>
    <w:rsid w:val="2B6C7C6C"/>
    <w:rsid w:val="2B707CD9"/>
    <w:rsid w:val="2B772B78"/>
    <w:rsid w:val="2B793F6C"/>
    <w:rsid w:val="2B830D7F"/>
    <w:rsid w:val="2B942D1F"/>
    <w:rsid w:val="2B987562"/>
    <w:rsid w:val="2B9E191F"/>
    <w:rsid w:val="2BA33828"/>
    <w:rsid w:val="2BA52E28"/>
    <w:rsid w:val="2BA93F88"/>
    <w:rsid w:val="2BB94C76"/>
    <w:rsid w:val="2BC2163A"/>
    <w:rsid w:val="2BC43D5D"/>
    <w:rsid w:val="2BD43F69"/>
    <w:rsid w:val="2BE0622E"/>
    <w:rsid w:val="2BEA47E9"/>
    <w:rsid w:val="2BEF4151"/>
    <w:rsid w:val="2BFA4C0B"/>
    <w:rsid w:val="2BFB2D9E"/>
    <w:rsid w:val="2BFC4584"/>
    <w:rsid w:val="2BFC6FEA"/>
    <w:rsid w:val="2C0D1D64"/>
    <w:rsid w:val="2C0F50D6"/>
    <w:rsid w:val="2C1D04D0"/>
    <w:rsid w:val="2C1D0987"/>
    <w:rsid w:val="2C2518C5"/>
    <w:rsid w:val="2C251BC9"/>
    <w:rsid w:val="2C300F63"/>
    <w:rsid w:val="2C351E0C"/>
    <w:rsid w:val="2C3E4978"/>
    <w:rsid w:val="2C46623B"/>
    <w:rsid w:val="2C4A4E25"/>
    <w:rsid w:val="2C584AC4"/>
    <w:rsid w:val="2C683709"/>
    <w:rsid w:val="2C6B57F0"/>
    <w:rsid w:val="2C6F2582"/>
    <w:rsid w:val="2C700A19"/>
    <w:rsid w:val="2C7B392A"/>
    <w:rsid w:val="2C9E7390"/>
    <w:rsid w:val="2CA077DE"/>
    <w:rsid w:val="2CA52CDB"/>
    <w:rsid w:val="2CA64D03"/>
    <w:rsid w:val="2CAE175C"/>
    <w:rsid w:val="2CE64327"/>
    <w:rsid w:val="2CE84DB9"/>
    <w:rsid w:val="2CF816E8"/>
    <w:rsid w:val="2CF927C9"/>
    <w:rsid w:val="2D0442DF"/>
    <w:rsid w:val="2D175908"/>
    <w:rsid w:val="2D294F66"/>
    <w:rsid w:val="2D2D44E0"/>
    <w:rsid w:val="2D2F2FAF"/>
    <w:rsid w:val="2D3A5642"/>
    <w:rsid w:val="2D3E2F42"/>
    <w:rsid w:val="2D3E57C8"/>
    <w:rsid w:val="2D4E340C"/>
    <w:rsid w:val="2D5463F6"/>
    <w:rsid w:val="2D5E49ED"/>
    <w:rsid w:val="2D655A1B"/>
    <w:rsid w:val="2D6C4961"/>
    <w:rsid w:val="2D892E82"/>
    <w:rsid w:val="2D8F684C"/>
    <w:rsid w:val="2D957971"/>
    <w:rsid w:val="2D994498"/>
    <w:rsid w:val="2D9F43CB"/>
    <w:rsid w:val="2DA750CD"/>
    <w:rsid w:val="2DBC0615"/>
    <w:rsid w:val="2DBC3786"/>
    <w:rsid w:val="2DBF6725"/>
    <w:rsid w:val="2DC508CC"/>
    <w:rsid w:val="2DC77CAA"/>
    <w:rsid w:val="2DC8169D"/>
    <w:rsid w:val="2DD04A14"/>
    <w:rsid w:val="2DD67C92"/>
    <w:rsid w:val="2DDB721A"/>
    <w:rsid w:val="2DDF4D42"/>
    <w:rsid w:val="2DE3164D"/>
    <w:rsid w:val="2DE55DA3"/>
    <w:rsid w:val="2DEE2BBA"/>
    <w:rsid w:val="2E1546AF"/>
    <w:rsid w:val="2E1754AB"/>
    <w:rsid w:val="2E1D3612"/>
    <w:rsid w:val="2E254102"/>
    <w:rsid w:val="2E2B2E1A"/>
    <w:rsid w:val="2E360120"/>
    <w:rsid w:val="2E4857C4"/>
    <w:rsid w:val="2E4E703D"/>
    <w:rsid w:val="2E4F2E0A"/>
    <w:rsid w:val="2E52219C"/>
    <w:rsid w:val="2E5D54EC"/>
    <w:rsid w:val="2E625DA8"/>
    <w:rsid w:val="2E64176B"/>
    <w:rsid w:val="2E69193E"/>
    <w:rsid w:val="2E7E1D1D"/>
    <w:rsid w:val="2E812C74"/>
    <w:rsid w:val="2E8E7C36"/>
    <w:rsid w:val="2E9375F4"/>
    <w:rsid w:val="2EA51339"/>
    <w:rsid w:val="2EB97C8B"/>
    <w:rsid w:val="2EC02441"/>
    <w:rsid w:val="2EC74964"/>
    <w:rsid w:val="2ECA7E40"/>
    <w:rsid w:val="2EE774CE"/>
    <w:rsid w:val="2EEA58C5"/>
    <w:rsid w:val="2EEC33AA"/>
    <w:rsid w:val="2EEF1EC0"/>
    <w:rsid w:val="2EF10EB3"/>
    <w:rsid w:val="2F0518B0"/>
    <w:rsid w:val="2F133481"/>
    <w:rsid w:val="2F135249"/>
    <w:rsid w:val="2F257C3B"/>
    <w:rsid w:val="2F283C00"/>
    <w:rsid w:val="2F2B2B76"/>
    <w:rsid w:val="2F2E5BFD"/>
    <w:rsid w:val="2F3B16DC"/>
    <w:rsid w:val="2F41047B"/>
    <w:rsid w:val="2F432A1A"/>
    <w:rsid w:val="2F437308"/>
    <w:rsid w:val="2F4A38EB"/>
    <w:rsid w:val="2F4A6B22"/>
    <w:rsid w:val="2F4E216D"/>
    <w:rsid w:val="2F4F7033"/>
    <w:rsid w:val="2F556CCF"/>
    <w:rsid w:val="2F575E37"/>
    <w:rsid w:val="2F59275C"/>
    <w:rsid w:val="2F5C6564"/>
    <w:rsid w:val="2F612790"/>
    <w:rsid w:val="2F680EE9"/>
    <w:rsid w:val="2F6A362D"/>
    <w:rsid w:val="2F6B1ACA"/>
    <w:rsid w:val="2F72016D"/>
    <w:rsid w:val="2F724463"/>
    <w:rsid w:val="2F7A2591"/>
    <w:rsid w:val="2F7B0754"/>
    <w:rsid w:val="2F7B1E30"/>
    <w:rsid w:val="2F803CE6"/>
    <w:rsid w:val="2F864B83"/>
    <w:rsid w:val="2F9D65AC"/>
    <w:rsid w:val="2FA64CBD"/>
    <w:rsid w:val="2FAD43AF"/>
    <w:rsid w:val="2FAE5B3A"/>
    <w:rsid w:val="2FB177CB"/>
    <w:rsid w:val="2FB2232F"/>
    <w:rsid w:val="2FD23E16"/>
    <w:rsid w:val="2FE0031A"/>
    <w:rsid w:val="2FE8088C"/>
    <w:rsid w:val="2FE84A29"/>
    <w:rsid w:val="2FEF338A"/>
    <w:rsid w:val="2FF16036"/>
    <w:rsid w:val="2FF6325E"/>
    <w:rsid w:val="2FFC43C7"/>
    <w:rsid w:val="300601CD"/>
    <w:rsid w:val="300A6F60"/>
    <w:rsid w:val="30191779"/>
    <w:rsid w:val="30564DF2"/>
    <w:rsid w:val="305D3C52"/>
    <w:rsid w:val="306002AE"/>
    <w:rsid w:val="30636AE9"/>
    <w:rsid w:val="306A6A58"/>
    <w:rsid w:val="30772182"/>
    <w:rsid w:val="30850788"/>
    <w:rsid w:val="30923B41"/>
    <w:rsid w:val="30A67616"/>
    <w:rsid w:val="30AB7AE0"/>
    <w:rsid w:val="30BA5A7F"/>
    <w:rsid w:val="30CA5D19"/>
    <w:rsid w:val="30CB1EC4"/>
    <w:rsid w:val="30D1781F"/>
    <w:rsid w:val="30E14E56"/>
    <w:rsid w:val="30F048A7"/>
    <w:rsid w:val="30F55C38"/>
    <w:rsid w:val="30F62060"/>
    <w:rsid w:val="30F76BA0"/>
    <w:rsid w:val="310D5D14"/>
    <w:rsid w:val="310D7A87"/>
    <w:rsid w:val="31172428"/>
    <w:rsid w:val="311B481E"/>
    <w:rsid w:val="31253A1B"/>
    <w:rsid w:val="312915B6"/>
    <w:rsid w:val="312A5F00"/>
    <w:rsid w:val="312F7B71"/>
    <w:rsid w:val="31342FDA"/>
    <w:rsid w:val="31377A7C"/>
    <w:rsid w:val="31397652"/>
    <w:rsid w:val="3151314F"/>
    <w:rsid w:val="31514CF8"/>
    <w:rsid w:val="31581414"/>
    <w:rsid w:val="316D029A"/>
    <w:rsid w:val="317177AC"/>
    <w:rsid w:val="31763C33"/>
    <w:rsid w:val="317F75DF"/>
    <w:rsid w:val="31954F2B"/>
    <w:rsid w:val="31971D9F"/>
    <w:rsid w:val="31A046D1"/>
    <w:rsid w:val="31BE4652"/>
    <w:rsid w:val="31C14142"/>
    <w:rsid w:val="31C14AF2"/>
    <w:rsid w:val="31C34EC9"/>
    <w:rsid w:val="31C83C1A"/>
    <w:rsid w:val="31CE42C2"/>
    <w:rsid w:val="31DD3C1A"/>
    <w:rsid w:val="31DD7894"/>
    <w:rsid w:val="31EC14B2"/>
    <w:rsid w:val="32042FC9"/>
    <w:rsid w:val="320C1C50"/>
    <w:rsid w:val="320C5E61"/>
    <w:rsid w:val="320F0C79"/>
    <w:rsid w:val="32132252"/>
    <w:rsid w:val="322E447D"/>
    <w:rsid w:val="3234700A"/>
    <w:rsid w:val="323C08FB"/>
    <w:rsid w:val="323D4436"/>
    <w:rsid w:val="323F587B"/>
    <w:rsid w:val="3247650A"/>
    <w:rsid w:val="326B62AE"/>
    <w:rsid w:val="32717916"/>
    <w:rsid w:val="327825F1"/>
    <w:rsid w:val="32794A1C"/>
    <w:rsid w:val="327C4571"/>
    <w:rsid w:val="32810273"/>
    <w:rsid w:val="328208EE"/>
    <w:rsid w:val="32843E49"/>
    <w:rsid w:val="328A78AB"/>
    <w:rsid w:val="328B0AA5"/>
    <w:rsid w:val="328E2407"/>
    <w:rsid w:val="328E6B5F"/>
    <w:rsid w:val="329147C4"/>
    <w:rsid w:val="32973D31"/>
    <w:rsid w:val="32AB0017"/>
    <w:rsid w:val="32AC7811"/>
    <w:rsid w:val="32B12FF1"/>
    <w:rsid w:val="32C406C2"/>
    <w:rsid w:val="32C477D5"/>
    <w:rsid w:val="32CA76F9"/>
    <w:rsid w:val="32D063A1"/>
    <w:rsid w:val="32D17F3E"/>
    <w:rsid w:val="32DA0388"/>
    <w:rsid w:val="32DB2EBC"/>
    <w:rsid w:val="32DE7834"/>
    <w:rsid w:val="32F708AC"/>
    <w:rsid w:val="32F71018"/>
    <w:rsid w:val="32FA2800"/>
    <w:rsid w:val="32FE5BD7"/>
    <w:rsid w:val="32FF5CB9"/>
    <w:rsid w:val="3300300A"/>
    <w:rsid w:val="3309236F"/>
    <w:rsid w:val="33234733"/>
    <w:rsid w:val="332362AE"/>
    <w:rsid w:val="332A7BAD"/>
    <w:rsid w:val="333E6D69"/>
    <w:rsid w:val="33503181"/>
    <w:rsid w:val="335334BF"/>
    <w:rsid w:val="33554EF0"/>
    <w:rsid w:val="33572FB0"/>
    <w:rsid w:val="335B0F42"/>
    <w:rsid w:val="33654E51"/>
    <w:rsid w:val="33710C54"/>
    <w:rsid w:val="337B0E24"/>
    <w:rsid w:val="33872D73"/>
    <w:rsid w:val="338F56E0"/>
    <w:rsid w:val="33956111"/>
    <w:rsid w:val="339E453D"/>
    <w:rsid w:val="33B1543F"/>
    <w:rsid w:val="33B850E7"/>
    <w:rsid w:val="33BA63EC"/>
    <w:rsid w:val="33CE1469"/>
    <w:rsid w:val="33CF0D98"/>
    <w:rsid w:val="33D56FA9"/>
    <w:rsid w:val="33DE3047"/>
    <w:rsid w:val="33E47794"/>
    <w:rsid w:val="33E94D39"/>
    <w:rsid w:val="33F303BC"/>
    <w:rsid w:val="33F94067"/>
    <w:rsid w:val="34002195"/>
    <w:rsid w:val="340660EC"/>
    <w:rsid w:val="341562B5"/>
    <w:rsid w:val="34192013"/>
    <w:rsid w:val="341B3FDD"/>
    <w:rsid w:val="342134C3"/>
    <w:rsid w:val="34230A7C"/>
    <w:rsid w:val="342A76CB"/>
    <w:rsid w:val="34326D9A"/>
    <w:rsid w:val="343B01DB"/>
    <w:rsid w:val="343C56C0"/>
    <w:rsid w:val="344B7C91"/>
    <w:rsid w:val="344C595B"/>
    <w:rsid w:val="34586C4C"/>
    <w:rsid w:val="34695BF5"/>
    <w:rsid w:val="3473581A"/>
    <w:rsid w:val="347D5AAC"/>
    <w:rsid w:val="347F4C98"/>
    <w:rsid w:val="348500DC"/>
    <w:rsid w:val="348B235A"/>
    <w:rsid w:val="348B49DE"/>
    <w:rsid w:val="349415D2"/>
    <w:rsid w:val="349B2D8F"/>
    <w:rsid w:val="34A01151"/>
    <w:rsid w:val="34A95FAC"/>
    <w:rsid w:val="34B53DCA"/>
    <w:rsid w:val="34B72558"/>
    <w:rsid w:val="34BD548B"/>
    <w:rsid w:val="34BF0168"/>
    <w:rsid w:val="34C065FF"/>
    <w:rsid w:val="34CA3BA2"/>
    <w:rsid w:val="34D80DC2"/>
    <w:rsid w:val="34DB6B4B"/>
    <w:rsid w:val="34E316A6"/>
    <w:rsid w:val="34E959C3"/>
    <w:rsid w:val="34EF0FC6"/>
    <w:rsid w:val="34EF31F9"/>
    <w:rsid w:val="34F9661E"/>
    <w:rsid w:val="3507207E"/>
    <w:rsid w:val="3512387F"/>
    <w:rsid w:val="35152965"/>
    <w:rsid w:val="352145DE"/>
    <w:rsid w:val="35225BD7"/>
    <w:rsid w:val="35235343"/>
    <w:rsid w:val="35253CA7"/>
    <w:rsid w:val="35282A1A"/>
    <w:rsid w:val="35296453"/>
    <w:rsid w:val="352A5F43"/>
    <w:rsid w:val="352B7131"/>
    <w:rsid w:val="353357C2"/>
    <w:rsid w:val="353413CD"/>
    <w:rsid w:val="353A44C4"/>
    <w:rsid w:val="35563D94"/>
    <w:rsid w:val="356B252F"/>
    <w:rsid w:val="356B2BF3"/>
    <w:rsid w:val="356B5DB2"/>
    <w:rsid w:val="357065AB"/>
    <w:rsid w:val="35741EC0"/>
    <w:rsid w:val="357A0F70"/>
    <w:rsid w:val="357A7EA8"/>
    <w:rsid w:val="3588784B"/>
    <w:rsid w:val="35957729"/>
    <w:rsid w:val="35964207"/>
    <w:rsid w:val="35977693"/>
    <w:rsid w:val="35A151E2"/>
    <w:rsid w:val="35A4398E"/>
    <w:rsid w:val="35B81E73"/>
    <w:rsid w:val="35C41EE5"/>
    <w:rsid w:val="35CF507F"/>
    <w:rsid w:val="35D45C75"/>
    <w:rsid w:val="35DA6FB4"/>
    <w:rsid w:val="35DF784E"/>
    <w:rsid w:val="35E510F3"/>
    <w:rsid w:val="35EF10DC"/>
    <w:rsid w:val="35F11FFB"/>
    <w:rsid w:val="35F32345"/>
    <w:rsid w:val="35FB42DE"/>
    <w:rsid w:val="36376088"/>
    <w:rsid w:val="363830BD"/>
    <w:rsid w:val="36464946"/>
    <w:rsid w:val="36601B42"/>
    <w:rsid w:val="36771768"/>
    <w:rsid w:val="36820EF5"/>
    <w:rsid w:val="368D2624"/>
    <w:rsid w:val="3692381A"/>
    <w:rsid w:val="36935D85"/>
    <w:rsid w:val="36940077"/>
    <w:rsid w:val="36945499"/>
    <w:rsid w:val="36946C8B"/>
    <w:rsid w:val="36997418"/>
    <w:rsid w:val="369B219F"/>
    <w:rsid w:val="36A15E35"/>
    <w:rsid w:val="36A2012F"/>
    <w:rsid w:val="36A41DFC"/>
    <w:rsid w:val="36A4475E"/>
    <w:rsid w:val="36A74B8A"/>
    <w:rsid w:val="36AC53C0"/>
    <w:rsid w:val="36AF3103"/>
    <w:rsid w:val="36B1432C"/>
    <w:rsid w:val="36B77FD3"/>
    <w:rsid w:val="36B934D6"/>
    <w:rsid w:val="36B968C5"/>
    <w:rsid w:val="36BB2497"/>
    <w:rsid w:val="36BB31FF"/>
    <w:rsid w:val="36BE7536"/>
    <w:rsid w:val="36BF709B"/>
    <w:rsid w:val="36C778E6"/>
    <w:rsid w:val="36DF0624"/>
    <w:rsid w:val="36DF3F6D"/>
    <w:rsid w:val="36EB0066"/>
    <w:rsid w:val="36ED4BFB"/>
    <w:rsid w:val="36F75BFA"/>
    <w:rsid w:val="36FE704F"/>
    <w:rsid w:val="3710026F"/>
    <w:rsid w:val="37126027"/>
    <w:rsid w:val="37132941"/>
    <w:rsid w:val="372721A3"/>
    <w:rsid w:val="37291DD6"/>
    <w:rsid w:val="374714B0"/>
    <w:rsid w:val="374A7542"/>
    <w:rsid w:val="374C28CC"/>
    <w:rsid w:val="374C62C8"/>
    <w:rsid w:val="375141AA"/>
    <w:rsid w:val="375241BA"/>
    <w:rsid w:val="375955C0"/>
    <w:rsid w:val="375B00A0"/>
    <w:rsid w:val="37623490"/>
    <w:rsid w:val="37856F0B"/>
    <w:rsid w:val="378C70B1"/>
    <w:rsid w:val="379012BC"/>
    <w:rsid w:val="379832C6"/>
    <w:rsid w:val="379F75FF"/>
    <w:rsid w:val="37A43061"/>
    <w:rsid w:val="37AF4CE7"/>
    <w:rsid w:val="37B05FE6"/>
    <w:rsid w:val="37B353E0"/>
    <w:rsid w:val="37B449F3"/>
    <w:rsid w:val="37B65DF4"/>
    <w:rsid w:val="37C24913"/>
    <w:rsid w:val="37D16521"/>
    <w:rsid w:val="37D17B69"/>
    <w:rsid w:val="37D62EFC"/>
    <w:rsid w:val="37D64391"/>
    <w:rsid w:val="37DB38F3"/>
    <w:rsid w:val="37E42024"/>
    <w:rsid w:val="37E84446"/>
    <w:rsid w:val="37F30EC2"/>
    <w:rsid w:val="37F668D5"/>
    <w:rsid w:val="380604E0"/>
    <w:rsid w:val="380A6045"/>
    <w:rsid w:val="38163E58"/>
    <w:rsid w:val="38166BC0"/>
    <w:rsid w:val="38211DDE"/>
    <w:rsid w:val="38580356"/>
    <w:rsid w:val="38590F5C"/>
    <w:rsid w:val="385E11CA"/>
    <w:rsid w:val="385F6507"/>
    <w:rsid w:val="387B5906"/>
    <w:rsid w:val="38826086"/>
    <w:rsid w:val="38852DA4"/>
    <w:rsid w:val="388B0A0D"/>
    <w:rsid w:val="389459C4"/>
    <w:rsid w:val="389926E7"/>
    <w:rsid w:val="38AD2580"/>
    <w:rsid w:val="38AD5420"/>
    <w:rsid w:val="38BB3D7A"/>
    <w:rsid w:val="38C36DAE"/>
    <w:rsid w:val="38C81994"/>
    <w:rsid w:val="38C8739A"/>
    <w:rsid w:val="38C94E02"/>
    <w:rsid w:val="38E42B66"/>
    <w:rsid w:val="38E4768D"/>
    <w:rsid w:val="38EB045F"/>
    <w:rsid w:val="38ED44C0"/>
    <w:rsid w:val="38FB278B"/>
    <w:rsid w:val="38FD6EBD"/>
    <w:rsid w:val="38FE6652"/>
    <w:rsid w:val="390120F8"/>
    <w:rsid w:val="39026893"/>
    <w:rsid w:val="39073553"/>
    <w:rsid w:val="39290717"/>
    <w:rsid w:val="392A1EB5"/>
    <w:rsid w:val="393A381B"/>
    <w:rsid w:val="393C377D"/>
    <w:rsid w:val="394C4994"/>
    <w:rsid w:val="39577F45"/>
    <w:rsid w:val="3971246D"/>
    <w:rsid w:val="39766E24"/>
    <w:rsid w:val="39801E64"/>
    <w:rsid w:val="39821BA9"/>
    <w:rsid w:val="398458F1"/>
    <w:rsid w:val="398A1652"/>
    <w:rsid w:val="398D6999"/>
    <w:rsid w:val="39991390"/>
    <w:rsid w:val="399B4EA9"/>
    <w:rsid w:val="39A86127"/>
    <w:rsid w:val="39B05283"/>
    <w:rsid w:val="39C93AF4"/>
    <w:rsid w:val="39E72DCF"/>
    <w:rsid w:val="39F03816"/>
    <w:rsid w:val="39F2056E"/>
    <w:rsid w:val="39F32CDC"/>
    <w:rsid w:val="3A0B0B17"/>
    <w:rsid w:val="3A1144D2"/>
    <w:rsid w:val="3A157423"/>
    <w:rsid w:val="3A233CF8"/>
    <w:rsid w:val="3A246A4E"/>
    <w:rsid w:val="3A322081"/>
    <w:rsid w:val="3A352222"/>
    <w:rsid w:val="3A4561B1"/>
    <w:rsid w:val="3A4A16EF"/>
    <w:rsid w:val="3A4D6EBA"/>
    <w:rsid w:val="3A4F4E59"/>
    <w:rsid w:val="3A5537D6"/>
    <w:rsid w:val="3A55387C"/>
    <w:rsid w:val="3A5F394F"/>
    <w:rsid w:val="3A6E54C1"/>
    <w:rsid w:val="3A7A1F48"/>
    <w:rsid w:val="3A7A59AC"/>
    <w:rsid w:val="3A896D95"/>
    <w:rsid w:val="3A8B5644"/>
    <w:rsid w:val="3A986FFB"/>
    <w:rsid w:val="3AA20FB4"/>
    <w:rsid w:val="3AA534D7"/>
    <w:rsid w:val="3AAE75C6"/>
    <w:rsid w:val="3AC577F8"/>
    <w:rsid w:val="3ACD2A32"/>
    <w:rsid w:val="3AE065FA"/>
    <w:rsid w:val="3AE1310C"/>
    <w:rsid w:val="3AEF464F"/>
    <w:rsid w:val="3AFC21BA"/>
    <w:rsid w:val="3AFC5ABE"/>
    <w:rsid w:val="3B013809"/>
    <w:rsid w:val="3B0438FA"/>
    <w:rsid w:val="3B0502D1"/>
    <w:rsid w:val="3B0A7F94"/>
    <w:rsid w:val="3B101794"/>
    <w:rsid w:val="3B1349F4"/>
    <w:rsid w:val="3B1421CD"/>
    <w:rsid w:val="3B14382A"/>
    <w:rsid w:val="3B1F720C"/>
    <w:rsid w:val="3B2E39A5"/>
    <w:rsid w:val="3B385475"/>
    <w:rsid w:val="3B4B1E55"/>
    <w:rsid w:val="3B58230C"/>
    <w:rsid w:val="3B5907B0"/>
    <w:rsid w:val="3B5A33D3"/>
    <w:rsid w:val="3B800BCA"/>
    <w:rsid w:val="3B811F98"/>
    <w:rsid w:val="3B830EB0"/>
    <w:rsid w:val="3B8634E2"/>
    <w:rsid w:val="3B925FFD"/>
    <w:rsid w:val="3B9276ED"/>
    <w:rsid w:val="3B95464E"/>
    <w:rsid w:val="3B9A3099"/>
    <w:rsid w:val="3B9E3DBF"/>
    <w:rsid w:val="3B9F3746"/>
    <w:rsid w:val="3BA365BF"/>
    <w:rsid w:val="3BAA45F3"/>
    <w:rsid w:val="3BB545D4"/>
    <w:rsid w:val="3BBA3A57"/>
    <w:rsid w:val="3BBD2DFD"/>
    <w:rsid w:val="3BBE03E4"/>
    <w:rsid w:val="3BC80320"/>
    <w:rsid w:val="3BD439C4"/>
    <w:rsid w:val="3BD47C84"/>
    <w:rsid w:val="3BF00F99"/>
    <w:rsid w:val="3BF07330"/>
    <w:rsid w:val="3BF954FE"/>
    <w:rsid w:val="3BFB7875"/>
    <w:rsid w:val="3BFD4A4A"/>
    <w:rsid w:val="3C016944"/>
    <w:rsid w:val="3C0516FB"/>
    <w:rsid w:val="3C080E07"/>
    <w:rsid w:val="3C0B1BDA"/>
    <w:rsid w:val="3C0F0EFF"/>
    <w:rsid w:val="3C10478C"/>
    <w:rsid w:val="3C12749A"/>
    <w:rsid w:val="3C1279E6"/>
    <w:rsid w:val="3C19676E"/>
    <w:rsid w:val="3C236714"/>
    <w:rsid w:val="3C4027F8"/>
    <w:rsid w:val="3C567BDB"/>
    <w:rsid w:val="3C5976B7"/>
    <w:rsid w:val="3C62051E"/>
    <w:rsid w:val="3C637300"/>
    <w:rsid w:val="3C6F1E71"/>
    <w:rsid w:val="3C7038FA"/>
    <w:rsid w:val="3C765397"/>
    <w:rsid w:val="3C7671BF"/>
    <w:rsid w:val="3C822FD1"/>
    <w:rsid w:val="3C8E721A"/>
    <w:rsid w:val="3C8F00E9"/>
    <w:rsid w:val="3C9209EA"/>
    <w:rsid w:val="3C9963E7"/>
    <w:rsid w:val="3CA3132A"/>
    <w:rsid w:val="3CA90CC8"/>
    <w:rsid w:val="3CA96714"/>
    <w:rsid w:val="3CAA1A2C"/>
    <w:rsid w:val="3CB50E64"/>
    <w:rsid w:val="3CB540F6"/>
    <w:rsid w:val="3CC06649"/>
    <w:rsid w:val="3CC263F9"/>
    <w:rsid w:val="3CC538E0"/>
    <w:rsid w:val="3CCC6C89"/>
    <w:rsid w:val="3CD31AD7"/>
    <w:rsid w:val="3CD660FF"/>
    <w:rsid w:val="3CD845E9"/>
    <w:rsid w:val="3CDC444C"/>
    <w:rsid w:val="3CE242F0"/>
    <w:rsid w:val="3CEB3919"/>
    <w:rsid w:val="3CF74855"/>
    <w:rsid w:val="3CFB10A6"/>
    <w:rsid w:val="3D027F90"/>
    <w:rsid w:val="3D060E1E"/>
    <w:rsid w:val="3D165A83"/>
    <w:rsid w:val="3D2922A9"/>
    <w:rsid w:val="3D301015"/>
    <w:rsid w:val="3D380F1F"/>
    <w:rsid w:val="3D4659BD"/>
    <w:rsid w:val="3D531C93"/>
    <w:rsid w:val="3D606013"/>
    <w:rsid w:val="3D6F03F6"/>
    <w:rsid w:val="3D70657F"/>
    <w:rsid w:val="3D766728"/>
    <w:rsid w:val="3D8A30B2"/>
    <w:rsid w:val="3D98075D"/>
    <w:rsid w:val="3D9A7321"/>
    <w:rsid w:val="3D9E17D7"/>
    <w:rsid w:val="3DAB4785"/>
    <w:rsid w:val="3DAE273F"/>
    <w:rsid w:val="3DAF0791"/>
    <w:rsid w:val="3DAF092D"/>
    <w:rsid w:val="3DBB238D"/>
    <w:rsid w:val="3DBC05DF"/>
    <w:rsid w:val="3DBD69BC"/>
    <w:rsid w:val="3DBE56E8"/>
    <w:rsid w:val="3DC213DF"/>
    <w:rsid w:val="3DC65FE0"/>
    <w:rsid w:val="3DCC0AF6"/>
    <w:rsid w:val="3DCD2FF3"/>
    <w:rsid w:val="3DCE51F2"/>
    <w:rsid w:val="3DD53A42"/>
    <w:rsid w:val="3DE3773B"/>
    <w:rsid w:val="3DE80316"/>
    <w:rsid w:val="3DED590B"/>
    <w:rsid w:val="3DEF0FAA"/>
    <w:rsid w:val="3DF55193"/>
    <w:rsid w:val="3DF60D21"/>
    <w:rsid w:val="3E0F3DE3"/>
    <w:rsid w:val="3E122520"/>
    <w:rsid w:val="3E18158D"/>
    <w:rsid w:val="3E1D0952"/>
    <w:rsid w:val="3E234995"/>
    <w:rsid w:val="3E4A5E40"/>
    <w:rsid w:val="3E4B0947"/>
    <w:rsid w:val="3E5129D7"/>
    <w:rsid w:val="3E520151"/>
    <w:rsid w:val="3E6A682D"/>
    <w:rsid w:val="3E6D4087"/>
    <w:rsid w:val="3E7415DD"/>
    <w:rsid w:val="3E7A698F"/>
    <w:rsid w:val="3E7C38CA"/>
    <w:rsid w:val="3E8C5220"/>
    <w:rsid w:val="3E954E18"/>
    <w:rsid w:val="3EA44D32"/>
    <w:rsid w:val="3EA508BB"/>
    <w:rsid w:val="3EA9141C"/>
    <w:rsid w:val="3EBB2C7C"/>
    <w:rsid w:val="3EC57D08"/>
    <w:rsid w:val="3EC74D78"/>
    <w:rsid w:val="3ECE5D1C"/>
    <w:rsid w:val="3ED41958"/>
    <w:rsid w:val="3ED65A24"/>
    <w:rsid w:val="3EE645F2"/>
    <w:rsid w:val="3EF23378"/>
    <w:rsid w:val="3EFE69D5"/>
    <w:rsid w:val="3F0E2965"/>
    <w:rsid w:val="3F177A97"/>
    <w:rsid w:val="3F1C2B3B"/>
    <w:rsid w:val="3F2D1CB6"/>
    <w:rsid w:val="3F2E0EE8"/>
    <w:rsid w:val="3F317BBD"/>
    <w:rsid w:val="3F3A2F0C"/>
    <w:rsid w:val="3F3D02B8"/>
    <w:rsid w:val="3F421117"/>
    <w:rsid w:val="3F4264DD"/>
    <w:rsid w:val="3F437773"/>
    <w:rsid w:val="3F4643D6"/>
    <w:rsid w:val="3F47212A"/>
    <w:rsid w:val="3F5D4F76"/>
    <w:rsid w:val="3F645728"/>
    <w:rsid w:val="3F65400E"/>
    <w:rsid w:val="3F6A17FB"/>
    <w:rsid w:val="3F6A2431"/>
    <w:rsid w:val="3F712575"/>
    <w:rsid w:val="3F7566BB"/>
    <w:rsid w:val="3F7728BF"/>
    <w:rsid w:val="3F8C446C"/>
    <w:rsid w:val="3F8E58FB"/>
    <w:rsid w:val="3F953492"/>
    <w:rsid w:val="3F990CEF"/>
    <w:rsid w:val="3FB15F16"/>
    <w:rsid w:val="3FB97668"/>
    <w:rsid w:val="3FC65745"/>
    <w:rsid w:val="3FCC7FDA"/>
    <w:rsid w:val="3FD448EE"/>
    <w:rsid w:val="3FE9009B"/>
    <w:rsid w:val="3FED6871"/>
    <w:rsid w:val="3FEF7319"/>
    <w:rsid w:val="3FFF6F63"/>
    <w:rsid w:val="400E6677"/>
    <w:rsid w:val="40280CC6"/>
    <w:rsid w:val="403542CB"/>
    <w:rsid w:val="403740F3"/>
    <w:rsid w:val="40377B43"/>
    <w:rsid w:val="40487E84"/>
    <w:rsid w:val="404A143D"/>
    <w:rsid w:val="404A2E78"/>
    <w:rsid w:val="40543C97"/>
    <w:rsid w:val="40555AC8"/>
    <w:rsid w:val="405739BA"/>
    <w:rsid w:val="405A0543"/>
    <w:rsid w:val="4061546E"/>
    <w:rsid w:val="40670739"/>
    <w:rsid w:val="406B0228"/>
    <w:rsid w:val="407C2437"/>
    <w:rsid w:val="407F5559"/>
    <w:rsid w:val="40940102"/>
    <w:rsid w:val="409A0980"/>
    <w:rsid w:val="409D585A"/>
    <w:rsid w:val="40A54A34"/>
    <w:rsid w:val="40B04FEC"/>
    <w:rsid w:val="40C652D1"/>
    <w:rsid w:val="40C95623"/>
    <w:rsid w:val="40CC140E"/>
    <w:rsid w:val="40D3796C"/>
    <w:rsid w:val="40DA0E3B"/>
    <w:rsid w:val="40DE2C61"/>
    <w:rsid w:val="40E070FE"/>
    <w:rsid w:val="40F2067D"/>
    <w:rsid w:val="41210759"/>
    <w:rsid w:val="41275288"/>
    <w:rsid w:val="412E24CB"/>
    <w:rsid w:val="412F3D4F"/>
    <w:rsid w:val="41390A92"/>
    <w:rsid w:val="41516EC4"/>
    <w:rsid w:val="41645678"/>
    <w:rsid w:val="416C3056"/>
    <w:rsid w:val="416D1952"/>
    <w:rsid w:val="41774C8D"/>
    <w:rsid w:val="419868AD"/>
    <w:rsid w:val="419D23A2"/>
    <w:rsid w:val="41A179C6"/>
    <w:rsid w:val="41A63C78"/>
    <w:rsid w:val="41A66159"/>
    <w:rsid w:val="41AB30E5"/>
    <w:rsid w:val="41B35C13"/>
    <w:rsid w:val="41B44C38"/>
    <w:rsid w:val="41D364A8"/>
    <w:rsid w:val="41D73E13"/>
    <w:rsid w:val="41DC1994"/>
    <w:rsid w:val="41F02637"/>
    <w:rsid w:val="41FE1AD4"/>
    <w:rsid w:val="420610DF"/>
    <w:rsid w:val="420D38E7"/>
    <w:rsid w:val="421309EA"/>
    <w:rsid w:val="42157F13"/>
    <w:rsid w:val="421A6824"/>
    <w:rsid w:val="421C35F9"/>
    <w:rsid w:val="42281903"/>
    <w:rsid w:val="423773F7"/>
    <w:rsid w:val="42494B76"/>
    <w:rsid w:val="424E79B6"/>
    <w:rsid w:val="425D1AEE"/>
    <w:rsid w:val="4277679F"/>
    <w:rsid w:val="427943A6"/>
    <w:rsid w:val="42796B56"/>
    <w:rsid w:val="427E2307"/>
    <w:rsid w:val="428803B3"/>
    <w:rsid w:val="428E7069"/>
    <w:rsid w:val="42963341"/>
    <w:rsid w:val="429B3DE7"/>
    <w:rsid w:val="429C4E56"/>
    <w:rsid w:val="42B96F1D"/>
    <w:rsid w:val="42BA7C89"/>
    <w:rsid w:val="42BE715B"/>
    <w:rsid w:val="42C121F4"/>
    <w:rsid w:val="42C428EC"/>
    <w:rsid w:val="42C82A6B"/>
    <w:rsid w:val="42CA1E7A"/>
    <w:rsid w:val="42CC5540"/>
    <w:rsid w:val="42D42467"/>
    <w:rsid w:val="42D53F11"/>
    <w:rsid w:val="42E211DB"/>
    <w:rsid w:val="42E36438"/>
    <w:rsid w:val="42F9196C"/>
    <w:rsid w:val="42FE0080"/>
    <w:rsid w:val="42FE7FE4"/>
    <w:rsid w:val="430121D4"/>
    <w:rsid w:val="43081D23"/>
    <w:rsid w:val="430E7BE8"/>
    <w:rsid w:val="432C1EC0"/>
    <w:rsid w:val="432E658A"/>
    <w:rsid w:val="43315349"/>
    <w:rsid w:val="43331904"/>
    <w:rsid w:val="43356E10"/>
    <w:rsid w:val="433D6D2B"/>
    <w:rsid w:val="433E1416"/>
    <w:rsid w:val="434B2797"/>
    <w:rsid w:val="435B61A4"/>
    <w:rsid w:val="436D260D"/>
    <w:rsid w:val="43750D95"/>
    <w:rsid w:val="43786BAA"/>
    <w:rsid w:val="437B616A"/>
    <w:rsid w:val="437C1F45"/>
    <w:rsid w:val="437D5B37"/>
    <w:rsid w:val="43844110"/>
    <w:rsid w:val="438A6266"/>
    <w:rsid w:val="438E73AB"/>
    <w:rsid w:val="43955AC6"/>
    <w:rsid w:val="439F1981"/>
    <w:rsid w:val="43A37C06"/>
    <w:rsid w:val="43A46E8D"/>
    <w:rsid w:val="43A63CE0"/>
    <w:rsid w:val="43A80863"/>
    <w:rsid w:val="43AC4363"/>
    <w:rsid w:val="43AD0658"/>
    <w:rsid w:val="43C7274B"/>
    <w:rsid w:val="43CC7746"/>
    <w:rsid w:val="43D41ADB"/>
    <w:rsid w:val="43D922DF"/>
    <w:rsid w:val="43E066A9"/>
    <w:rsid w:val="43E51905"/>
    <w:rsid w:val="43EA34C2"/>
    <w:rsid w:val="43F44E6B"/>
    <w:rsid w:val="43F52433"/>
    <w:rsid w:val="43F90C8B"/>
    <w:rsid w:val="43FA3C0F"/>
    <w:rsid w:val="44023440"/>
    <w:rsid w:val="440356A1"/>
    <w:rsid w:val="442510D9"/>
    <w:rsid w:val="442F4614"/>
    <w:rsid w:val="443959A9"/>
    <w:rsid w:val="443D1DF4"/>
    <w:rsid w:val="444439AC"/>
    <w:rsid w:val="44506DAA"/>
    <w:rsid w:val="445E717E"/>
    <w:rsid w:val="44714290"/>
    <w:rsid w:val="44773462"/>
    <w:rsid w:val="44804636"/>
    <w:rsid w:val="4489788A"/>
    <w:rsid w:val="448F6CA4"/>
    <w:rsid w:val="4490092E"/>
    <w:rsid w:val="44917D37"/>
    <w:rsid w:val="44941290"/>
    <w:rsid w:val="44951F86"/>
    <w:rsid w:val="449D5992"/>
    <w:rsid w:val="44A23927"/>
    <w:rsid w:val="44B151F3"/>
    <w:rsid w:val="44B51573"/>
    <w:rsid w:val="44BB380A"/>
    <w:rsid w:val="44C80D8D"/>
    <w:rsid w:val="44C9352D"/>
    <w:rsid w:val="44CE7869"/>
    <w:rsid w:val="44DC59C3"/>
    <w:rsid w:val="44E33A7C"/>
    <w:rsid w:val="44ED4010"/>
    <w:rsid w:val="44EF5CDE"/>
    <w:rsid w:val="44F078A8"/>
    <w:rsid w:val="44F76633"/>
    <w:rsid w:val="44FE05CB"/>
    <w:rsid w:val="4502559F"/>
    <w:rsid w:val="4528655A"/>
    <w:rsid w:val="45322ACA"/>
    <w:rsid w:val="45325D93"/>
    <w:rsid w:val="453360D1"/>
    <w:rsid w:val="453B4D12"/>
    <w:rsid w:val="453E0A10"/>
    <w:rsid w:val="454163AE"/>
    <w:rsid w:val="454E4D7D"/>
    <w:rsid w:val="45557370"/>
    <w:rsid w:val="455A36D4"/>
    <w:rsid w:val="456D00F4"/>
    <w:rsid w:val="456E593A"/>
    <w:rsid w:val="457F49CD"/>
    <w:rsid w:val="458D2737"/>
    <w:rsid w:val="45950036"/>
    <w:rsid w:val="459622DB"/>
    <w:rsid w:val="459638BA"/>
    <w:rsid w:val="45A76E85"/>
    <w:rsid w:val="45AE77FC"/>
    <w:rsid w:val="45B67522"/>
    <w:rsid w:val="45BA5CDC"/>
    <w:rsid w:val="45BE5977"/>
    <w:rsid w:val="45CA2A8F"/>
    <w:rsid w:val="45CD02E0"/>
    <w:rsid w:val="45D01712"/>
    <w:rsid w:val="45E13046"/>
    <w:rsid w:val="45E83F3B"/>
    <w:rsid w:val="45EA1A61"/>
    <w:rsid w:val="45EF68F7"/>
    <w:rsid w:val="45F97A3B"/>
    <w:rsid w:val="45FA2F2F"/>
    <w:rsid w:val="45FD7545"/>
    <w:rsid w:val="4603646C"/>
    <w:rsid w:val="460A7356"/>
    <w:rsid w:val="460E21BA"/>
    <w:rsid w:val="46155E64"/>
    <w:rsid w:val="462431C5"/>
    <w:rsid w:val="46266B2D"/>
    <w:rsid w:val="462F60CE"/>
    <w:rsid w:val="46323738"/>
    <w:rsid w:val="46326C27"/>
    <w:rsid w:val="463333B8"/>
    <w:rsid w:val="463C0EE8"/>
    <w:rsid w:val="463C6325"/>
    <w:rsid w:val="4660079F"/>
    <w:rsid w:val="466024DA"/>
    <w:rsid w:val="466B726C"/>
    <w:rsid w:val="46712183"/>
    <w:rsid w:val="467A73AF"/>
    <w:rsid w:val="467B0E7E"/>
    <w:rsid w:val="46805F22"/>
    <w:rsid w:val="46932605"/>
    <w:rsid w:val="46961105"/>
    <w:rsid w:val="469943E1"/>
    <w:rsid w:val="46A152B3"/>
    <w:rsid w:val="46CA2BB6"/>
    <w:rsid w:val="46D36C8F"/>
    <w:rsid w:val="46D46E1E"/>
    <w:rsid w:val="46EE37D3"/>
    <w:rsid w:val="46F5003C"/>
    <w:rsid w:val="470219FD"/>
    <w:rsid w:val="47056F3D"/>
    <w:rsid w:val="47101CC2"/>
    <w:rsid w:val="47185974"/>
    <w:rsid w:val="47320F91"/>
    <w:rsid w:val="47372B4F"/>
    <w:rsid w:val="473C0544"/>
    <w:rsid w:val="474B6530"/>
    <w:rsid w:val="474C5DA0"/>
    <w:rsid w:val="475411B7"/>
    <w:rsid w:val="47562215"/>
    <w:rsid w:val="47566984"/>
    <w:rsid w:val="47596A1D"/>
    <w:rsid w:val="47687D1E"/>
    <w:rsid w:val="47706643"/>
    <w:rsid w:val="477B33C9"/>
    <w:rsid w:val="477D5B36"/>
    <w:rsid w:val="47801562"/>
    <w:rsid w:val="47802E3B"/>
    <w:rsid w:val="479010F6"/>
    <w:rsid w:val="479700A2"/>
    <w:rsid w:val="479A3013"/>
    <w:rsid w:val="479C6D8B"/>
    <w:rsid w:val="47A3011A"/>
    <w:rsid w:val="47A5714D"/>
    <w:rsid w:val="47AB5887"/>
    <w:rsid w:val="47B1162A"/>
    <w:rsid w:val="47B34B2D"/>
    <w:rsid w:val="47CB5A4F"/>
    <w:rsid w:val="47DA3640"/>
    <w:rsid w:val="47DD192D"/>
    <w:rsid w:val="47E32C0C"/>
    <w:rsid w:val="47FC7110"/>
    <w:rsid w:val="48070AE1"/>
    <w:rsid w:val="480D6435"/>
    <w:rsid w:val="481A3F9E"/>
    <w:rsid w:val="482360E6"/>
    <w:rsid w:val="482810E0"/>
    <w:rsid w:val="482A1D4C"/>
    <w:rsid w:val="482C499B"/>
    <w:rsid w:val="482F4442"/>
    <w:rsid w:val="482F577C"/>
    <w:rsid w:val="48405A16"/>
    <w:rsid w:val="4841182B"/>
    <w:rsid w:val="48455180"/>
    <w:rsid w:val="4846779D"/>
    <w:rsid w:val="484844DD"/>
    <w:rsid w:val="48493687"/>
    <w:rsid w:val="484B78FD"/>
    <w:rsid w:val="484C500A"/>
    <w:rsid w:val="48513D93"/>
    <w:rsid w:val="486B5B5B"/>
    <w:rsid w:val="486D0EB8"/>
    <w:rsid w:val="486F59D7"/>
    <w:rsid w:val="4875046F"/>
    <w:rsid w:val="487E54FB"/>
    <w:rsid w:val="488058A4"/>
    <w:rsid w:val="48887DFE"/>
    <w:rsid w:val="488E44E7"/>
    <w:rsid w:val="488F5907"/>
    <w:rsid w:val="489D6184"/>
    <w:rsid w:val="48A22238"/>
    <w:rsid w:val="48AB6B85"/>
    <w:rsid w:val="48AF2AEE"/>
    <w:rsid w:val="48BA10E7"/>
    <w:rsid w:val="48C21D63"/>
    <w:rsid w:val="48CF4AE6"/>
    <w:rsid w:val="48DE3578"/>
    <w:rsid w:val="48E63C26"/>
    <w:rsid w:val="48F04535"/>
    <w:rsid w:val="48F63EC0"/>
    <w:rsid w:val="48FB1BE8"/>
    <w:rsid w:val="49010AC3"/>
    <w:rsid w:val="490121E7"/>
    <w:rsid w:val="490C12A2"/>
    <w:rsid w:val="49111987"/>
    <w:rsid w:val="491610D6"/>
    <w:rsid w:val="491A148D"/>
    <w:rsid w:val="491D0FE7"/>
    <w:rsid w:val="491E7603"/>
    <w:rsid w:val="492164C9"/>
    <w:rsid w:val="492349A4"/>
    <w:rsid w:val="492F7572"/>
    <w:rsid w:val="49304D51"/>
    <w:rsid w:val="49336412"/>
    <w:rsid w:val="49375F30"/>
    <w:rsid w:val="493F54EA"/>
    <w:rsid w:val="49447842"/>
    <w:rsid w:val="494F2B25"/>
    <w:rsid w:val="49561B44"/>
    <w:rsid w:val="495C2621"/>
    <w:rsid w:val="49623CF2"/>
    <w:rsid w:val="496C4EEA"/>
    <w:rsid w:val="49846E94"/>
    <w:rsid w:val="49892E4C"/>
    <w:rsid w:val="498B053D"/>
    <w:rsid w:val="498B70E2"/>
    <w:rsid w:val="49932E45"/>
    <w:rsid w:val="499B33A4"/>
    <w:rsid w:val="49A156A4"/>
    <w:rsid w:val="49A3785C"/>
    <w:rsid w:val="49A632E8"/>
    <w:rsid w:val="49A70D62"/>
    <w:rsid w:val="49A87567"/>
    <w:rsid w:val="49B208E9"/>
    <w:rsid w:val="49B358F8"/>
    <w:rsid w:val="49BA5B41"/>
    <w:rsid w:val="49CD5C25"/>
    <w:rsid w:val="49D42843"/>
    <w:rsid w:val="49E35145"/>
    <w:rsid w:val="49EA3A51"/>
    <w:rsid w:val="49ED74FB"/>
    <w:rsid w:val="49F06947"/>
    <w:rsid w:val="4A0462CD"/>
    <w:rsid w:val="4A0757B1"/>
    <w:rsid w:val="4A185BBA"/>
    <w:rsid w:val="4A1E617D"/>
    <w:rsid w:val="4A1F4C27"/>
    <w:rsid w:val="4A242875"/>
    <w:rsid w:val="4A3A67A3"/>
    <w:rsid w:val="4A4D25BF"/>
    <w:rsid w:val="4A516407"/>
    <w:rsid w:val="4A757BB4"/>
    <w:rsid w:val="4A77693B"/>
    <w:rsid w:val="4A7B5341"/>
    <w:rsid w:val="4A833A63"/>
    <w:rsid w:val="4A875AD1"/>
    <w:rsid w:val="4A88728D"/>
    <w:rsid w:val="4A8C305D"/>
    <w:rsid w:val="4A8E2885"/>
    <w:rsid w:val="4A91694F"/>
    <w:rsid w:val="4A9E7E55"/>
    <w:rsid w:val="4AB34B18"/>
    <w:rsid w:val="4AB9114D"/>
    <w:rsid w:val="4ABA06A9"/>
    <w:rsid w:val="4ACA04A0"/>
    <w:rsid w:val="4AD36F68"/>
    <w:rsid w:val="4AD56891"/>
    <w:rsid w:val="4AE8322F"/>
    <w:rsid w:val="4AF62FF4"/>
    <w:rsid w:val="4AFA3691"/>
    <w:rsid w:val="4AFE5C19"/>
    <w:rsid w:val="4B0D4A5D"/>
    <w:rsid w:val="4B1B26BD"/>
    <w:rsid w:val="4B1B316C"/>
    <w:rsid w:val="4B2004B0"/>
    <w:rsid w:val="4B2D7363"/>
    <w:rsid w:val="4B35552D"/>
    <w:rsid w:val="4B417C63"/>
    <w:rsid w:val="4B4C7C18"/>
    <w:rsid w:val="4B5322D1"/>
    <w:rsid w:val="4B5945B2"/>
    <w:rsid w:val="4B5A1437"/>
    <w:rsid w:val="4B5B35F8"/>
    <w:rsid w:val="4B5E7B32"/>
    <w:rsid w:val="4B62206D"/>
    <w:rsid w:val="4B6C697C"/>
    <w:rsid w:val="4B711B0A"/>
    <w:rsid w:val="4B752B0A"/>
    <w:rsid w:val="4B7D7970"/>
    <w:rsid w:val="4B8B5598"/>
    <w:rsid w:val="4B8D5369"/>
    <w:rsid w:val="4B922572"/>
    <w:rsid w:val="4B9C57F5"/>
    <w:rsid w:val="4B9F1887"/>
    <w:rsid w:val="4BB34D93"/>
    <w:rsid w:val="4BB46553"/>
    <w:rsid w:val="4BB53DC4"/>
    <w:rsid w:val="4BCC3D7C"/>
    <w:rsid w:val="4BD32984"/>
    <w:rsid w:val="4BD35328"/>
    <w:rsid w:val="4BD87C8B"/>
    <w:rsid w:val="4BE44ECD"/>
    <w:rsid w:val="4C1635B0"/>
    <w:rsid w:val="4C2660AD"/>
    <w:rsid w:val="4C3410CB"/>
    <w:rsid w:val="4C382ACC"/>
    <w:rsid w:val="4C485F9A"/>
    <w:rsid w:val="4C5016A0"/>
    <w:rsid w:val="4C567637"/>
    <w:rsid w:val="4C56774D"/>
    <w:rsid w:val="4C76404F"/>
    <w:rsid w:val="4C81666B"/>
    <w:rsid w:val="4C8341F1"/>
    <w:rsid w:val="4C88631A"/>
    <w:rsid w:val="4C8A68DF"/>
    <w:rsid w:val="4C992791"/>
    <w:rsid w:val="4C9B362A"/>
    <w:rsid w:val="4CA32B7A"/>
    <w:rsid w:val="4CA631D3"/>
    <w:rsid w:val="4CA83BB4"/>
    <w:rsid w:val="4CB04869"/>
    <w:rsid w:val="4CB708CE"/>
    <w:rsid w:val="4CB95CC7"/>
    <w:rsid w:val="4CC00BC3"/>
    <w:rsid w:val="4CD35A91"/>
    <w:rsid w:val="4CD67D54"/>
    <w:rsid w:val="4CD722AE"/>
    <w:rsid w:val="4CD76580"/>
    <w:rsid w:val="4CD86769"/>
    <w:rsid w:val="4CDD05CB"/>
    <w:rsid w:val="4CDF3B31"/>
    <w:rsid w:val="4CE161C5"/>
    <w:rsid w:val="4CE411F4"/>
    <w:rsid w:val="4CFA695D"/>
    <w:rsid w:val="4D032C85"/>
    <w:rsid w:val="4D0A57FB"/>
    <w:rsid w:val="4D1456B3"/>
    <w:rsid w:val="4D1C46A1"/>
    <w:rsid w:val="4D1E3396"/>
    <w:rsid w:val="4D250CBA"/>
    <w:rsid w:val="4D2513E6"/>
    <w:rsid w:val="4D2B308B"/>
    <w:rsid w:val="4D2F0B72"/>
    <w:rsid w:val="4D397B3D"/>
    <w:rsid w:val="4D570F71"/>
    <w:rsid w:val="4D6821F1"/>
    <w:rsid w:val="4D7344BA"/>
    <w:rsid w:val="4D7D4BA4"/>
    <w:rsid w:val="4D8054E3"/>
    <w:rsid w:val="4D92209C"/>
    <w:rsid w:val="4D990CF9"/>
    <w:rsid w:val="4DAC647D"/>
    <w:rsid w:val="4DBC6717"/>
    <w:rsid w:val="4DBF4E07"/>
    <w:rsid w:val="4DCF6245"/>
    <w:rsid w:val="4DD058DB"/>
    <w:rsid w:val="4DD06FC4"/>
    <w:rsid w:val="4DD24C5D"/>
    <w:rsid w:val="4DD27E1E"/>
    <w:rsid w:val="4DDA5CC7"/>
    <w:rsid w:val="4DE6755C"/>
    <w:rsid w:val="4DEB6377"/>
    <w:rsid w:val="4DEF4E4E"/>
    <w:rsid w:val="4DF44835"/>
    <w:rsid w:val="4DFB61FC"/>
    <w:rsid w:val="4E27012A"/>
    <w:rsid w:val="4E281A31"/>
    <w:rsid w:val="4E281EBC"/>
    <w:rsid w:val="4E2E5752"/>
    <w:rsid w:val="4E2E7CDF"/>
    <w:rsid w:val="4E2F73B3"/>
    <w:rsid w:val="4E30596E"/>
    <w:rsid w:val="4E341CC8"/>
    <w:rsid w:val="4E3B7DEF"/>
    <w:rsid w:val="4E462DF8"/>
    <w:rsid w:val="4E4745AD"/>
    <w:rsid w:val="4E4A17FE"/>
    <w:rsid w:val="4E4A6030"/>
    <w:rsid w:val="4E4B7416"/>
    <w:rsid w:val="4E4C2A12"/>
    <w:rsid w:val="4E4D7E31"/>
    <w:rsid w:val="4E583F5D"/>
    <w:rsid w:val="4E5A2FD1"/>
    <w:rsid w:val="4E5D63DB"/>
    <w:rsid w:val="4E6A7577"/>
    <w:rsid w:val="4E767449"/>
    <w:rsid w:val="4E785EBA"/>
    <w:rsid w:val="4E791BD4"/>
    <w:rsid w:val="4E813A46"/>
    <w:rsid w:val="4E813C08"/>
    <w:rsid w:val="4E850986"/>
    <w:rsid w:val="4E8A7599"/>
    <w:rsid w:val="4E9C6A7E"/>
    <w:rsid w:val="4EA72447"/>
    <w:rsid w:val="4EC533B4"/>
    <w:rsid w:val="4EC7555D"/>
    <w:rsid w:val="4ED433C9"/>
    <w:rsid w:val="4EE15F2D"/>
    <w:rsid w:val="4EE92F46"/>
    <w:rsid w:val="4EEA22A0"/>
    <w:rsid w:val="4EF37BD9"/>
    <w:rsid w:val="4EF80835"/>
    <w:rsid w:val="4EFB2583"/>
    <w:rsid w:val="4F041683"/>
    <w:rsid w:val="4F10078B"/>
    <w:rsid w:val="4F20428B"/>
    <w:rsid w:val="4F2C7426"/>
    <w:rsid w:val="4F332E73"/>
    <w:rsid w:val="4F3B3BBE"/>
    <w:rsid w:val="4F4020DD"/>
    <w:rsid w:val="4F462BAB"/>
    <w:rsid w:val="4F584D02"/>
    <w:rsid w:val="4F5B2940"/>
    <w:rsid w:val="4F5F0C17"/>
    <w:rsid w:val="4F632D85"/>
    <w:rsid w:val="4F642752"/>
    <w:rsid w:val="4F77266F"/>
    <w:rsid w:val="4F7C3010"/>
    <w:rsid w:val="4F8040B0"/>
    <w:rsid w:val="4F9F68AD"/>
    <w:rsid w:val="4FA46D2C"/>
    <w:rsid w:val="4FA607D3"/>
    <w:rsid w:val="4FA62BC2"/>
    <w:rsid w:val="4FA82A40"/>
    <w:rsid w:val="4FA95605"/>
    <w:rsid w:val="4FAB39C4"/>
    <w:rsid w:val="4FAD27D3"/>
    <w:rsid w:val="4FBF1BAB"/>
    <w:rsid w:val="4FCB6460"/>
    <w:rsid w:val="4FD71FAD"/>
    <w:rsid w:val="4FDC422D"/>
    <w:rsid w:val="4FF36569"/>
    <w:rsid w:val="4FF95CC2"/>
    <w:rsid w:val="4FFB7464"/>
    <w:rsid w:val="500302D1"/>
    <w:rsid w:val="500800A6"/>
    <w:rsid w:val="501C5F48"/>
    <w:rsid w:val="501F49FD"/>
    <w:rsid w:val="50210776"/>
    <w:rsid w:val="502343ED"/>
    <w:rsid w:val="502C325A"/>
    <w:rsid w:val="502E2986"/>
    <w:rsid w:val="50327664"/>
    <w:rsid w:val="50364A93"/>
    <w:rsid w:val="50446212"/>
    <w:rsid w:val="50487AB0"/>
    <w:rsid w:val="504A37B4"/>
    <w:rsid w:val="504F0C4F"/>
    <w:rsid w:val="50514152"/>
    <w:rsid w:val="5057605B"/>
    <w:rsid w:val="50587264"/>
    <w:rsid w:val="50596FE0"/>
    <w:rsid w:val="505A2863"/>
    <w:rsid w:val="50600B05"/>
    <w:rsid w:val="506D5769"/>
    <w:rsid w:val="50783F1C"/>
    <w:rsid w:val="507B42DB"/>
    <w:rsid w:val="507E5F1B"/>
    <w:rsid w:val="50804CA1"/>
    <w:rsid w:val="50847E24"/>
    <w:rsid w:val="50985FB1"/>
    <w:rsid w:val="50A514B6"/>
    <w:rsid w:val="50BB1BC2"/>
    <w:rsid w:val="50BD5473"/>
    <w:rsid w:val="50C70AB9"/>
    <w:rsid w:val="50E55725"/>
    <w:rsid w:val="50F648E0"/>
    <w:rsid w:val="51083E00"/>
    <w:rsid w:val="51196B7F"/>
    <w:rsid w:val="511B2921"/>
    <w:rsid w:val="51405FD9"/>
    <w:rsid w:val="51431441"/>
    <w:rsid w:val="514C253E"/>
    <w:rsid w:val="51504E72"/>
    <w:rsid w:val="515D5589"/>
    <w:rsid w:val="516A5A31"/>
    <w:rsid w:val="517415AC"/>
    <w:rsid w:val="5181369F"/>
    <w:rsid w:val="51852F03"/>
    <w:rsid w:val="51873A68"/>
    <w:rsid w:val="518D60D8"/>
    <w:rsid w:val="51937451"/>
    <w:rsid w:val="51943C4C"/>
    <w:rsid w:val="519C0049"/>
    <w:rsid w:val="519E6F58"/>
    <w:rsid w:val="51A129A1"/>
    <w:rsid w:val="51A16FFB"/>
    <w:rsid w:val="51AC310A"/>
    <w:rsid w:val="51AF2403"/>
    <w:rsid w:val="51B065BB"/>
    <w:rsid w:val="51B90429"/>
    <w:rsid w:val="51BA4CE9"/>
    <w:rsid w:val="51BC4AAF"/>
    <w:rsid w:val="51C13FBE"/>
    <w:rsid w:val="51C97982"/>
    <w:rsid w:val="51CD4C0E"/>
    <w:rsid w:val="51CE11C8"/>
    <w:rsid w:val="51D62EF2"/>
    <w:rsid w:val="51E6586D"/>
    <w:rsid w:val="51E85467"/>
    <w:rsid w:val="51EC6776"/>
    <w:rsid w:val="51F0301F"/>
    <w:rsid w:val="51F32BFF"/>
    <w:rsid w:val="51FB0CD1"/>
    <w:rsid w:val="52170FF6"/>
    <w:rsid w:val="521C1BFA"/>
    <w:rsid w:val="52241ACF"/>
    <w:rsid w:val="52321CFD"/>
    <w:rsid w:val="52380117"/>
    <w:rsid w:val="523D047A"/>
    <w:rsid w:val="5242526A"/>
    <w:rsid w:val="52477A7B"/>
    <w:rsid w:val="524E5126"/>
    <w:rsid w:val="525057AA"/>
    <w:rsid w:val="52571024"/>
    <w:rsid w:val="525E35BB"/>
    <w:rsid w:val="526E46FC"/>
    <w:rsid w:val="527B5D61"/>
    <w:rsid w:val="528761AA"/>
    <w:rsid w:val="5288276D"/>
    <w:rsid w:val="528B1E50"/>
    <w:rsid w:val="528B5FFB"/>
    <w:rsid w:val="528E6F80"/>
    <w:rsid w:val="529A1524"/>
    <w:rsid w:val="52A92046"/>
    <w:rsid w:val="52AD4542"/>
    <w:rsid w:val="52AF0BEE"/>
    <w:rsid w:val="52AF74B4"/>
    <w:rsid w:val="52BE04FE"/>
    <w:rsid w:val="52C4195A"/>
    <w:rsid w:val="52C4464F"/>
    <w:rsid w:val="52C670DA"/>
    <w:rsid w:val="52D7511B"/>
    <w:rsid w:val="52EE6F86"/>
    <w:rsid w:val="52F34CB7"/>
    <w:rsid w:val="53016AFF"/>
    <w:rsid w:val="53081B18"/>
    <w:rsid w:val="531F0A6D"/>
    <w:rsid w:val="53361B76"/>
    <w:rsid w:val="53370692"/>
    <w:rsid w:val="533F0FAF"/>
    <w:rsid w:val="534220C9"/>
    <w:rsid w:val="53422EDD"/>
    <w:rsid w:val="5346672E"/>
    <w:rsid w:val="535F2246"/>
    <w:rsid w:val="53716002"/>
    <w:rsid w:val="5381780D"/>
    <w:rsid w:val="53826B5C"/>
    <w:rsid w:val="538353D7"/>
    <w:rsid w:val="538452A3"/>
    <w:rsid w:val="5388027B"/>
    <w:rsid w:val="5394364E"/>
    <w:rsid w:val="539B567A"/>
    <w:rsid w:val="539E4BBE"/>
    <w:rsid w:val="53A73E0C"/>
    <w:rsid w:val="53AC339D"/>
    <w:rsid w:val="53AC7DB2"/>
    <w:rsid w:val="53B916D8"/>
    <w:rsid w:val="53C71F85"/>
    <w:rsid w:val="53CC62DE"/>
    <w:rsid w:val="53D110C9"/>
    <w:rsid w:val="53D43259"/>
    <w:rsid w:val="53DC4780"/>
    <w:rsid w:val="53DD3EAD"/>
    <w:rsid w:val="53DF308D"/>
    <w:rsid w:val="53E30D74"/>
    <w:rsid w:val="53E66AB4"/>
    <w:rsid w:val="5412772A"/>
    <w:rsid w:val="54152C08"/>
    <w:rsid w:val="541B16E2"/>
    <w:rsid w:val="541F6411"/>
    <w:rsid w:val="5429531C"/>
    <w:rsid w:val="5435378D"/>
    <w:rsid w:val="543B42DA"/>
    <w:rsid w:val="544510B5"/>
    <w:rsid w:val="54471B54"/>
    <w:rsid w:val="544926C7"/>
    <w:rsid w:val="546013A6"/>
    <w:rsid w:val="54613836"/>
    <w:rsid w:val="547525A5"/>
    <w:rsid w:val="54785B32"/>
    <w:rsid w:val="547C51E1"/>
    <w:rsid w:val="547E346B"/>
    <w:rsid w:val="54841003"/>
    <w:rsid w:val="548C12E9"/>
    <w:rsid w:val="5491151E"/>
    <w:rsid w:val="54925465"/>
    <w:rsid w:val="549A5D5B"/>
    <w:rsid w:val="54A43723"/>
    <w:rsid w:val="54B11AE5"/>
    <w:rsid w:val="54C204DD"/>
    <w:rsid w:val="54C25C1B"/>
    <w:rsid w:val="54C91A93"/>
    <w:rsid w:val="54D74917"/>
    <w:rsid w:val="54D77655"/>
    <w:rsid w:val="54E9135D"/>
    <w:rsid w:val="54F476EE"/>
    <w:rsid w:val="550E7937"/>
    <w:rsid w:val="552968C4"/>
    <w:rsid w:val="552C79A0"/>
    <w:rsid w:val="552E6469"/>
    <w:rsid w:val="55345F5A"/>
    <w:rsid w:val="55374287"/>
    <w:rsid w:val="553B7BE4"/>
    <w:rsid w:val="55404DAF"/>
    <w:rsid w:val="55444A8D"/>
    <w:rsid w:val="55490130"/>
    <w:rsid w:val="55521C86"/>
    <w:rsid w:val="555242C3"/>
    <w:rsid w:val="555F1412"/>
    <w:rsid w:val="556655CB"/>
    <w:rsid w:val="556A0408"/>
    <w:rsid w:val="556D3B35"/>
    <w:rsid w:val="556E620B"/>
    <w:rsid w:val="55712686"/>
    <w:rsid w:val="5574390C"/>
    <w:rsid w:val="557F54DE"/>
    <w:rsid w:val="55843CB5"/>
    <w:rsid w:val="55990DAE"/>
    <w:rsid w:val="55A20422"/>
    <w:rsid w:val="55B31E93"/>
    <w:rsid w:val="55BA6DAD"/>
    <w:rsid w:val="55C3312B"/>
    <w:rsid w:val="55D25B6C"/>
    <w:rsid w:val="55D6790C"/>
    <w:rsid w:val="55D72EAA"/>
    <w:rsid w:val="55DA7877"/>
    <w:rsid w:val="55DE49F7"/>
    <w:rsid w:val="55E464CD"/>
    <w:rsid w:val="55F66200"/>
    <w:rsid w:val="55F86B8F"/>
    <w:rsid w:val="56076295"/>
    <w:rsid w:val="561548D9"/>
    <w:rsid w:val="561B4F52"/>
    <w:rsid w:val="561C2038"/>
    <w:rsid w:val="56202E2B"/>
    <w:rsid w:val="562543F0"/>
    <w:rsid w:val="56326257"/>
    <w:rsid w:val="56376A81"/>
    <w:rsid w:val="563D51DC"/>
    <w:rsid w:val="56441DBC"/>
    <w:rsid w:val="564863BD"/>
    <w:rsid w:val="564E1AE9"/>
    <w:rsid w:val="565B030F"/>
    <w:rsid w:val="565E609D"/>
    <w:rsid w:val="56626C42"/>
    <w:rsid w:val="56693E15"/>
    <w:rsid w:val="567A47EC"/>
    <w:rsid w:val="56827DFA"/>
    <w:rsid w:val="568410FF"/>
    <w:rsid w:val="56856B80"/>
    <w:rsid w:val="56863C7E"/>
    <w:rsid w:val="568858F0"/>
    <w:rsid w:val="56921A85"/>
    <w:rsid w:val="56956F55"/>
    <w:rsid w:val="569E05F4"/>
    <w:rsid w:val="56A33C92"/>
    <w:rsid w:val="56A41633"/>
    <w:rsid w:val="56A54051"/>
    <w:rsid w:val="56AB1CC4"/>
    <w:rsid w:val="56AC6A40"/>
    <w:rsid w:val="56B0015D"/>
    <w:rsid w:val="56B518CE"/>
    <w:rsid w:val="56B65F41"/>
    <w:rsid w:val="56CA7206"/>
    <w:rsid w:val="56CB2134"/>
    <w:rsid w:val="56CE4ECB"/>
    <w:rsid w:val="56CE5812"/>
    <w:rsid w:val="56E20B7B"/>
    <w:rsid w:val="56E66275"/>
    <w:rsid w:val="56F542DC"/>
    <w:rsid w:val="5700713F"/>
    <w:rsid w:val="57021276"/>
    <w:rsid w:val="570426FD"/>
    <w:rsid w:val="570C5CDB"/>
    <w:rsid w:val="57113F99"/>
    <w:rsid w:val="57121B2E"/>
    <w:rsid w:val="571354A9"/>
    <w:rsid w:val="57244829"/>
    <w:rsid w:val="572E7F0C"/>
    <w:rsid w:val="573419A5"/>
    <w:rsid w:val="57370BA2"/>
    <w:rsid w:val="57404D4A"/>
    <w:rsid w:val="574510D6"/>
    <w:rsid w:val="57510398"/>
    <w:rsid w:val="57555A3D"/>
    <w:rsid w:val="575B45AE"/>
    <w:rsid w:val="57602E36"/>
    <w:rsid w:val="5773785B"/>
    <w:rsid w:val="577760A0"/>
    <w:rsid w:val="577E1362"/>
    <w:rsid w:val="578250A1"/>
    <w:rsid w:val="578D73B3"/>
    <w:rsid w:val="578F6807"/>
    <w:rsid w:val="579B5876"/>
    <w:rsid w:val="57A77F5C"/>
    <w:rsid w:val="57AB43E4"/>
    <w:rsid w:val="57B56FAE"/>
    <w:rsid w:val="57B7458C"/>
    <w:rsid w:val="57B91DA3"/>
    <w:rsid w:val="57C80BBA"/>
    <w:rsid w:val="57D32355"/>
    <w:rsid w:val="57DB2240"/>
    <w:rsid w:val="57E234B9"/>
    <w:rsid w:val="57E30C41"/>
    <w:rsid w:val="57F33DC4"/>
    <w:rsid w:val="57FA0F50"/>
    <w:rsid w:val="58010266"/>
    <w:rsid w:val="58025FF2"/>
    <w:rsid w:val="580D1911"/>
    <w:rsid w:val="580F53BD"/>
    <w:rsid w:val="5814389A"/>
    <w:rsid w:val="581F0E26"/>
    <w:rsid w:val="5822341B"/>
    <w:rsid w:val="58250EFC"/>
    <w:rsid w:val="582E3A30"/>
    <w:rsid w:val="58333C01"/>
    <w:rsid w:val="583714CF"/>
    <w:rsid w:val="58382B00"/>
    <w:rsid w:val="583A6878"/>
    <w:rsid w:val="583E71D6"/>
    <w:rsid w:val="58432A16"/>
    <w:rsid w:val="5848336D"/>
    <w:rsid w:val="5853793A"/>
    <w:rsid w:val="58691A00"/>
    <w:rsid w:val="586E1F24"/>
    <w:rsid w:val="5886561A"/>
    <w:rsid w:val="588A789C"/>
    <w:rsid w:val="5891480F"/>
    <w:rsid w:val="58964B71"/>
    <w:rsid w:val="589F26F3"/>
    <w:rsid w:val="58AA1501"/>
    <w:rsid w:val="58B77127"/>
    <w:rsid w:val="58BB50E1"/>
    <w:rsid w:val="58BD78AE"/>
    <w:rsid w:val="58DA37D1"/>
    <w:rsid w:val="58E3784A"/>
    <w:rsid w:val="58F3217D"/>
    <w:rsid w:val="58F92290"/>
    <w:rsid w:val="58FB745E"/>
    <w:rsid w:val="59081510"/>
    <w:rsid w:val="59095571"/>
    <w:rsid w:val="590F32C5"/>
    <w:rsid w:val="59144BB5"/>
    <w:rsid w:val="59205A6E"/>
    <w:rsid w:val="59283A9A"/>
    <w:rsid w:val="592A7C54"/>
    <w:rsid w:val="592B3A4D"/>
    <w:rsid w:val="592B5B5A"/>
    <w:rsid w:val="593531D3"/>
    <w:rsid w:val="5941553B"/>
    <w:rsid w:val="59530A17"/>
    <w:rsid w:val="5955237D"/>
    <w:rsid w:val="596C09D8"/>
    <w:rsid w:val="596C1C0C"/>
    <w:rsid w:val="597823D6"/>
    <w:rsid w:val="597C07CB"/>
    <w:rsid w:val="598F5E3C"/>
    <w:rsid w:val="5992684B"/>
    <w:rsid w:val="599B1691"/>
    <w:rsid w:val="599E6EEA"/>
    <w:rsid w:val="59A0359A"/>
    <w:rsid w:val="59B1159C"/>
    <w:rsid w:val="59B443A8"/>
    <w:rsid w:val="59B67879"/>
    <w:rsid w:val="59B77195"/>
    <w:rsid w:val="59C06909"/>
    <w:rsid w:val="59C97EB4"/>
    <w:rsid w:val="59D96308"/>
    <w:rsid w:val="59DF76D7"/>
    <w:rsid w:val="5A0D202B"/>
    <w:rsid w:val="5A155A3D"/>
    <w:rsid w:val="5A20736C"/>
    <w:rsid w:val="5A221372"/>
    <w:rsid w:val="5A250D18"/>
    <w:rsid w:val="5A3E3CBF"/>
    <w:rsid w:val="5A4F4646"/>
    <w:rsid w:val="5A593D97"/>
    <w:rsid w:val="5A5E62B8"/>
    <w:rsid w:val="5A674602"/>
    <w:rsid w:val="5A8B726C"/>
    <w:rsid w:val="5A8E0F23"/>
    <w:rsid w:val="5AA10BBF"/>
    <w:rsid w:val="5AA8602D"/>
    <w:rsid w:val="5AB35F1A"/>
    <w:rsid w:val="5AB81FAC"/>
    <w:rsid w:val="5AC266B1"/>
    <w:rsid w:val="5AC30F8A"/>
    <w:rsid w:val="5AC41C5F"/>
    <w:rsid w:val="5AC67AF9"/>
    <w:rsid w:val="5AC7692E"/>
    <w:rsid w:val="5ACF1199"/>
    <w:rsid w:val="5ACF2987"/>
    <w:rsid w:val="5AD62DB0"/>
    <w:rsid w:val="5AE15D09"/>
    <w:rsid w:val="5AFB47C3"/>
    <w:rsid w:val="5B141543"/>
    <w:rsid w:val="5B1A7F0D"/>
    <w:rsid w:val="5B2303F5"/>
    <w:rsid w:val="5B2432AE"/>
    <w:rsid w:val="5B2B0B23"/>
    <w:rsid w:val="5B441C11"/>
    <w:rsid w:val="5B474BD0"/>
    <w:rsid w:val="5B5163B3"/>
    <w:rsid w:val="5B5B1664"/>
    <w:rsid w:val="5B617A31"/>
    <w:rsid w:val="5B63661B"/>
    <w:rsid w:val="5B7B7646"/>
    <w:rsid w:val="5B7C239E"/>
    <w:rsid w:val="5B7D5DE9"/>
    <w:rsid w:val="5B8143DC"/>
    <w:rsid w:val="5B894F0A"/>
    <w:rsid w:val="5BA800EC"/>
    <w:rsid w:val="5BA95B6E"/>
    <w:rsid w:val="5BAD4C16"/>
    <w:rsid w:val="5BB63F7B"/>
    <w:rsid w:val="5BBB3363"/>
    <w:rsid w:val="5BBB3934"/>
    <w:rsid w:val="5BC069CF"/>
    <w:rsid w:val="5BC8281F"/>
    <w:rsid w:val="5BCF5DAD"/>
    <w:rsid w:val="5BE40DE0"/>
    <w:rsid w:val="5BE424D0"/>
    <w:rsid w:val="5BED5570"/>
    <w:rsid w:val="5BF9114F"/>
    <w:rsid w:val="5C1F025F"/>
    <w:rsid w:val="5C2332C6"/>
    <w:rsid w:val="5C260E0A"/>
    <w:rsid w:val="5C2F7D76"/>
    <w:rsid w:val="5C357C0E"/>
    <w:rsid w:val="5C381321"/>
    <w:rsid w:val="5C441A74"/>
    <w:rsid w:val="5C486C5A"/>
    <w:rsid w:val="5C4B69FC"/>
    <w:rsid w:val="5C521609"/>
    <w:rsid w:val="5C5B45B1"/>
    <w:rsid w:val="5C5E4398"/>
    <w:rsid w:val="5C6453EB"/>
    <w:rsid w:val="5C734F6B"/>
    <w:rsid w:val="5C7A3CC8"/>
    <w:rsid w:val="5C7C23A3"/>
    <w:rsid w:val="5C96699A"/>
    <w:rsid w:val="5C9B0B7F"/>
    <w:rsid w:val="5C9D05A1"/>
    <w:rsid w:val="5C9D649D"/>
    <w:rsid w:val="5CA168F6"/>
    <w:rsid w:val="5CA22C3E"/>
    <w:rsid w:val="5CA62120"/>
    <w:rsid w:val="5CA73BE3"/>
    <w:rsid w:val="5CA9433D"/>
    <w:rsid w:val="5CB20FD0"/>
    <w:rsid w:val="5CBD5A36"/>
    <w:rsid w:val="5CBE5F2D"/>
    <w:rsid w:val="5CC5699C"/>
    <w:rsid w:val="5CD14DEA"/>
    <w:rsid w:val="5CD43973"/>
    <w:rsid w:val="5CDC4098"/>
    <w:rsid w:val="5CE12181"/>
    <w:rsid w:val="5CF3268D"/>
    <w:rsid w:val="5CFB32FA"/>
    <w:rsid w:val="5D137BBE"/>
    <w:rsid w:val="5D2704AC"/>
    <w:rsid w:val="5D2D3524"/>
    <w:rsid w:val="5D3A33BE"/>
    <w:rsid w:val="5D4B0B1D"/>
    <w:rsid w:val="5D65355D"/>
    <w:rsid w:val="5D664BCA"/>
    <w:rsid w:val="5D6C6FEA"/>
    <w:rsid w:val="5D790E08"/>
    <w:rsid w:val="5D7A5236"/>
    <w:rsid w:val="5D7C348F"/>
    <w:rsid w:val="5D7C40AD"/>
    <w:rsid w:val="5D7C4B6F"/>
    <w:rsid w:val="5D943B3E"/>
    <w:rsid w:val="5D9D72A2"/>
    <w:rsid w:val="5DA447BC"/>
    <w:rsid w:val="5DB44D16"/>
    <w:rsid w:val="5DBD37E2"/>
    <w:rsid w:val="5DC759BC"/>
    <w:rsid w:val="5DDB0D13"/>
    <w:rsid w:val="5DE50D1C"/>
    <w:rsid w:val="5E007347"/>
    <w:rsid w:val="5E076009"/>
    <w:rsid w:val="5E0D4BF5"/>
    <w:rsid w:val="5E0E2098"/>
    <w:rsid w:val="5E115063"/>
    <w:rsid w:val="5E1A28AF"/>
    <w:rsid w:val="5E215E4A"/>
    <w:rsid w:val="5E224619"/>
    <w:rsid w:val="5E276C15"/>
    <w:rsid w:val="5E292C79"/>
    <w:rsid w:val="5E2B4650"/>
    <w:rsid w:val="5E2C0A11"/>
    <w:rsid w:val="5E375504"/>
    <w:rsid w:val="5E472C61"/>
    <w:rsid w:val="5E4C6141"/>
    <w:rsid w:val="5E5A0F99"/>
    <w:rsid w:val="5E604706"/>
    <w:rsid w:val="5E60787D"/>
    <w:rsid w:val="5E687594"/>
    <w:rsid w:val="5E734CEA"/>
    <w:rsid w:val="5E7762CA"/>
    <w:rsid w:val="5E7E7909"/>
    <w:rsid w:val="5E831CDF"/>
    <w:rsid w:val="5EAA4FC4"/>
    <w:rsid w:val="5EAA6D46"/>
    <w:rsid w:val="5EAB5E7A"/>
    <w:rsid w:val="5EB53515"/>
    <w:rsid w:val="5EB83852"/>
    <w:rsid w:val="5ED11C1E"/>
    <w:rsid w:val="5ED772D8"/>
    <w:rsid w:val="5ED96D9C"/>
    <w:rsid w:val="5EDB472C"/>
    <w:rsid w:val="5EE7053E"/>
    <w:rsid w:val="5EF4528A"/>
    <w:rsid w:val="5EF923D3"/>
    <w:rsid w:val="5EFD2B9A"/>
    <w:rsid w:val="5F015F03"/>
    <w:rsid w:val="5F016E36"/>
    <w:rsid w:val="5F0553D3"/>
    <w:rsid w:val="5F102A07"/>
    <w:rsid w:val="5F13398C"/>
    <w:rsid w:val="5F190589"/>
    <w:rsid w:val="5F233582"/>
    <w:rsid w:val="5F26629E"/>
    <w:rsid w:val="5F292C19"/>
    <w:rsid w:val="5F2F06FF"/>
    <w:rsid w:val="5F393D70"/>
    <w:rsid w:val="5F3F4774"/>
    <w:rsid w:val="5F4955F3"/>
    <w:rsid w:val="5F546AA4"/>
    <w:rsid w:val="5F571ABE"/>
    <w:rsid w:val="5F6B19FB"/>
    <w:rsid w:val="5F6C040E"/>
    <w:rsid w:val="5F75272C"/>
    <w:rsid w:val="5F7C7C39"/>
    <w:rsid w:val="5F991667"/>
    <w:rsid w:val="5F993BEE"/>
    <w:rsid w:val="5FA26043"/>
    <w:rsid w:val="5FA514AE"/>
    <w:rsid w:val="5FA70615"/>
    <w:rsid w:val="5FAD2471"/>
    <w:rsid w:val="5FB06C85"/>
    <w:rsid w:val="5FB1212C"/>
    <w:rsid w:val="5FBE38EB"/>
    <w:rsid w:val="5FEA016C"/>
    <w:rsid w:val="5FEF4B78"/>
    <w:rsid w:val="5FF15C8C"/>
    <w:rsid w:val="5FF7504F"/>
    <w:rsid w:val="5FFD26E4"/>
    <w:rsid w:val="5FFF6F03"/>
    <w:rsid w:val="6003202D"/>
    <w:rsid w:val="60063D1C"/>
    <w:rsid w:val="60104B28"/>
    <w:rsid w:val="601B6380"/>
    <w:rsid w:val="602170B3"/>
    <w:rsid w:val="603F1DF4"/>
    <w:rsid w:val="60403418"/>
    <w:rsid w:val="6042276E"/>
    <w:rsid w:val="60427896"/>
    <w:rsid w:val="60457568"/>
    <w:rsid w:val="60457B68"/>
    <w:rsid w:val="6046578C"/>
    <w:rsid w:val="604D68A2"/>
    <w:rsid w:val="60595326"/>
    <w:rsid w:val="60616CC0"/>
    <w:rsid w:val="60621821"/>
    <w:rsid w:val="60684C24"/>
    <w:rsid w:val="606D3C00"/>
    <w:rsid w:val="6074484D"/>
    <w:rsid w:val="608C5797"/>
    <w:rsid w:val="608D659C"/>
    <w:rsid w:val="60947FD0"/>
    <w:rsid w:val="60962446"/>
    <w:rsid w:val="60973E4F"/>
    <w:rsid w:val="609A6C8B"/>
    <w:rsid w:val="60A87E05"/>
    <w:rsid w:val="60AE5D66"/>
    <w:rsid w:val="60B91B8C"/>
    <w:rsid w:val="60D3773F"/>
    <w:rsid w:val="60E309D6"/>
    <w:rsid w:val="60E9228D"/>
    <w:rsid w:val="60F54255"/>
    <w:rsid w:val="60FF6B16"/>
    <w:rsid w:val="61092FF0"/>
    <w:rsid w:val="61112140"/>
    <w:rsid w:val="61186963"/>
    <w:rsid w:val="612F091D"/>
    <w:rsid w:val="612F5122"/>
    <w:rsid w:val="6133058C"/>
    <w:rsid w:val="61355E2F"/>
    <w:rsid w:val="614B102D"/>
    <w:rsid w:val="615A3CBB"/>
    <w:rsid w:val="61675F58"/>
    <w:rsid w:val="616A0100"/>
    <w:rsid w:val="616E5B7E"/>
    <w:rsid w:val="616F3569"/>
    <w:rsid w:val="616F7FC5"/>
    <w:rsid w:val="61705355"/>
    <w:rsid w:val="61812597"/>
    <w:rsid w:val="618848C1"/>
    <w:rsid w:val="618A333F"/>
    <w:rsid w:val="618C531A"/>
    <w:rsid w:val="619E684D"/>
    <w:rsid w:val="61A27677"/>
    <w:rsid w:val="61A3269C"/>
    <w:rsid w:val="61A548AF"/>
    <w:rsid w:val="61AE0D54"/>
    <w:rsid w:val="61AE75F8"/>
    <w:rsid w:val="61BC3BF9"/>
    <w:rsid w:val="61C07C1C"/>
    <w:rsid w:val="61C41045"/>
    <w:rsid w:val="61D30A56"/>
    <w:rsid w:val="61DE67B8"/>
    <w:rsid w:val="61E12825"/>
    <w:rsid w:val="61E62A81"/>
    <w:rsid w:val="61EE1B3B"/>
    <w:rsid w:val="61F061FA"/>
    <w:rsid w:val="61FA7A44"/>
    <w:rsid w:val="620C10EB"/>
    <w:rsid w:val="620D6B6D"/>
    <w:rsid w:val="62111CEF"/>
    <w:rsid w:val="62162B5C"/>
    <w:rsid w:val="62173BF9"/>
    <w:rsid w:val="621771B1"/>
    <w:rsid w:val="62315EB5"/>
    <w:rsid w:val="623833E4"/>
    <w:rsid w:val="623D76BC"/>
    <w:rsid w:val="62441245"/>
    <w:rsid w:val="6245659C"/>
    <w:rsid w:val="6249512E"/>
    <w:rsid w:val="625008DB"/>
    <w:rsid w:val="625516B1"/>
    <w:rsid w:val="625C563D"/>
    <w:rsid w:val="625F30F4"/>
    <w:rsid w:val="62643CF8"/>
    <w:rsid w:val="6268213E"/>
    <w:rsid w:val="626B6F06"/>
    <w:rsid w:val="627E55B4"/>
    <w:rsid w:val="628B218A"/>
    <w:rsid w:val="628F5E41"/>
    <w:rsid w:val="629D319C"/>
    <w:rsid w:val="62A670BF"/>
    <w:rsid w:val="62B30528"/>
    <w:rsid w:val="62B372FA"/>
    <w:rsid w:val="62C22DDF"/>
    <w:rsid w:val="62D25EFB"/>
    <w:rsid w:val="62D556ED"/>
    <w:rsid w:val="62DF4347"/>
    <w:rsid w:val="62E100F2"/>
    <w:rsid w:val="62E119F5"/>
    <w:rsid w:val="62E32048"/>
    <w:rsid w:val="62E775FD"/>
    <w:rsid w:val="62F32F84"/>
    <w:rsid w:val="63087FBC"/>
    <w:rsid w:val="630B15B1"/>
    <w:rsid w:val="630E6937"/>
    <w:rsid w:val="630F1C12"/>
    <w:rsid w:val="631139E5"/>
    <w:rsid w:val="63145421"/>
    <w:rsid w:val="63236668"/>
    <w:rsid w:val="632C6102"/>
    <w:rsid w:val="63467590"/>
    <w:rsid w:val="63496EAF"/>
    <w:rsid w:val="634B3F00"/>
    <w:rsid w:val="635344EF"/>
    <w:rsid w:val="635F0DC4"/>
    <w:rsid w:val="63626DFA"/>
    <w:rsid w:val="636E32B1"/>
    <w:rsid w:val="638E5D64"/>
    <w:rsid w:val="638F042E"/>
    <w:rsid w:val="639262A8"/>
    <w:rsid w:val="6396419E"/>
    <w:rsid w:val="639A2A83"/>
    <w:rsid w:val="63B636A5"/>
    <w:rsid w:val="63B86BA8"/>
    <w:rsid w:val="63BB4093"/>
    <w:rsid w:val="63CB2A7A"/>
    <w:rsid w:val="63CC368A"/>
    <w:rsid w:val="63D5635C"/>
    <w:rsid w:val="63E10879"/>
    <w:rsid w:val="63E540E9"/>
    <w:rsid w:val="63F21662"/>
    <w:rsid w:val="63F92F9D"/>
    <w:rsid w:val="6401192F"/>
    <w:rsid w:val="64105441"/>
    <w:rsid w:val="6428735F"/>
    <w:rsid w:val="642B3697"/>
    <w:rsid w:val="64432812"/>
    <w:rsid w:val="644E2896"/>
    <w:rsid w:val="646675A6"/>
    <w:rsid w:val="6472636B"/>
    <w:rsid w:val="6477050C"/>
    <w:rsid w:val="64850E7B"/>
    <w:rsid w:val="649432C5"/>
    <w:rsid w:val="64986E00"/>
    <w:rsid w:val="649D3CBA"/>
    <w:rsid w:val="64A34044"/>
    <w:rsid w:val="64A55079"/>
    <w:rsid w:val="64B10764"/>
    <w:rsid w:val="64BD5616"/>
    <w:rsid w:val="64BE3165"/>
    <w:rsid w:val="64C13BC2"/>
    <w:rsid w:val="64CF0348"/>
    <w:rsid w:val="64D00BA1"/>
    <w:rsid w:val="64D05F37"/>
    <w:rsid w:val="64D0710B"/>
    <w:rsid w:val="64D6085F"/>
    <w:rsid w:val="64F744E0"/>
    <w:rsid w:val="650765BC"/>
    <w:rsid w:val="65081119"/>
    <w:rsid w:val="651F73F4"/>
    <w:rsid w:val="65255E3B"/>
    <w:rsid w:val="653904DE"/>
    <w:rsid w:val="65510456"/>
    <w:rsid w:val="655D1C15"/>
    <w:rsid w:val="65732701"/>
    <w:rsid w:val="65750EF0"/>
    <w:rsid w:val="657A6CE5"/>
    <w:rsid w:val="657F0712"/>
    <w:rsid w:val="6580304B"/>
    <w:rsid w:val="65AF2C1F"/>
    <w:rsid w:val="65BE6703"/>
    <w:rsid w:val="65D3019C"/>
    <w:rsid w:val="65D902F3"/>
    <w:rsid w:val="65E16A4F"/>
    <w:rsid w:val="660157E8"/>
    <w:rsid w:val="66294A07"/>
    <w:rsid w:val="663A5F3D"/>
    <w:rsid w:val="663E7D2D"/>
    <w:rsid w:val="66410704"/>
    <w:rsid w:val="6649438D"/>
    <w:rsid w:val="664B4963"/>
    <w:rsid w:val="664C09B3"/>
    <w:rsid w:val="664D346E"/>
    <w:rsid w:val="66700C16"/>
    <w:rsid w:val="66734C1A"/>
    <w:rsid w:val="667F624B"/>
    <w:rsid w:val="66922D55"/>
    <w:rsid w:val="669772CF"/>
    <w:rsid w:val="6698688A"/>
    <w:rsid w:val="66B02109"/>
    <w:rsid w:val="66B0371D"/>
    <w:rsid w:val="66B57962"/>
    <w:rsid w:val="66BE2D99"/>
    <w:rsid w:val="66C4712B"/>
    <w:rsid w:val="66C8504F"/>
    <w:rsid w:val="66D41CA7"/>
    <w:rsid w:val="66DC6450"/>
    <w:rsid w:val="67050FA6"/>
    <w:rsid w:val="670C60EE"/>
    <w:rsid w:val="67131068"/>
    <w:rsid w:val="67184FB0"/>
    <w:rsid w:val="671F55B7"/>
    <w:rsid w:val="67263872"/>
    <w:rsid w:val="67291626"/>
    <w:rsid w:val="672A52D1"/>
    <w:rsid w:val="672D696F"/>
    <w:rsid w:val="673872B0"/>
    <w:rsid w:val="6746007E"/>
    <w:rsid w:val="674C0CA6"/>
    <w:rsid w:val="67533876"/>
    <w:rsid w:val="6768566A"/>
    <w:rsid w:val="676F01DD"/>
    <w:rsid w:val="67755605"/>
    <w:rsid w:val="677B3337"/>
    <w:rsid w:val="677D27DC"/>
    <w:rsid w:val="677F3234"/>
    <w:rsid w:val="67945BFF"/>
    <w:rsid w:val="679752AE"/>
    <w:rsid w:val="679F2254"/>
    <w:rsid w:val="67A544EF"/>
    <w:rsid w:val="67A7735B"/>
    <w:rsid w:val="67AD54A4"/>
    <w:rsid w:val="67B40D1A"/>
    <w:rsid w:val="67BE358C"/>
    <w:rsid w:val="67CC2182"/>
    <w:rsid w:val="67D20760"/>
    <w:rsid w:val="67D309D4"/>
    <w:rsid w:val="67DE0223"/>
    <w:rsid w:val="67E17035"/>
    <w:rsid w:val="67E56B0C"/>
    <w:rsid w:val="67E9539C"/>
    <w:rsid w:val="67ED22F0"/>
    <w:rsid w:val="67FA392E"/>
    <w:rsid w:val="67FA56DC"/>
    <w:rsid w:val="68014B1A"/>
    <w:rsid w:val="680A363F"/>
    <w:rsid w:val="682073D7"/>
    <w:rsid w:val="682B2FC1"/>
    <w:rsid w:val="682D5AB2"/>
    <w:rsid w:val="68322901"/>
    <w:rsid w:val="68367394"/>
    <w:rsid w:val="683C4236"/>
    <w:rsid w:val="684007BA"/>
    <w:rsid w:val="68471D6C"/>
    <w:rsid w:val="68666530"/>
    <w:rsid w:val="686F0DE5"/>
    <w:rsid w:val="686F33D7"/>
    <w:rsid w:val="687B426A"/>
    <w:rsid w:val="687F45F3"/>
    <w:rsid w:val="688D437E"/>
    <w:rsid w:val="68905563"/>
    <w:rsid w:val="68915AB5"/>
    <w:rsid w:val="689507B7"/>
    <w:rsid w:val="68A21AD7"/>
    <w:rsid w:val="68A34735"/>
    <w:rsid w:val="68AC0892"/>
    <w:rsid w:val="68AC0C4A"/>
    <w:rsid w:val="68B22B53"/>
    <w:rsid w:val="68B8792C"/>
    <w:rsid w:val="68BC1BB9"/>
    <w:rsid w:val="68C2756A"/>
    <w:rsid w:val="68C77F4A"/>
    <w:rsid w:val="68D23088"/>
    <w:rsid w:val="68D67EF7"/>
    <w:rsid w:val="68D8040C"/>
    <w:rsid w:val="68E140AB"/>
    <w:rsid w:val="68E260ED"/>
    <w:rsid w:val="68E37739"/>
    <w:rsid w:val="68F13EA9"/>
    <w:rsid w:val="68F20FF5"/>
    <w:rsid w:val="68F653F1"/>
    <w:rsid w:val="69137303"/>
    <w:rsid w:val="69150E1B"/>
    <w:rsid w:val="691C06BF"/>
    <w:rsid w:val="691D0F49"/>
    <w:rsid w:val="6926622A"/>
    <w:rsid w:val="6935584B"/>
    <w:rsid w:val="69355A00"/>
    <w:rsid w:val="69362744"/>
    <w:rsid w:val="693966D8"/>
    <w:rsid w:val="693E2CC2"/>
    <w:rsid w:val="693F2B86"/>
    <w:rsid w:val="694B2B0D"/>
    <w:rsid w:val="6955614D"/>
    <w:rsid w:val="695A54C2"/>
    <w:rsid w:val="69792CCA"/>
    <w:rsid w:val="698246DB"/>
    <w:rsid w:val="698F6047"/>
    <w:rsid w:val="699833E5"/>
    <w:rsid w:val="69A31ABD"/>
    <w:rsid w:val="69A6756C"/>
    <w:rsid w:val="69BD4F96"/>
    <w:rsid w:val="69C45E93"/>
    <w:rsid w:val="69CA0B0A"/>
    <w:rsid w:val="69CA4277"/>
    <w:rsid w:val="69CF28C0"/>
    <w:rsid w:val="69D1581B"/>
    <w:rsid w:val="69DA16C4"/>
    <w:rsid w:val="69E01F40"/>
    <w:rsid w:val="69E77EE2"/>
    <w:rsid w:val="69F20FAE"/>
    <w:rsid w:val="69FC1871"/>
    <w:rsid w:val="6A046C7D"/>
    <w:rsid w:val="6A0D4B9D"/>
    <w:rsid w:val="6A235E9F"/>
    <w:rsid w:val="6A28543F"/>
    <w:rsid w:val="6A290983"/>
    <w:rsid w:val="6A2A6D12"/>
    <w:rsid w:val="6A2E1BDE"/>
    <w:rsid w:val="6A3305EB"/>
    <w:rsid w:val="6A413614"/>
    <w:rsid w:val="6A50275D"/>
    <w:rsid w:val="6A547394"/>
    <w:rsid w:val="6A554E4C"/>
    <w:rsid w:val="6A583D7E"/>
    <w:rsid w:val="6A694AD3"/>
    <w:rsid w:val="6A6F448E"/>
    <w:rsid w:val="6A731895"/>
    <w:rsid w:val="6A7C659A"/>
    <w:rsid w:val="6A9226A5"/>
    <w:rsid w:val="6AA5717A"/>
    <w:rsid w:val="6AA638F9"/>
    <w:rsid w:val="6AB36485"/>
    <w:rsid w:val="6AD842C0"/>
    <w:rsid w:val="6AE50CEB"/>
    <w:rsid w:val="6AE51B0C"/>
    <w:rsid w:val="6AEC264F"/>
    <w:rsid w:val="6B063CC1"/>
    <w:rsid w:val="6B081E84"/>
    <w:rsid w:val="6B131F17"/>
    <w:rsid w:val="6B1A7624"/>
    <w:rsid w:val="6B1F4279"/>
    <w:rsid w:val="6B1F4C4A"/>
    <w:rsid w:val="6B21592B"/>
    <w:rsid w:val="6B3714DF"/>
    <w:rsid w:val="6B38742B"/>
    <w:rsid w:val="6B397C51"/>
    <w:rsid w:val="6B3A0951"/>
    <w:rsid w:val="6B417C48"/>
    <w:rsid w:val="6B5832D8"/>
    <w:rsid w:val="6B5A55AF"/>
    <w:rsid w:val="6B5D01B3"/>
    <w:rsid w:val="6B5F5571"/>
    <w:rsid w:val="6B6568A3"/>
    <w:rsid w:val="6B792062"/>
    <w:rsid w:val="6B865AF4"/>
    <w:rsid w:val="6B870DED"/>
    <w:rsid w:val="6B8A27DA"/>
    <w:rsid w:val="6B8F2A3A"/>
    <w:rsid w:val="6B980F50"/>
    <w:rsid w:val="6BBC4E93"/>
    <w:rsid w:val="6BC319D2"/>
    <w:rsid w:val="6BC52ED2"/>
    <w:rsid w:val="6BCC7A41"/>
    <w:rsid w:val="6BEB21DB"/>
    <w:rsid w:val="6BEC39F9"/>
    <w:rsid w:val="6BED2021"/>
    <w:rsid w:val="6BEF1CA0"/>
    <w:rsid w:val="6BF23246"/>
    <w:rsid w:val="6BFB6DB8"/>
    <w:rsid w:val="6C180827"/>
    <w:rsid w:val="6C192C43"/>
    <w:rsid w:val="6C233FE7"/>
    <w:rsid w:val="6C2B693D"/>
    <w:rsid w:val="6C375918"/>
    <w:rsid w:val="6C450EF0"/>
    <w:rsid w:val="6C4828AB"/>
    <w:rsid w:val="6C4A3AC6"/>
    <w:rsid w:val="6C4E5FF7"/>
    <w:rsid w:val="6C516D52"/>
    <w:rsid w:val="6C566329"/>
    <w:rsid w:val="6C7034F3"/>
    <w:rsid w:val="6C7319A4"/>
    <w:rsid w:val="6C76712C"/>
    <w:rsid w:val="6C8D2BD7"/>
    <w:rsid w:val="6C917999"/>
    <w:rsid w:val="6C986DB7"/>
    <w:rsid w:val="6C9E6474"/>
    <w:rsid w:val="6CA0285E"/>
    <w:rsid w:val="6CBD34B1"/>
    <w:rsid w:val="6CBF6AF6"/>
    <w:rsid w:val="6CD32F8C"/>
    <w:rsid w:val="6CD356CF"/>
    <w:rsid w:val="6CDA3D2E"/>
    <w:rsid w:val="6CE63949"/>
    <w:rsid w:val="6CF421A5"/>
    <w:rsid w:val="6CF84761"/>
    <w:rsid w:val="6CF85E69"/>
    <w:rsid w:val="6CFF3CEC"/>
    <w:rsid w:val="6D03720A"/>
    <w:rsid w:val="6D096B5C"/>
    <w:rsid w:val="6D0C5C41"/>
    <w:rsid w:val="6D100936"/>
    <w:rsid w:val="6D1C2CC3"/>
    <w:rsid w:val="6D247331"/>
    <w:rsid w:val="6D45426B"/>
    <w:rsid w:val="6D4C79DE"/>
    <w:rsid w:val="6D4F0BD7"/>
    <w:rsid w:val="6D592844"/>
    <w:rsid w:val="6D5D1B43"/>
    <w:rsid w:val="6D67600A"/>
    <w:rsid w:val="6D8F7341"/>
    <w:rsid w:val="6D977451"/>
    <w:rsid w:val="6DA203ED"/>
    <w:rsid w:val="6DA7604F"/>
    <w:rsid w:val="6DAC1227"/>
    <w:rsid w:val="6DB233E1"/>
    <w:rsid w:val="6DB4046D"/>
    <w:rsid w:val="6DC90ABD"/>
    <w:rsid w:val="6DC91CC0"/>
    <w:rsid w:val="6DCC4E41"/>
    <w:rsid w:val="6DCD28C7"/>
    <w:rsid w:val="6DD14D50"/>
    <w:rsid w:val="6DDD14CC"/>
    <w:rsid w:val="6DE066F9"/>
    <w:rsid w:val="6DE54613"/>
    <w:rsid w:val="6DEF3809"/>
    <w:rsid w:val="6DFD100B"/>
    <w:rsid w:val="6DFE1A00"/>
    <w:rsid w:val="6E0E75C6"/>
    <w:rsid w:val="6E1216EE"/>
    <w:rsid w:val="6E1C2411"/>
    <w:rsid w:val="6E1C4834"/>
    <w:rsid w:val="6E214824"/>
    <w:rsid w:val="6E234E17"/>
    <w:rsid w:val="6E240D58"/>
    <w:rsid w:val="6E2863DE"/>
    <w:rsid w:val="6E3361DC"/>
    <w:rsid w:val="6E457B17"/>
    <w:rsid w:val="6E5D72E6"/>
    <w:rsid w:val="6E681094"/>
    <w:rsid w:val="6E6B07D8"/>
    <w:rsid w:val="6E6C3C06"/>
    <w:rsid w:val="6E6E1CCE"/>
    <w:rsid w:val="6E7023CC"/>
    <w:rsid w:val="6E795BCA"/>
    <w:rsid w:val="6E813261"/>
    <w:rsid w:val="6E813EE7"/>
    <w:rsid w:val="6E8F1186"/>
    <w:rsid w:val="6E8F7B1C"/>
    <w:rsid w:val="6E9108F8"/>
    <w:rsid w:val="6E9666FC"/>
    <w:rsid w:val="6EA52EE8"/>
    <w:rsid w:val="6EAB0D1F"/>
    <w:rsid w:val="6EB56FB1"/>
    <w:rsid w:val="6EC51289"/>
    <w:rsid w:val="6ECD0DD4"/>
    <w:rsid w:val="6ECF40D3"/>
    <w:rsid w:val="6EE95FCA"/>
    <w:rsid w:val="6EEE13E4"/>
    <w:rsid w:val="6EF032D0"/>
    <w:rsid w:val="6EF36A95"/>
    <w:rsid w:val="6EFA2D52"/>
    <w:rsid w:val="6EFE6CF2"/>
    <w:rsid w:val="6EFF5CCE"/>
    <w:rsid w:val="6F01616B"/>
    <w:rsid w:val="6F050034"/>
    <w:rsid w:val="6F081311"/>
    <w:rsid w:val="6F132BFF"/>
    <w:rsid w:val="6F16531A"/>
    <w:rsid w:val="6F1859D0"/>
    <w:rsid w:val="6F1A5A02"/>
    <w:rsid w:val="6F1B2BBD"/>
    <w:rsid w:val="6F2608A0"/>
    <w:rsid w:val="6F2E09E4"/>
    <w:rsid w:val="6F437B19"/>
    <w:rsid w:val="6F5A417C"/>
    <w:rsid w:val="6F5C6B5E"/>
    <w:rsid w:val="6F5C749E"/>
    <w:rsid w:val="6F633BB1"/>
    <w:rsid w:val="6F642AF5"/>
    <w:rsid w:val="6F773AF6"/>
    <w:rsid w:val="6F773C49"/>
    <w:rsid w:val="6F784FD0"/>
    <w:rsid w:val="6F792370"/>
    <w:rsid w:val="6F9B408B"/>
    <w:rsid w:val="6FA330C9"/>
    <w:rsid w:val="6FA81A3C"/>
    <w:rsid w:val="6FBA36E5"/>
    <w:rsid w:val="6FBB09B2"/>
    <w:rsid w:val="6FBE461B"/>
    <w:rsid w:val="6FDA140B"/>
    <w:rsid w:val="6FE460B4"/>
    <w:rsid w:val="6FE70F22"/>
    <w:rsid w:val="6FF1417B"/>
    <w:rsid w:val="6FF444F6"/>
    <w:rsid w:val="6FF55E5E"/>
    <w:rsid w:val="701A3BE5"/>
    <w:rsid w:val="701F06BA"/>
    <w:rsid w:val="702A6B12"/>
    <w:rsid w:val="703F285B"/>
    <w:rsid w:val="703F3234"/>
    <w:rsid w:val="704B7516"/>
    <w:rsid w:val="70506F3A"/>
    <w:rsid w:val="70574B42"/>
    <w:rsid w:val="705D4E26"/>
    <w:rsid w:val="706C539C"/>
    <w:rsid w:val="70735D0A"/>
    <w:rsid w:val="707A385E"/>
    <w:rsid w:val="708C0D28"/>
    <w:rsid w:val="708F252A"/>
    <w:rsid w:val="70912956"/>
    <w:rsid w:val="7091766C"/>
    <w:rsid w:val="70920AC0"/>
    <w:rsid w:val="70970C20"/>
    <w:rsid w:val="70971D5D"/>
    <w:rsid w:val="70A16F4E"/>
    <w:rsid w:val="70A20423"/>
    <w:rsid w:val="70A53431"/>
    <w:rsid w:val="70A56A05"/>
    <w:rsid w:val="70AD0C21"/>
    <w:rsid w:val="70B328CC"/>
    <w:rsid w:val="70B47A92"/>
    <w:rsid w:val="70D5526D"/>
    <w:rsid w:val="70D80585"/>
    <w:rsid w:val="70DC4057"/>
    <w:rsid w:val="70DD23DD"/>
    <w:rsid w:val="70E1083F"/>
    <w:rsid w:val="70F632F5"/>
    <w:rsid w:val="70FF2F8F"/>
    <w:rsid w:val="71014ACF"/>
    <w:rsid w:val="71025545"/>
    <w:rsid w:val="710609A6"/>
    <w:rsid w:val="710B095A"/>
    <w:rsid w:val="710F45C0"/>
    <w:rsid w:val="71217372"/>
    <w:rsid w:val="71223B9E"/>
    <w:rsid w:val="71241A1C"/>
    <w:rsid w:val="712B4136"/>
    <w:rsid w:val="7132235B"/>
    <w:rsid w:val="71336142"/>
    <w:rsid w:val="71411B5D"/>
    <w:rsid w:val="71467F79"/>
    <w:rsid w:val="714A1482"/>
    <w:rsid w:val="714F0608"/>
    <w:rsid w:val="71573D01"/>
    <w:rsid w:val="71633456"/>
    <w:rsid w:val="71724535"/>
    <w:rsid w:val="717A3D6F"/>
    <w:rsid w:val="718167FE"/>
    <w:rsid w:val="71860D86"/>
    <w:rsid w:val="719E4DE8"/>
    <w:rsid w:val="719E6674"/>
    <w:rsid w:val="71A072F4"/>
    <w:rsid w:val="71AC6AF5"/>
    <w:rsid w:val="71BD6F28"/>
    <w:rsid w:val="71BE215F"/>
    <w:rsid w:val="71BE3F79"/>
    <w:rsid w:val="71BF07AB"/>
    <w:rsid w:val="71C56D5B"/>
    <w:rsid w:val="71C91A99"/>
    <w:rsid w:val="71CF00A9"/>
    <w:rsid w:val="71E46968"/>
    <w:rsid w:val="71E9279A"/>
    <w:rsid w:val="71EA28AC"/>
    <w:rsid w:val="71F46909"/>
    <w:rsid w:val="71FB49DB"/>
    <w:rsid w:val="72110B7C"/>
    <w:rsid w:val="72154ABB"/>
    <w:rsid w:val="721E646B"/>
    <w:rsid w:val="721F51E0"/>
    <w:rsid w:val="723137EA"/>
    <w:rsid w:val="72347CAD"/>
    <w:rsid w:val="723658ED"/>
    <w:rsid w:val="72366B5A"/>
    <w:rsid w:val="723C62EB"/>
    <w:rsid w:val="723D4CFB"/>
    <w:rsid w:val="72484A25"/>
    <w:rsid w:val="724A4806"/>
    <w:rsid w:val="72553739"/>
    <w:rsid w:val="725B38C9"/>
    <w:rsid w:val="72604917"/>
    <w:rsid w:val="72682B10"/>
    <w:rsid w:val="727B1B10"/>
    <w:rsid w:val="72856EBB"/>
    <w:rsid w:val="72870206"/>
    <w:rsid w:val="7296248F"/>
    <w:rsid w:val="729819B1"/>
    <w:rsid w:val="72A5299A"/>
    <w:rsid w:val="72B20BF0"/>
    <w:rsid w:val="72B474EC"/>
    <w:rsid w:val="72B87A9C"/>
    <w:rsid w:val="72C21768"/>
    <w:rsid w:val="72CD17D3"/>
    <w:rsid w:val="72CE5F09"/>
    <w:rsid w:val="72D5033B"/>
    <w:rsid w:val="72D77675"/>
    <w:rsid w:val="72E83193"/>
    <w:rsid w:val="72EA79E5"/>
    <w:rsid w:val="72FA7CF7"/>
    <w:rsid w:val="73121216"/>
    <w:rsid w:val="73214465"/>
    <w:rsid w:val="732B7BCC"/>
    <w:rsid w:val="73321391"/>
    <w:rsid w:val="733B1918"/>
    <w:rsid w:val="73407693"/>
    <w:rsid w:val="73430029"/>
    <w:rsid w:val="73485F8D"/>
    <w:rsid w:val="734C2EB7"/>
    <w:rsid w:val="73516520"/>
    <w:rsid w:val="73531E73"/>
    <w:rsid w:val="73561D82"/>
    <w:rsid w:val="7358279B"/>
    <w:rsid w:val="737555F2"/>
    <w:rsid w:val="738625B3"/>
    <w:rsid w:val="738A5BF6"/>
    <w:rsid w:val="738C62F3"/>
    <w:rsid w:val="738D3403"/>
    <w:rsid w:val="73997D9E"/>
    <w:rsid w:val="73B22112"/>
    <w:rsid w:val="73B471EA"/>
    <w:rsid w:val="73B50543"/>
    <w:rsid w:val="73C721BE"/>
    <w:rsid w:val="73CB0F68"/>
    <w:rsid w:val="73CB56A8"/>
    <w:rsid w:val="73D0069D"/>
    <w:rsid w:val="73D743C9"/>
    <w:rsid w:val="73D74F6D"/>
    <w:rsid w:val="73DD713D"/>
    <w:rsid w:val="73FF29F2"/>
    <w:rsid w:val="73FF41C7"/>
    <w:rsid w:val="74015E5E"/>
    <w:rsid w:val="7403027B"/>
    <w:rsid w:val="74125071"/>
    <w:rsid w:val="741603E1"/>
    <w:rsid w:val="742407EF"/>
    <w:rsid w:val="742D5A28"/>
    <w:rsid w:val="74395120"/>
    <w:rsid w:val="74397531"/>
    <w:rsid w:val="744F17C7"/>
    <w:rsid w:val="744F5073"/>
    <w:rsid w:val="74641BD1"/>
    <w:rsid w:val="74653984"/>
    <w:rsid w:val="746743F7"/>
    <w:rsid w:val="74781574"/>
    <w:rsid w:val="74784423"/>
    <w:rsid w:val="747D15AF"/>
    <w:rsid w:val="74807A31"/>
    <w:rsid w:val="749173F7"/>
    <w:rsid w:val="749F14FE"/>
    <w:rsid w:val="74B706C6"/>
    <w:rsid w:val="74BE5317"/>
    <w:rsid w:val="74DE1CCD"/>
    <w:rsid w:val="74E27F32"/>
    <w:rsid w:val="74F23754"/>
    <w:rsid w:val="74F8270E"/>
    <w:rsid w:val="7501033B"/>
    <w:rsid w:val="75011284"/>
    <w:rsid w:val="75071439"/>
    <w:rsid w:val="7509415A"/>
    <w:rsid w:val="750D091A"/>
    <w:rsid w:val="75111B8B"/>
    <w:rsid w:val="75195252"/>
    <w:rsid w:val="751D37FB"/>
    <w:rsid w:val="7520709E"/>
    <w:rsid w:val="752515F2"/>
    <w:rsid w:val="7525273D"/>
    <w:rsid w:val="7532383F"/>
    <w:rsid w:val="753F32E7"/>
    <w:rsid w:val="755106CC"/>
    <w:rsid w:val="755611AD"/>
    <w:rsid w:val="7557431D"/>
    <w:rsid w:val="755975C0"/>
    <w:rsid w:val="757135C7"/>
    <w:rsid w:val="75736ACE"/>
    <w:rsid w:val="757D2827"/>
    <w:rsid w:val="75802C8F"/>
    <w:rsid w:val="758331B5"/>
    <w:rsid w:val="758E216C"/>
    <w:rsid w:val="759241A0"/>
    <w:rsid w:val="75934FC7"/>
    <w:rsid w:val="759929D8"/>
    <w:rsid w:val="75A71A11"/>
    <w:rsid w:val="75B11496"/>
    <w:rsid w:val="75B40381"/>
    <w:rsid w:val="75BB616D"/>
    <w:rsid w:val="75BD0F93"/>
    <w:rsid w:val="75BD1240"/>
    <w:rsid w:val="75CE2F56"/>
    <w:rsid w:val="75CF5FA0"/>
    <w:rsid w:val="75D13907"/>
    <w:rsid w:val="75DA4713"/>
    <w:rsid w:val="75DE03EB"/>
    <w:rsid w:val="75E24811"/>
    <w:rsid w:val="75EC195E"/>
    <w:rsid w:val="75EF3D5A"/>
    <w:rsid w:val="75F06371"/>
    <w:rsid w:val="75FB1A77"/>
    <w:rsid w:val="75FF2912"/>
    <w:rsid w:val="760705AE"/>
    <w:rsid w:val="76112AC2"/>
    <w:rsid w:val="7618435E"/>
    <w:rsid w:val="76227FD9"/>
    <w:rsid w:val="762F0C47"/>
    <w:rsid w:val="763842AA"/>
    <w:rsid w:val="76395C53"/>
    <w:rsid w:val="763D5BC0"/>
    <w:rsid w:val="764543D4"/>
    <w:rsid w:val="764A4A9E"/>
    <w:rsid w:val="765764E0"/>
    <w:rsid w:val="76597458"/>
    <w:rsid w:val="765B5EE0"/>
    <w:rsid w:val="76621D63"/>
    <w:rsid w:val="766930C8"/>
    <w:rsid w:val="76706EDC"/>
    <w:rsid w:val="7671125F"/>
    <w:rsid w:val="76741165"/>
    <w:rsid w:val="76753E16"/>
    <w:rsid w:val="767A26A9"/>
    <w:rsid w:val="767E60C4"/>
    <w:rsid w:val="7683495F"/>
    <w:rsid w:val="76985EA2"/>
    <w:rsid w:val="76A7678F"/>
    <w:rsid w:val="76BA4093"/>
    <w:rsid w:val="76BD06E4"/>
    <w:rsid w:val="76C137E3"/>
    <w:rsid w:val="76CC7FFC"/>
    <w:rsid w:val="76D80A05"/>
    <w:rsid w:val="76D81972"/>
    <w:rsid w:val="76D8626A"/>
    <w:rsid w:val="76EE465E"/>
    <w:rsid w:val="76EF03D6"/>
    <w:rsid w:val="76F81981"/>
    <w:rsid w:val="76FB0145"/>
    <w:rsid w:val="76FD3F31"/>
    <w:rsid w:val="77093CF3"/>
    <w:rsid w:val="771542E1"/>
    <w:rsid w:val="7722357A"/>
    <w:rsid w:val="77224BBE"/>
    <w:rsid w:val="77226D00"/>
    <w:rsid w:val="77233ECD"/>
    <w:rsid w:val="772573C4"/>
    <w:rsid w:val="773724A9"/>
    <w:rsid w:val="773D0F9C"/>
    <w:rsid w:val="77465256"/>
    <w:rsid w:val="77471FC0"/>
    <w:rsid w:val="7749166E"/>
    <w:rsid w:val="77516E4E"/>
    <w:rsid w:val="77523458"/>
    <w:rsid w:val="77597677"/>
    <w:rsid w:val="775E0E33"/>
    <w:rsid w:val="77603EAD"/>
    <w:rsid w:val="776A7828"/>
    <w:rsid w:val="776B3C7C"/>
    <w:rsid w:val="77784F0D"/>
    <w:rsid w:val="777B6495"/>
    <w:rsid w:val="777D5CBC"/>
    <w:rsid w:val="77800495"/>
    <w:rsid w:val="7782001E"/>
    <w:rsid w:val="7783749C"/>
    <w:rsid w:val="77863CC7"/>
    <w:rsid w:val="778857AA"/>
    <w:rsid w:val="77965C7E"/>
    <w:rsid w:val="77974740"/>
    <w:rsid w:val="779B3146"/>
    <w:rsid w:val="77B54C07"/>
    <w:rsid w:val="77C70C7A"/>
    <w:rsid w:val="77DB56F9"/>
    <w:rsid w:val="77DE25B3"/>
    <w:rsid w:val="77DF5750"/>
    <w:rsid w:val="77E02312"/>
    <w:rsid w:val="77E36DBE"/>
    <w:rsid w:val="77E939C8"/>
    <w:rsid w:val="77EB28E8"/>
    <w:rsid w:val="77F55100"/>
    <w:rsid w:val="78034A06"/>
    <w:rsid w:val="781C1FFC"/>
    <w:rsid w:val="781D5E42"/>
    <w:rsid w:val="781E44B9"/>
    <w:rsid w:val="782B013C"/>
    <w:rsid w:val="783178E9"/>
    <w:rsid w:val="783F3151"/>
    <w:rsid w:val="78454752"/>
    <w:rsid w:val="785051F3"/>
    <w:rsid w:val="786040B6"/>
    <w:rsid w:val="78654DF4"/>
    <w:rsid w:val="786B5F92"/>
    <w:rsid w:val="787D153B"/>
    <w:rsid w:val="788A6CA6"/>
    <w:rsid w:val="788F3C1F"/>
    <w:rsid w:val="78974F41"/>
    <w:rsid w:val="78A25D44"/>
    <w:rsid w:val="78C61F24"/>
    <w:rsid w:val="78D40831"/>
    <w:rsid w:val="78D43C04"/>
    <w:rsid w:val="78DB2EEB"/>
    <w:rsid w:val="78E05147"/>
    <w:rsid w:val="78E21FA1"/>
    <w:rsid w:val="78E656E7"/>
    <w:rsid w:val="78F21029"/>
    <w:rsid w:val="78F93350"/>
    <w:rsid w:val="79077C59"/>
    <w:rsid w:val="790B02E2"/>
    <w:rsid w:val="790C620A"/>
    <w:rsid w:val="791E32C2"/>
    <w:rsid w:val="792720A9"/>
    <w:rsid w:val="7930196F"/>
    <w:rsid w:val="79352EE7"/>
    <w:rsid w:val="79381C6E"/>
    <w:rsid w:val="7940172B"/>
    <w:rsid w:val="7943360D"/>
    <w:rsid w:val="79456DB5"/>
    <w:rsid w:val="794E5888"/>
    <w:rsid w:val="79597F98"/>
    <w:rsid w:val="796432FD"/>
    <w:rsid w:val="796D44F1"/>
    <w:rsid w:val="7971474A"/>
    <w:rsid w:val="79716B2C"/>
    <w:rsid w:val="797D616D"/>
    <w:rsid w:val="797F7E64"/>
    <w:rsid w:val="79884656"/>
    <w:rsid w:val="799A6EDA"/>
    <w:rsid w:val="799C1DC2"/>
    <w:rsid w:val="799D1612"/>
    <w:rsid w:val="799F467D"/>
    <w:rsid w:val="799F631A"/>
    <w:rsid w:val="79A43A33"/>
    <w:rsid w:val="79B037D9"/>
    <w:rsid w:val="79B778D1"/>
    <w:rsid w:val="79DA56DB"/>
    <w:rsid w:val="79DF10D7"/>
    <w:rsid w:val="79F0693F"/>
    <w:rsid w:val="79F52C75"/>
    <w:rsid w:val="79FB19AC"/>
    <w:rsid w:val="79FF5B76"/>
    <w:rsid w:val="7A0F38BE"/>
    <w:rsid w:val="7A1328D6"/>
    <w:rsid w:val="7A14463D"/>
    <w:rsid w:val="7A397292"/>
    <w:rsid w:val="7A3C6F01"/>
    <w:rsid w:val="7A424340"/>
    <w:rsid w:val="7A4D1FE3"/>
    <w:rsid w:val="7A56308C"/>
    <w:rsid w:val="7A5D5F37"/>
    <w:rsid w:val="7A633959"/>
    <w:rsid w:val="7A691FDF"/>
    <w:rsid w:val="7A6C5CE0"/>
    <w:rsid w:val="7A6E1CEA"/>
    <w:rsid w:val="7A7E1F85"/>
    <w:rsid w:val="7A80415A"/>
    <w:rsid w:val="7A9E4A38"/>
    <w:rsid w:val="7ABF7DD0"/>
    <w:rsid w:val="7AD40C5A"/>
    <w:rsid w:val="7AE244DA"/>
    <w:rsid w:val="7B0D601B"/>
    <w:rsid w:val="7B1E06E2"/>
    <w:rsid w:val="7B2965AD"/>
    <w:rsid w:val="7B2E14F1"/>
    <w:rsid w:val="7B37738C"/>
    <w:rsid w:val="7B3C5789"/>
    <w:rsid w:val="7B5D4DA8"/>
    <w:rsid w:val="7B750845"/>
    <w:rsid w:val="7B7A0F23"/>
    <w:rsid w:val="7B7A4F7D"/>
    <w:rsid w:val="7B8615FE"/>
    <w:rsid w:val="7B883EAC"/>
    <w:rsid w:val="7B8F5645"/>
    <w:rsid w:val="7B9D5D08"/>
    <w:rsid w:val="7BA210F5"/>
    <w:rsid w:val="7BA26864"/>
    <w:rsid w:val="7BA8076D"/>
    <w:rsid w:val="7BBA310F"/>
    <w:rsid w:val="7BC03E22"/>
    <w:rsid w:val="7BC67872"/>
    <w:rsid w:val="7BCB1C27"/>
    <w:rsid w:val="7BD40967"/>
    <w:rsid w:val="7BD41CFF"/>
    <w:rsid w:val="7BD535D9"/>
    <w:rsid w:val="7BD557CB"/>
    <w:rsid w:val="7BD86D3E"/>
    <w:rsid w:val="7BDD23BB"/>
    <w:rsid w:val="7BEE7047"/>
    <w:rsid w:val="7BEF01B6"/>
    <w:rsid w:val="7BF92146"/>
    <w:rsid w:val="7BFC15CB"/>
    <w:rsid w:val="7BFD5343"/>
    <w:rsid w:val="7C0E33E9"/>
    <w:rsid w:val="7C191192"/>
    <w:rsid w:val="7C1A4D5A"/>
    <w:rsid w:val="7C1B0E7C"/>
    <w:rsid w:val="7C1E785E"/>
    <w:rsid w:val="7C206505"/>
    <w:rsid w:val="7C2A546E"/>
    <w:rsid w:val="7C2C2F45"/>
    <w:rsid w:val="7C3C5E6C"/>
    <w:rsid w:val="7C3C71A1"/>
    <w:rsid w:val="7C4B6E95"/>
    <w:rsid w:val="7C576BB6"/>
    <w:rsid w:val="7C69082B"/>
    <w:rsid w:val="7C6B04FF"/>
    <w:rsid w:val="7C6E1430"/>
    <w:rsid w:val="7C6E4CB3"/>
    <w:rsid w:val="7C776EA4"/>
    <w:rsid w:val="7C7E67C4"/>
    <w:rsid w:val="7C83265D"/>
    <w:rsid w:val="7C865D68"/>
    <w:rsid w:val="7C8B7055"/>
    <w:rsid w:val="7C8E336B"/>
    <w:rsid w:val="7C976384"/>
    <w:rsid w:val="7C987A67"/>
    <w:rsid w:val="7C9958D3"/>
    <w:rsid w:val="7C9F0D06"/>
    <w:rsid w:val="7CA0464C"/>
    <w:rsid w:val="7CAB1E00"/>
    <w:rsid w:val="7CAE5476"/>
    <w:rsid w:val="7CB44164"/>
    <w:rsid w:val="7CBC4282"/>
    <w:rsid w:val="7CC022BC"/>
    <w:rsid w:val="7CC51E3F"/>
    <w:rsid w:val="7CC66965"/>
    <w:rsid w:val="7CC77E2B"/>
    <w:rsid w:val="7CC940C8"/>
    <w:rsid w:val="7CD05F3A"/>
    <w:rsid w:val="7CD86A4F"/>
    <w:rsid w:val="7CDF6E62"/>
    <w:rsid w:val="7CE50175"/>
    <w:rsid w:val="7CE56503"/>
    <w:rsid w:val="7CF211AF"/>
    <w:rsid w:val="7CFA011A"/>
    <w:rsid w:val="7D011D5C"/>
    <w:rsid w:val="7D087430"/>
    <w:rsid w:val="7D0E6DBB"/>
    <w:rsid w:val="7D1E2D51"/>
    <w:rsid w:val="7D292606"/>
    <w:rsid w:val="7D2D0555"/>
    <w:rsid w:val="7D372CA8"/>
    <w:rsid w:val="7D390321"/>
    <w:rsid w:val="7D3F2CA9"/>
    <w:rsid w:val="7D451972"/>
    <w:rsid w:val="7D482F4D"/>
    <w:rsid w:val="7D536B95"/>
    <w:rsid w:val="7D5F04E0"/>
    <w:rsid w:val="7D60768F"/>
    <w:rsid w:val="7D6A6429"/>
    <w:rsid w:val="7D7E6D57"/>
    <w:rsid w:val="7DA6646A"/>
    <w:rsid w:val="7DA82361"/>
    <w:rsid w:val="7DAA427E"/>
    <w:rsid w:val="7DAC5273"/>
    <w:rsid w:val="7DB12889"/>
    <w:rsid w:val="7DBE58DA"/>
    <w:rsid w:val="7DC51A74"/>
    <w:rsid w:val="7DD00A7F"/>
    <w:rsid w:val="7DF91899"/>
    <w:rsid w:val="7DFF53A3"/>
    <w:rsid w:val="7E041727"/>
    <w:rsid w:val="7E075F25"/>
    <w:rsid w:val="7E101E61"/>
    <w:rsid w:val="7E130828"/>
    <w:rsid w:val="7E187325"/>
    <w:rsid w:val="7E1D36F5"/>
    <w:rsid w:val="7E2C19E3"/>
    <w:rsid w:val="7E391E39"/>
    <w:rsid w:val="7E3A0C1E"/>
    <w:rsid w:val="7E3D7448"/>
    <w:rsid w:val="7E573431"/>
    <w:rsid w:val="7E580057"/>
    <w:rsid w:val="7E584C85"/>
    <w:rsid w:val="7E5C45A3"/>
    <w:rsid w:val="7E5D47D5"/>
    <w:rsid w:val="7E6E7475"/>
    <w:rsid w:val="7E7457C6"/>
    <w:rsid w:val="7E77088E"/>
    <w:rsid w:val="7E7A49CB"/>
    <w:rsid w:val="7E7F4370"/>
    <w:rsid w:val="7E896856"/>
    <w:rsid w:val="7E8D2AAF"/>
    <w:rsid w:val="7E9151FB"/>
    <w:rsid w:val="7EA773F9"/>
    <w:rsid w:val="7EB86321"/>
    <w:rsid w:val="7EBB45A0"/>
    <w:rsid w:val="7EC107EF"/>
    <w:rsid w:val="7EEB4AE8"/>
    <w:rsid w:val="7EF14B2E"/>
    <w:rsid w:val="7EFE565A"/>
    <w:rsid w:val="7F020AC6"/>
    <w:rsid w:val="7F0605B4"/>
    <w:rsid w:val="7F07475D"/>
    <w:rsid w:val="7F1C6307"/>
    <w:rsid w:val="7F1D7790"/>
    <w:rsid w:val="7F1F679B"/>
    <w:rsid w:val="7F247676"/>
    <w:rsid w:val="7F3044B7"/>
    <w:rsid w:val="7F383C9C"/>
    <w:rsid w:val="7F457D94"/>
    <w:rsid w:val="7F4B6168"/>
    <w:rsid w:val="7F4C6BE2"/>
    <w:rsid w:val="7F587BFA"/>
    <w:rsid w:val="7F5D6825"/>
    <w:rsid w:val="7F623229"/>
    <w:rsid w:val="7F64148E"/>
    <w:rsid w:val="7F687E94"/>
    <w:rsid w:val="7F6F0442"/>
    <w:rsid w:val="7F6F3451"/>
    <w:rsid w:val="7F73545B"/>
    <w:rsid w:val="7F7935C2"/>
    <w:rsid w:val="7F855696"/>
    <w:rsid w:val="7F962F62"/>
    <w:rsid w:val="7F9E5D94"/>
    <w:rsid w:val="7FA06E97"/>
    <w:rsid w:val="7FA73459"/>
    <w:rsid w:val="7FAC4E6C"/>
    <w:rsid w:val="7FAC7CD8"/>
    <w:rsid w:val="7FC01C87"/>
    <w:rsid w:val="7FC307D4"/>
    <w:rsid w:val="7FC43E91"/>
    <w:rsid w:val="7FC8211E"/>
    <w:rsid w:val="7FCA5325"/>
    <w:rsid w:val="7FCC5910"/>
    <w:rsid w:val="7FD065BE"/>
    <w:rsid w:val="7FD4349F"/>
    <w:rsid w:val="7FEF66AE"/>
    <w:rsid w:val="7FF96F40"/>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t" stroke="t">
      <v:fill type="gradient" on="t" angle="90" focussize="0f,0f" focusposition="0f,0f">
        <o:fill type="gradientUnscaled" v:ext="backwardCompatible"/>
      </v:fill>
      <v:stroke weight="1.25pt" color="#739CC3"/>
    </o:shapedefaults>
    <o:shapelayout v:ext="edit">
      <o:idmap v:ext="edit" data="1"/>
      <o:rules v:ext="edit">
        <o:r id="V:Rule1" type="connector" idref="#_x0000_s1075"/>
        <o:r id="V:Rule2" type="connector" idref="#_x0000_s1076"/>
        <o:r id="V:Rule3" type="connector" idref="#_x0000_s1077"/>
        <o:r id="V:Rule4" type="connector" idref="#_x0000_s1078"/>
        <o:r id="V:Rule5" type="connector" idref="#自选图形 1033"/>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0" w:semiHidden="0" w:name="heading 4"/>
    <w:lsdException w:qFormat="1" w:unhideWhenUsed="0" w:uiPriority="0"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iPriority="99" w:semiHidden="0" w:name="Normal Indent"/>
    <w:lsdException w:uiPriority="99" w:name="footnote text"/>
    <w:lsdException w:qFormat="1" w:unhideWhenUsed="0" w:uiPriority="0" w:name="annotation text"/>
    <w:lsdException w:qFormat="1" w:unhideWhenUsed="0" w:uiPriority="99"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99" w:semiHidden="0"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qFormat="1" w:uiPriority="99"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iPriority="99" w:semiHidden="0" w:name="Body Text Indent 3"/>
    <w:lsdException w:qFormat="1" w:unhideWhenUsed="0" w:uiPriority="0" w:semiHidden="0" w:name="Block Text"/>
    <w:lsdException w:qFormat="1" w:unhideWhenUsed="0"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nhideWhenUsed="0" w:uiPriority="99" w:name="Document Map"/>
    <w:lsdException w:qFormat="1" w:uiPriority="99" w:semiHidden="0"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qFormat="1" w:uiPriority="99" w:semiHidden="0"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99" w:semiHidden="0" w:name="Balloon Text"/>
    <w:lsdException w:qFormat="1" w:uiPriority="9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29" w:semiHidden="0" w:name="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360" w:firstLineChars="200"/>
      <w:jc w:val="both"/>
    </w:pPr>
    <w:rPr>
      <w:rFonts w:ascii="Times New Roman" w:hAnsi="Times New Roman" w:eastAsia="仿宋_GB2312" w:cs="Times New Roman"/>
      <w:kern w:val="2"/>
      <w:sz w:val="24"/>
      <w:szCs w:val="18"/>
      <w:lang w:val="en-US" w:eastAsia="zh-CN" w:bidi="ar-SA"/>
    </w:rPr>
  </w:style>
  <w:style w:type="paragraph" w:styleId="4">
    <w:name w:val="heading 1"/>
    <w:basedOn w:val="1"/>
    <w:next w:val="1"/>
    <w:link w:val="45"/>
    <w:qFormat/>
    <w:uiPriority w:val="99"/>
    <w:pPr>
      <w:keepNext/>
      <w:keepLines/>
      <w:spacing w:before="120" w:after="300" w:line="480" w:lineRule="auto"/>
      <w:ind w:firstLine="0" w:firstLineChars="0"/>
      <w:jc w:val="center"/>
      <w:outlineLvl w:val="0"/>
    </w:pPr>
    <w:rPr>
      <w:b/>
      <w:bCs/>
      <w:kern w:val="44"/>
      <w:sz w:val="36"/>
      <w:szCs w:val="36"/>
    </w:rPr>
  </w:style>
  <w:style w:type="paragraph" w:styleId="5">
    <w:name w:val="heading 2"/>
    <w:basedOn w:val="1"/>
    <w:next w:val="1"/>
    <w:link w:val="54"/>
    <w:qFormat/>
    <w:uiPriority w:val="99"/>
    <w:pPr>
      <w:keepNext/>
      <w:keepLines/>
      <w:ind w:firstLine="0" w:firstLineChars="0"/>
      <w:jc w:val="left"/>
      <w:outlineLvl w:val="1"/>
    </w:pPr>
    <w:rPr>
      <w:b/>
      <w:bCs/>
      <w:sz w:val="32"/>
      <w:szCs w:val="32"/>
    </w:rPr>
  </w:style>
  <w:style w:type="paragraph" w:styleId="6">
    <w:name w:val="heading 3"/>
    <w:basedOn w:val="1"/>
    <w:next w:val="1"/>
    <w:link w:val="55"/>
    <w:qFormat/>
    <w:uiPriority w:val="99"/>
    <w:pPr>
      <w:keepNext/>
      <w:keepLines/>
      <w:ind w:firstLine="0" w:firstLineChars="0"/>
      <w:jc w:val="left"/>
      <w:outlineLvl w:val="2"/>
    </w:pPr>
    <w:rPr>
      <w:b/>
      <w:bCs/>
      <w:sz w:val="28"/>
      <w:szCs w:val="28"/>
    </w:rPr>
  </w:style>
  <w:style w:type="paragraph" w:styleId="7">
    <w:name w:val="heading 4"/>
    <w:basedOn w:val="1"/>
    <w:next w:val="1"/>
    <w:link w:val="50"/>
    <w:qFormat/>
    <w:uiPriority w:val="0"/>
    <w:pPr>
      <w:keepNext/>
      <w:keepLines/>
      <w:ind w:firstLine="0" w:firstLineChars="0"/>
      <w:outlineLvl w:val="3"/>
    </w:pPr>
    <w:rPr>
      <w:b/>
      <w:bCs/>
      <w:szCs w:val="24"/>
    </w:rPr>
  </w:style>
  <w:style w:type="paragraph" w:styleId="8">
    <w:name w:val="heading 5"/>
    <w:basedOn w:val="1"/>
    <w:next w:val="1"/>
    <w:link w:val="52"/>
    <w:qFormat/>
    <w:uiPriority w:val="0"/>
    <w:pPr>
      <w:keepNext/>
      <w:keepLines/>
      <w:ind w:firstLine="0" w:firstLineChars="0"/>
      <w:outlineLvl w:val="4"/>
    </w:pPr>
    <w:rPr>
      <w:rFonts w:eastAsia="仿宋"/>
      <w:b/>
      <w:bCs/>
      <w:szCs w:val="24"/>
    </w:rPr>
  </w:style>
  <w:style w:type="character" w:default="1" w:styleId="38">
    <w:name w:val="Default Paragraph Font"/>
    <w:semiHidden/>
    <w:unhideWhenUsed/>
    <w:qFormat/>
    <w:uiPriority w:val="1"/>
  </w:style>
  <w:style w:type="table" w:default="1" w:styleId="36">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1"/>
    <w:unhideWhenUsed/>
    <w:qFormat/>
    <w:uiPriority w:val="99"/>
    <w:pPr>
      <w:ind w:firstLine="420" w:firstLineChars="100"/>
    </w:pPr>
  </w:style>
  <w:style w:type="paragraph" w:styleId="3">
    <w:name w:val="Body Text"/>
    <w:basedOn w:val="1"/>
    <w:next w:val="1"/>
    <w:unhideWhenUsed/>
    <w:qFormat/>
    <w:uiPriority w:val="99"/>
    <w:pPr>
      <w:spacing w:after="120"/>
    </w:pPr>
    <w:rPr>
      <w:sz w:val="21"/>
    </w:rPr>
  </w:style>
  <w:style w:type="paragraph" w:styleId="9">
    <w:name w:val="toc 7"/>
    <w:basedOn w:val="1"/>
    <w:next w:val="1"/>
    <w:link w:val="56"/>
    <w:qFormat/>
    <w:uiPriority w:val="39"/>
    <w:pPr>
      <w:ind w:left="2520" w:leftChars="1200"/>
    </w:pPr>
  </w:style>
  <w:style w:type="paragraph" w:styleId="10">
    <w:name w:val="Normal Indent"/>
    <w:basedOn w:val="1"/>
    <w:unhideWhenUsed/>
    <w:qFormat/>
    <w:uiPriority w:val="99"/>
    <w:pPr>
      <w:ind w:firstLine="200"/>
    </w:pPr>
    <w:rPr>
      <w:rFonts w:eastAsia="宋体"/>
      <w:spacing w:val="15"/>
      <w:sz w:val="28"/>
      <w:szCs w:val="24"/>
    </w:rPr>
  </w:style>
  <w:style w:type="paragraph" w:styleId="11">
    <w:name w:val="caption"/>
    <w:basedOn w:val="1"/>
    <w:next w:val="1"/>
    <w:qFormat/>
    <w:uiPriority w:val="0"/>
    <w:pPr>
      <w:spacing w:before="156" w:afterLines="50" w:line="240" w:lineRule="auto"/>
      <w:ind w:firstLine="0" w:firstLineChars="0"/>
      <w:jc w:val="center"/>
    </w:pPr>
    <w:rPr>
      <w:rFonts w:eastAsia="黑体"/>
      <w:snapToGrid w:val="0"/>
      <w:kern w:val="0"/>
      <w:sz w:val="21"/>
    </w:rPr>
  </w:style>
  <w:style w:type="paragraph" w:styleId="12">
    <w:name w:val="Document Map"/>
    <w:basedOn w:val="1"/>
    <w:link w:val="57"/>
    <w:semiHidden/>
    <w:qFormat/>
    <w:uiPriority w:val="99"/>
    <w:pPr>
      <w:shd w:val="clear" w:color="auto" w:fill="000080"/>
    </w:pPr>
  </w:style>
  <w:style w:type="paragraph" w:styleId="13">
    <w:name w:val="annotation text"/>
    <w:basedOn w:val="1"/>
    <w:link w:val="58"/>
    <w:semiHidden/>
    <w:qFormat/>
    <w:uiPriority w:val="0"/>
    <w:pPr>
      <w:jc w:val="left"/>
    </w:pPr>
  </w:style>
  <w:style w:type="paragraph" w:styleId="14">
    <w:name w:val="Body Text Indent"/>
    <w:basedOn w:val="1"/>
    <w:next w:val="1"/>
    <w:unhideWhenUsed/>
    <w:qFormat/>
    <w:uiPriority w:val="99"/>
    <w:pPr>
      <w:ind w:firstLine="599" w:firstLineChars="206"/>
    </w:pPr>
    <w:rPr>
      <w:sz w:val="28"/>
    </w:rPr>
  </w:style>
  <w:style w:type="paragraph" w:styleId="15">
    <w:name w:val="Block Text"/>
    <w:basedOn w:val="1"/>
    <w:qFormat/>
    <w:uiPriority w:val="0"/>
    <w:pPr>
      <w:ind w:left="105" w:leftChars="50" w:right="284" w:firstLine="560"/>
    </w:pPr>
    <w:rPr>
      <w:rFonts w:ascii="Arial" w:hAnsi="Arial" w:cs="Arial"/>
      <w:sz w:val="28"/>
      <w:szCs w:val="24"/>
    </w:rPr>
  </w:style>
  <w:style w:type="paragraph" w:styleId="16">
    <w:name w:val="toc 5"/>
    <w:basedOn w:val="1"/>
    <w:next w:val="1"/>
    <w:qFormat/>
    <w:uiPriority w:val="39"/>
    <w:pPr>
      <w:ind w:left="1680" w:leftChars="800"/>
    </w:pPr>
  </w:style>
  <w:style w:type="paragraph" w:styleId="17">
    <w:name w:val="toc 3"/>
    <w:basedOn w:val="1"/>
    <w:next w:val="1"/>
    <w:qFormat/>
    <w:uiPriority w:val="39"/>
    <w:pPr>
      <w:ind w:left="840" w:leftChars="400"/>
    </w:pPr>
  </w:style>
  <w:style w:type="paragraph" w:styleId="18">
    <w:name w:val="Plain Text"/>
    <w:basedOn w:val="1"/>
    <w:unhideWhenUsed/>
    <w:qFormat/>
    <w:uiPriority w:val="99"/>
    <w:rPr>
      <w:rFonts w:ascii="宋体" w:hAnsi="Courier New" w:cs="Courier New"/>
      <w:szCs w:val="21"/>
    </w:rPr>
  </w:style>
  <w:style w:type="paragraph" w:styleId="19">
    <w:name w:val="toc 8"/>
    <w:basedOn w:val="1"/>
    <w:next w:val="1"/>
    <w:qFormat/>
    <w:uiPriority w:val="39"/>
    <w:pPr>
      <w:ind w:left="2940" w:leftChars="1400"/>
    </w:pPr>
  </w:style>
  <w:style w:type="paragraph" w:styleId="20">
    <w:name w:val="Date"/>
    <w:basedOn w:val="1"/>
    <w:next w:val="1"/>
    <w:link w:val="59"/>
    <w:unhideWhenUsed/>
    <w:qFormat/>
    <w:uiPriority w:val="99"/>
    <w:pPr>
      <w:ind w:left="100" w:leftChars="2500"/>
    </w:pPr>
  </w:style>
  <w:style w:type="paragraph" w:styleId="21">
    <w:name w:val="Body Text Indent 2"/>
    <w:basedOn w:val="1"/>
    <w:link w:val="60"/>
    <w:qFormat/>
    <w:uiPriority w:val="0"/>
    <w:pPr>
      <w:spacing w:after="120" w:line="480" w:lineRule="auto"/>
      <w:ind w:left="420" w:leftChars="200" w:firstLine="0" w:firstLineChars="0"/>
    </w:pPr>
    <w:rPr>
      <w:rFonts w:ascii="Calibri" w:hAnsi="Calibri" w:eastAsia="微软雅黑"/>
      <w:sz w:val="21"/>
      <w:szCs w:val="22"/>
    </w:rPr>
  </w:style>
  <w:style w:type="paragraph" w:styleId="22">
    <w:name w:val="Balloon Text"/>
    <w:basedOn w:val="1"/>
    <w:link w:val="61"/>
    <w:qFormat/>
    <w:uiPriority w:val="99"/>
    <w:pPr>
      <w:spacing w:line="240" w:lineRule="auto"/>
    </w:pPr>
    <w:rPr>
      <w:sz w:val="18"/>
    </w:rPr>
  </w:style>
  <w:style w:type="paragraph" w:styleId="23">
    <w:name w:val="footer"/>
    <w:basedOn w:val="1"/>
    <w:link w:val="62"/>
    <w:qFormat/>
    <w:uiPriority w:val="0"/>
    <w:pPr>
      <w:tabs>
        <w:tab w:val="center" w:pos="4153"/>
        <w:tab w:val="right" w:pos="8306"/>
      </w:tabs>
      <w:snapToGrid w:val="0"/>
      <w:spacing w:line="240" w:lineRule="auto"/>
      <w:ind w:firstLine="0" w:firstLineChars="0"/>
      <w:jc w:val="center"/>
    </w:pPr>
    <w:rPr>
      <w:rFonts w:eastAsia="仿宋"/>
    </w:rPr>
  </w:style>
  <w:style w:type="paragraph" w:styleId="24">
    <w:name w:val="header"/>
    <w:basedOn w:val="1"/>
    <w:link w:val="49"/>
    <w:qFormat/>
    <w:uiPriority w:val="99"/>
    <w:pPr>
      <w:pBdr>
        <w:bottom w:val="single" w:color="auto" w:sz="6" w:space="1"/>
      </w:pBdr>
      <w:tabs>
        <w:tab w:val="center" w:pos="4153"/>
        <w:tab w:val="right" w:pos="8306"/>
      </w:tabs>
      <w:snapToGrid w:val="0"/>
      <w:spacing w:line="240" w:lineRule="auto"/>
      <w:ind w:firstLine="0" w:firstLineChars="0"/>
      <w:jc w:val="center"/>
    </w:pPr>
    <w:rPr>
      <w:rFonts w:eastAsia="宋体"/>
      <w:sz w:val="18"/>
    </w:rPr>
  </w:style>
  <w:style w:type="paragraph" w:styleId="25">
    <w:name w:val="toc 1"/>
    <w:basedOn w:val="1"/>
    <w:next w:val="1"/>
    <w:qFormat/>
    <w:uiPriority w:val="39"/>
    <w:pPr>
      <w:spacing w:before="120" w:after="120" w:line="240" w:lineRule="auto"/>
      <w:ind w:firstLine="0" w:firstLineChars="0"/>
    </w:pPr>
    <w:rPr>
      <w:b/>
      <w:bCs/>
      <w:szCs w:val="24"/>
    </w:rPr>
  </w:style>
  <w:style w:type="paragraph" w:styleId="26">
    <w:name w:val="toc 4"/>
    <w:basedOn w:val="1"/>
    <w:next w:val="1"/>
    <w:qFormat/>
    <w:uiPriority w:val="39"/>
    <w:pPr>
      <w:ind w:left="1260" w:leftChars="600"/>
    </w:pPr>
  </w:style>
  <w:style w:type="paragraph" w:styleId="27">
    <w:name w:val="toc 6"/>
    <w:basedOn w:val="1"/>
    <w:next w:val="1"/>
    <w:qFormat/>
    <w:uiPriority w:val="39"/>
    <w:pPr>
      <w:ind w:left="2100" w:leftChars="1000"/>
    </w:pPr>
  </w:style>
  <w:style w:type="paragraph" w:styleId="28">
    <w:name w:val="Body Text Indent 3"/>
    <w:basedOn w:val="1"/>
    <w:unhideWhenUsed/>
    <w:qFormat/>
    <w:uiPriority w:val="99"/>
    <w:pPr>
      <w:snapToGrid w:val="0"/>
      <w:ind w:firstLine="480"/>
    </w:pPr>
    <w:rPr>
      <w:szCs w:val="20"/>
    </w:rPr>
  </w:style>
  <w:style w:type="paragraph" w:styleId="29">
    <w:name w:val="toc 2"/>
    <w:basedOn w:val="1"/>
    <w:next w:val="1"/>
    <w:qFormat/>
    <w:uiPriority w:val="39"/>
    <w:pPr>
      <w:spacing w:line="240" w:lineRule="auto"/>
      <w:ind w:firstLine="640"/>
    </w:pPr>
    <w:rPr>
      <w:szCs w:val="24"/>
    </w:rPr>
  </w:style>
  <w:style w:type="paragraph" w:styleId="30">
    <w:name w:val="toc 9"/>
    <w:basedOn w:val="1"/>
    <w:next w:val="1"/>
    <w:qFormat/>
    <w:uiPriority w:val="39"/>
    <w:pPr>
      <w:ind w:left="3360" w:leftChars="1600"/>
    </w:pPr>
  </w:style>
  <w:style w:type="paragraph" w:styleId="31">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eastAsia="宋体"/>
      <w:kern w:val="0"/>
      <w:szCs w:val="24"/>
    </w:rPr>
  </w:style>
  <w:style w:type="paragraph" w:styleId="32">
    <w:name w:val="Normal (Web)"/>
    <w:basedOn w:val="1"/>
    <w:unhideWhenUsed/>
    <w:qFormat/>
    <w:uiPriority w:val="99"/>
    <w:pPr>
      <w:widowControl/>
      <w:spacing w:before="100" w:beforeAutospacing="1" w:after="100" w:afterAutospacing="1"/>
      <w:jc w:val="left"/>
    </w:pPr>
    <w:rPr>
      <w:rFonts w:ascii="宋体" w:hAnsi="宋体" w:cs="宋体"/>
      <w:kern w:val="0"/>
    </w:rPr>
  </w:style>
  <w:style w:type="paragraph" w:styleId="33">
    <w:name w:val="Title"/>
    <w:basedOn w:val="1"/>
    <w:next w:val="1"/>
    <w:link w:val="63"/>
    <w:qFormat/>
    <w:uiPriority w:val="0"/>
    <w:pPr>
      <w:spacing w:before="240" w:after="60"/>
      <w:jc w:val="center"/>
      <w:outlineLvl w:val="0"/>
    </w:pPr>
    <w:rPr>
      <w:rFonts w:ascii="Cambria" w:hAnsi="Cambria"/>
      <w:b/>
      <w:bCs/>
      <w:sz w:val="32"/>
      <w:szCs w:val="32"/>
    </w:rPr>
  </w:style>
  <w:style w:type="paragraph" w:styleId="34">
    <w:name w:val="annotation subject"/>
    <w:basedOn w:val="13"/>
    <w:next w:val="13"/>
    <w:link w:val="64"/>
    <w:semiHidden/>
    <w:qFormat/>
    <w:uiPriority w:val="0"/>
    <w:rPr>
      <w:b/>
      <w:bCs/>
    </w:rPr>
  </w:style>
  <w:style w:type="paragraph" w:styleId="35">
    <w:name w:val="Body Text First Indent 2"/>
    <w:basedOn w:val="14"/>
    <w:next w:val="2"/>
    <w:qFormat/>
    <w:uiPriority w:val="0"/>
    <w:pPr>
      <w:ind w:left="200" w:leftChars="200" w:firstLine="200"/>
    </w:pPr>
  </w:style>
  <w:style w:type="table" w:styleId="37">
    <w:name w:val="Table Grid"/>
    <w:basedOn w:val="36"/>
    <w:unhideWhenUsed/>
    <w:qFormat/>
    <w:uiPriority w:val="9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39">
    <w:name w:val="page number"/>
    <w:basedOn w:val="38"/>
    <w:qFormat/>
    <w:uiPriority w:val="0"/>
  </w:style>
  <w:style w:type="character" w:styleId="40">
    <w:name w:val="FollowedHyperlink"/>
    <w:basedOn w:val="38"/>
    <w:unhideWhenUsed/>
    <w:qFormat/>
    <w:uiPriority w:val="99"/>
    <w:rPr>
      <w:color w:val="505050"/>
      <w:u w:val="none"/>
    </w:rPr>
  </w:style>
  <w:style w:type="character" w:styleId="41">
    <w:name w:val="Emphasis"/>
    <w:basedOn w:val="38"/>
    <w:qFormat/>
    <w:uiPriority w:val="20"/>
    <w:rPr>
      <w:i/>
    </w:rPr>
  </w:style>
  <w:style w:type="character" w:styleId="42">
    <w:name w:val="Hyperlink"/>
    <w:basedOn w:val="38"/>
    <w:qFormat/>
    <w:uiPriority w:val="99"/>
    <w:rPr>
      <w:color w:val="505050"/>
      <w:u w:val="none"/>
    </w:rPr>
  </w:style>
  <w:style w:type="character" w:styleId="43">
    <w:name w:val="HTML Code"/>
    <w:basedOn w:val="38"/>
    <w:unhideWhenUsed/>
    <w:qFormat/>
    <w:uiPriority w:val="99"/>
    <w:rPr>
      <w:rFonts w:ascii="Courier New" w:hAnsi="Courier New"/>
      <w:sz w:val="20"/>
    </w:rPr>
  </w:style>
  <w:style w:type="character" w:styleId="44">
    <w:name w:val="annotation reference"/>
    <w:basedOn w:val="38"/>
    <w:semiHidden/>
    <w:qFormat/>
    <w:uiPriority w:val="0"/>
    <w:rPr>
      <w:sz w:val="21"/>
      <w:szCs w:val="21"/>
    </w:rPr>
  </w:style>
  <w:style w:type="character" w:customStyle="1" w:styleId="45">
    <w:name w:val="标题 1 Char"/>
    <w:basedOn w:val="38"/>
    <w:link w:val="4"/>
    <w:qFormat/>
    <w:uiPriority w:val="99"/>
    <w:rPr>
      <w:rFonts w:ascii="Times New Roman" w:hAnsi="Times New Roman" w:eastAsia="仿宋_GB2312"/>
      <w:b/>
      <w:bCs/>
      <w:kern w:val="44"/>
      <w:sz w:val="36"/>
      <w:szCs w:val="36"/>
    </w:rPr>
  </w:style>
  <w:style w:type="paragraph" w:customStyle="1" w:styleId="46">
    <w:name w:val="正文."/>
    <w:basedOn w:val="1"/>
    <w:next w:val="1"/>
    <w:qFormat/>
    <w:uiPriority w:val="0"/>
    <w:pPr>
      <w:ind w:firstLine="200"/>
    </w:pPr>
  </w:style>
  <w:style w:type="paragraph" w:customStyle="1" w:styleId="47">
    <w:name w:val="表名"/>
    <w:basedOn w:val="1"/>
    <w:next w:val="1"/>
    <w:qFormat/>
    <w:uiPriority w:val="0"/>
    <w:pPr>
      <w:tabs>
        <w:tab w:val="left" w:pos="1620"/>
        <w:tab w:val="left" w:pos="3600"/>
      </w:tabs>
      <w:overflowPunct w:val="0"/>
      <w:snapToGrid w:val="0"/>
      <w:ind w:firstLine="0" w:firstLineChars="0"/>
      <w:jc w:val="center"/>
      <w:textAlignment w:val="baseline"/>
    </w:pPr>
    <w:rPr>
      <w:b/>
    </w:rPr>
  </w:style>
  <w:style w:type="paragraph" w:customStyle="1" w:styleId="48">
    <w:name w:val="Table Paragraph"/>
    <w:basedOn w:val="1"/>
    <w:qFormat/>
    <w:uiPriority w:val="1"/>
    <w:pPr>
      <w:jc w:val="center"/>
    </w:pPr>
    <w:rPr>
      <w:rFonts w:ascii="宋体" w:hAnsi="宋体" w:eastAsia="宋体" w:cs="宋体"/>
      <w:lang w:val="zh-CN" w:bidi="zh-CN"/>
    </w:rPr>
  </w:style>
  <w:style w:type="character" w:customStyle="1" w:styleId="49">
    <w:name w:val="页眉 Char"/>
    <w:basedOn w:val="38"/>
    <w:link w:val="24"/>
    <w:qFormat/>
    <w:uiPriority w:val="0"/>
    <w:rPr>
      <w:rFonts w:ascii="Times New Roman" w:hAnsi="Times New Roman" w:eastAsia="宋体" w:cs="Times New Roman"/>
      <w:kern w:val="2"/>
      <w:sz w:val="18"/>
      <w:szCs w:val="18"/>
    </w:rPr>
  </w:style>
  <w:style w:type="character" w:customStyle="1" w:styleId="50">
    <w:name w:val="标题 4 Char"/>
    <w:basedOn w:val="38"/>
    <w:link w:val="7"/>
    <w:qFormat/>
    <w:uiPriority w:val="0"/>
    <w:rPr>
      <w:rFonts w:ascii="Times New Roman" w:hAnsi="Times New Roman" w:eastAsia="仿宋_GB2312" w:cs="Times New Roman"/>
      <w:b/>
      <w:bCs/>
      <w:kern w:val="2"/>
      <w:sz w:val="24"/>
      <w:szCs w:val="24"/>
    </w:rPr>
  </w:style>
  <w:style w:type="character" w:customStyle="1" w:styleId="51">
    <w:name w:val="标题 3 Char"/>
    <w:basedOn w:val="38"/>
    <w:qFormat/>
    <w:uiPriority w:val="99"/>
    <w:rPr>
      <w:rFonts w:ascii="Times New Roman" w:hAnsi="Times New Roman" w:eastAsia="黑体" w:cs="Times New Roman"/>
      <w:b/>
      <w:bCs/>
      <w:kern w:val="2"/>
      <w:sz w:val="24"/>
      <w:szCs w:val="18"/>
    </w:rPr>
  </w:style>
  <w:style w:type="character" w:customStyle="1" w:styleId="52">
    <w:name w:val="标题 5 Char"/>
    <w:basedOn w:val="38"/>
    <w:link w:val="8"/>
    <w:qFormat/>
    <w:uiPriority w:val="0"/>
    <w:rPr>
      <w:rFonts w:ascii="Times New Roman" w:hAnsi="Times New Roman" w:eastAsia="仿宋" w:cs="Times New Roman"/>
      <w:b/>
      <w:bCs/>
      <w:kern w:val="2"/>
      <w:sz w:val="24"/>
      <w:szCs w:val="24"/>
    </w:rPr>
  </w:style>
  <w:style w:type="paragraph" w:customStyle="1" w:styleId="53">
    <w:name w:val="1表格格式"/>
    <w:basedOn w:val="1"/>
    <w:qFormat/>
    <w:uiPriority w:val="99"/>
    <w:pPr>
      <w:pBdr>
        <w:top w:val="none" w:color="auto" w:sz="0" w:space="1"/>
        <w:left w:val="none" w:color="auto" w:sz="0" w:space="4"/>
        <w:bottom w:val="none" w:color="auto" w:sz="0" w:space="1"/>
        <w:right w:val="none" w:color="auto" w:sz="0" w:space="4"/>
      </w:pBdr>
      <w:tabs>
        <w:tab w:val="left" w:pos="3108"/>
      </w:tabs>
      <w:spacing w:line="240" w:lineRule="auto"/>
      <w:ind w:firstLine="0" w:firstLineChars="0"/>
      <w:jc w:val="center"/>
    </w:pPr>
    <w:rPr>
      <w:rFonts w:eastAsia="仿宋"/>
      <w:sz w:val="21"/>
      <w:szCs w:val="21"/>
    </w:rPr>
  </w:style>
  <w:style w:type="character" w:customStyle="1" w:styleId="54">
    <w:name w:val="标题 2 Char"/>
    <w:basedOn w:val="38"/>
    <w:link w:val="5"/>
    <w:qFormat/>
    <w:uiPriority w:val="99"/>
    <w:rPr>
      <w:rFonts w:ascii="Times New Roman" w:hAnsi="Times New Roman" w:eastAsia="仿宋_GB2312" w:cs="Times New Roman"/>
      <w:b/>
      <w:bCs/>
      <w:kern w:val="2"/>
      <w:sz w:val="32"/>
      <w:szCs w:val="32"/>
    </w:rPr>
  </w:style>
  <w:style w:type="character" w:customStyle="1" w:styleId="55">
    <w:name w:val="标题 3 Char1"/>
    <w:basedOn w:val="38"/>
    <w:link w:val="6"/>
    <w:qFormat/>
    <w:uiPriority w:val="0"/>
    <w:rPr>
      <w:rFonts w:ascii="Times New Roman" w:hAnsi="Times New Roman" w:eastAsia="仿宋_GB2312"/>
      <w:b/>
      <w:bCs/>
      <w:kern w:val="2"/>
      <w:sz w:val="28"/>
      <w:szCs w:val="28"/>
      <w:lang w:val="en-US" w:eastAsia="zh-CN" w:bidi="ar-SA"/>
    </w:rPr>
  </w:style>
  <w:style w:type="character" w:customStyle="1" w:styleId="56">
    <w:name w:val="目录 7 Char"/>
    <w:link w:val="9"/>
    <w:qFormat/>
    <w:uiPriority w:val="39"/>
  </w:style>
  <w:style w:type="character" w:customStyle="1" w:styleId="57">
    <w:name w:val="文档结构图 Char"/>
    <w:basedOn w:val="38"/>
    <w:link w:val="12"/>
    <w:qFormat/>
    <w:uiPriority w:val="99"/>
    <w:rPr>
      <w:rFonts w:ascii="Times New Roman" w:hAnsi="Times New Roman" w:eastAsia="宋体" w:cs="Times New Roman"/>
      <w:kern w:val="2"/>
      <w:sz w:val="24"/>
      <w:szCs w:val="18"/>
      <w:shd w:val="clear" w:color="auto" w:fill="000080"/>
    </w:rPr>
  </w:style>
  <w:style w:type="character" w:customStyle="1" w:styleId="58">
    <w:name w:val="批注文字 Char"/>
    <w:basedOn w:val="38"/>
    <w:link w:val="13"/>
    <w:qFormat/>
    <w:uiPriority w:val="0"/>
    <w:rPr>
      <w:rFonts w:ascii="Times New Roman" w:hAnsi="Times New Roman" w:eastAsia="宋体" w:cs="Times New Roman"/>
      <w:kern w:val="2"/>
      <w:sz w:val="24"/>
      <w:szCs w:val="18"/>
    </w:rPr>
  </w:style>
  <w:style w:type="character" w:customStyle="1" w:styleId="59">
    <w:name w:val="日期 Char"/>
    <w:basedOn w:val="38"/>
    <w:link w:val="20"/>
    <w:qFormat/>
    <w:uiPriority w:val="99"/>
    <w:rPr>
      <w:rFonts w:ascii="Times New Roman" w:hAnsi="Times New Roman" w:eastAsia="宋体" w:cs="Times New Roman"/>
      <w:kern w:val="2"/>
      <w:sz w:val="24"/>
      <w:szCs w:val="18"/>
    </w:rPr>
  </w:style>
  <w:style w:type="character" w:customStyle="1" w:styleId="60">
    <w:name w:val="正文文本缩进 2 Char"/>
    <w:basedOn w:val="38"/>
    <w:link w:val="21"/>
    <w:qFormat/>
    <w:uiPriority w:val="0"/>
    <w:rPr>
      <w:kern w:val="2"/>
      <w:sz w:val="21"/>
    </w:rPr>
  </w:style>
  <w:style w:type="character" w:customStyle="1" w:styleId="61">
    <w:name w:val="批注框文本 Char"/>
    <w:basedOn w:val="38"/>
    <w:link w:val="22"/>
    <w:qFormat/>
    <w:uiPriority w:val="99"/>
    <w:rPr>
      <w:rFonts w:ascii="Times New Roman" w:hAnsi="Times New Roman" w:eastAsia="宋体" w:cs="Times New Roman"/>
      <w:kern w:val="2"/>
      <w:sz w:val="18"/>
      <w:szCs w:val="18"/>
    </w:rPr>
  </w:style>
  <w:style w:type="character" w:customStyle="1" w:styleId="62">
    <w:name w:val="页脚 Char"/>
    <w:basedOn w:val="38"/>
    <w:link w:val="23"/>
    <w:qFormat/>
    <w:uiPriority w:val="0"/>
    <w:rPr>
      <w:rFonts w:ascii="Times New Roman" w:hAnsi="Times New Roman" w:eastAsia="仿宋" w:cs="Times New Roman"/>
      <w:kern w:val="2"/>
      <w:sz w:val="24"/>
      <w:szCs w:val="18"/>
    </w:rPr>
  </w:style>
  <w:style w:type="character" w:customStyle="1" w:styleId="63">
    <w:name w:val="标题 Char"/>
    <w:basedOn w:val="38"/>
    <w:link w:val="33"/>
    <w:qFormat/>
    <w:uiPriority w:val="0"/>
    <w:rPr>
      <w:rFonts w:ascii="Cambria" w:hAnsi="Cambria" w:eastAsia="宋体" w:cs="Times New Roman"/>
      <w:b/>
      <w:bCs/>
      <w:kern w:val="2"/>
      <w:sz w:val="32"/>
      <w:szCs w:val="32"/>
    </w:rPr>
  </w:style>
  <w:style w:type="character" w:customStyle="1" w:styleId="64">
    <w:name w:val="批注主题 Char"/>
    <w:basedOn w:val="58"/>
    <w:link w:val="34"/>
    <w:qFormat/>
    <w:uiPriority w:val="0"/>
    <w:rPr>
      <w:rFonts w:ascii="Times New Roman" w:hAnsi="Times New Roman" w:eastAsia="宋体" w:cs="Times New Roman"/>
      <w:b/>
      <w:bCs/>
      <w:kern w:val="2"/>
      <w:sz w:val="24"/>
      <w:szCs w:val="18"/>
    </w:rPr>
  </w:style>
  <w:style w:type="character" w:customStyle="1" w:styleId="65">
    <w:name w:val="font71"/>
    <w:basedOn w:val="38"/>
    <w:qFormat/>
    <w:uiPriority w:val="0"/>
    <w:rPr>
      <w:rFonts w:hint="default" w:ascii="Times New Roman" w:hAnsi="Times New Roman" w:cs="Times New Roman"/>
      <w:color w:val="000000"/>
      <w:sz w:val="24"/>
      <w:szCs w:val="24"/>
      <w:u w:val="none"/>
    </w:rPr>
  </w:style>
  <w:style w:type="character" w:customStyle="1" w:styleId="66">
    <w:name w:val="font81"/>
    <w:basedOn w:val="38"/>
    <w:qFormat/>
    <w:uiPriority w:val="0"/>
    <w:rPr>
      <w:rFonts w:hint="eastAsia" w:ascii="宋体" w:hAnsi="宋体" w:eastAsia="宋体" w:cs="宋体"/>
      <w:color w:val="000000"/>
      <w:sz w:val="24"/>
      <w:szCs w:val="24"/>
      <w:u w:val="none"/>
    </w:rPr>
  </w:style>
  <w:style w:type="character" w:customStyle="1" w:styleId="67">
    <w:name w:val="表图名 Char Char"/>
    <w:basedOn w:val="38"/>
    <w:link w:val="68"/>
    <w:qFormat/>
    <w:uiPriority w:val="0"/>
    <w:rPr>
      <w:rFonts w:ascii="Times New Roman" w:hAnsi="Times New Roman" w:eastAsia="仿宋_GB2312" w:cs="Times New Roman"/>
      <w:b/>
      <w:snapToGrid w:val="0"/>
    </w:rPr>
  </w:style>
  <w:style w:type="paragraph" w:customStyle="1" w:styleId="68">
    <w:name w:val="表名1"/>
    <w:basedOn w:val="1"/>
    <w:link w:val="67"/>
    <w:qFormat/>
    <w:uiPriority w:val="0"/>
    <w:pPr>
      <w:adjustRightInd w:val="0"/>
      <w:snapToGrid w:val="0"/>
      <w:spacing w:afterLines="50" w:line="240" w:lineRule="auto"/>
      <w:ind w:firstLine="0" w:firstLineChars="0"/>
      <w:jc w:val="center"/>
    </w:pPr>
    <w:rPr>
      <w:b/>
      <w:snapToGrid w:val="0"/>
    </w:rPr>
  </w:style>
  <w:style w:type="character" w:customStyle="1" w:styleId="69">
    <w:name w:val="正文文本缩进 2 Char1"/>
    <w:basedOn w:val="38"/>
    <w:qFormat/>
    <w:uiPriority w:val="99"/>
    <w:rPr>
      <w:rFonts w:ascii="Times New Roman" w:hAnsi="Times New Roman" w:eastAsia="宋体" w:cs="Times New Roman"/>
      <w:kern w:val="2"/>
      <w:sz w:val="24"/>
      <w:szCs w:val="18"/>
    </w:rPr>
  </w:style>
  <w:style w:type="character" w:customStyle="1" w:styleId="70">
    <w:name w:val="font51"/>
    <w:basedOn w:val="38"/>
    <w:qFormat/>
    <w:uiPriority w:val="0"/>
    <w:rPr>
      <w:rFonts w:hint="eastAsia" w:ascii="宋体" w:hAnsi="宋体" w:eastAsia="宋体" w:cs="宋体"/>
      <w:color w:val="000000"/>
      <w:sz w:val="24"/>
      <w:szCs w:val="24"/>
      <w:u w:val="none"/>
    </w:rPr>
  </w:style>
  <w:style w:type="character" w:customStyle="1" w:styleId="71">
    <w:name w:val="附件、附图 Char"/>
    <w:link w:val="72"/>
    <w:qFormat/>
    <w:uiPriority w:val="0"/>
    <w:rPr>
      <w:rFonts w:ascii="Times New Roman" w:hAnsi="Times New Roman" w:eastAsia="仿宋_GB2312"/>
      <w:b/>
      <w:bCs/>
      <w:szCs w:val="24"/>
    </w:rPr>
  </w:style>
  <w:style w:type="paragraph" w:customStyle="1" w:styleId="72">
    <w:name w:val="附件、附图"/>
    <w:basedOn w:val="1"/>
    <w:link w:val="71"/>
    <w:qFormat/>
    <w:uiPriority w:val="0"/>
    <w:pPr>
      <w:ind w:firstLine="0" w:firstLineChars="0"/>
    </w:pPr>
    <w:rPr>
      <w:b/>
      <w:bCs/>
      <w:szCs w:val="24"/>
    </w:rPr>
  </w:style>
  <w:style w:type="character" w:customStyle="1" w:styleId="73">
    <w:name w:val="font01"/>
    <w:basedOn w:val="38"/>
    <w:qFormat/>
    <w:uiPriority w:val="0"/>
    <w:rPr>
      <w:rFonts w:hint="default" w:ascii="Times New Roman" w:hAnsi="Times New Roman" w:cs="Times New Roman"/>
      <w:color w:val="000000"/>
      <w:sz w:val="24"/>
      <w:szCs w:val="24"/>
      <w:u w:val="none"/>
    </w:rPr>
  </w:style>
  <w:style w:type="character" w:customStyle="1" w:styleId="74">
    <w:name w:val="表名2 Char"/>
    <w:link w:val="75"/>
    <w:qFormat/>
    <w:uiPriority w:val="0"/>
    <w:rPr>
      <w:rFonts w:ascii="Times New Roman" w:hAnsi="Times New Roman" w:eastAsia="仿宋_GB2312"/>
      <w:b/>
      <w:bCs/>
    </w:rPr>
  </w:style>
  <w:style w:type="paragraph" w:customStyle="1" w:styleId="75">
    <w:name w:val="表名2"/>
    <w:basedOn w:val="1"/>
    <w:next w:val="1"/>
    <w:link w:val="74"/>
    <w:qFormat/>
    <w:uiPriority w:val="0"/>
    <w:pPr>
      <w:spacing w:line="240" w:lineRule="auto"/>
      <w:ind w:firstLine="0" w:firstLineChars="0"/>
    </w:pPr>
    <w:rPr>
      <w:b/>
      <w:bCs/>
    </w:rPr>
  </w:style>
  <w:style w:type="character" w:customStyle="1" w:styleId="76">
    <w:name w:val="font31"/>
    <w:basedOn w:val="38"/>
    <w:qFormat/>
    <w:uiPriority w:val="0"/>
    <w:rPr>
      <w:rFonts w:hint="eastAsia" w:ascii="宋体" w:hAnsi="宋体" w:eastAsia="宋体" w:cs="宋体"/>
      <w:color w:val="000000"/>
      <w:sz w:val="24"/>
      <w:szCs w:val="24"/>
      <w:u w:val="none"/>
    </w:rPr>
  </w:style>
  <w:style w:type="character" w:customStyle="1" w:styleId="77">
    <w:name w:val="font121"/>
    <w:qFormat/>
    <w:uiPriority w:val="0"/>
    <w:rPr>
      <w:rFonts w:hint="default" w:ascii="Times New Roman" w:hAnsi="Times New Roman" w:cs="Times New Roman"/>
      <w:color w:val="000000"/>
      <w:sz w:val="21"/>
      <w:szCs w:val="21"/>
      <w:u w:val="none"/>
      <w:vertAlign w:val="superscript"/>
    </w:rPr>
  </w:style>
  <w:style w:type="character" w:customStyle="1" w:styleId="78">
    <w:name w:val="font11"/>
    <w:basedOn w:val="38"/>
    <w:qFormat/>
    <w:uiPriority w:val="0"/>
    <w:rPr>
      <w:rFonts w:hint="eastAsia" w:ascii="宋体" w:hAnsi="宋体" w:eastAsia="宋体" w:cs="宋体"/>
      <w:color w:val="000000"/>
      <w:sz w:val="24"/>
      <w:szCs w:val="24"/>
      <w:u w:val="none"/>
    </w:rPr>
  </w:style>
  <w:style w:type="character" w:customStyle="1" w:styleId="79">
    <w:name w:val="font21"/>
    <w:basedOn w:val="38"/>
    <w:qFormat/>
    <w:uiPriority w:val="0"/>
    <w:rPr>
      <w:rFonts w:hint="default" w:ascii="Times New Roman" w:hAnsi="Times New Roman" w:cs="Times New Roman"/>
      <w:color w:val="000000"/>
      <w:sz w:val="24"/>
      <w:szCs w:val="24"/>
      <w:u w:val="none"/>
      <w:vertAlign w:val="superscript"/>
    </w:rPr>
  </w:style>
  <w:style w:type="character" w:customStyle="1" w:styleId="80">
    <w:name w:val="_Style 77"/>
    <w:basedOn w:val="38"/>
    <w:qFormat/>
    <w:uiPriority w:val="31"/>
    <w:rPr>
      <w:smallCaps/>
      <w:color w:val="C0504D"/>
      <w:u w:val="single"/>
    </w:rPr>
  </w:style>
  <w:style w:type="character" w:customStyle="1" w:styleId="81">
    <w:name w:val="font61"/>
    <w:basedOn w:val="38"/>
    <w:qFormat/>
    <w:uiPriority w:val="0"/>
    <w:rPr>
      <w:rFonts w:hint="default" w:ascii="Times New Roman" w:hAnsi="Times New Roman" w:cs="Times New Roman"/>
      <w:color w:val="000000"/>
      <w:sz w:val="24"/>
      <w:szCs w:val="24"/>
      <w:u w:val="none"/>
      <w:vertAlign w:val="superscript"/>
    </w:rPr>
  </w:style>
  <w:style w:type="character" w:customStyle="1" w:styleId="82">
    <w:name w:val="引用 Char"/>
    <w:basedOn w:val="38"/>
    <w:link w:val="83"/>
    <w:qFormat/>
    <w:uiPriority w:val="29"/>
    <w:rPr>
      <w:rFonts w:ascii="Times New Roman" w:hAnsi="Times New Roman" w:eastAsia="宋体" w:cs="Times New Roman"/>
      <w:i/>
      <w:iCs/>
      <w:color w:val="000000"/>
      <w:kern w:val="2"/>
      <w:sz w:val="24"/>
      <w:szCs w:val="18"/>
    </w:rPr>
  </w:style>
  <w:style w:type="paragraph" w:styleId="83">
    <w:name w:val="Quote"/>
    <w:basedOn w:val="1"/>
    <w:next w:val="1"/>
    <w:link w:val="82"/>
    <w:qFormat/>
    <w:uiPriority w:val="29"/>
    <w:rPr>
      <w:i/>
      <w:iCs/>
      <w:color w:val="000000"/>
    </w:rPr>
  </w:style>
  <w:style w:type="character" w:customStyle="1" w:styleId="84">
    <w:name w:val="表后空格 Char"/>
    <w:link w:val="85"/>
    <w:qFormat/>
    <w:uiPriority w:val="0"/>
    <w:rPr>
      <w:rFonts w:ascii="Times New Roman" w:hAnsi="Times New Roman"/>
      <w:sz w:val="21"/>
      <w:szCs w:val="21"/>
    </w:rPr>
  </w:style>
  <w:style w:type="paragraph" w:customStyle="1" w:styleId="85">
    <w:name w:val="表后空格"/>
    <w:basedOn w:val="1"/>
    <w:link w:val="84"/>
    <w:qFormat/>
    <w:uiPriority w:val="0"/>
    <w:pPr>
      <w:spacing w:line="240" w:lineRule="auto"/>
      <w:ind w:firstLine="0" w:firstLineChars="0"/>
    </w:pPr>
    <w:rPr>
      <w:sz w:val="21"/>
      <w:szCs w:val="21"/>
    </w:rPr>
  </w:style>
  <w:style w:type="character" w:customStyle="1" w:styleId="86">
    <w:name w:val="font41"/>
    <w:basedOn w:val="38"/>
    <w:qFormat/>
    <w:uiPriority w:val="0"/>
    <w:rPr>
      <w:rFonts w:hint="default" w:ascii="Times New Roman" w:hAnsi="Times New Roman" w:cs="Times New Roman"/>
      <w:color w:val="000000"/>
      <w:sz w:val="24"/>
      <w:szCs w:val="24"/>
      <w:u w:val="none"/>
    </w:rPr>
  </w:style>
  <w:style w:type="paragraph" w:customStyle="1" w:styleId="87">
    <w:name w:val="不会吧"/>
    <w:basedOn w:val="88"/>
    <w:qFormat/>
    <w:uiPriority w:val="0"/>
    <w:pPr>
      <w:adjustRightInd w:val="0"/>
      <w:snapToGrid w:val="0"/>
      <w:jc w:val="left"/>
    </w:pPr>
    <w:rPr>
      <w:szCs w:val="20"/>
    </w:rPr>
  </w:style>
  <w:style w:type="paragraph" w:customStyle="1" w:styleId="88">
    <w:name w:val="正文 文本"/>
    <w:basedOn w:val="1"/>
    <w:qFormat/>
    <w:uiPriority w:val="0"/>
    <w:pPr>
      <w:ind w:firstLine="480"/>
    </w:pPr>
  </w:style>
  <w:style w:type="paragraph" w:customStyle="1" w:styleId="89">
    <w:name w:val="_Style 86"/>
    <w:basedOn w:val="4"/>
    <w:next w:val="1"/>
    <w:qFormat/>
    <w:uiPriority w:val="39"/>
    <w:pPr>
      <w:widowControl/>
      <w:spacing w:before="480" w:after="0" w:line="276" w:lineRule="auto"/>
      <w:jc w:val="left"/>
      <w:outlineLvl w:val="9"/>
    </w:pPr>
    <w:rPr>
      <w:rFonts w:ascii="Cambria" w:hAnsi="Cambria" w:eastAsia="宋体"/>
      <w:color w:val="365F91"/>
      <w:kern w:val="0"/>
      <w:sz w:val="28"/>
      <w:szCs w:val="28"/>
    </w:rPr>
  </w:style>
  <w:style w:type="paragraph" w:customStyle="1" w:styleId="90">
    <w:name w:val="表标题"/>
    <w:basedOn w:val="1"/>
    <w:qFormat/>
    <w:uiPriority w:val="0"/>
    <w:pPr>
      <w:autoSpaceDE w:val="0"/>
      <w:autoSpaceDN w:val="0"/>
      <w:ind w:firstLine="0" w:firstLineChars="0"/>
      <w:jc w:val="center"/>
    </w:pPr>
    <w:rPr>
      <w:rFonts w:eastAsia="黑体" w:cs="宋体"/>
      <w:spacing w:val="6"/>
      <w:szCs w:val="24"/>
    </w:rPr>
  </w:style>
  <w:style w:type="paragraph" w:customStyle="1" w:styleId="91">
    <w:name w:val="图片"/>
    <w:basedOn w:val="1"/>
    <w:qFormat/>
    <w:uiPriority w:val="99"/>
    <w:pPr>
      <w:spacing w:line="240" w:lineRule="auto"/>
      <w:ind w:left="899" w:hanging="899" w:hangingChars="428"/>
      <w:jc w:val="center"/>
    </w:pPr>
    <w:rPr>
      <w:sz w:val="21"/>
      <w:szCs w:val="21"/>
    </w:rPr>
  </w:style>
  <w:style w:type="paragraph" w:customStyle="1" w:styleId="92">
    <w:name w:val="表文"/>
    <w:basedOn w:val="1"/>
    <w:next w:val="1"/>
    <w:qFormat/>
    <w:uiPriority w:val="0"/>
    <w:pPr>
      <w:spacing w:line="0" w:lineRule="atLeast"/>
      <w:jc w:val="center"/>
    </w:pPr>
    <w:rPr>
      <w:rFonts w:cs="宋体"/>
      <w:sz w:val="21"/>
      <w:szCs w:val="20"/>
    </w:rPr>
  </w:style>
  <w:style w:type="paragraph" w:customStyle="1" w:styleId="93">
    <w:name w:val="_Style 90"/>
    <w:semiHidden/>
    <w:qFormat/>
    <w:uiPriority w:val="99"/>
    <w:rPr>
      <w:rFonts w:ascii="Times New Roman" w:hAnsi="Times New Roman" w:eastAsia="宋体" w:cs="Times New Roman"/>
      <w:kern w:val="2"/>
      <w:sz w:val="24"/>
      <w:szCs w:val="18"/>
      <w:lang w:val="en-US" w:eastAsia="zh-CN" w:bidi="ar-SA"/>
    </w:rPr>
  </w:style>
  <w:style w:type="paragraph" w:customStyle="1" w:styleId="94">
    <w:name w:val="目录0"/>
    <w:basedOn w:val="1"/>
    <w:qFormat/>
    <w:uiPriority w:val="0"/>
    <w:pPr>
      <w:ind w:firstLine="0" w:firstLineChars="0"/>
      <w:jc w:val="center"/>
    </w:pPr>
    <w:rPr>
      <w:b/>
      <w:bCs/>
      <w:sz w:val="32"/>
      <w:szCs w:val="32"/>
    </w:rPr>
  </w:style>
  <w:style w:type="paragraph" w:styleId="95">
    <w:name w:val="List Paragraph"/>
    <w:basedOn w:val="1"/>
    <w:qFormat/>
    <w:uiPriority w:val="99"/>
    <w:pPr>
      <w:ind w:firstLine="420"/>
    </w:pPr>
  </w:style>
  <w:style w:type="paragraph" w:customStyle="1" w:styleId="96">
    <w:name w:val="ZLJ正文版式"/>
    <w:basedOn w:val="1"/>
    <w:qFormat/>
    <w:uiPriority w:val="0"/>
    <w:pPr>
      <w:tabs>
        <w:tab w:val="left" w:pos="3514"/>
      </w:tabs>
      <w:adjustRightInd w:val="0"/>
      <w:snapToGrid w:val="0"/>
      <w:ind w:firstLine="200"/>
    </w:pPr>
  </w:style>
  <w:style w:type="paragraph" w:customStyle="1" w:styleId="97">
    <w:name w:val="表格"/>
    <w:basedOn w:val="1"/>
    <w:qFormat/>
    <w:uiPriority w:val="0"/>
    <w:pPr>
      <w:widowControl/>
      <w:snapToGrid w:val="0"/>
      <w:spacing w:line="240" w:lineRule="auto"/>
      <w:ind w:firstLine="0" w:firstLineChars="0"/>
      <w:jc w:val="center"/>
    </w:pPr>
    <w:rPr>
      <w:sz w:val="21"/>
      <w:szCs w:val="20"/>
    </w:rPr>
  </w:style>
  <w:style w:type="paragraph" w:customStyle="1" w:styleId="98">
    <w:name w:val="样式7"/>
    <w:basedOn w:val="1"/>
    <w:qFormat/>
    <w:uiPriority w:val="0"/>
    <w:pPr>
      <w:spacing w:line="300" w:lineRule="exact"/>
      <w:ind w:left="-120" w:leftChars="-50" w:right="-120" w:rightChars="-50"/>
      <w:jc w:val="center"/>
    </w:pPr>
    <w:rPr>
      <w:szCs w:val="24"/>
    </w:rPr>
  </w:style>
  <w:style w:type="paragraph" w:customStyle="1" w:styleId="99">
    <w:name w:val="无间隔1"/>
    <w:basedOn w:val="1"/>
    <w:next w:val="1"/>
    <w:qFormat/>
    <w:uiPriority w:val="1"/>
    <w:pPr>
      <w:spacing w:line="240" w:lineRule="exact"/>
      <w:ind w:firstLine="0" w:firstLineChars="0"/>
      <w:jc w:val="center"/>
    </w:pPr>
    <w:rPr>
      <w:sz w:val="18"/>
    </w:rPr>
  </w:style>
  <w:style w:type="paragraph" w:customStyle="1" w:styleId="100">
    <w:name w:val="正文(首行缩进)"/>
    <w:basedOn w:val="1"/>
    <w:qFormat/>
    <w:uiPriority w:val="0"/>
    <w:pPr>
      <w:ind w:firstLine="510"/>
    </w:pPr>
    <w:rPr>
      <w:rFonts w:ascii="宋体" w:hAnsi="宋体"/>
      <w:snapToGrid w:val="0"/>
      <w:kern w:val="0"/>
      <w:szCs w:val="24"/>
    </w:rPr>
  </w:style>
  <w:style w:type="paragraph" w:customStyle="1" w:styleId="101">
    <w:name w:val="表格文字"/>
    <w:basedOn w:val="3"/>
    <w:next w:val="1"/>
    <w:qFormat/>
    <w:uiPriority w:val="0"/>
    <w:pPr>
      <w:tabs>
        <w:tab w:val="left" w:pos="3720"/>
      </w:tabs>
      <w:autoSpaceDE w:val="0"/>
      <w:autoSpaceDN w:val="0"/>
      <w:adjustRightInd w:val="0"/>
      <w:spacing w:after="0" w:line="240" w:lineRule="auto"/>
      <w:ind w:firstLine="0" w:firstLineChars="0"/>
      <w:jc w:val="center"/>
      <w:textAlignment w:val="bottom"/>
    </w:pPr>
    <w:rPr>
      <w:rFonts w:ascii="Calibri" w:hAnsi="Calibri" w:eastAsia="仿宋"/>
      <w:kern w:val="0"/>
      <w:szCs w:val="20"/>
    </w:rPr>
  </w:style>
  <w:style w:type="paragraph" w:customStyle="1" w:styleId="102">
    <w:name w:val="图表名称"/>
    <w:basedOn w:val="1"/>
    <w:next w:val="1"/>
    <w:qFormat/>
    <w:uiPriority w:val="0"/>
    <w:pPr>
      <w:ind w:firstLine="0" w:firstLineChars="0"/>
      <w:jc w:val="center"/>
    </w:pPr>
    <w:rPr>
      <w:b/>
    </w:rPr>
  </w:style>
  <w:style w:type="paragraph" w:customStyle="1" w:styleId="103">
    <w:name w:val="wj样式"/>
    <w:basedOn w:val="1"/>
    <w:next w:val="1"/>
    <w:qFormat/>
    <w:uiPriority w:val="0"/>
    <w:pPr>
      <w:ind w:firstLine="200"/>
    </w:pPr>
    <w:rPr>
      <w:spacing w:val="14"/>
    </w:rPr>
  </w:style>
  <w:style w:type="paragraph" w:customStyle="1" w:styleId="104">
    <w:name w:val="表格文字格式"/>
    <w:basedOn w:val="1"/>
    <w:qFormat/>
    <w:uiPriority w:val="0"/>
    <w:pPr>
      <w:spacing w:line="276" w:lineRule="auto"/>
      <w:ind w:firstLine="0" w:firstLineChars="0"/>
      <w:jc w:val="center"/>
    </w:pPr>
    <w:rPr>
      <w:kern w:val="0"/>
      <w:sz w:val="18"/>
      <w:szCs w:val="21"/>
    </w:rPr>
  </w:style>
  <w:style w:type="paragraph" w:customStyle="1" w:styleId="105">
    <w:name w:val="标准"/>
    <w:qFormat/>
    <w:uiPriority w:val="0"/>
    <w:pPr>
      <w:widowControl w:val="0"/>
      <w:spacing w:line="500" w:lineRule="exact"/>
      <w:ind w:firstLine="200" w:firstLineChars="200"/>
      <w:jc w:val="both"/>
    </w:pPr>
    <w:rPr>
      <w:rFonts w:ascii="Calibri" w:hAnsi="Calibri" w:eastAsia="仿宋" w:cs="Times New Roman"/>
      <w:kern w:val="2"/>
      <w:sz w:val="24"/>
      <w:szCs w:val="28"/>
      <w:lang w:val="en-US" w:eastAsia="zh-CN" w:bidi="ar-SA"/>
    </w:rPr>
  </w:style>
  <w:style w:type="table" w:customStyle="1" w:styleId="106">
    <w:name w:val="基本表"/>
    <w:basedOn w:val="36"/>
    <w:qFormat/>
    <w:uiPriority w:val="99"/>
    <w:pPr>
      <w:spacing w:line="240" w:lineRule="atLeast"/>
      <w:jc w:val="center"/>
    </w:pPr>
    <w:rPr>
      <w:sz w:val="18"/>
    </w:rPr>
    <w:tblPr>
      <w:tblBorders>
        <w:top w:val="single" w:color="auto" w:sz="12" w:space="0"/>
        <w:left w:val="single" w:color="auto" w:sz="12" w:space="0"/>
        <w:bottom w:val="single" w:color="auto" w:sz="12" w:space="0"/>
        <w:right w:val="single" w:color="auto" w:sz="12" w:space="0"/>
        <w:insideH w:val="single" w:color="auto" w:sz="4" w:space="0"/>
        <w:insideV w:val="single" w:color="auto" w:sz="4" w:space="0"/>
      </w:tblBorders>
      <w:tblCellMar>
        <w:top w:w="0" w:type="dxa"/>
        <w:left w:w="0" w:type="dxa"/>
        <w:bottom w:w="0" w:type="dxa"/>
        <w:right w:w="0" w:type="dxa"/>
      </w:tblCellMar>
    </w:tblPr>
    <w:tcPr>
      <w:vAlign w:val="center"/>
    </w:tcPr>
  </w:style>
  <w:style w:type="table" w:customStyle="1" w:styleId="107">
    <w:name w:val="标准表格样式"/>
    <w:basedOn w:val="36"/>
    <w:qFormat/>
    <w:uiPriority w:val="99"/>
    <w:pPr>
      <w:spacing w:line="240" w:lineRule="atLeast"/>
      <w:jc w:val="center"/>
    </w:pPr>
    <w:rPr>
      <w:rFonts w:eastAsia="仿宋_GB2312"/>
      <w:sz w:val="18"/>
    </w:rPr>
    <w:tblPr>
      <w:tblBorders>
        <w:top w:val="single" w:color="auto" w:sz="4" w:space="0"/>
        <w:left w:val="single" w:color="auto" w:sz="4" w:space="0"/>
        <w:bottom w:val="single" w:color="auto" w:sz="4" w:space="0"/>
        <w:right w:val="single" w:color="auto" w:sz="4" w:space="0"/>
        <w:insideH w:val="single" w:color="auto" w:sz="2" w:space="0"/>
        <w:insideV w:val="single" w:color="auto" w:sz="2" w:space="0"/>
      </w:tblBorders>
      <w:tblCellMar>
        <w:top w:w="0" w:type="dxa"/>
        <w:left w:w="0" w:type="dxa"/>
        <w:bottom w:w="0" w:type="dxa"/>
        <w:right w:w="0" w:type="dxa"/>
      </w:tblCellMar>
    </w:tblPr>
    <w:tcPr>
      <w:vAlign w:val="center"/>
    </w:tcPr>
  </w:style>
  <w:style w:type="paragraph" w:customStyle="1" w:styleId="108">
    <w:name w:val="希腊字母"/>
    <w:basedOn w:val="1"/>
    <w:next w:val="1"/>
    <w:qFormat/>
    <w:uiPriority w:val="0"/>
    <w:pPr>
      <w:ind w:firstLine="0" w:firstLineChars="0"/>
      <w:jc w:val="center"/>
    </w:pPr>
    <w:rPr>
      <w:rFonts w:ascii="Cambria Math" w:hAnsi="Cambria Math" w:eastAsia="Cambria"/>
      <w:bCs/>
      <w:i/>
    </w:rPr>
  </w:style>
  <w:style w:type="paragraph" w:customStyle="1" w:styleId="109">
    <w:name w:val="表格1"/>
    <w:basedOn w:val="1"/>
    <w:qFormat/>
    <w:uiPriority w:val="0"/>
    <w:pPr>
      <w:ind w:firstLine="0" w:firstLineChars="0"/>
      <w:jc w:val="center"/>
    </w:pPr>
    <w:rPr>
      <w:rFonts w:eastAsia="宋体"/>
      <w:sz w:val="21"/>
    </w:rPr>
  </w:style>
  <w:style w:type="table" w:customStyle="1" w:styleId="110">
    <w:name w:val="标准表11"/>
    <w:basedOn w:val="36"/>
    <w:qFormat/>
    <w:uiPriority w:val="0"/>
    <w:pPr>
      <w:spacing w:line="240" w:lineRule="atLeast"/>
      <w:jc w:val="center"/>
    </w:pPr>
    <w:rPr>
      <w:sz w:val="18"/>
    </w:rPr>
    <w:tblPr>
      <w:tblBorders>
        <w:top w:val="single" w:color="auto" w:sz="12" w:space="0"/>
        <w:left w:val="single" w:color="auto" w:sz="12" w:space="0"/>
        <w:bottom w:val="single" w:color="auto" w:sz="12" w:space="0"/>
        <w:right w:val="single" w:color="auto" w:sz="12" w:space="0"/>
        <w:insideH w:val="single" w:color="auto" w:sz="2" w:space="0"/>
        <w:insideV w:val="single" w:color="auto" w:sz="2" w:space="0"/>
      </w:tblBorders>
      <w:tblCellMar>
        <w:top w:w="0" w:type="dxa"/>
        <w:left w:w="108" w:type="dxa"/>
        <w:bottom w:w="0" w:type="dxa"/>
        <w:right w:w="108" w:type="dxa"/>
      </w:tblCellMar>
    </w:tblPr>
    <w:tcPr>
      <w:vAlign w:val="center"/>
    </w:tcPr>
  </w:style>
  <w:style w:type="table" w:customStyle="1" w:styleId="111">
    <w:name w:val="无格式表格 41"/>
    <w:basedOn w:val="36"/>
    <w:qFormat/>
    <w:uiPriority w:val="44"/>
    <w:tblPr>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s>
</file>

<file path=word/_rels/document.xml.rels><?xml version="1.0" encoding="UTF-8" standalone="yes"?>
<Relationships xmlns="http://schemas.openxmlformats.org/package/2006/relationships"><Relationship Id="rId99" Type="http://schemas.openxmlformats.org/officeDocument/2006/relationships/image" Target="media/image56.wmf"/><Relationship Id="rId98" Type="http://schemas.openxmlformats.org/officeDocument/2006/relationships/oleObject" Target="embeddings/oleObject1.bin"/><Relationship Id="rId97" Type="http://schemas.openxmlformats.org/officeDocument/2006/relationships/image" Target="media/image55.png"/><Relationship Id="rId96" Type="http://schemas.openxmlformats.org/officeDocument/2006/relationships/image" Target="media/image54.png"/><Relationship Id="rId95" Type="http://schemas.openxmlformats.org/officeDocument/2006/relationships/image" Target="media/image53.png"/><Relationship Id="rId94" Type="http://schemas.openxmlformats.org/officeDocument/2006/relationships/image" Target="media/image52.png"/><Relationship Id="rId93" Type="http://schemas.openxmlformats.org/officeDocument/2006/relationships/image" Target="media/image51.png"/><Relationship Id="rId92" Type="http://schemas.openxmlformats.org/officeDocument/2006/relationships/image" Target="media/image50.png"/><Relationship Id="rId91" Type="http://schemas.openxmlformats.org/officeDocument/2006/relationships/image" Target="media/image49.png"/><Relationship Id="rId90" Type="http://schemas.openxmlformats.org/officeDocument/2006/relationships/image" Target="media/image48.png"/><Relationship Id="rId9" Type="http://schemas.openxmlformats.org/officeDocument/2006/relationships/footer" Target="footer2.xml"/><Relationship Id="rId89" Type="http://schemas.openxmlformats.org/officeDocument/2006/relationships/image" Target="media/image47.jpeg"/><Relationship Id="rId88" Type="http://schemas.openxmlformats.org/officeDocument/2006/relationships/image" Target="media/image46.jpeg"/><Relationship Id="rId87" Type="http://schemas.openxmlformats.org/officeDocument/2006/relationships/image" Target="media/image45.jpeg"/><Relationship Id="rId86" Type="http://schemas.openxmlformats.org/officeDocument/2006/relationships/image" Target="media/image44.jpeg"/><Relationship Id="rId85" Type="http://schemas.openxmlformats.org/officeDocument/2006/relationships/image" Target="media/image43.jpeg"/><Relationship Id="rId84" Type="http://schemas.openxmlformats.org/officeDocument/2006/relationships/image" Target="media/image42.jpeg"/><Relationship Id="rId83" Type="http://schemas.openxmlformats.org/officeDocument/2006/relationships/image" Target="media/image41.png"/><Relationship Id="rId82" Type="http://schemas.openxmlformats.org/officeDocument/2006/relationships/image" Target="media/image40.jpeg"/><Relationship Id="rId81" Type="http://schemas.openxmlformats.org/officeDocument/2006/relationships/image" Target="media/image39.jpeg"/><Relationship Id="rId80" Type="http://schemas.openxmlformats.org/officeDocument/2006/relationships/image" Target="media/image38.jpeg"/><Relationship Id="rId8" Type="http://schemas.openxmlformats.org/officeDocument/2006/relationships/footer" Target="footer1.xml"/><Relationship Id="rId79" Type="http://schemas.openxmlformats.org/officeDocument/2006/relationships/image" Target="media/image37.jpeg"/><Relationship Id="rId78" Type="http://schemas.openxmlformats.org/officeDocument/2006/relationships/image" Target="media/image36.png"/><Relationship Id="rId77" Type="http://schemas.openxmlformats.org/officeDocument/2006/relationships/image" Target="media/image35.png"/><Relationship Id="rId76" Type="http://schemas.openxmlformats.org/officeDocument/2006/relationships/image" Target="media/image34.jpeg"/><Relationship Id="rId75" Type="http://schemas.openxmlformats.org/officeDocument/2006/relationships/image" Target="media/image33.jpeg"/><Relationship Id="rId74" Type="http://schemas.openxmlformats.org/officeDocument/2006/relationships/image" Target="media/image32.png"/><Relationship Id="rId73" Type="http://schemas.openxmlformats.org/officeDocument/2006/relationships/image" Target="media/image31.png"/><Relationship Id="rId72" Type="http://schemas.openxmlformats.org/officeDocument/2006/relationships/image" Target="media/image30.jpeg"/><Relationship Id="rId71" Type="http://schemas.openxmlformats.org/officeDocument/2006/relationships/image" Target="media/image29.jpeg"/><Relationship Id="rId70" Type="http://schemas.openxmlformats.org/officeDocument/2006/relationships/image" Target="media/image28.png"/><Relationship Id="rId7" Type="http://schemas.openxmlformats.org/officeDocument/2006/relationships/header" Target="header3.xml"/><Relationship Id="rId69" Type="http://schemas.openxmlformats.org/officeDocument/2006/relationships/image" Target="media/image27.png"/><Relationship Id="rId68" Type="http://schemas.openxmlformats.org/officeDocument/2006/relationships/image" Target="media/image26.jpeg"/><Relationship Id="rId67" Type="http://schemas.openxmlformats.org/officeDocument/2006/relationships/image" Target="media/image25.jpeg"/><Relationship Id="rId66" Type="http://schemas.openxmlformats.org/officeDocument/2006/relationships/image" Target="media/image24.jpeg"/><Relationship Id="rId65" Type="http://schemas.openxmlformats.org/officeDocument/2006/relationships/image" Target="media/image23.png"/><Relationship Id="rId64" Type="http://schemas.openxmlformats.org/officeDocument/2006/relationships/image" Target="media/image22.jpeg"/><Relationship Id="rId63" Type="http://schemas.openxmlformats.org/officeDocument/2006/relationships/image" Target="media/image21.jpeg"/><Relationship Id="rId62" Type="http://schemas.openxmlformats.org/officeDocument/2006/relationships/image" Target="media/image20.png"/><Relationship Id="rId61" Type="http://schemas.openxmlformats.org/officeDocument/2006/relationships/image" Target="media/image19.png"/><Relationship Id="rId60" Type="http://schemas.openxmlformats.org/officeDocument/2006/relationships/image" Target="media/image18.png"/><Relationship Id="rId6" Type="http://schemas.openxmlformats.org/officeDocument/2006/relationships/header" Target="header2.xml"/><Relationship Id="rId59" Type="http://schemas.openxmlformats.org/officeDocument/2006/relationships/image" Target="media/image17.jpeg"/><Relationship Id="rId58" Type="http://schemas.openxmlformats.org/officeDocument/2006/relationships/image" Target="media/image16.png"/><Relationship Id="rId57" Type="http://schemas.openxmlformats.org/officeDocument/2006/relationships/image" Target="media/image15.png"/><Relationship Id="rId56" Type="http://schemas.openxmlformats.org/officeDocument/2006/relationships/image" Target="media/image14.jpeg"/><Relationship Id="rId55" Type="http://schemas.openxmlformats.org/officeDocument/2006/relationships/image" Target="media/image13.png"/><Relationship Id="rId54" Type="http://schemas.openxmlformats.org/officeDocument/2006/relationships/image" Target="media/image12.png"/><Relationship Id="rId53" Type="http://schemas.openxmlformats.org/officeDocument/2006/relationships/image" Target="media/image11.png"/><Relationship Id="rId52" Type="http://schemas.openxmlformats.org/officeDocument/2006/relationships/image" Target="media/image10.png"/><Relationship Id="rId51" Type="http://schemas.openxmlformats.org/officeDocument/2006/relationships/image" Target="media/image9.png"/><Relationship Id="rId50" Type="http://schemas.openxmlformats.org/officeDocument/2006/relationships/image" Target="media/image8.png"/><Relationship Id="rId5" Type="http://schemas.openxmlformats.org/officeDocument/2006/relationships/header" Target="header1.xml"/><Relationship Id="rId49" Type="http://schemas.openxmlformats.org/officeDocument/2006/relationships/image" Target="media/image7.png"/><Relationship Id="rId48" Type="http://schemas.openxmlformats.org/officeDocument/2006/relationships/image" Target="media/image6.png"/><Relationship Id="rId47" Type="http://schemas.openxmlformats.org/officeDocument/2006/relationships/image" Target="media/image5.png"/><Relationship Id="rId46" Type="http://schemas.openxmlformats.org/officeDocument/2006/relationships/image" Target="media/image4.png"/><Relationship Id="rId45" Type="http://schemas.openxmlformats.org/officeDocument/2006/relationships/image" Target="media/image3.jpeg"/><Relationship Id="rId44" Type="http://schemas.openxmlformats.org/officeDocument/2006/relationships/image" Target="media/image2.png"/><Relationship Id="rId43" Type="http://schemas.openxmlformats.org/officeDocument/2006/relationships/image" Target="media/image1.jpeg"/><Relationship Id="rId42" Type="http://schemas.openxmlformats.org/officeDocument/2006/relationships/theme" Target="theme/theme1.xml"/><Relationship Id="rId41" Type="http://schemas.openxmlformats.org/officeDocument/2006/relationships/header" Target="header28.xml"/><Relationship Id="rId40" Type="http://schemas.openxmlformats.org/officeDocument/2006/relationships/header" Target="header27.xml"/><Relationship Id="rId4" Type="http://schemas.openxmlformats.org/officeDocument/2006/relationships/endnotes" Target="endnotes.xml"/><Relationship Id="rId39" Type="http://schemas.openxmlformats.org/officeDocument/2006/relationships/header" Target="header26.xml"/><Relationship Id="rId38" Type="http://schemas.openxmlformats.org/officeDocument/2006/relationships/header" Target="header25.xml"/><Relationship Id="rId37" Type="http://schemas.openxmlformats.org/officeDocument/2006/relationships/header" Target="header24.xml"/><Relationship Id="rId36" Type="http://schemas.openxmlformats.org/officeDocument/2006/relationships/header" Target="header23.xml"/><Relationship Id="rId35" Type="http://schemas.openxmlformats.org/officeDocument/2006/relationships/header" Target="header22.xml"/><Relationship Id="rId34" Type="http://schemas.openxmlformats.org/officeDocument/2006/relationships/header" Target="header21.xml"/><Relationship Id="rId33" Type="http://schemas.openxmlformats.org/officeDocument/2006/relationships/header" Target="header20.xml"/><Relationship Id="rId32" Type="http://schemas.openxmlformats.org/officeDocument/2006/relationships/header" Target="header19.xml"/><Relationship Id="rId31" Type="http://schemas.openxmlformats.org/officeDocument/2006/relationships/footer" Target="footer9.xml"/><Relationship Id="rId30" Type="http://schemas.openxmlformats.org/officeDocument/2006/relationships/header" Target="header18.xml"/><Relationship Id="rId3" Type="http://schemas.openxmlformats.org/officeDocument/2006/relationships/footnotes" Target="footnotes.xml"/><Relationship Id="rId29" Type="http://schemas.openxmlformats.org/officeDocument/2006/relationships/header" Target="header17.xml"/><Relationship Id="rId28" Type="http://schemas.openxmlformats.org/officeDocument/2006/relationships/header" Target="header16.xml"/><Relationship Id="rId272" Type="http://schemas.openxmlformats.org/officeDocument/2006/relationships/fontTable" Target="fontTable.xml"/><Relationship Id="rId271" Type="http://schemas.openxmlformats.org/officeDocument/2006/relationships/numbering" Target="numbering.xml"/><Relationship Id="rId270" Type="http://schemas.openxmlformats.org/officeDocument/2006/relationships/customXml" Target="../customXml/item1.xml"/><Relationship Id="rId27" Type="http://schemas.openxmlformats.org/officeDocument/2006/relationships/header" Target="header15.xml"/><Relationship Id="rId269" Type="http://schemas.openxmlformats.org/officeDocument/2006/relationships/image" Target="media/image178.wmf"/><Relationship Id="rId268" Type="http://schemas.openxmlformats.org/officeDocument/2006/relationships/oleObject" Target="embeddings/oleObject49.bin"/><Relationship Id="rId267" Type="http://schemas.openxmlformats.org/officeDocument/2006/relationships/image" Target="media/image177.wmf"/><Relationship Id="rId266" Type="http://schemas.openxmlformats.org/officeDocument/2006/relationships/oleObject" Target="embeddings/oleObject48.bin"/><Relationship Id="rId265" Type="http://schemas.openxmlformats.org/officeDocument/2006/relationships/image" Target="media/image176.wmf"/><Relationship Id="rId264" Type="http://schemas.openxmlformats.org/officeDocument/2006/relationships/oleObject" Target="embeddings/oleObject47.bin"/><Relationship Id="rId263" Type="http://schemas.openxmlformats.org/officeDocument/2006/relationships/image" Target="media/image175.jpeg"/><Relationship Id="rId262" Type="http://schemas.openxmlformats.org/officeDocument/2006/relationships/image" Target="media/image174.wmf"/><Relationship Id="rId261" Type="http://schemas.openxmlformats.org/officeDocument/2006/relationships/oleObject" Target="embeddings/oleObject46.bin"/><Relationship Id="rId260" Type="http://schemas.openxmlformats.org/officeDocument/2006/relationships/image" Target="media/image173.wmf"/><Relationship Id="rId26" Type="http://schemas.openxmlformats.org/officeDocument/2006/relationships/footer" Target="footer8.xml"/><Relationship Id="rId259" Type="http://schemas.openxmlformats.org/officeDocument/2006/relationships/oleObject" Target="embeddings/oleObject45.bin"/><Relationship Id="rId258" Type="http://schemas.openxmlformats.org/officeDocument/2006/relationships/image" Target="media/image172.wmf"/><Relationship Id="rId257" Type="http://schemas.openxmlformats.org/officeDocument/2006/relationships/oleObject" Target="embeddings/oleObject44.bin"/><Relationship Id="rId256" Type="http://schemas.openxmlformats.org/officeDocument/2006/relationships/image" Target="media/image171.wmf"/><Relationship Id="rId255" Type="http://schemas.openxmlformats.org/officeDocument/2006/relationships/oleObject" Target="embeddings/oleObject43.bin"/><Relationship Id="rId254" Type="http://schemas.openxmlformats.org/officeDocument/2006/relationships/image" Target="media/image170.wmf"/><Relationship Id="rId253" Type="http://schemas.openxmlformats.org/officeDocument/2006/relationships/oleObject" Target="embeddings/oleObject42.bin"/><Relationship Id="rId252" Type="http://schemas.openxmlformats.org/officeDocument/2006/relationships/image" Target="media/image169.wmf"/><Relationship Id="rId251" Type="http://schemas.openxmlformats.org/officeDocument/2006/relationships/oleObject" Target="embeddings/oleObject41.bin"/><Relationship Id="rId250" Type="http://schemas.openxmlformats.org/officeDocument/2006/relationships/image" Target="media/image168.wmf"/><Relationship Id="rId25" Type="http://schemas.openxmlformats.org/officeDocument/2006/relationships/footer" Target="footer7.xml"/><Relationship Id="rId249" Type="http://schemas.openxmlformats.org/officeDocument/2006/relationships/oleObject" Target="embeddings/oleObject40.bin"/><Relationship Id="rId248" Type="http://schemas.openxmlformats.org/officeDocument/2006/relationships/image" Target="media/image167.wmf"/><Relationship Id="rId247" Type="http://schemas.openxmlformats.org/officeDocument/2006/relationships/oleObject" Target="embeddings/oleObject39.bin"/><Relationship Id="rId246" Type="http://schemas.openxmlformats.org/officeDocument/2006/relationships/image" Target="media/image166.wmf"/><Relationship Id="rId245" Type="http://schemas.openxmlformats.org/officeDocument/2006/relationships/oleObject" Target="embeddings/oleObject38.bin"/><Relationship Id="rId244" Type="http://schemas.openxmlformats.org/officeDocument/2006/relationships/image" Target="media/image165.wmf"/><Relationship Id="rId243" Type="http://schemas.openxmlformats.org/officeDocument/2006/relationships/oleObject" Target="embeddings/oleObject37.bin"/><Relationship Id="rId242" Type="http://schemas.openxmlformats.org/officeDocument/2006/relationships/image" Target="media/image164.wmf"/><Relationship Id="rId241" Type="http://schemas.openxmlformats.org/officeDocument/2006/relationships/oleObject" Target="embeddings/oleObject36.bin"/><Relationship Id="rId240" Type="http://schemas.openxmlformats.org/officeDocument/2006/relationships/image" Target="media/image163.wmf"/><Relationship Id="rId24" Type="http://schemas.openxmlformats.org/officeDocument/2006/relationships/header" Target="header14.xml"/><Relationship Id="rId239" Type="http://schemas.openxmlformats.org/officeDocument/2006/relationships/oleObject" Target="embeddings/oleObject35.bin"/><Relationship Id="rId238" Type="http://schemas.openxmlformats.org/officeDocument/2006/relationships/image" Target="media/image162.wmf"/><Relationship Id="rId237" Type="http://schemas.openxmlformats.org/officeDocument/2006/relationships/oleObject" Target="embeddings/oleObject34.bin"/><Relationship Id="rId236" Type="http://schemas.openxmlformats.org/officeDocument/2006/relationships/image" Target="media/image161.wmf"/><Relationship Id="rId235" Type="http://schemas.openxmlformats.org/officeDocument/2006/relationships/oleObject" Target="embeddings/oleObject33.bin"/><Relationship Id="rId234" Type="http://schemas.openxmlformats.org/officeDocument/2006/relationships/image" Target="media/image160.wmf"/><Relationship Id="rId233" Type="http://schemas.openxmlformats.org/officeDocument/2006/relationships/oleObject" Target="embeddings/oleObject32.bin"/><Relationship Id="rId232" Type="http://schemas.openxmlformats.org/officeDocument/2006/relationships/image" Target="media/image159.wmf"/><Relationship Id="rId231" Type="http://schemas.openxmlformats.org/officeDocument/2006/relationships/oleObject" Target="embeddings/oleObject31.bin"/><Relationship Id="rId230" Type="http://schemas.openxmlformats.org/officeDocument/2006/relationships/image" Target="media/image158.wmf"/><Relationship Id="rId23" Type="http://schemas.openxmlformats.org/officeDocument/2006/relationships/header" Target="header13.xml"/><Relationship Id="rId229" Type="http://schemas.openxmlformats.org/officeDocument/2006/relationships/oleObject" Target="embeddings/oleObject30.bin"/><Relationship Id="rId228" Type="http://schemas.openxmlformats.org/officeDocument/2006/relationships/image" Target="media/image157.wmf"/><Relationship Id="rId227" Type="http://schemas.openxmlformats.org/officeDocument/2006/relationships/oleObject" Target="embeddings/oleObject29.bin"/><Relationship Id="rId226" Type="http://schemas.openxmlformats.org/officeDocument/2006/relationships/image" Target="media/image156.wmf"/><Relationship Id="rId225" Type="http://schemas.openxmlformats.org/officeDocument/2006/relationships/oleObject" Target="embeddings/oleObject28.bin"/><Relationship Id="rId224" Type="http://schemas.openxmlformats.org/officeDocument/2006/relationships/image" Target="media/image155.wmf"/><Relationship Id="rId223" Type="http://schemas.openxmlformats.org/officeDocument/2006/relationships/oleObject" Target="embeddings/oleObject27.bin"/><Relationship Id="rId222" Type="http://schemas.openxmlformats.org/officeDocument/2006/relationships/image" Target="media/image154.wmf"/><Relationship Id="rId221" Type="http://schemas.openxmlformats.org/officeDocument/2006/relationships/oleObject" Target="embeddings/oleObject26.bin"/><Relationship Id="rId220" Type="http://schemas.openxmlformats.org/officeDocument/2006/relationships/image" Target="media/image153.png"/><Relationship Id="rId22" Type="http://schemas.openxmlformats.org/officeDocument/2006/relationships/footer" Target="footer6.xml"/><Relationship Id="rId219" Type="http://schemas.openxmlformats.org/officeDocument/2006/relationships/image" Target="media/image152.wmf"/><Relationship Id="rId218" Type="http://schemas.openxmlformats.org/officeDocument/2006/relationships/oleObject" Target="embeddings/oleObject25.bin"/><Relationship Id="rId217" Type="http://schemas.openxmlformats.org/officeDocument/2006/relationships/image" Target="media/image151.wmf"/><Relationship Id="rId216" Type="http://schemas.openxmlformats.org/officeDocument/2006/relationships/oleObject" Target="embeddings/oleObject24.bin"/><Relationship Id="rId215" Type="http://schemas.openxmlformats.org/officeDocument/2006/relationships/image" Target="media/image150.wmf"/><Relationship Id="rId214" Type="http://schemas.openxmlformats.org/officeDocument/2006/relationships/oleObject" Target="embeddings/oleObject23.bin"/><Relationship Id="rId213" Type="http://schemas.openxmlformats.org/officeDocument/2006/relationships/image" Target="media/image149.wmf"/><Relationship Id="rId212" Type="http://schemas.openxmlformats.org/officeDocument/2006/relationships/oleObject" Target="embeddings/oleObject22.bin"/><Relationship Id="rId211" Type="http://schemas.openxmlformats.org/officeDocument/2006/relationships/image" Target="media/image148.wmf"/><Relationship Id="rId210" Type="http://schemas.openxmlformats.org/officeDocument/2006/relationships/oleObject" Target="embeddings/oleObject21.bin"/><Relationship Id="rId21" Type="http://schemas.openxmlformats.org/officeDocument/2006/relationships/header" Target="header12.xml"/><Relationship Id="rId209" Type="http://schemas.openxmlformats.org/officeDocument/2006/relationships/image" Target="media/image147.wmf"/><Relationship Id="rId208" Type="http://schemas.openxmlformats.org/officeDocument/2006/relationships/oleObject" Target="embeddings/oleObject20.bin"/><Relationship Id="rId207" Type="http://schemas.openxmlformats.org/officeDocument/2006/relationships/image" Target="media/image146.wmf"/><Relationship Id="rId206" Type="http://schemas.openxmlformats.org/officeDocument/2006/relationships/oleObject" Target="embeddings/oleObject19.bin"/><Relationship Id="rId205" Type="http://schemas.openxmlformats.org/officeDocument/2006/relationships/image" Target="media/image145.wmf"/><Relationship Id="rId204" Type="http://schemas.openxmlformats.org/officeDocument/2006/relationships/oleObject" Target="embeddings/oleObject18.bin"/><Relationship Id="rId203" Type="http://schemas.openxmlformats.org/officeDocument/2006/relationships/image" Target="media/image144.wmf"/><Relationship Id="rId202" Type="http://schemas.openxmlformats.org/officeDocument/2006/relationships/oleObject" Target="embeddings/oleObject17.bin"/><Relationship Id="rId201" Type="http://schemas.openxmlformats.org/officeDocument/2006/relationships/image" Target="media/image143.wmf"/><Relationship Id="rId200" Type="http://schemas.openxmlformats.org/officeDocument/2006/relationships/oleObject" Target="embeddings/oleObject16.bin"/><Relationship Id="rId20" Type="http://schemas.openxmlformats.org/officeDocument/2006/relationships/header" Target="header11.xml"/><Relationship Id="rId2" Type="http://schemas.openxmlformats.org/officeDocument/2006/relationships/settings" Target="settings.xml"/><Relationship Id="rId199" Type="http://schemas.openxmlformats.org/officeDocument/2006/relationships/image" Target="media/image142.wmf"/><Relationship Id="rId198" Type="http://schemas.openxmlformats.org/officeDocument/2006/relationships/oleObject" Target="embeddings/oleObject15.bin"/><Relationship Id="rId197" Type="http://schemas.openxmlformats.org/officeDocument/2006/relationships/image" Target="media/image141.wmf"/><Relationship Id="rId196" Type="http://schemas.openxmlformats.org/officeDocument/2006/relationships/oleObject" Target="embeddings/oleObject14.bin"/><Relationship Id="rId195" Type="http://schemas.openxmlformats.org/officeDocument/2006/relationships/image" Target="media/image140.wmf"/><Relationship Id="rId194" Type="http://schemas.openxmlformats.org/officeDocument/2006/relationships/oleObject" Target="embeddings/oleObject13.bin"/><Relationship Id="rId193" Type="http://schemas.openxmlformats.org/officeDocument/2006/relationships/image" Target="media/image139.wmf"/><Relationship Id="rId192" Type="http://schemas.openxmlformats.org/officeDocument/2006/relationships/oleObject" Target="embeddings/oleObject12.bin"/><Relationship Id="rId191" Type="http://schemas.openxmlformats.org/officeDocument/2006/relationships/image" Target="media/image138.wmf"/><Relationship Id="rId190" Type="http://schemas.openxmlformats.org/officeDocument/2006/relationships/oleObject" Target="embeddings/oleObject11.bin"/><Relationship Id="rId19" Type="http://schemas.openxmlformats.org/officeDocument/2006/relationships/header" Target="header10.xml"/><Relationship Id="rId189" Type="http://schemas.openxmlformats.org/officeDocument/2006/relationships/oleObject" Target="embeddings/oleObject10.bin"/><Relationship Id="rId188" Type="http://schemas.openxmlformats.org/officeDocument/2006/relationships/oleObject" Target="embeddings/oleObject9.bin"/><Relationship Id="rId187" Type="http://schemas.openxmlformats.org/officeDocument/2006/relationships/oleObject" Target="embeddings/oleObject8.bin"/><Relationship Id="rId186" Type="http://schemas.openxmlformats.org/officeDocument/2006/relationships/image" Target="media/image137.wmf"/><Relationship Id="rId185" Type="http://schemas.openxmlformats.org/officeDocument/2006/relationships/image" Target="media/image136.wmf"/><Relationship Id="rId184" Type="http://schemas.openxmlformats.org/officeDocument/2006/relationships/image" Target="media/image135.wmf"/><Relationship Id="rId183" Type="http://schemas.openxmlformats.org/officeDocument/2006/relationships/image" Target="media/image134.wmf"/><Relationship Id="rId182" Type="http://schemas.openxmlformats.org/officeDocument/2006/relationships/image" Target="media/image133.wmf"/><Relationship Id="rId181" Type="http://schemas.openxmlformats.org/officeDocument/2006/relationships/image" Target="media/image132.wmf"/><Relationship Id="rId180" Type="http://schemas.openxmlformats.org/officeDocument/2006/relationships/image" Target="media/image131.wmf"/><Relationship Id="rId18" Type="http://schemas.openxmlformats.org/officeDocument/2006/relationships/header" Target="header9.xml"/><Relationship Id="rId179" Type="http://schemas.openxmlformats.org/officeDocument/2006/relationships/image" Target="media/image130.wmf"/><Relationship Id="rId178" Type="http://schemas.openxmlformats.org/officeDocument/2006/relationships/image" Target="media/image129.wmf"/><Relationship Id="rId177" Type="http://schemas.openxmlformats.org/officeDocument/2006/relationships/oleObject" Target="embeddings/oleObject7.bin"/><Relationship Id="rId176" Type="http://schemas.openxmlformats.org/officeDocument/2006/relationships/oleObject" Target="embeddings/oleObject6.bin"/><Relationship Id="rId175" Type="http://schemas.openxmlformats.org/officeDocument/2006/relationships/oleObject" Target="embeddings/oleObject5.bin"/><Relationship Id="rId174" Type="http://schemas.openxmlformats.org/officeDocument/2006/relationships/image" Target="media/image128.png"/><Relationship Id="rId173" Type="http://schemas.openxmlformats.org/officeDocument/2006/relationships/image" Target="media/image127.png"/><Relationship Id="rId172" Type="http://schemas.openxmlformats.org/officeDocument/2006/relationships/image" Target="media/image126.wmf"/><Relationship Id="rId171" Type="http://schemas.openxmlformats.org/officeDocument/2006/relationships/image" Target="media/image125.wmf"/><Relationship Id="rId170" Type="http://schemas.openxmlformats.org/officeDocument/2006/relationships/image" Target="media/image124.wmf"/><Relationship Id="rId17" Type="http://schemas.openxmlformats.org/officeDocument/2006/relationships/header" Target="header8.xml"/><Relationship Id="rId169" Type="http://schemas.openxmlformats.org/officeDocument/2006/relationships/image" Target="media/image123.wmf"/><Relationship Id="rId168" Type="http://schemas.openxmlformats.org/officeDocument/2006/relationships/image" Target="media/image122.wmf"/><Relationship Id="rId167" Type="http://schemas.openxmlformats.org/officeDocument/2006/relationships/image" Target="media/image121.wmf"/><Relationship Id="rId166" Type="http://schemas.openxmlformats.org/officeDocument/2006/relationships/image" Target="media/image120.wmf"/><Relationship Id="rId165" Type="http://schemas.openxmlformats.org/officeDocument/2006/relationships/image" Target="media/image119.wmf"/><Relationship Id="rId164" Type="http://schemas.openxmlformats.org/officeDocument/2006/relationships/oleObject" Target="embeddings/oleObject4.bin"/><Relationship Id="rId163" Type="http://schemas.openxmlformats.org/officeDocument/2006/relationships/image" Target="media/image118.wmf"/><Relationship Id="rId162" Type="http://schemas.openxmlformats.org/officeDocument/2006/relationships/oleObject" Target="embeddings/oleObject3.bin"/><Relationship Id="rId161" Type="http://schemas.openxmlformats.org/officeDocument/2006/relationships/image" Target="media/image117.wmf"/><Relationship Id="rId160" Type="http://schemas.openxmlformats.org/officeDocument/2006/relationships/oleObject" Target="embeddings/oleObject2.bin"/><Relationship Id="rId16" Type="http://schemas.openxmlformats.org/officeDocument/2006/relationships/header" Target="header7.xml"/><Relationship Id="rId159" Type="http://schemas.openxmlformats.org/officeDocument/2006/relationships/image" Target="media/image116.png"/><Relationship Id="rId158" Type="http://schemas.openxmlformats.org/officeDocument/2006/relationships/image" Target="media/image115.jpeg"/><Relationship Id="rId157" Type="http://schemas.openxmlformats.org/officeDocument/2006/relationships/image" Target="media/image114.jpeg"/><Relationship Id="rId156" Type="http://schemas.openxmlformats.org/officeDocument/2006/relationships/image" Target="media/image113.png"/><Relationship Id="rId155" Type="http://schemas.openxmlformats.org/officeDocument/2006/relationships/image" Target="media/image112.png"/><Relationship Id="rId154" Type="http://schemas.openxmlformats.org/officeDocument/2006/relationships/image" Target="media/image111.png"/><Relationship Id="rId153" Type="http://schemas.openxmlformats.org/officeDocument/2006/relationships/image" Target="media/image110.png"/><Relationship Id="rId152" Type="http://schemas.openxmlformats.org/officeDocument/2006/relationships/image" Target="media/image109.png"/><Relationship Id="rId151" Type="http://schemas.openxmlformats.org/officeDocument/2006/relationships/image" Target="media/image108.png"/><Relationship Id="rId150" Type="http://schemas.openxmlformats.org/officeDocument/2006/relationships/image" Target="media/image107.png"/><Relationship Id="rId15" Type="http://schemas.openxmlformats.org/officeDocument/2006/relationships/header" Target="header6.xml"/><Relationship Id="rId149" Type="http://schemas.openxmlformats.org/officeDocument/2006/relationships/image" Target="media/image106.png"/><Relationship Id="rId148" Type="http://schemas.openxmlformats.org/officeDocument/2006/relationships/image" Target="media/image105.png"/><Relationship Id="rId147" Type="http://schemas.openxmlformats.org/officeDocument/2006/relationships/image" Target="media/image104.png"/><Relationship Id="rId146" Type="http://schemas.openxmlformats.org/officeDocument/2006/relationships/image" Target="media/image103.png"/><Relationship Id="rId145" Type="http://schemas.openxmlformats.org/officeDocument/2006/relationships/image" Target="media/image102.png"/><Relationship Id="rId144" Type="http://schemas.openxmlformats.org/officeDocument/2006/relationships/image" Target="media/image101.png"/><Relationship Id="rId143" Type="http://schemas.openxmlformats.org/officeDocument/2006/relationships/image" Target="media/image100.png"/><Relationship Id="rId142" Type="http://schemas.openxmlformats.org/officeDocument/2006/relationships/image" Target="media/image99.png"/><Relationship Id="rId141" Type="http://schemas.openxmlformats.org/officeDocument/2006/relationships/image" Target="media/image98.png"/><Relationship Id="rId140" Type="http://schemas.openxmlformats.org/officeDocument/2006/relationships/image" Target="media/image97.png"/><Relationship Id="rId14" Type="http://schemas.openxmlformats.org/officeDocument/2006/relationships/footer" Target="footer5.xml"/><Relationship Id="rId139" Type="http://schemas.openxmlformats.org/officeDocument/2006/relationships/image" Target="media/image96.png"/><Relationship Id="rId138" Type="http://schemas.openxmlformats.org/officeDocument/2006/relationships/image" Target="media/image95.png"/><Relationship Id="rId137" Type="http://schemas.openxmlformats.org/officeDocument/2006/relationships/image" Target="media/image94.png"/><Relationship Id="rId136" Type="http://schemas.openxmlformats.org/officeDocument/2006/relationships/image" Target="media/image93.png"/><Relationship Id="rId135" Type="http://schemas.openxmlformats.org/officeDocument/2006/relationships/image" Target="media/image92.png"/><Relationship Id="rId134" Type="http://schemas.openxmlformats.org/officeDocument/2006/relationships/image" Target="media/image91.jpeg"/><Relationship Id="rId133" Type="http://schemas.openxmlformats.org/officeDocument/2006/relationships/image" Target="media/image90.png"/><Relationship Id="rId132" Type="http://schemas.openxmlformats.org/officeDocument/2006/relationships/image" Target="media/image89.jpeg"/><Relationship Id="rId131" Type="http://schemas.openxmlformats.org/officeDocument/2006/relationships/image" Target="media/image88.jpeg"/><Relationship Id="rId130" Type="http://schemas.openxmlformats.org/officeDocument/2006/relationships/image" Target="media/image87.png"/><Relationship Id="rId13" Type="http://schemas.openxmlformats.org/officeDocument/2006/relationships/footer" Target="footer4.xml"/><Relationship Id="rId129" Type="http://schemas.openxmlformats.org/officeDocument/2006/relationships/image" Target="media/image86.jpeg"/><Relationship Id="rId128" Type="http://schemas.openxmlformats.org/officeDocument/2006/relationships/image" Target="media/image85.png"/><Relationship Id="rId127" Type="http://schemas.openxmlformats.org/officeDocument/2006/relationships/image" Target="media/image84.png"/><Relationship Id="rId126" Type="http://schemas.openxmlformats.org/officeDocument/2006/relationships/image" Target="media/image83.png"/><Relationship Id="rId125" Type="http://schemas.openxmlformats.org/officeDocument/2006/relationships/image" Target="media/image82.png"/><Relationship Id="rId124" Type="http://schemas.openxmlformats.org/officeDocument/2006/relationships/image" Target="media/image81.png"/><Relationship Id="rId123" Type="http://schemas.openxmlformats.org/officeDocument/2006/relationships/image" Target="media/image80.png"/><Relationship Id="rId122" Type="http://schemas.openxmlformats.org/officeDocument/2006/relationships/image" Target="media/image79.png"/><Relationship Id="rId121" Type="http://schemas.openxmlformats.org/officeDocument/2006/relationships/image" Target="media/image78.png"/><Relationship Id="rId120" Type="http://schemas.openxmlformats.org/officeDocument/2006/relationships/image" Target="media/image77.png"/><Relationship Id="rId12" Type="http://schemas.openxmlformats.org/officeDocument/2006/relationships/header" Target="header5.xml"/><Relationship Id="rId119" Type="http://schemas.openxmlformats.org/officeDocument/2006/relationships/image" Target="media/image76.png"/><Relationship Id="rId118" Type="http://schemas.openxmlformats.org/officeDocument/2006/relationships/image" Target="media/image75.png"/><Relationship Id="rId117" Type="http://schemas.openxmlformats.org/officeDocument/2006/relationships/image" Target="media/image74.png"/><Relationship Id="rId116" Type="http://schemas.openxmlformats.org/officeDocument/2006/relationships/image" Target="media/image73.jpeg"/><Relationship Id="rId115" Type="http://schemas.openxmlformats.org/officeDocument/2006/relationships/image" Target="media/image72.jpeg"/><Relationship Id="rId114" Type="http://schemas.openxmlformats.org/officeDocument/2006/relationships/image" Target="media/image71.png"/><Relationship Id="rId113" Type="http://schemas.openxmlformats.org/officeDocument/2006/relationships/image" Target="media/image70.png"/><Relationship Id="rId112" Type="http://schemas.openxmlformats.org/officeDocument/2006/relationships/image" Target="media/image69.png"/><Relationship Id="rId111" Type="http://schemas.openxmlformats.org/officeDocument/2006/relationships/image" Target="media/image68.png"/><Relationship Id="rId110" Type="http://schemas.openxmlformats.org/officeDocument/2006/relationships/image" Target="media/image67.png"/><Relationship Id="rId11" Type="http://schemas.openxmlformats.org/officeDocument/2006/relationships/header" Target="header4.xml"/><Relationship Id="rId109" Type="http://schemas.openxmlformats.org/officeDocument/2006/relationships/image" Target="media/image66.png"/><Relationship Id="rId108" Type="http://schemas.openxmlformats.org/officeDocument/2006/relationships/image" Target="media/image65.png"/><Relationship Id="rId107" Type="http://schemas.openxmlformats.org/officeDocument/2006/relationships/image" Target="media/image64.jpeg"/><Relationship Id="rId106" Type="http://schemas.openxmlformats.org/officeDocument/2006/relationships/image" Target="media/image63.png"/><Relationship Id="rId105" Type="http://schemas.openxmlformats.org/officeDocument/2006/relationships/image" Target="media/image62.png"/><Relationship Id="rId104" Type="http://schemas.openxmlformats.org/officeDocument/2006/relationships/image" Target="media/image61.png"/><Relationship Id="rId103" Type="http://schemas.openxmlformats.org/officeDocument/2006/relationships/image" Target="media/image60.jpeg"/><Relationship Id="rId102" Type="http://schemas.openxmlformats.org/officeDocument/2006/relationships/image" Target="media/image59.jpeg"/><Relationship Id="rId101" Type="http://schemas.openxmlformats.org/officeDocument/2006/relationships/image" Target="media/image58.png"/><Relationship Id="rId100" Type="http://schemas.openxmlformats.org/officeDocument/2006/relationships/image" Target="media/image57.png"/><Relationship Id="rId10" Type="http://schemas.openxmlformats.org/officeDocument/2006/relationships/footer" Target="footer3.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56"/>
    <customShpInfo spid="_x0000_s2055"/>
    <customShpInfo spid="_x0000_s2054"/>
    <customShpInfo spid="_x0000_s2053"/>
    <customShpInfo spid="_x0000_s2052"/>
    <customShpInfo spid="_x0000_s2051"/>
    <customShpInfo spid="_x0000_s2050"/>
    <customShpInfo spid="_x0000_s2049"/>
    <customShpInfo spid="_x0000_s1026"/>
    <customShpInfo spid="_x0000_s1128"/>
    <customShpInfo spid="_x0000_s1127"/>
    <customShpInfo spid="_x0000_s1126"/>
    <customShpInfo spid="_x0000_s1125"/>
    <customShpInfo spid="_x0000_s1124"/>
    <customShpInfo spid="_x0000_s1123"/>
    <customShpInfo spid="_x0000_s1122"/>
    <customShpInfo spid="_x0000_s1121"/>
    <customShpInfo spid="_x0000_s1120"/>
    <customShpInfo spid="_x0000_s1119"/>
    <customShpInfo spid="_x0000_s1118"/>
    <customShpInfo spid="_x0000_s1117"/>
    <customShpInfo spid="_x0000_s1116"/>
    <customShpInfo spid="_x0000_s1115"/>
    <customShpInfo spid="_x0000_s1114"/>
    <customShpInfo spid="_x0000_s1113"/>
    <customShpInfo spid="_x0000_s1112"/>
    <customShpInfo spid="_x0000_s1111"/>
    <customShpInfo spid="_x0000_s1110"/>
    <customShpInfo spid="_x0000_s1109"/>
    <customShpInfo spid="_x0000_s1108"/>
    <customShpInfo spid="_x0000_s1107"/>
    <customShpInfo spid="_x0000_s1106"/>
    <customShpInfo spid="_x0000_s1105"/>
    <customShpInfo spid="_x0000_s1104"/>
    <customShpInfo spid="_x0000_s1103"/>
    <customShpInfo spid="_x0000_s1102"/>
    <customShpInfo spid="_x0000_s1101"/>
    <customShpInfo spid="_x0000_s1100"/>
    <customShpInfo spid="_x0000_s1099"/>
    <customShpInfo spid="_x0000_s1098"/>
    <customShpInfo spid="_x0000_s1097"/>
    <customShpInfo spid="_x0000_s1096"/>
    <customShpInfo spid="_x0000_s1095"/>
    <customShpInfo spid="_x0000_s1094"/>
    <customShpInfo spid="_x0000_s1093"/>
    <customShpInfo spid="_x0000_s1092"/>
    <customShpInfo spid="_x0000_s1091"/>
    <customShpInfo spid="_x0000_s1090"/>
    <customShpInfo spid="_x0000_s1089"/>
    <customShpInfo spid="_x0000_s1087"/>
    <customShpInfo spid="_x0000_s1086"/>
    <customShpInfo spid="_x0000_s1085"/>
    <customShpInfo spid="_x0000_s1084"/>
    <customShpInfo spid="_x0000_s1083"/>
    <customShpInfo spid="_x0000_s1082"/>
    <customShpInfo spid="_x0000_s1081"/>
    <customShpInfo spid="_x0000_s1080"/>
    <customShpInfo spid="_x0000_s1079"/>
    <customShpInfo spid="_x0000_s1078"/>
    <customShpInfo spid="_x0000_s1077"/>
    <customShpInfo spid="_x0000_s1076"/>
    <customShpInfo spid="_x0000_s1075"/>
  </customShpExts>
  <extobjs>
    <extobj name="ECB019B1-382A-4266-B25C-5B523AA43C14-1">
      <extobjdata type="ECB019B1-382A-4266-B25C-5B523AA43C14" data="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"/>
    </extobj>
  </extobj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MS</Company>
  <Pages>244</Pages>
  <Words>129185</Words>
  <Characters>158397</Characters>
  <Lines>1261</Lines>
  <Paragraphs>355</Paragraphs>
  <TotalTime>3</TotalTime>
  <ScaleCrop>false</ScaleCrop>
  <LinksUpToDate>false</LinksUpToDate>
  <CharactersWithSpaces>158463</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2014-05-22T02:11:00Z</dcterms:created>
  <dc:creator>微软用户</dc:creator>
  <cp:lastModifiedBy>ᝰꫛꫀꪝ</cp:lastModifiedBy>
  <cp:lastPrinted>2023-02-28T06:01:00Z</cp:lastPrinted>
  <dcterms:modified xsi:type="dcterms:W3CDTF">2023-03-29T01:47:09Z</dcterms:modified>
  <dc:subject>水土保持方案报告书</dc:subject>
  <dc:title>沙西快速通道（郫县段）改造工程（犀浦至古城段）</dc:title>
  <cp:revision>36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65A191500A71415295D08B4BD53864F1</vt:lpwstr>
  </property>
</Properties>
</file>