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2229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bCs/>
          <w:color w:val="000000"/>
          <w:sz w:val="32"/>
          <w:szCs w:val="32"/>
        </w:rPr>
      </w:pPr>
      <w:r>
        <w:rPr>
          <w:rFonts w:hint="eastAsia" w:ascii="黑体" w:hAnsi="黑体" w:eastAsia="黑体"/>
          <w:bCs/>
          <w:color w:val="000000"/>
          <w:sz w:val="32"/>
          <w:szCs w:val="32"/>
        </w:rPr>
        <w:t>附件</w:t>
      </w:r>
      <w:bookmarkStart w:id="0" w:name="_GoBack"/>
    </w:p>
    <w:p w14:paraId="0C44419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rPr>
      </w:pPr>
      <w:r>
        <w:rPr>
          <w:rFonts w:hint="eastAsia" w:ascii="方正小标宋简体" w:eastAsia="方正小标宋简体"/>
          <w:bCs/>
          <w:color w:val="000000"/>
          <w:sz w:val="44"/>
          <w:szCs w:val="44"/>
        </w:rPr>
        <w:t>202</w:t>
      </w:r>
      <w:r>
        <w:rPr>
          <w:rFonts w:hint="eastAsia" w:ascii="方正小标宋简体" w:eastAsia="方正小标宋简体"/>
          <w:bCs/>
          <w:color w:val="000000"/>
          <w:sz w:val="44"/>
          <w:szCs w:val="44"/>
          <w:lang w:val="en-US" w:eastAsia="zh-CN"/>
        </w:rPr>
        <w:t>6</w:t>
      </w:r>
      <w:r>
        <w:rPr>
          <w:rFonts w:hint="eastAsia" w:ascii="方正小标宋简体" w:eastAsia="方正小标宋简体"/>
          <w:bCs/>
          <w:color w:val="000000"/>
          <w:sz w:val="44"/>
          <w:szCs w:val="44"/>
        </w:rPr>
        <w:t>年</w:t>
      </w:r>
      <w:r>
        <w:rPr>
          <w:rFonts w:hint="eastAsia" w:ascii="方正小标宋简体" w:eastAsia="方正小标宋简体"/>
          <w:bCs/>
          <w:color w:val="000000"/>
          <w:sz w:val="44"/>
          <w:szCs w:val="44"/>
          <w:lang w:eastAsia="zh-CN"/>
        </w:rPr>
        <w:t>区</w:t>
      </w:r>
      <w:r>
        <w:rPr>
          <w:rFonts w:hint="eastAsia" w:ascii="方正小标宋简体" w:eastAsia="方正小标宋简体"/>
          <w:bCs/>
          <w:color w:val="000000"/>
          <w:sz w:val="44"/>
          <w:szCs w:val="44"/>
        </w:rPr>
        <w:t>政府重点工作任务分解表</w:t>
      </w:r>
    </w:p>
    <w:bookmarkEnd w:id="0"/>
    <w:tbl>
      <w:tblPr>
        <w:tblStyle w:val="8"/>
        <w:tblW w:w="15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742"/>
        <w:gridCol w:w="330"/>
        <w:gridCol w:w="6750"/>
        <w:gridCol w:w="1305"/>
        <w:gridCol w:w="1695"/>
        <w:gridCol w:w="2119"/>
      </w:tblGrid>
      <w:tr w14:paraId="4F5D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4" w:type="dxa"/>
            <w:noWrap w:val="0"/>
            <w:vAlign w:val="center"/>
          </w:tcPr>
          <w:p w14:paraId="328810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2742" w:type="dxa"/>
            <w:noWrap w:val="0"/>
            <w:vAlign w:val="center"/>
          </w:tcPr>
          <w:p w14:paraId="32EBDD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工作内容</w:t>
            </w:r>
          </w:p>
        </w:tc>
        <w:tc>
          <w:tcPr>
            <w:tcW w:w="7080" w:type="dxa"/>
            <w:gridSpan w:val="2"/>
            <w:noWrap w:val="0"/>
            <w:vAlign w:val="center"/>
          </w:tcPr>
          <w:p w14:paraId="30D42E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进度安排（季度）</w:t>
            </w:r>
          </w:p>
        </w:tc>
        <w:tc>
          <w:tcPr>
            <w:tcW w:w="1305" w:type="dxa"/>
            <w:noWrap w:val="0"/>
            <w:vAlign w:val="center"/>
          </w:tcPr>
          <w:p w14:paraId="3D81FB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责任领导</w:t>
            </w:r>
          </w:p>
        </w:tc>
        <w:tc>
          <w:tcPr>
            <w:tcW w:w="1695" w:type="dxa"/>
            <w:noWrap w:val="0"/>
            <w:vAlign w:val="center"/>
          </w:tcPr>
          <w:p w14:paraId="6DD902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责任单位</w:t>
            </w:r>
          </w:p>
        </w:tc>
        <w:tc>
          <w:tcPr>
            <w:tcW w:w="2119" w:type="dxa"/>
            <w:noWrap w:val="0"/>
            <w:vAlign w:val="center"/>
          </w:tcPr>
          <w:p w14:paraId="2D80B1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配合单位</w:t>
            </w:r>
          </w:p>
        </w:tc>
      </w:tr>
      <w:tr w14:paraId="172D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714" w:type="dxa"/>
            <w:vMerge w:val="restart"/>
            <w:noWrap w:val="0"/>
            <w:vAlign w:val="center"/>
          </w:tcPr>
          <w:p w14:paraId="76C0D71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2742" w:type="dxa"/>
            <w:vMerge w:val="restart"/>
            <w:noWrap w:val="0"/>
            <w:vAlign w:val="center"/>
          </w:tcPr>
          <w:p w14:paraId="5FC88E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仿宋_GB2312" w:eastAsia="仿宋_GB2312" w:cs="仿宋_GB2312"/>
                <w:color w:val="000000"/>
                <w:sz w:val="21"/>
                <w:szCs w:val="21"/>
              </w:rPr>
            </w:pPr>
            <w:r>
              <w:rPr>
                <w:rFonts w:hint="eastAsia" w:ascii="仿宋_GB2312" w:hAnsi="宋体" w:eastAsia="仿宋_GB2312" w:cs="仿宋_GB2312"/>
                <w:i w:val="0"/>
                <w:color w:val="000000"/>
                <w:kern w:val="0"/>
                <w:sz w:val="21"/>
                <w:szCs w:val="21"/>
                <w:u w:val="none"/>
                <w:lang w:val="en-US" w:eastAsia="zh-CN" w:bidi="ar"/>
              </w:rPr>
              <w:t>强化科创成果转化，前瞻性布局产业中试平台，支持协鑫、福华建成投用中试基地。支持企业争取绿电直连项目，重塑产业活力。</w:t>
            </w:r>
          </w:p>
        </w:tc>
        <w:tc>
          <w:tcPr>
            <w:tcW w:w="330" w:type="dxa"/>
            <w:noWrap w:val="0"/>
            <w:vAlign w:val="center"/>
          </w:tcPr>
          <w:p w14:paraId="303038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520898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1.指导协鑫新能源成立中试研发平台并正式运行。</w:t>
            </w:r>
          </w:p>
          <w:p w14:paraId="4131F3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2.开展福华中试基地初步设计及立项相关工作。</w:t>
            </w:r>
          </w:p>
          <w:p w14:paraId="2375932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3.向上对接省发改、能源、电力等部门，争取政策支持。</w:t>
            </w:r>
          </w:p>
        </w:tc>
        <w:tc>
          <w:tcPr>
            <w:tcW w:w="1305" w:type="dxa"/>
            <w:vMerge w:val="restart"/>
            <w:noWrap w:val="0"/>
            <w:vAlign w:val="center"/>
          </w:tcPr>
          <w:p w14:paraId="4227ABF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陈  雨</w:t>
            </w:r>
          </w:p>
        </w:tc>
        <w:tc>
          <w:tcPr>
            <w:tcW w:w="1695" w:type="dxa"/>
            <w:vMerge w:val="restart"/>
            <w:noWrap w:val="0"/>
            <w:vAlign w:val="center"/>
          </w:tcPr>
          <w:p w14:paraId="6E7D0D5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区发展改革局</w:t>
            </w:r>
            <w:r>
              <w:rPr>
                <w:rFonts w:hint="eastAsia" w:ascii="仿宋_GB2312" w:hAnsi="仿宋_GB2312" w:eastAsia="仿宋_GB2312" w:cs="仿宋_GB2312"/>
                <w:color w:val="000000"/>
                <w:sz w:val="21"/>
                <w:szCs w:val="21"/>
                <w:lang w:val="en-US" w:eastAsia="zh-CN"/>
              </w:rPr>
              <w:t>、</w:t>
            </w:r>
          </w:p>
          <w:p w14:paraId="68238B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区经济信息化局</w:t>
            </w:r>
          </w:p>
        </w:tc>
        <w:tc>
          <w:tcPr>
            <w:tcW w:w="2119" w:type="dxa"/>
            <w:vMerge w:val="restart"/>
            <w:noWrap w:val="0"/>
            <w:vAlign w:val="center"/>
          </w:tcPr>
          <w:p w14:paraId="283F27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经开区管委会</w:t>
            </w:r>
          </w:p>
        </w:tc>
      </w:tr>
      <w:tr w14:paraId="3758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714" w:type="dxa"/>
            <w:vMerge w:val="continue"/>
            <w:noWrap w:val="0"/>
            <w:vAlign w:val="center"/>
          </w:tcPr>
          <w:p w14:paraId="500560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937AA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48CCBF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66E8F3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1.指导协鑫新能源依托中试研发平台有序推进CNT中试项目及其他对外合作服务项目。</w:t>
            </w:r>
          </w:p>
          <w:p w14:paraId="0D81B3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2.指导福华开展中试基地详细设计，确定设备材料清单。</w:t>
            </w:r>
          </w:p>
          <w:p w14:paraId="3579B5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3.向上对接省发改、能源、电力等部门，争取政策支持。</w:t>
            </w:r>
          </w:p>
        </w:tc>
        <w:tc>
          <w:tcPr>
            <w:tcW w:w="1305" w:type="dxa"/>
            <w:vMerge w:val="continue"/>
            <w:noWrap w:val="0"/>
            <w:vAlign w:val="center"/>
          </w:tcPr>
          <w:p w14:paraId="096049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126B09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67C2F1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r>
      <w:tr w14:paraId="7E01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14" w:type="dxa"/>
            <w:vMerge w:val="continue"/>
            <w:noWrap w:val="0"/>
            <w:vAlign w:val="center"/>
          </w:tcPr>
          <w:p w14:paraId="55AB70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7E5EF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B1873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469544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eastAsia="zh-CN"/>
              </w:rPr>
              <w:t>指导福华完成中试基地详细设计及开展设备材料采购相关工作。</w:t>
            </w:r>
          </w:p>
          <w:p w14:paraId="493BEF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lang w:eastAsia="zh-CN"/>
              </w:rPr>
              <w:t>梳理园区周边新增风、光、生物质等新能源，对接省能投等公司，谋划绿电直连项目可行性，提出实施方案，加快推进项目落地。</w:t>
            </w:r>
          </w:p>
        </w:tc>
        <w:tc>
          <w:tcPr>
            <w:tcW w:w="1305" w:type="dxa"/>
            <w:vMerge w:val="continue"/>
            <w:noWrap w:val="0"/>
            <w:vAlign w:val="center"/>
          </w:tcPr>
          <w:p w14:paraId="638F518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3E1524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44061B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r>
      <w:tr w14:paraId="53A0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14" w:type="dxa"/>
            <w:vMerge w:val="continue"/>
            <w:noWrap w:val="0"/>
            <w:vAlign w:val="center"/>
          </w:tcPr>
          <w:p w14:paraId="60BBF9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EA8CC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B51BB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2727BC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eastAsia="zh-CN"/>
              </w:rPr>
              <w:t>福华中试基地土建施工。</w:t>
            </w:r>
          </w:p>
          <w:p w14:paraId="3D78A3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lang w:eastAsia="zh-CN"/>
              </w:rPr>
              <w:t>梳理园区周边新增风、光、生物质等新能源，对接省能投等公司，谋划绿电直连项目可行性，提出实施方案，加快推进项目落地。</w:t>
            </w:r>
          </w:p>
        </w:tc>
        <w:tc>
          <w:tcPr>
            <w:tcW w:w="1305" w:type="dxa"/>
            <w:vMerge w:val="continue"/>
            <w:noWrap w:val="0"/>
            <w:vAlign w:val="center"/>
          </w:tcPr>
          <w:p w14:paraId="3E2E7D9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4CD057F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1ADF80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r>
      <w:tr w14:paraId="262B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restart"/>
            <w:noWrap w:val="0"/>
            <w:vAlign w:val="center"/>
          </w:tcPr>
          <w:p w14:paraId="3EB98F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2742" w:type="dxa"/>
            <w:vMerge w:val="restart"/>
            <w:noWrap w:val="0"/>
            <w:vAlign w:val="center"/>
          </w:tcPr>
          <w:p w14:paraId="6F2650E3">
            <w:pPr>
              <w:keepNext w:val="0"/>
              <w:keepLines w:val="0"/>
              <w:pageBreakBefore w:val="0"/>
              <w:widowControl/>
              <w:suppressLineNumbers w:val="0"/>
              <w:tabs>
                <w:tab w:val="left" w:pos="4222"/>
              </w:tabs>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紧盯重点项目、重点企业和重点产品，加快产业培育和建圈强链。</w:t>
            </w:r>
          </w:p>
        </w:tc>
        <w:tc>
          <w:tcPr>
            <w:tcW w:w="330" w:type="dxa"/>
            <w:noWrap w:val="0"/>
            <w:vAlign w:val="center"/>
          </w:tcPr>
          <w:p w14:paraId="151ECF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374F39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加强企业沟通对接，指导四川晶科、乐山晶科、永祥能源科技等做好复工复产前期准备工作。</w:t>
            </w:r>
          </w:p>
        </w:tc>
        <w:tc>
          <w:tcPr>
            <w:tcW w:w="1305" w:type="dxa"/>
            <w:vMerge w:val="restart"/>
            <w:noWrap w:val="0"/>
            <w:vAlign w:val="center"/>
          </w:tcPr>
          <w:p w14:paraId="7BFC8CC9">
            <w:pPr>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刘  凯</w:t>
            </w:r>
          </w:p>
        </w:tc>
        <w:tc>
          <w:tcPr>
            <w:tcW w:w="1695" w:type="dxa"/>
            <w:vMerge w:val="restart"/>
            <w:noWrap w:val="0"/>
            <w:vAlign w:val="center"/>
          </w:tcPr>
          <w:p w14:paraId="41E26B04">
            <w:pPr>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rPr>
                <w:rFonts w:hint="eastAsia" w:ascii="Times New Roman" w:hAnsi="Times New Roman" w:eastAsia="仿宋_GB2312" w:cs="Times New Roman"/>
                <w:kern w:val="2"/>
                <w:sz w:val="24"/>
                <w:szCs w:val="24"/>
                <w:lang w:val="en-US" w:eastAsia="zh-CN" w:bidi="ar-SA"/>
              </w:rPr>
            </w:pPr>
            <w:r>
              <w:rPr>
                <w:rFonts w:hint="eastAsia" w:ascii="仿宋_GB2312" w:hAnsi="宋体" w:eastAsia="仿宋_GB2312" w:cs="仿宋_GB2312"/>
                <w:i w:val="0"/>
                <w:color w:val="000000"/>
                <w:kern w:val="0"/>
                <w:sz w:val="21"/>
                <w:szCs w:val="21"/>
                <w:u w:val="none"/>
                <w:lang w:val="en-US" w:eastAsia="zh-CN" w:bidi="ar"/>
              </w:rPr>
              <w:t>区经济信息化局</w:t>
            </w:r>
          </w:p>
        </w:tc>
        <w:tc>
          <w:tcPr>
            <w:tcW w:w="2119" w:type="dxa"/>
            <w:vMerge w:val="restart"/>
            <w:noWrap w:val="0"/>
            <w:vAlign w:val="center"/>
          </w:tcPr>
          <w:p w14:paraId="031A28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区发展改革局</w:t>
            </w:r>
          </w:p>
        </w:tc>
      </w:tr>
      <w:tr w14:paraId="0215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14" w:type="dxa"/>
            <w:vMerge w:val="continue"/>
            <w:noWrap w:val="0"/>
            <w:vAlign w:val="center"/>
          </w:tcPr>
          <w:p w14:paraId="569521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7D53B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25EFA1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5CC6B8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主动上门服务，指导企业申报省级、市级和区级工业领域奖补资金，实现“应补尽补”。</w:t>
            </w:r>
          </w:p>
        </w:tc>
        <w:tc>
          <w:tcPr>
            <w:tcW w:w="1305" w:type="dxa"/>
            <w:vMerge w:val="continue"/>
            <w:noWrap w:val="0"/>
            <w:vAlign w:val="center"/>
          </w:tcPr>
          <w:p w14:paraId="2EFB14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7B956E1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42F666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38A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14" w:type="dxa"/>
            <w:vMerge w:val="continue"/>
            <w:noWrap w:val="0"/>
            <w:vAlign w:val="center"/>
          </w:tcPr>
          <w:p w14:paraId="5B4241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F0796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5F0853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6EDB42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1.引导光伏企业抢抓丰水期利好，开足马力高位运行。</w:t>
            </w:r>
          </w:p>
          <w:p w14:paraId="34A93B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2.推动福华赢创、嘉美高纯材料等重点工业企业加快竣工投产，尽快形成实物量。</w:t>
            </w:r>
          </w:p>
        </w:tc>
        <w:tc>
          <w:tcPr>
            <w:tcW w:w="1305" w:type="dxa"/>
            <w:vMerge w:val="continue"/>
            <w:noWrap w:val="0"/>
            <w:vAlign w:val="center"/>
          </w:tcPr>
          <w:p w14:paraId="1731A4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5DD8E7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5DEE0E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696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14" w:type="dxa"/>
            <w:vMerge w:val="continue"/>
            <w:noWrap w:val="0"/>
            <w:vAlign w:val="center"/>
          </w:tcPr>
          <w:p w14:paraId="4755D4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24DCF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0652C4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00EFE8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竣工投产中氟泰华20万吨双氧水项目、嘉美年产100吨高纯砷项目、三稀环保稀土伴生矿物料综合利用处置项目、华融60MW/240MWh用户侧储能电站项目等一批产业项目，全力实现全年525亿元目标。</w:t>
            </w:r>
          </w:p>
        </w:tc>
        <w:tc>
          <w:tcPr>
            <w:tcW w:w="1305" w:type="dxa"/>
            <w:vMerge w:val="continue"/>
            <w:noWrap w:val="0"/>
            <w:vAlign w:val="center"/>
          </w:tcPr>
          <w:p w14:paraId="395AB3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2F7840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211DC0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397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restart"/>
            <w:noWrap w:val="0"/>
            <w:vAlign w:val="center"/>
          </w:tcPr>
          <w:p w14:paraId="4FE62F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2742" w:type="dxa"/>
            <w:vMerge w:val="restart"/>
            <w:noWrap w:val="0"/>
            <w:vAlign w:val="center"/>
          </w:tcPr>
          <w:p w14:paraId="450236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聚焦加快建设具有国际竞争力的光伏储能和绿色化工创新高地，用好平台优势、要素优势、产业优势招大引强，常态化储备一批总投资超500亿元的产业项目。</w:t>
            </w:r>
          </w:p>
        </w:tc>
        <w:tc>
          <w:tcPr>
            <w:tcW w:w="330" w:type="dxa"/>
            <w:noWrap w:val="0"/>
            <w:vAlign w:val="center"/>
          </w:tcPr>
          <w:p w14:paraId="25026D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vMerge w:val="restart"/>
            <w:noWrap w:val="0"/>
            <w:vAlign w:val="center"/>
          </w:tcPr>
          <w:p w14:paraId="2B8279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依托D级化工园区品牌优势，锚定光伏储能、绿色化工、稀土新材料三大主攻方向，持续招引产业链关键项目。</w:t>
            </w:r>
          </w:p>
        </w:tc>
        <w:tc>
          <w:tcPr>
            <w:tcW w:w="1305" w:type="dxa"/>
            <w:vMerge w:val="restart"/>
            <w:noWrap w:val="0"/>
            <w:vAlign w:val="center"/>
          </w:tcPr>
          <w:p w14:paraId="152EDB2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刘  凯</w:t>
            </w:r>
          </w:p>
        </w:tc>
        <w:tc>
          <w:tcPr>
            <w:tcW w:w="1695" w:type="dxa"/>
            <w:vMerge w:val="restart"/>
            <w:noWrap w:val="0"/>
            <w:vAlign w:val="center"/>
          </w:tcPr>
          <w:p w14:paraId="261CB4C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区经济信息化局</w:t>
            </w:r>
          </w:p>
        </w:tc>
        <w:tc>
          <w:tcPr>
            <w:tcW w:w="2119" w:type="dxa"/>
            <w:vMerge w:val="restart"/>
            <w:noWrap w:val="0"/>
            <w:vAlign w:val="center"/>
          </w:tcPr>
          <w:p w14:paraId="0B6F32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区发展改革局、区财政局、五通桥生态环境局、区应急局、区国资局、经开区管委会</w:t>
            </w:r>
          </w:p>
        </w:tc>
      </w:tr>
      <w:tr w14:paraId="0B61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714" w:type="dxa"/>
            <w:vMerge w:val="continue"/>
            <w:noWrap w:val="0"/>
            <w:vAlign w:val="center"/>
          </w:tcPr>
          <w:p w14:paraId="25DD21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A8519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213134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vMerge w:val="continue"/>
            <w:noWrap w:val="0"/>
            <w:vAlign w:val="center"/>
          </w:tcPr>
          <w:p w14:paraId="4281A2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1305" w:type="dxa"/>
            <w:vMerge w:val="continue"/>
            <w:noWrap w:val="0"/>
            <w:vAlign w:val="center"/>
          </w:tcPr>
          <w:p w14:paraId="0A08E9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85E1F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62533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r>
      <w:tr w14:paraId="6D8A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continue"/>
            <w:noWrap w:val="0"/>
            <w:vAlign w:val="center"/>
          </w:tcPr>
          <w:p w14:paraId="345204B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3D0E38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104436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vMerge w:val="restart"/>
            <w:noWrap w:val="0"/>
            <w:vAlign w:val="center"/>
          </w:tcPr>
          <w:p w14:paraId="5CA5EA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依托和邦、福华等本土链主企业，围绕培育半导体新材料、智能制造等新兴产业，靶向招引精细化工、新能源材料等优质项目。</w:t>
            </w:r>
          </w:p>
        </w:tc>
        <w:tc>
          <w:tcPr>
            <w:tcW w:w="1305" w:type="dxa"/>
            <w:vMerge w:val="continue"/>
            <w:noWrap w:val="0"/>
            <w:vAlign w:val="center"/>
          </w:tcPr>
          <w:p w14:paraId="62F2A7B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70C4C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D5451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r>
      <w:tr w14:paraId="3A42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14" w:type="dxa"/>
            <w:vMerge w:val="continue"/>
            <w:noWrap w:val="0"/>
            <w:vAlign w:val="center"/>
          </w:tcPr>
          <w:p w14:paraId="7DF48F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65DFF2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08B530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vMerge w:val="continue"/>
            <w:noWrap w:val="0"/>
            <w:vAlign w:val="center"/>
          </w:tcPr>
          <w:p w14:paraId="30E7178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1305" w:type="dxa"/>
            <w:vMerge w:val="continue"/>
            <w:noWrap w:val="0"/>
            <w:vAlign w:val="center"/>
          </w:tcPr>
          <w:p w14:paraId="26A5F7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32AFA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75A26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r>
      <w:tr w14:paraId="60F7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14" w:type="dxa"/>
            <w:vMerge w:val="restart"/>
            <w:noWrap w:val="0"/>
            <w:vAlign w:val="center"/>
          </w:tcPr>
          <w:p w14:paraId="15FDF2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2742" w:type="dxa"/>
            <w:vMerge w:val="restart"/>
            <w:noWrap w:val="0"/>
            <w:vAlign w:val="center"/>
          </w:tcPr>
          <w:p w14:paraId="3EA4F30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尽早签约科莱恩年产10万吨磷系阻燃剂、江苏长峡储能系统集成智能制造产业园等优质项目，力争全年新签约产业项目超200亿元。</w:t>
            </w:r>
          </w:p>
        </w:tc>
        <w:tc>
          <w:tcPr>
            <w:tcW w:w="330" w:type="dxa"/>
            <w:noWrap w:val="0"/>
            <w:vAlign w:val="center"/>
          </w:tcPr>
          <w:p w14:paraId="603EC4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vMerge w:val="restart"/>
            <w:noWrap w:val="0"/>
            <w:vAlign w:val="center"/>
          </w:tcPr>
          <w:p w14:paraId="5A94B0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锚定光伏储能、绿色化工、稀土新材料三大主攻方向，持续招引精细化学品、化工新材料等项目，力争上半年新签约产业项目超100亿元。</w:t>
            </w:r>
          </w:p>
        </w:tc>
        <w:tc>
          <w:tcPr>
            <w:tcW w:w="1305" w:type="dxa"/>
            <w:vMerge w:val="restart"/>
            <w:noWrap w:val="0"/>
            <w:vAlign w:val="center"/>
          </w:tcPr>
          <w:p w14:paraId="75206D8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刘  凯</w:t>
            </w:r>
          </w:p>
        </w:tc>
        <w:tc>
          <w:tcPr>
            <w:tcW w:w="1695" w:type="dxa"/>
            <w:vMerge w:val="restart"/>
            <w:noWrap w:val="0"/>
            <w:vAlign w:val="center"/>
          </w:tcPr>
          <w:p w14:paraId="629893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区经济信息化局</w:t>
            </w:r>
          </w:p>
        </w:tc>
        <w:tc>
          <w:tcPr>
            <w:tcW w:w="2119" w:type="dxa"/>
            <w:vMerge w:val="restart"/>
            <w:noWrap w:val="0"/>
            <w:vAlign w:val="center"/>
          </w:tcPr>
          <w:p w14:paraId="2E88851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区发展改革局、区司法局、区财政局、区自然资源局、五通桥生态环境局、区农业农村局、区文体旅游局、区应急管理局、区审计局、区国资局、冠英新区管委会、经开区管委会</w:t>
            </w:r>
          </w:p>
        </w:tc>
      </w:tr>
      <w:tr w14:paraId="17C9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14" w:type="dxa"/>
            <w:vMerge w:val="continue"/>
            <w:noWrap w:val="0"/>
            <w:vAlign w:val="center"/>
          </w:tcPr>
          <w:p w14:paraId="2165E5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D6ACA5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56EA8B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vMerge w:val="continue"/>
            <w:noWrap w:val="0"/>
            <w:vAlign w:val="center"/>
          </w:tcPr>
          <w:p w14:paraId="22FA6A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1305" w:type="dxa"/>
            <w:vMerge w:val="continue"/>
            <w:noWrap w:val="0"/>
            <w:vAlign w:val="center"/>
          </w:tcPr>
          <w:p w14:paraId="7D1C80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750E43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5CD873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0A44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14" w:type="dxa"/>
            <w:vMerge w:val="continue"/>
            <w:noWrap w:val="0"/>
            <w:vAlign w:val="center"/>
          </w:tcPr>
          <w:p w14:paraId="5C10C4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73755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230B1F1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vMerge w:val="restart"/>
            <w:noWrap w:val="0"/>
            <w:vAlign w:val="center"/>
          </w:tcPr>
          <w:p w14:paraId="4CAAD8D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围绕培育半导体新材料、智能制造等新兴产业，靶向招引精细化工、新能源材料、高端助剂等产业链关键项目，力争全年新签约产业项目超200亿元。</w:t>
            </w:r>
          </w:p>
        </w:tc>
        <w:tc>
          <w:tcPr>
            <w:tcW w:w="1305" w:type="dxa"/>
            <w:vMerge w:val="continue"/>
            <w:noWrap w:val="0"/>
            <w:vAlign w:val="center"/>
          </w:tcPr>
          <w:p w14:paraId="5453955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219E0FE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22E212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7970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714" w:type="dxa"/>
            <w:vMerge w:val="continue"/>
            <w:noWrap w:val="0"/>
            <w:vAlign w:val="center"/>
          </w:tcPr>
          <w:p w14:paraId="130A6A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88442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16CED6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vMerge w:val="continue"/>
            <w:noWrap w:val="0"/>
            <w:vAlign w:val="center"/>
          </w:tcPr>
          <w:p w14:paraId="64B61A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1305" w:type="dxa"/>
            <w:vMerge w:val="continue"/>
            <w:noWrap w:val="0"/>
            <w:vAlign w:val="center"/>
          </w:tcPr>
          <w:p w14:paraId="64B187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61A01A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013EF1C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D3D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714" w:type="dxa"/>
            <w:vMerge w:val="restart"/>
            <w:noWrap w:val="0"/>
            <w:vAlign w:val="center"/>
          </w:tcPr>
          <w:p w14:paraId="039D72A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C5EBB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C6750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ED5B9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74FAA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43EF1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16F195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w:t>
            </w:r>
          </w:p>
          <w:p w14:paraId="1E6128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9AD48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45470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63A76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A847C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4B9827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9C7A8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E57414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E9CDF6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4EF1C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380F3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6BB8B1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7A1C14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A8074F5">
            <w:pPr>
              <w:rPr>
                <w:rFonts w:hint="eastAsia"/>
                <w:lang w:val="en-US" w:eastAsia="zh-CN"/>
              </w:rPr>
            </w:pPr>
          </w:p>
          <w:p w14:paraId="1B871D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w:t>
            </w:r>
          </w:p>
        </w:tc>
        <w:tc>
          <w:tcPr>
            <w:tcW w:w="2742" w:type="dxa"/>
            <w:vMerge w:val="restart"/>
            <w:noWrap w:val="0"/>
            <w:vAlign w:val="center"/>
          </w:tcPr>
          <w:p w14:paraId="7C9714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33BE18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19A3C231">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jc w:val="both"/>
              <w:textAlignment w:val="auto"/>
              <w:rPr>
                <w:rFonts w:hint="eastAsia" w:ascii="Times New Roman" w:hAnsi="Times New Roman" w:eastAsia="仿宋_GB2312" w:cs="Times New Roman"/>
                <w:kern w:val="2"/>
                <w:sz w:val="24"/>
                <w:szCs w:val="24"/>
                <w:lang w:val="en-US" w:eastAsia="zh-CN" w:bidi="ar-SA"/>
              </w:rPr>
            </w:pPr>
          </w:p>
          <w:p w14:paraId="524353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持续深化集团化、均衡化办学改革，实施名师、卓越教师引进培养工程，推进五通桥中学改扩建，开工建设实验幼儿园城南分园，创建国家级学前教育普及普惠区和义务教育优质均衡发展区。</w:t>
            </w:r>
          </w:p>
          <w:p w14:paraId="47C572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2C51FD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503DA6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2B04E9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1276AC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2CAFBB82">
            <w:pPr>
              <w:keepNext w:val="0"/>
              <w:keepLines w:val="0"/>
              <w:pageBreakBefore w:val="0"/>
              <w:widowControl w:val="0"/>
              <w:kinsoku/>
              <w:wordWrap/>
              <w:overflowPunct/>
              <w:topLinePunct w:val="0"/>
              <w:autoSpaceDE/>
              <w:autoSpaceDN/>
              <w:bidi w:val="0"/>
              <w:adjustRightInd/>
              <w:snapToGrid/>
              <w:spacing w:after="120" w:line="200" w:lineRule="exact"/>
              <w:ind w:left="0" w:leftChars="0" w:firstLine="0" w:firstLineChars="0"/>
              <w:jc w:val="both"/>
              <w:textAlignment w:val="auto"/>
              <w:rPr>
                <w:rFonts w:hint="eastAsia" w:ascii="Times New Roman" w:hAnsi="Times New Roman" w:eastAsia="仿宋_GB2312" w:cs="Times New Roman"/>
                <w:kern w:val="2"/>
                <w:sz w:val="24"/>
                <w:szCs w:val="24"/>
                <w:lang w:val="en-US" w:eastAsia="zh-CN" w:bidi="ar-SA"/>
              </w:rPr>
            </w:pPr>
          </w:p>
          <w:p w14:paraId="67464CFB">
            <w:pPr>
              <w:ind w:left="0" w:leftChars="0" w:firstLine="0" w:firstLineChars="0"/>
              <w:rPr>
                <w:rFonts w:hint="eastAsia" w:ascii="Times New Roman" w:hAnsi="Times New Roman" w:eastAsia="仿宋_GB2312" w:cs="Times New Roman"/>
                <w:kern w:val="2"/>
                <w:sz w:val="24"/>
                <w:szCs w:val="24"/>
                <w:lang w:val="en-US" w:eastAsia="zh-CN" w:bidi="ar-SA"/>
              </w:rPr>
            </w:pPr>
          </w:p>
          <w:p w14:paraId="7C4C9FB2">
            <w:pPr>
              <w:keepNext w:val="0"/>
              <w:keepLines w:val="0"/>
              <w:pageBreakBefore w:val="0"/>
              <w:widowControl w:val="0"/>
              <w:kinsoku/>
              <w:wordWrap/>
              <w:overflowPunct/>
              <w:topLinePunct w:val="0"/>
              <w:autoSpaceDE/>
              <w:autoSpaceDN/>
              <w:bidi w:val="0"/>
              <w:adjustRightInd/>
              <w:snapToGrid/>
              <w:spacing w:after="120" w:line="200" w:lineRule="exact"/>
              <w:ind w:left="0" w:leftChars="0" w:firstLine="0" w:firstLineChars="0"/>
              <w:jc w:val="both"/>
              <w:textAlignment w:val="auto"/>
              <w:rPr>
                <w:rFonts w:hint="eastAsia" w:ascii="Times New Roman" w:hAnsi="Times New Roman" w:eastAsia="仿宋_GB2312" w:cs="Times New Roman"/>
                <w:kern w:val="2"/>
                <w:sz w:val="24"/>
                <w:szCs w:val="24"/>
                <w:lang w:val="en-US" w:eastAsia="zh-CN" w:bidi="ar-SA"/>
              </w:rPr>
            </w:pPr>
          </w:p>
          <w:p w14:paraId="2FD5378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持续深化集团化、均衡化办学改革，实施名师、卓越教师引进培养工程，推进五通桥中学改扩建，开工建设实验幼儿园城南分园，创建国家级学前教育普及普惠区和义务教育优质均衡发展区。</w:t>
            </w:r>
          </w:p>
        </w:tc>
        <w:tc>
          <w:tcPr>
            <w:tcW w:w="330" w:type="dxa"/>
            <w:noWrap w:val="0"/>
            <w:vAlign w:val="center"/>
          </w:tcPr>
          <w:p w14:paraId="3C4F90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07D7A9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1.各教育集团开展教研活动</w:t>
            </w:r>
            <w:r>
              <w:rPr>
                <w:rFonts w:hint="eastAsia" w:ascii="仿宋_GB2312" w:hAnsi="仿宋_GB2312" w:eastAsia="仿宋_GB2312" w:cs="仿宋_GB2312"/>
                <w:color w:val="000000"/>
                <w:sz w:val="21"/>
                <w:szCs w:val="21"/>
                <w:lang w:eastAsia="zh-CN"/>
              </w:rPr>
              <w:t>。</w:t>
            </w:r>
          </w:p>
          <w:p w14:paraId="7C7DAA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2.完成2025年度各类名优教师考核；制定《名师、名校长、名班主任评选方案》、《乐山市五通桥区教师学历提升计划实施方案》；建立正高级教师培养台账</w:t>
            </w:r>
            <w:r>
              <w:rPr>
                <w:rFonts w:hint="eastAsia" w:ascii="仿宋_GB2312" w:hAnsi="仿宋_GB2312" w:eastAsia="仿宋_GB2312" w:cs="仿宋_GB2312"/>
                <w:color w:val="000000"/>
                <w:sz w:val="21"/>
                <w:szCs w:val="21"/>
                <w:lang w:eastAsia="zh-CN"/>
              </w:rPr>
              <w:t>。</w:t>
            </w:r>
          </w:p>
          <w:p w14:paraId="7EDD35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lang w:eastAsia="zh-CN"/>
              </w:rPr>
              <w:t>五通桥中学改扩建项目重新申报参加省级联评联审。实验幼儿园城南分园改扩建项目力争完成方案设计</w:t>
            </w:r>
            <w:r>
              <w:rPr>
                <w:rFonts w:hint="eastAsia" w:ascii="仿宋_GB2312" w:hAnsi="仿宋_GB2312" w:eastAsia="仿宋_GB2312" w:cs="仿宋_GB2312"/>
                <w:color w:val="000000"/>
                <w:sz w:val="21"/>
                <w:szCs w:val="21"/>
                <w:lang w:val="en-US" w:eastAsia="zh-CN"/>
              </w:rPr>
              <w:t>。</w:t>
            </w:r>
          </w:p>
          <w:p w14:paraId="09E94B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lang w:eastAsia="zh-CN"/>
              </w:rPr>
              <w:t>“</w:t>
            </w:r>
            <w:r>
              <w:rPr>
                <w:rFonts w:hint="default" w:ascii="仿宋_GB2312" w:hAnsi="仿宋_GB2312" w:eastAsia="仿宋_GB2312" w:cs="仿宋_GB2312"/>
                <w:color w:val="000000"/>
                <w:sz w:val="21"/>
                <w:szCs w:val="21"/>
              </w:rPr>
              <w:t>两项督导”省检反馈问题整改，申报义务教育优质均衡迎国检资料</w:t>
            </w:r>
            <w:r>
              <w:rPr>
                <w:rFonts w:hint="eastAsia" w:ascii="仿宋_GB2312" w:hAnsi="仿宋_GB2312" w:eastAsia="仿宋_GB2312" w:cs="仿宋_GB2312"/>
                <w:color w:val="000000"/>
                <w:sz w:val="21"/>
                <w:szCs w:val="21"/>
                <w:lang w:val="en-US" w:eastAsia="zh-CN"/>
              </w:rPr>
              <w:t>。</w:t>
            </w:r>
          </w:p>
        </w:tc>
        <w:tc>
          <w:tcPr>
            <w:tcW w:w="1305" w:type="dxa"/>
            <w:vMerge w:val="restart"/>
            <w:noWrap w:val="0"/>
            <w:vAlign w:val="center"/>
          </w:tcPr>
          <w:p w14:paraId="548B73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5A8F89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65BD062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30D5712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3E3CAD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BE41055">
            <w:pPr>
              <w:pStyle w:val="3"/>
              <w:rPr>
                <w:rFonts w:hint="eastAsia"/>
                <w:lang w:val="en-US" w:eastAsia="zh-CN"/>
              </w:rPr>
            </w:pPr>
          </w:p>
          <w:p w14:paraId="0CE924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p w14:paraId="0635E9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3A8138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6688C5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6B99C4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05D0BF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B06B0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3EB4E7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4BBA7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1EAEFB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624409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3218B0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22967F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14EC488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10FF751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2DD4E2E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007C20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1C37BFB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051AB5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C868E1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67B16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40DCE46">
            <w:pPr>
              <w:pStyle w:val="3"/>
              <w:rPr>
                <w:rFonts w:hint="eastAsia"/>
                <w:lang w:val="en-US" w:eastAsia="zh-CN"/>
              </w:rPr>
            </w:pPr>
          </w:p>
          <w:p w14:paraId="29A3D3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505202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区教育局</w:t>
            </w:r>
          </w:p>
          <w:p w14:paraId="291EC97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65CF83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447D4D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CE8317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B3EC94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534FDB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41BAE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55BED3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05962C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B0E5E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22B60E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221F91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12B186E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131824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847E3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2D30F98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区教育局</w:t>
            </w:r>
          </w:p>
        </w:tc>
        <w:tc>
          <w:tcPr>
            <w:tcW w:w="2119" w:type="dxa"/>
            <w:vMerge w:val="restart"/>
            <w:noWrap w:val="0"/>
            <w:vAlign w:val="center"/>
          </w:tcPr>
          <w:p w14:paraId="28CAB0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410212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430EA9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210CFF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6D59C59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74C7F61E">
            <w:pPr>
              <w:pStyle w:val="3"/>
              <w:ind w:left="0" w:leftChars="0" w:firstLine="0" w:firstLineChars="0"/>
              <w:jc w:val="both"/>
              <w:rPr>
                <w:rFonts w:hint="default"/>
              </w:rPr>
            </w:pPr>
          </w:p>
          <w:p w14:paraId="5F79AD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r>
              <w:rPr>
                <w:rFonts w:hint="default" w:ascii="仿宋_GB2312" w:hAnsi="仿宋_GB2312" w:eastAsia="仿宋_GB2312" w:cs="仿宋_GB2312"/>
                <w:color w:val="000000"/>
                <w:sz w:val="21"/>
                <w:szCs w:val="21"/>
                <w:highlight w:val="none"/>
              </w:rPr>
              <w:t>区财政局</w:t>
            </w:r>
            <w:r>
              <w:rPr>
                <w:rFonts w:hint="eastAsia" w:ascii="仿宋_GB2312" w:hAnsi="仿宋_GB2312" w:eastAsia="仿宋_GB2312" w:cs="仿宋_GB2312"/>
                <w:color w:val="000000"/>
                <w:sz w:val="21"/>
                <w:szCs w:val="21"/>
                <w:highlight w:val="none"/>
                <w:lang w:eastAsia="zh-CN"/>
              </w:rPr>
              <w:t>、</w:t>
            </w:r>
            <w:r>
              <w:rPr>
                <w:rFonts w:hint="default" w:ascii="仿宋_GB2312" w:hAnsi="仿宋_GB2312" w:eastAsia="仿宋_GB2312" w:cs="仿宋_GB2312"/>
                <w:color w:val="000000"/>
                <w:sz w:val="21"/>
                <w:szCs w:val="21"/>
                <w:highlight w:val="none"/>
              </w:rPr>
              <w:t>区</w:t>
            </w:r>
            <w:r>
              <w:rPr>
                <w:rFonts w:hint="eastAsia" w:ascii="仿宋_GB2312" w:hAnsi="仿宋_GB2312" w:eastAsia="仿宋_GB2312" w:cs="仿宋_GB2312"/>
                <w:color w:val="000000"/>
                <w:sz w:val="21"/>
                <w:szCs w:val="21"/>
                <w:highlight w:val="none"/>
                <w:lang w:val="en-US" w:eastAsia="zh-CN"/>
              </w:rPr>
              <w:t>人力资源社会保障</w:t>
            </w:r>
            <w:r>
              <w:rPr>
                <w:rFonts w:hint="default" w:ascii="仿宋_GB2312" w:hAnsi="仿宋_GB2312" w:eastAsia="仿宋_GB2312" w:cs="仿宋_GB2312"/>
                <w:color w:val="000000"/>
                <w:sz w:val="21"/>
                <w:szCs w:val="21"/>
                <w:highlight w:val="none"/>
              </w:rPr>
              <w:t>局</w:t>
            </w:r>
          </w:p>
          <w:p w14:paraId="100224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6D42EF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596542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2A499E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68ED10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75D638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7CB776E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75F03CE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5565B6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5251F4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548A6C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7F9705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6283CE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rPr>
            </w:pPr>
          </w:p>
          <w:p w14:paraId="543858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仿宋_GB2312" w:hAnsi="仿宋_GB2312" w:eastAsia="仿宋_GB2312" w:cs="仿宋_GB2312"/>
                <w:color w:val="000000"/>
                <w:sz w:val="21"/>
                <w:szCs w:val="21"/>
                <w:lang w:val="en-US" w:eastAsia="zh-CN"/>
              </w:rPr>
            </w:pPr>
          </w:p>
          <w:p w14:paraId="141F21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highlight w:val="none"/>
              </w:rPr>
              <w:t>区财政局</w:t>
            </w:r>
            <w:r>
              <w:rPr>
                <w:rFonts w:hint="eastAsia" w:ascii="仿宋_GB2312" w:hAnsi="仿宋_GB2312" w:eastAsia="仿宋_GB2312" w:cs="仿宋_GB2312"/>
                <w:color w:val="000000"/>
                <w:sz w:val="21"/>
                <w:szCs w:val="21"/>
                <w:highlight w:val="none"/>
                <w:lang w:eastAsia="zh-CN"/>
              </w:rPr>
              <w:t>、</w:t>
            </w:r>
            <w:r>
              <w:rPr>
                <w:rFonts w:hint="default" w:ascii="仿宋_GB2312" w:hAnsi="仿宋_GB2312" w:eastAsia="仿宋_GB2312" w:cs="仿宋_GB2312"/>
                <w:color w:val="000000"/>
                <w:sz w:val="21"/>
                <w:szCs w:val="21"/>
                <w:highlight w:val="none"/>
              </w:rPr>
              <w:t>区</w:t>
            </w:r>
            <w:r>
              <w:rPr>
                <w:rFonts w:hint="eastAsia" w:ascii="仿宋_GB2312" w:hAnsi="仿宋_GB2312" w:eastAsia="仿宋_GB2312" w:cs="仿宋_GB2312"/>
                <w:color w:val="000000"/>
                <w:sz w:val="21"/>
                <w:szCs w:val="21"/>
                <w:highlight w:val="none"/>
                <w:lang w:val="en-US" w:eastAsia="zh-CN"/>
              </w:rPr>
              <w:t>人力资源社会保障</w:t>
            </w:r>
            <w:r>
              <w:rPr>
                <w:rFonts w:hint="default" w:ascii="仿宋_GB2312" w:hAnsi="仿宋_GB2312" w:eastAsia="仿宋_GB2312" w:cs="仿宋_GB2312"/>
                <w:color w:val="000000"/>
                <w:sz w:val="21"/>
                <w:szCs w:val="21"/>
                <w:highlight w:val="none"/>
              </w:rPr>
              <w:t>局</w:t>
            </w:r>
          </w:p>
        </w:tc>
      </w:tr>
      <w:tr w14:paraId="3605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714" w:type="dxa"/>
            <w:vMerge w:val="continue"/>
            <w:noWrap w:val="0"/>
            <w:vAlign w:val="center"/>
          </w:tcPr>
          <w:p w14:paraId="5875A3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F3125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3B8901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C09D49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eastAsia="zh-CN"/>
              </w:rPr>
              <w:t>结合学校布局调整情况调整集团化办学成员学校。</w:t>
            </w:r>
          </w:p>
          <w:p w14:paraId="60C2007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2.完成名师、名校长、名班主任评选，建立“三名”工作室</w:t>
            </w:r>
            <w:r>
              <w:rPr>
                <w:rFonts w:hint="eastAsia" w:ascii="仿宋_GB2312" w:hAnsi="仿宋_GB2312" w:eastAsia="仿宋_GB2312" w:cs="仿宋_GB2312"/>
                <w:color w:val="000000"/>
                <w:sz w:val="21"/>
                <w:szCs w:val="21"/>
                <w:lang w:eastAsia="zh-CN"/>
              </w:rPr>
              <w:t>。</w:t>
            </w:r>
          </w:p>
          <w:p w14:paraId="670F795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lang w:eastAsia="zh-CN"/>
              </w:rPr>
              <w:t>五通桥中学改扩建项目视申报情况力争启动第一期工程招标；实验幼儿园城南分园改扩建项目力争完成施工图设计和预算等前期工作；</w:t>
            </w:r>
            <w:r>
              <w:rPr>
                <w:rFonts w:hint="default" w:ascii="仿宋_GB2312" w:hAnsi="仿宋_GB2312" w:eastAsia="仿宋_GB2312" w:cs="仿宋_GB2312"/>
                <w:color w:val="000000"/>
                <w:sz w:val="21"/>
                <w:szCs w:val="21"/>
              </w:rPr>
              <w:t>加快推进仪器设备购置和幼儿玩教具购置</w:t>
            </w:r>
            <w:r>
              <w:rPr>
                <w:rFonts w:hint="eastAsia" w:ascii="仿宋_GB2312" w:hAnsi="仿宋_GB2312" w:eastAsia="仿宋_GB2312" w:cs="仿宋_GB2312"/>
                <w:color w:val="000000"/>
                <w:sz w:val="21"/>
                <w:szCs w:val="21"/>
                <w:lang w:eastAsia="zh-CN"/>
              </w:rPr>
              <w:t>。</w:t>
            </w:r>
          </w:p>
          <w:p w14:paraId="5B63EBF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default" w:ascii="仿宋_GB2312" w:hAnsi="仿宋_GB2312" w:eastAsia="仿宋_GB2312" w:cs="仿宋_GB2312"/>
                <w:color w:val="000000"/>
                <w:sz w:val="21"/>
                <w:szCs w:val="21"/>
              </w:rPr>
              <w:t>做好义务教育国家质量监测</w:t>
            </w:r>
            <w:r>
              <w:rPr>
                <w:rFonts w:hint="eastAsia" w:ascii="仿宋_GB2312" w:hAnsi="仿宋_GB2312" w:eastAsia="仿宋_GB2312" w:cs="仿宋_GB2312"/>
                <w:color w:val="000000"/>
                <w:sz w:val="21"/>
                <w:szCs w:val="21"/>
                <w:lang w:val="en-US" w:eastAsia="zh-CN"/>
              </w:rPr>
              <w:t>。</w:t>
            </w:r>
          </w:p>
        </w:tc>
        <w:tc>
          <w:tcPr>
            <w:tcW w:w="1305" w:type="dxa"/>
            <w:vMerge w:val="continue"/>
            <w:noWrap w:val="0"/>
            <w:vAlign w:val="center"/>
          </w:tcPr>
          <w:p w14:paraId="7AC4D4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70E30C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524895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14A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714" w:type="dxa"/>
            <w:vMerge w:val="continue"/>
            <w:noWrap w:val="0"/>
            <w:vAlign w:val="center"/>
          </w:tcPr>
          <w:p w14:paraId="0B66E8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81910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18E3F8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41EB21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1.各教育集团内开展新教材培训。</w:t>
            </w:r>
          </w:p>
          <w:p w14:paraId="5AFFF09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2.各工作室按计划开展青年教师结对培养工作，牵头开展教研工作。</w:t>
            </w:r>
          </w:p>
          <w:p w14:paraId="7E5340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3.五通桥中学改扩建项目第一期工程力争开工建设，实验幼儿园城南分园改扩建工程完成招标。</w:t>
            </w:r>
          </w:p>
          <w:p w14:paraId="05E9F5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default" w:ascii="仿宋_GB2312" w:hAnsi="仿宋_GB2312" w:eastAsia="仿宋_GB2312" w:cs="仿宋_GB2312"/>
                <w:color w:val="000000"/>
                <w:sz w:val="21"/>
                <w:szCs w:val="21"/>
              </w:rPr>
              <w:t>完成“两项督导”省检问题整改，申报学前教育普及普惠迎国检资料。</w:t>
            </w:r>
          </w:p>
        </w:tc>
        <w:tc>
          <w:tcPr>
            <w:tcW w:w="1305" w:type="dxa"/>
            <w:vMerge w:val="continue"/>
            <w:noWrap w:val="0"/>
            <w:vAlign w:val="center"/>
          </w:tcPr>
          <w:p w14:paraId="6D57CD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43A26F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1F2ECE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871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714" w:type="dxa"/>
            <w:vMerge w:val="continue"/>
            <w:noWrap w:val="0"/>
            <w:vAlign w:val="center"/>
          </w:tcPr>
          <w:p w14:paraId="00FEEF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AC586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675BE67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081F36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1.开展集团内学科教师技能比赛；各工作室开展公开课、示范课、专题讲座，充分发挥教育人才引领作用。</w:t>
            </w:r>
          </w:p>
          <w:p w14:paraId="618303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2.五通桥中学改扩建项目第一期工程力争完成基础施工，实验幼儿园城南分园改扩建工程开工建设。</w:t>
            </w:r>
          </w:p>
          <w:p w14:paraId="7597A5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3.全力以赴迎国家现场抽检。</w:t>
            </w:r>
          </w:p>
        </w:tc>
        <w:tc>
          <w:tcPr>
            <w:tcW w:w="1305" w:type="dxa"/>
            <w:vMerge w:val="continue"/>
            <w:noWrap w:val="0"/>
            <w:vAlign w:val="center"/>
          </w:tcPr>
          <w:p w14:paraId="1A9A70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6F9153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6352FF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852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14" w:type="dxa"/>
            <w:vMerge w:val="restart"/>
            <w:noWrap w:val="0"/>
            <w:vAlign w:val="center"/>
          </w:tcPr>
          <w:p w14:paraId="3E321D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w:t>
            </w:r>
          </w:p>
        </w:tc>
        <w:tc>
          <w:tcPr>
            <w:tcW w:w="2742" w:type="dxa"/>
            <w:vMerge w:val="restart"/>
            <w:noWrap w:val="0"/>
            <w:vAlign w:val="center"/>
          </w:tcPr>
          <w:p w14:paraId="24202D4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坚持和发展新时代“枫桥经验”，用好“邻聚里平安员”“同心联户长”创新机制，完善“桥通治慧”管理平台，健全矛盾纠纷多元化解机制。</w:t>
            </w:r>
          </w:p>
        </w:tc>
        <w:tc>
          <w:tcPr>
            <w:tcW w:w="330" w:type="dxa"/>
            <w:noWrap w:val="0"/>
            <w:vAlign w:val="center"/>
          </w:tcPr>
          <w:p w14:paraId="2D0456B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3BF165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“桥通治慧”管理平台完成合同签订，持续开展</w:t>
            </w:r>
            <w:r>
              <w:rPr>
                <w:rFonts w:hint="eastAsia" w:ascii="仿宋_GB2312" w:hAnsi="宋体" w:eastAsia="仿宋_GB2312" w:cs="仿宋_GB2312"/>
                <w:i w:val="0"/>
                <w:color w:val="000000"/>
                <w:kern w:val="0"/>
                <w:sz w:val="21"/>
                <w:szCs w:val="21"/>
                <w:u w:val="none"/>
                <w:lang w:val="en-US" w:eastAsia="zh-CN" w:bidi="ar"/>
              </w:rPr>
              <w:t>矛盾纠纷多元化解。</w:t>
            </w:r>
          </w:p>
        </w:tc>
        <w:tc>
          <w:tcPr>
            <w:tcW w:w="1305" w:type="dxa"/>
            <w:vMerge w:val="restart"/>
            <w:noWrap w:val="0"/>
            <w:vAlign w:val="center"/>
          </w:tcPr>
          <w:p w14:paraId="1CAE57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周扬彬</w:t>
            </w:r>
          </w:p>
        </w:tc>
        <w:tc>
          <w:tcPr>
            <w:tcW w:w="1695" w:type="dxa"/>
            <w:vMerge w:val="restart"/>
            <w:noWrap w:val="0"/>
            <w:vAlign w:val="center"/>
          </w:tcPr>
          <w:p w14:paraId="306612D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eastAsia="zh-CN"/>
              </w:rPr>
              <w:t>区公安分局</w:t>
            </w:r>
          </w:p>
        </w:tc>
        <w:tc>
          <w:tcPr>
            <w:tcW w:w="2119" w:type="dxa"/>
            <w:vMerge w:val="restart"/>
            <w:noWrap w:val="0"/>
            <w:vAlign w:val="center"/>
          </w:tcPr>
          <w:p w14:paraId="02392A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区委政法委、各镇</w:t>
            </w:r>
          </w:p>
        </w:tc>
      </w:tr>
      <w:tr w14:paraId="5A2F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14" w:type="dxa"/>
            <w:vMerge w:val="continue"/>
            <w:noWrap w:val="0"/>
            <w:vAlign w:val="center"/>
          </w:tcPr>
          <w:p w14:paraId="255B36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471A6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2AF15B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4A0B45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“桥通治慧”管理平台搜集试用单位意见建议后完善系统修补，并将该系统覆盖到全区所有派出所，并持续开展</w:t>
            </w:r>
            <w:r>
              <w:rPr>
                <w:rFonts w:hint="eastAsia" w:ascii="仿宋_GB2312" w:hAnsi="宋体" w:eastAsia="仿宋_GB2312" w:cs="仿宋_GB2312"/>
                <w:i w:val="0"/>
                <w:color w:val="000000"/>
                <w:kern w:val="0"/>
                <w:sz w:val="21"/>
                <w:szCs w:val="21"/>
                <w:u w:val="none"/>
                <w:lang w:val="en-US" w:eastAsia="zh-CN" w:bidi="ar"/>
              </w:rPr>
              <w:t>矛盾纠纷多元化解。</w:t>
            </w:r>
          </w:p>
        </w:tc>
        <w:tc>
          <w:tcPr>
            <w:tcW w:w="1305" w:type="dxa"/>
            <w:vMerge w:val="continue"/>
            <w:noWrap w:val="0"/>
            <w:vAlign w:val="center"/>
          </w:tcPr>
          <w:p w14:paraId="2617753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501215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376569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CB6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14" w:type="dxa"/>
            <w:vMerge w:val="continue"/>
            <w:noWrap w:val="0"/>
            <w:vAlign w:val="center"/>
          </w:tcPr>
          <w:p w14:paraId="3C9867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0A6D69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47B61B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079532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各派出所应确保每个值班队伍至少有一人能熟练使用该平台“桥通治慧”管理平台，并持续开展</w:t>
            </w:r>
            <w:r>
              <w:rPr>
                <w:rFonts w:hint="eastAsia" w:ascii="仿宋_GB2312" w:hAnsi="宋体" w:eastAsia="仿宋_GB2312" w:cs="仿宋_GB2312"/>
                <w:i w:val="0"/>
                <w:color w:val="000000"/>
                <w:kern w:val="0"/>
                <w:sz w:val="21"/>
                <w:szCs w:val="21"/>
                <w:u w:val="none"/>
                <w:lang w:val="en-US" w:eastAsia="zh-CN" w:bidi="ar"/>
              </w:rPr>
              <w:t>矛盾纠纷多元化解。</w:t>
            </w:r>
          </w:p>
        </w:tc>
        <w:tc>
          <w:tcPr>
            <w:tcW w:w="1305" w:type="dxa"/>
            <w:vMerge w:val="continue"/>
            <w:noWrap w:val="0"/>
            <w:vAlign w:val="center"/>
          </w:tcPr>
          <w:p w14:paraId="1E88B2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434FEE3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0CC35B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E0D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14" w:type="dxa"/>
            <w:vMerge w:val="continue"/>
            <w:noWrap w:val="0"/>
            <w:vAlign w:val="center"/>
          </w:tcPr>
          <w:p w14:paraId="03F1409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633C50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70F6F2A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5E8BDD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总结提炼“桥通治慧”管理平台经验，并持续开展</w:t>
            </w:r>
            <w:r>
              <w:rPr>
                <w:rFonts w:hint="eastAsia" w:ascii="仿宋_GB2312" w:hAnsi="宋体" w:eastAsia="仿宋_GB2312" w:cs="仿宋_GB2312"/>
                <w:i w:val="0"/>
                <w:color w:val="000000"/>
                <w:kern w:val="0"/>
                <w:sz w:val="21"/>
                <w:szCs w:val="21"/>
                <w:u w:val="none"/>
                <w:lang w:val="en-US" w:eastAsia="zh-CN" w:bidi="ar"/>
              </w:rPr>
              <w:t>矛盾纠纷多元化解。</w:t>
            </w:r>
          </w:p>
        </w:tc>
        <w:tc>
          <w:tcPr>
            <w:tcW w:w="1305" w:type="dxa"/>
            <w:vMerge w:val="continue"/>
            <w:noWrap w:val="0"/>
            <w:vAlign w:val="center"/>
          </w:tcPr>
          <w:p w14:paraId="6096C5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6359C6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7FCBAF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8FD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restart"/>
            <w:noWrap w:val="0"/>
            <w:vAlign w:val="center"/>
          </w:tcPr>
          <w:p w14:paraId="61BC47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w:t>
            </w:r>
          </w:p>
        </w:tc>
        <w:tc>
          <w:tcPr>
            <w:tcW w:w="2742" w:type="dxa"/>
            <w:vMerge w:val="restart"/>
            <w:noWrap w:val="0"/>
            <w:vAlign w:val="center"/>
          </w:tcPr>
          <w:p w14:paraId="114B0E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常态化推进扫黑除恶斗争，扎实开展依法惩治涉未成年人违法犯罪专项行动，保持对“黄赌毒”、电信网络诈骗等各类违法犯罪行为的严打高压态势，建设更高水平的平安五通桥。</w:t>
            </w:r>
          </w:p>
        </w:tc>
        <w:tc>
          <w:tcPr>
            <w:tcW w:w="330" w:type="dxa"/>
            <w:noWrap w:val="0"/>
            <w:vAlign w:val="center"/>
          </w:tcPr>
          <w:p w14:paraId="50AABF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130BE7A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1.大力加强毒品治理体系建设，严厉打击各类毒品违法犯罪活动。</w:t>
            </w:r>
          </w:p>
          <w:p w14:paraId="12B288A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2.加强九类案件侦办。</w:t>
            </w:r>
          </w:p>
          <w:p w14:paraId="4313105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3.认真开展重点区域整治，持续开展集中清查和专项整治，依法严厉打击整治“涉黄赌”违法犯罪活动</w:t>
            </w:r>
          </w:p>
        </w:tc>
        <w:tc>
          <w:tcPr>
            <w:tcW w:w="1305" w:type="dxa"/>
            <w:vMerge w:val="restart"/>
            <w:noWrap w:val="0"/>
            <w:vAlign w:val="center"/>
          </w:tcPr>
          <w:p w14:paraId="53EAE04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周扬彬</w:t>
            </w:r>
          </w:p>
        </w:tc>
        <w:tc>
          <w:tcPr>
            <w:tcW w:w="1695" w:type="dxa"/>
            <w:vMerge w:val="restart"/>
            <w:noWrap w:val="0"/>
            <w:vAlign w:val="center"/>
          </w:tcPr>
          <w:p w14:paraId="15C22B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eastAsia="zh-CN"/>
              </w:rPr>
              <w:t>区公安分局</w:t>
            </w:r>
          </w:p>
        </w:tc>
        <w:tc>
          <w:tcPr>
            <w:tcW w:w="2119" w:type="dxa"/>
            <w:vMerge w:val="restart"/>
            <w:noWrap w:val="0"/>
            <w:vAlign w:val="center"/>
          </w:tcPr>
          <w:p w14:paraId="29C705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各镇</w:t>
            </w:r>
          </w:p>
        </w:tc>
      </w:tr>
      <w:tr w14:paraId="4BEB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14" w:type="dxa"/>
            <w:vMerge w:val="continue"/>
            <w:noWrap w:val="0"/>
            <w:vAlign w:val="center"/>
          </w:tcPr>
          <w:p w14:paraId="2877BF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F4A3DD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4BC29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772AD9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1.常态化开展“六进”禁毒宣传活动。</w:t>
            </w:r>
          </w:p>
          <w:p w14:paraId="76C7ED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2.突出打击重点，保持高压态势，严厉打击涉未成年人犯罪。</w:t>
            </w:r>
          </w:p>
          <w:p w14:paraId="1794B2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3.认真开展重点区域整治，持续开展集中清查和专项整治，依法严厉打击整治“涉黄赌”违法犯罪活动</w:t>
            </w:r>
          </w:p>
        </w:tc>
        <w:tc>
          <w:tcPr>
            <w:tcW w:w="1305" w:type="dxa"/>
            <w:vMerge w:val="continue"/>
            <w:noWrap w:val="0"/>
            <w:vAlign w:val="center"/>
          </w:tcPr>
          <w:p w14:paraId="2D8A9C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C56D3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8FE65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7D8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714" w:type="dxa"/>
            <w:vMerge w:val="continue"/>
            <w:noWrap w:val="0"/>
            <w:vAlign w:val="center"/>
          </w:tcPr>
          <w:p w14:paraId="2CB3D9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9A26A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6D27AF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2E9C57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1.持续开展制毒高危场所巡查和禁种铲毒工作。</w:t>
            </w:r>
          </w:p>
          <w:p w14:paraId="51CBFF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2.加强反诈宣传，严厉打击两卡犯罪。</w:t>
            </w:r>
          </w:p>
          <w:p w14:paraId="19DE92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3.认真开展重点区域整治，持续开展集中清查和专项整治，依法严厉打击整治“涉黄赌”违法犯罪活动</w:t>
            </w:r>
          </w:p>
        </w:tc>
        <w:tc>
          <w:tcPr>
            <w:tcW w:w="1305" w:type="dxa"/>
            <w:vMerge w:val="continue"/>
            <w:noWrap w:val="0"/>
            <w:vAlign w:val="center"/>
          </w:tcPr>
          <w:p w14:paraId="158714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76752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B7C53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95C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714" w:type="dxa"/>
            <w:vMerge w:val="continue"/>
            <w:noWrap w:val="0"/>
            <w:vAlign w:val="center"/>
          </w:tcPr>
          <w:p w14:paraId="6275B0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C3BBC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F75FD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6C8DF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认真开展重点区域整治，持续开展集中清查和专项整治，依法严厉打击整治“涉黄赌”违法犯罪活动</w:t>
            </w:r>
          </w:p>
        </w:tc>
        <w:tc>
          <w:tcPr>
            <w:tcW w:w="1305" w:type="dxa"/>
            <w:vMerge w:val="continue"/>
            <w:noWrap w:val="0"/>
            <w:vAlign w:val="center"/>
          </w:tcPr>
          <w:p w14:paraId="40D9CB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78918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513C8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D9A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jc w:val="center"/>
        </w:trPr>
        <w:tc>
          <w:tcPr>
            <w:tcW w:w="714" w:type="dxa"/>
            <w:vMerge w:val="restart"/>
            <w:noWrap w:val="0"/>
            <w:vAlign w:val="center"/>
          </w:tcPr>
          <w:p w14:paraId="79CA34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w:t>
            </w:r>
          </w:p>
        </w:tc>
        <w:tc>
          <w:tcPr>
            <w:tcW w:w="2742" w:type="dxa"/>
            <w:vMerge w:val="restart"/>
            <w:noWrap w:val="0"/>
            <w:vAlign w:val="center"/>
          </w:tcPr>
          <w:p w14:paraId="4A4283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推进竹根、冠英空港片区养老服务中心建设，建成投用区失能老年人养护中心，推广老年助餐和互助式养老服务，完善高龄及失能失智老年人照护服务体系。</w:t>
            </w:r>
          </w:p>
        </w:tc>
        <w:tc>
          <w:tcPr>
            <w:tcW w:w="330" w:type="dxa"/>
            <w:noWrap w:val="0"/>
            <w:vAlign w:val="center"/>
          </w:tcPr>
          <w:p w14:paraId="32AC83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74B12F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1.完成竹根区域养老中心更名五通桥区养老中心改建项目立项。</w:t>
            </w:r>
          </w:p>
          <w:p w14:paraId="376DBF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2.失能老年人养护中心外墙抹灰及屋面工程完成100%。</w:t>
            </w:r>
          </w:p>
          <w:p w14:paraId="229E0D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3.针对老年群体、特殊对象继续实行老年助餐“345”补贴政策。</w:t>
            </w:r>
          </w:p>
          <w:p w14:paraId="075C14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4.推进养老服务消费补贴评估及服务机构征集。</w:t>
            </w:r>
          </w:p>
        </w:tc>
        <w:tc>
          <w:tcPr>
            <w:tcW w:w="1305" w:type="dxa"/>
            <w:vMerge w:val="restart"/>
            <w:noWrap w:val="0"/>
            <w:vAlign w:val="center"/>
          </w:tcPr>
          <w:p w14:paraId="1D6D2D9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1E77BF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区民政局</w:t>
            </w:r>
          </w:p>
        </w:tc>
        <w:tc>
          <w:tcPr>
            <w:tcW w:w="2119" w:type="dxa"/>
            <w:vMerge w:val="restart"/>
            <w:noWrap w:val="0"/>
            <w:vAlign w:val="center"/>
          </w:tcPr>
          <w:p w14:paraId="0552A5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区财政局、区自然资源局、区住房城乡建设局、各镇</w:t>
            </w:r>
          </w:p>
        </w:tc>
      </w:tr>
      <w:tr w14:paraId="5037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714" w:type="dxa"/>
            <w:vMerge w:val="continue"/>
            <w:noWrap w:val="0"/>
            <w:vAlign w:val="center"/>
          </w:tcPr>
          <w:p w14:paraId="1DCDBD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26957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008ABC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521316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1.五通桥区养老中心改建项目，完成初设。</w:t>
            </w:r>
          </w:p>
          <w:p w14:paraId="347871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2.失能老年人养护中心装饰装修工程完成50%。</w:t>
            </w:r>
          </w:p>
          <w:p w14:paraId="7B8675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3.开展老年助餐运营补贴。</w:t>
            </w:r>
          </w:p>
          <w:p w14:paraId="0E6C5D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4.推进养老服务消费补贴的正常核销、结算。</w:t>
            </w:r>
          </w:p>
        </w:tc>
        <w:tc>
          <w:tcPr>
            <w:tcW w:w="1305" w:type="dxa"/>
            <w:vMerge w:val="continue"/>
            <w:noWrap w:val="0"/>
            <w:vAlign w:val="center"/>
          </w:tcPr>
          <w:p w14:paraId="6A40A8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F6D10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E92FF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A11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714" w:type="dxa"/>
            <w:vMerge w:val="continue"/>
            <w:noWrap w:val="0"/>
            <w:vAlign w:val="center"/>
          </w:tcPr>
          <w:p w14:paraId="00B13E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AD0C1B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3F7C32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61B1B6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1.五通桥区养老中心改建项目，完成设计、预算、评审。</w:t>
            </w:r>
          </w:p>
          <w:p w14:paraId="75CE1A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2.失能老年人养护中心装饰装修工程完成100%。</w:t>
            </w:r>
          </w:p>
          <w:p w14:paraId="2B6AFF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3.玉津街社区综合为老服务中心老年助餐点投入正常运营。</w:t>
            </w:r>
          </w:p>
          <w:p w14:paraId="793625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4.持续开展养老服务消费补贴的正常核销、结算。</w:t>
            </w:r>
          </w:p>
        </w:tc>
        <w:tc>
          <w:tcPr>
            <w:tcW w:w="1305" w:type="dxa"/>
            <w:vMerge w:val="continue"/>
            <w:noWrap w:val="0"/>
            <w:vAlign w:val="center"/>
          </w:tcPr>
          <w:p w14:paraId="73E9DC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AEC17E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3C9E5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E14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714" w:type="dxa"/>
            <w:vMerge w:val="continue"/>
            <w:noWrap w:val="0"/>
            <w:vAlign w:val="center"/>
          </w:tcPr>
          <w:p w14:paraId="051741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BDEFE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6BC2AE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5CDE4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1.五通桥区养老中心改建项目，完成招标。</w:t>
            </w:r>
          </w:p>
          <w:p w14:paraId="17DC199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2.失能老年人养护中心总平工程及设施设备安装完成100%，并竣工验收。</w:t>
            </w:r>
          </w:p>
          <w:p w14:paraId="6952B7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3.总结和盘点各老年助餐服务点运行情况和养老服务消费补贴情况。</w:t>
            </w:r>
          </w:p>
        </w:tc>
        <w:tc>
          <w:tcPr>
            <w:tcW w:w="1305" w:type="dxa"/>
            <w:vMerge w:val="continue"/>
            <w:noWrap w:val="0"/>
            <w:vAlign w:val="center"/>
          </w:tcPr>
          <w:p w14:paraId="47893A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47831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DC6B0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EAF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14" w:type="dxa"/>
            <w:vMerge w:val="restart"/>
            <w:noWrap w:val="0"/>
            <w:vAlign w:val="center"/>
          </w:tcPr>
          <w:p w14:paraId="4766A2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w:t>
            </w:r>
          </w:p>
        </w:tc>
        <w:tc>
          <w:tcPr>
            <w:tcW w:w="2742" w:type="dxa"/>
            <w:vMerge w:val="restart"/>
            <w:noWrap w:val="0"/>
            <w:vAlign w:val="center"/>
          </w:tcPr>
          <w:p w14:paraId="5FE4E0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完善分层分类社会救助体系，提高低保和特困供养标准。</w:t>
            </w:r>
          </w:p>
        </w:tc>
        <w:tc>
          <w:tcPr>
            <w:tcW w:w="330" w:type="dxa"/>
            <w:noWrap w:val="0"/>
            <w:vAlign w:val="center"/>
          </w:tcPr>
          <w:p w14:paraId="1AD8DF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2CC1D0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持续加强社会救助政策宣传力度，对各镇民政干部开展一次集中培训和政策宣讲。</w:t>
            </w:r>
          </w:p>
        </w:tc>
        <w:tc>
          <w:tcPr>
            <w:tcW w:w="1305" w:type="dxa"/>
            <w:vMerge w:val="restart"/>
            <w:noWrap w:val="0"/>
            <w:vAlign w:val="center"/>
          </w:tcPr>
          <w:p w14:paraId="39ED552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4A9208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区民政局</w:t>
            </w:r>
          </w:p>
        </w:tc>
        <w:tc>
          <w:tcPr>
            <w:tcW w:w="2119" w:type="dxa"/>
            <w:vMerge w:val="restart"/>
            <w:noWrap w:val="0"/>
            <w:vAlign w:val="center"/>
          </w:tcPr>
          <w:p w14:paraId="005977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各镇</w:t>
            </w:r>
          </w:p>
        </w:tc>
      </w:tr>
      <w:tr w14:paraId="4E29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14" w:type="dxa"/>
            <w:vMerge w:val="continue"/>
            <w:noWrap w:val="0"/>
            <w:vAlign w:val="center"/>
          </w:tcPr>
          <w:p w14:paraId="2E8013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6C992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FD915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2427DE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组织各镇对在册低保对象开展复核，对重病患者、重度残疾人（包括三、四级智力精神残疾人）、未成年人、老年人进行全面梳理，动态落实分类施保政策。</w:t>
            </w:r>
          </w:p>
        </w:tc>
        <w:tc>
          <w:tcPr>
            <w:tcW w:w="1305" w:type="dxa"/>
            <w:vMerge w:val="continue"/>
            <w:noWrap w:val="0"/>
            <w:vAlign w:val="center"/>
          </w:tcPr>
          <w:p w14:paraId="459271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EDBFB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96692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AE8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14" w:type="dxa"/>
            <w:vMerge w:val="continue"/>
            <w:noWrap w:val="0"/>
            <w:vAlign w:val="center"/>
          </w:tcPr>
          <w:p w14:paraId="6B1D3FE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68956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28BD7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242F23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对各镇政策落实情况开展监督指导，按照全市低保和特困供养对象调标要求做好准备工作。</w:t>
            </w:r>
          </w:p>
        </w:tc>
        <w:tc>
          <w:tcPr>
            <w:tcW w:w="1305" w:type="dxa"/>
            <w:vMerge w:val="continue"/>
            <w:noWrap w:val="0"/>
            <w:vAlign w:val="center"/>
          </w:tcPr>
          <w:p w14:paraId="0FA884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BEDB7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AD6F9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FD1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4" w:type="dxa"/>
            <w:vMerge w:val="continue"/>
            <w:noWrap w:val="0"/>
            <w:vAlign w:val="center"/>
          </w:tcPr>
          <w:p w14:paraId="5FC47C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18FEF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8906C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5C4EE8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全面发放低保和特困供养人员调标资金，按新标准及时发现救助资金。</w:t>
            </w:r>
          </w:p>
        </w:tc>
        <w:tc>
          <w:tcPr>
            <w:tcW w:w="1305" w:type="dxa"/>
            <w:vMerge w:val="continue"/>
            <w:noWrap w:val="0"/>
            <w:vAlign w:val="center"/>
          </w:tcPr>
          <w:p w14:paraId="522B897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B1E144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3A467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2AA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14" w:type="dxa"/>
            <w:vMerge w:val="restart"/>
            <w:noWrap w:val="0"/>
            <w:vAlign w:val="center"/>
          </w:tcPr>
          <w:p w14:paraId="71FA67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w:t>
            </w:r>
          </w:p>
        </w:tc>
        <w:tc>
          <w:tcPr>
            <w:tcW w:w="2742" w:type="dxa"/>
            <w:vMerge w:val="restart"/>
            <w:noWrap w:val="0"/>
            <w:vAlign w:val="center"/>
          </w:tcPr>
          <w:p w14:paraId="732D68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推进法治政府建设，</w:t>
            </w:r>
            <w:r>
              <w:rPr>
                <w:rFonts w:hint="eastAsia" w:ascii="仿宋_GB2312" w:hAnsi="仿宋_GB2312" w:eastAsia="仿宋_GB2312" w:cs="仿宋_GB2312"/>
                <w:color w:val="000000"/>
                <w:sz w:val="21"/>
                <w:szCs w:val="21"/>
              </w:rPr>
              <w:t>健全领导干部学法用法机制</w:t>
            </w:r>
            <w:r>
              <w:rPr>
                <w:rFonts w:hint="eastAsia" w:ascii="仿宋_GB2312" w:hAnsi="仿宋_GB2312" w:eastAsia="仿宋_GB2312" w:cs="仿宋_GB2312"/>
                <w:color w:val="000000"/>
                <w:sz w:val="21"/>
                <w:szCs w:val="21"/>
                <w:lang w:val="en-US" w:eastAsia="zh-CN"/>
              </w:rPr>
              <w:t>体制</w:t>
            </w:r>
            <w:r>
              <w:rPr>
                <w:rFonts w:hint="eastAsia" w:ascii="仿宋_GB2312" w:hAnsi="仿宋_GB2312" w:eastAsia="仿宋_GB2312" w:cs="仿宋_GB2312"/>
                <w:color w:val="000000"/>
                <w:sz w:val="21"/>
                <w:szCs w:val="21"/>
              </w:rPr>
              <w:t>，不断提高运用法治思维和法治方式解决问题、推动发展的能力</w:t>
            </w:r>
            <w:r>
              <w:rPr>
                <w:rFonts w:hint="eastAsia" w:ascii="仿宋_GB2312" w:hAnsi="仿宋_GB2312" w:eastAsia="仿宋_GB2312" w:cs="仿宋_GB2312"/>
                <w:color w:val="000000"/>
                <w:sz w:val="21"/>
                <w:szCs w:val="21"/>
                <w:lang w:eastAsia="zh-CN"/>
              </w:rPr>
              <w:t>。</w:t>
            </w:r>
          </w:p>
        </w:tc>
        <w:tc>
          <w:tcPr>
            <w:tcW w:w="330" w:type="dxa"/>
            <w:noWrap w:val="0"/>
            <w:vAlign w:val="center"/>
          </w:tcPr>
          <w:p w14:paraId="5C0B0FE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6750" w:type="dxa"/>
            <w:noWrap w:val="0"/>
            <w:vAlign w:val="center"/>
          </w:tcPr>
          <w:p w14:paraId="73F9045D">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1.制定2026年五通桥区政府常务会议会前学法计划。</w:t>
            </w:r>
          </w:p>
          <w:p w14:paraId="37EE7CE8">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2.上报五通桥区2025年法治建设工作情况报告、法治政府建设工作情况报告和述法工作报告。</w:t>
            </w:r>
          </w:p>
          <w:p w14:paraId="43ADCD81">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3.依法办理行政复议与行政应诉案件。</w:t>
            </w:r>
          </w:p>
        </w:tc>
        <w:tc>
          <w:tcPr>
            <w:tcW w:w="1305" w:type="dxa"/>
            <w:vMerge w:val="restart"/>
            <w:noWrap w:val="0"/>
            <w:vAlign w:val="center"/>
          </w:tcPr>
          <w:p w14:paraId="47E33E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周扬彬</w:t>
            </w:r>
          </w:p>
        </w:tc>
        <w:tc>
          <w:tcPr>
            <w:tcW w:w="1695" w:type="dxa"/>
            <w:vMerge w:val="restart"/>
            <w:noWrap w:val="0"/>
            <w:vAlign w:val="center"/>
          </w:tcPr>
          <w:p w14:paraId="583861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区司法局</w:t>
            </w:r>
          </w:p>
        </w:tc>
        <w:tc>
          <w:tcPr>
            <w:tcW w:w="2119" w:type="dxa"/>
            <w:vMerge w:val="restart"/>
            <w:noWrap w:val="0"/>
            <w:vAlign w:val="center"/>
          </w:tcPr>
          <w:p w14:paraId="2E679E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区级各部门、各镇</w:t>
            </w:r>
          </w:p>
        </w:tc>
      </w:tr>
      <w:tr w14:paraId="7843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14" w:type="dxa"/>
            <w:vMerge w:val="continue"/>
            <w:noWrap w:val="0"/>
            <w:vAlign w:val="center"/>
          </w:tcPr>
          <w:p w14:paraId="0EAEDE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6CAEC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B73C97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6750" w:type="dxa"/>
            <w:noWrap w:val="0"/>
            <w:vAlign w:val="center"/>
          </w:tcPr>
          <w:p w14:paraId="5CD58E9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1.制发2026年中共乐山市五通桥区委全面依法治区委员会工作要点和五通桥区普法依法治理工作要点。</w:t>
            </w:r>
          </w:p>
          <w:p w14:paraId="0C2A8EE5">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2.制定2026年五通桥区法治政府建设重点工作安排。</w:t>
            </w:r>
          </w:p>
          <w:p w14:paraId="469B3698">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3.加强领导干部法治教育培训。</w:t>
            </w:r>
          </w:p>
          <w:p w14:paraId="38821BF1">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4.依法办理行政复议与行政应诉案件。</w:t>
            </w:r>
          </w:p>
        </w:tc>
        <w:tc>
          <w:tcPr>
            <w:tcW w:w="1305" w:type="dxa"/>
            <w:vMerge w:val="continue"/>
            <w:noWrap w:val="0"/>
            <w:vAlign w:val="center"/>
          </w:tcPr>
          <w:p w14:paraId="7DD553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29C62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243DD2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674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4" w:type="dxa"/>
            <w:vMerge w:val="continue"/>
            <w:noWrap w:val="0"/>
            <w:vAlign w:val="center"/>
          </w:tcPr>
          <w:p w14:paraId="410760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B1376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9513C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6750" w:type="dxa"/>
            <w:noWrap w:val="0"/>
            <w:vAlign w:val="center"/>
          </w:tcPr>
          <w:p w14:paraId="3D629C6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1.统筹协调法治政府建设日常工作，依法办理行政复议与行政应诉案件。</w:t>
            </w:r>
          </w:p>
          <w:p w14:paraId="4A5C8B7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2.开展法治建设督查。</w:t>
            </w:r>
          </w:p>
        </w:tc>
        <w:tc>
          <w:tcPr>
            <w:tcW w:w="1305" w:type="dxa"/>
            <w:vMerge w:val="continue"/>
            <w:noWrap w:val="0"/>
            <w:vAlign w:val="center"/>
          </w:tcPr>
          <w:p w14:paraId="412AB71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2D559B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C01863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D4A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14" w:type="dxa"/>
            <w:vMerge w:val="continue"/>
            <w:noWrap w:val="0"/>
            <w:vAlign w:val="center"/>
          </w:tcPr>
          <w:p w14:paraId="5A7DA4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C6FE3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FDED4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6750" w:type="dxa"/>
            <w:noWrap w:val="0"/>
            <w:vAlign w:val="center"/>
          </w:tcPr>
          <w:p w14:paraId="34B7BE00">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1.依法办理行政复议与行政应诉案件。</w:t>
            </w:r>
          </w:p>
          <w:p w14:paraId="11FD7D7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2.总结2026年法治政府建设工作情况。</w:t>
            </w:r>
          </w:p>
          <w:p w14:paraId="0210413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3.加强领导干部宪法学习教育。</w:t>
            </w:r>
          </w:p>
          <w:p w14:paraId="401523E2">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4.收集党政主要负责人运用法治思维和法治方式解决问题的优秀案例。</w:t>
            </w:r>
          </w:p>
        </w:tc>
        <w:tc>
          <w:tcPr>
            <w:tcW w:w="1305" w:type="dxa"/>
            <w:vMerge w:val="continue"/>
            <w:noWrap w:val="0"/>
            <w:vAlign w:val="center"/>
          </w:tcPr>
          <w:p w14:paraId="56A34C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EDCC6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6971B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88A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14" w:type="dxa"/>
            <w:vMerge w:val="restart"/>
            <w:noWrap w:val="0"/>
            <w:vAlign w:val="center"/>
          </w:tcPr>
          <w:p w14:paraId="01D65F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11</w:t>
            </w:r>
          </w:p>
        </w:tc>
        <w:tc>
          <w:tcPr>
            <w:tcW w:w="2742" w:type="dxa"/>
            <w:vMerge w:val="restart"/>
            <w:noWrap w:val="0"/>
            <w:vAlign w:val="center"/>
          </w:tcPr>
          <w:p w14:paraId="7504EA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建强数智乐邻“煲”就业平台，健全重点行业、紧缺工种专项培训体系，大力支持返乡农民工家门口就业创业，力争新增就业3000人以上。</w:t>
            </w:r>
          </w:p>
        </w:tc>
        <w:tc>
          <w:tcPr>
            <w:tcW w:w="330" w:type="dxa"/>
            <w:noWrap w:val="0"/>
            <w:vAlign w:val="center"/>
          </w:tcPr>
          <w:p w14:paraId="121FAD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18DE094D">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统筹行业主管部门、群团组织开展各类职业技能培训200人；城镇新增就业850人。</w:t>
            </w:r>
          </w:p>
        </w:tc>
        <w:tc>
          <w:tcPr>
            <w:tcW w:w="1305" w:type="dxa"/>
            <w:vMerge w:val="restart"/>
            <w:noWrap w:val="0"/>
            <w:vAlign w:val="center"/>
          </w:tcPr>
          <w:p w14:paraId="435FA07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0538B4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区人力资源社会保障局</w:t>
            </w:r>
          </w:p>
        </w:tc>
        <w:tc>
          <w:tcPr>
            <w:tcW w:w="2119" w:type="dxa"/>
            <w:vMerge w:val="restart"/>
            <w:noWrap w:val="0"/>
            <w:vAlign w:val="center"/>
          </w:tcPr>
          <w:p w14:paraId="453594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区级各部门、各镇</w:t>
            </w:r>
          </w:p>
        </w:tc>
      </w:tr>
      <w:tr w14:paraId="317C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14" w:type="dxa"/>
            <w:vMerge w:val="continue"/>
            <w:noWrap w:val="0"/>
            <w:vAlign w:val="center"/>
          </w:tcPr>
          <w:p w14:paraId="6E1E77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FA426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768B82A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52A40043">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统筹行业主管部门、群团组织开展各类职业技能培训400人；累计实现</w:t>
            </w:r>
            <w:r>
              <w:rPr>
                <w:rFonts w:hint="eastAsia" w:ascii="仿宋_GB2312" w:hAnsi="仿宋_GB2312" w:eastAsia="仿宋_GB2312" w:cs="仿宋_GB2312"/>
                <w:color w:val="000000"/>
                <w:sz w:val="21"/>
                <w:szCs w:val="21"/>
                <w:lang w:eastAsia="zh-CN"/>
              </w:rPr>
              <w:t>城镇新增就业</w:t>
            </w:r>
            <w:r>
              <w:rPr>
                <w:rFonts w:hint="eastAsia" w:ascii="仿宋_GB2312" w:hAnsi="仿宋_GB2312" w:eastAsia="仿宋_GB2312" w:cs="仿宋_GB2312"/>
                <w:color w:val="000000"/>
                <w:sz w:val="21"/>
                <w:szCs w:val="21"/>
                <w:lang w:val="en-US" w:eastAsia="zh-CN"/>
              </w:rPr>
              <w:t>1700人。</w:t>
            </w:r>
          </w:p>
        </w:tc>
        <w:tc>
          <w:tcPr>
            <w:tcW w:w="1305" w:type="dxa"/>
            <w:vMerge w:val="continue"/>
            <w:noWrap w:val="0"/>
            <w:vAlign w:val="center"/>
          </w:tcPr>
          <w:p w14:paraId="57C133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5E849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0CE01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4E1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14" w:type="dxa"/>
            <w:vMerge w:val="continue"/>
            <w:noWrap w:val="0"/>
            <w:vAlign w:val="center"/>
          </w:tcPr>
          <w:p w14:paraId="7FB582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25488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1B8458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68D64446">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统筹行业主管部门、群团组织开展各类职业技能培训500人；累计实现</w:t>
            </w:r>
            <w:r>
              <w:rPr>
                <w:rFonts w:hint="eastAsia" w:ascii="仿宋_GB2312" w:hAnsi="仿宋_GB2312" w:eastAsia="仿宋_GB2312" w:cs="仿宋_GB2312"/>
                <w:color w:val="000000"/>
                <w:sz w:val="21"/>
                <w:szCs w:val="21"/>
                <w:lang w:eastAsia="zh-CN"/>
              </w:rPr>
              <w:t>城镇新增就业</w:t>
            </w:r>
            <w:r>
              <w:rPr>
                <w:rFonts w:hint="eastAsia" w:ascii="仿宋_GB2312" w:hAnsi="仿宋_GB2312" w:eastAsia="仿宋_GB2312" w:cs="仿宋_GB2312"/>
                <w:color w:val="000000"/>
                <w:sz w:val="21"/>
                <w:szCs w:val="21"/>
                <w:lang w:val="en-US" w:eastAsia="zh-CN"/>
              </w:rPr>
              <w:t>2550人。</w:t>
            </w:r>
          </w:p>
        </w:tc>
        <w:tc>
          <w:tcPr>
            <w:tcW w:w="1305" w:type="dxa"/>
            <w:vMerge w:val="continue"/>
            <w:noWrap w:val="0"/>
            <w:vAlign w:val="center"/>
          </w:tcPr>
          <w:p w14:paraId="0DA56B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10A5D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3BAF3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9EE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714" w:type="dxa"/>
            <w:vMerge w:val="continue"/>
            <w:noWrap w:val="0"/>
            <w:vAlign w:val="center"/>
          </w:tcPr>
          <w:p w14:paraId="7E60DE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AEF59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5DE4B9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2623A11B">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统筹行业主管部门、群团组织开展各类职业技能培训500人；累计实现</w:t>
            </w:r>
            <w:r>
              <w:rPr>
                <w:rFonts w:hint="eastAsia" w:ascii="仿宋_GB2312" w:hAnsi="仿宋_GB2312" w:eastAsia="仿宋_GB2312" w:cs="仿宋_GB2312"/>
                <w:color w:val="000000"/>
                <w:sz w:val="21"/>
                <w:szCs w:val="21"/>
                <w:lang w:eastAsia="zh-CN"/>
              </w:rPr>
              <w:t>城镇新增就业</w:t>
            </w:r>
            <w:r>
              <w:rPr>
                <w:rFonts w:hint="eastAsia" w:ascii="仿宋_GB2312" w:hAnsi="仿宋_GB2312" w:eastAsia="仿宋_GB2312" w:cs="仿宋_GB2312"/>
                <w:color w:val="000000"/>
                <w:sz w:val="21"/>
                <w:szCs w:val="21"/>
                <w:lang w:val="en-US" w:eastAsia="zh-CN"/>
              </w:rPr>
              <w:t>3300人。</w:t>
            </w:r>
          </w:p>
        </w:tc>
        <w:tc>
          <w:tcPr>
            <w:tcW w:w="1305" w:type="dxa"/>
            <w:vMerge w:val="continue"/>
            <w:noWrap w:val="0"/>
            <w:vAlign w:val="center"/>
          </w:tcPr>
          <w:p w14:paraId="26AE95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2B0C9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F840F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9B3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14" w:type="dxa"/>
            <w:vMerge w:val="restart"/>
            <w:noWrap w:val="0"/>
            <w:vAlign w:val="center"/>
          </w:tcPr>
          <w:p w14:paraId="72A6BF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12</w:t>
            </w:r>
          </w:p>
        </w:tc>
        <w:tc>
          <w:tcPr>
            <w:tcW w:w="2742" w:type="dxa"/>
            <w:vMerge w:val="restart"/>
            <w:noWrap w:val="0"/>
            <w:vAlign w:val="center"/>
          </w:tcPr>
          <w:p w14:paraId="52A21E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坚持投资于物和投资于人紧密结合，实施“小西湖英才”三年行动，培育引进一批扎根五通桥、服务五通桥的行家里手。</w:t>
            </w:r>
          </w:p>
        </w:tc>
        <w:tc>
          <w:tcPr>
            <w:tcW w:w="330" w:type="dxa"/>
            <w:noWrap w:val="0"/>
            <w:vAlign w:val="center"/>
          </w:tcPr>
          <w:p w14:paraId="335DF8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4561538F">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启动2026年上半年公开考试招聘和考核招聘，计划招聘事业单位工作人员106名，其中硕士研究生29人。</w:t>
            </w:r>
          </w:p>
        </w:tc>
        <w:tc>
          <w:tcPr>
            <w:tcW w:w="1305" w:type="dxa"/>
            <w:vMerge w:val="restart"/>
            <w:noWrap w:val="0"/>
            <w:vAlign w:val="center"/>
          </w:tcPr>
          <w:p w14:paraId="59B3BE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31DD8B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区人力资源社会保障局</w:t>
            </w:r>
          </w:p>
        </w:tc>
        <w:tc>
          <w:tcPr>
            <w:tcW w:w="2119" w:type="dxa"/>
            <w:vMerge w:val="restart"/>
            <w:noWrap w:val="0"/>
            <w:vAlign w:val="center"/>
          </w:tcPr>
          <w:p w14:paraId="6E2EE4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区级各部门、各镇</w:t>
            </w:r>
          </w:p>
        </w:tc>
      </w:tr>
      <w:tr w14:paraId="01E5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714" w:type="dxa"/>
            <w:vMerge w:val="continue"/>
            <w:noWrap w:val="0"/>
            <w:vAlign w:val="center"/>
          </w:tcPr>
          <w:p w14:paraId="1F6297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0B669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0C168C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075514E">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实训基地开展特色美食人才、特色产业人才各类培训</w:t>
            </w: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00人次</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19F7276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64601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D4AFA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046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14" w:type="dxa"/>
            <w:vMerge w:val="continue"/>
            <w:noWrap w:val="0"/>
            <w:vAlign w:val="center"/>
          </w:tcPr>
          <w:p w14:paraId="59A499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D0050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15CE82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432F7453">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实训基地开展特色美食人才、特色产业人才各类培训</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0人次</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298768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7D728E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B7C8E8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D23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714" w:type="dxa"/>
            <w:vMerge w:val="continue"/>
            <w:noWrap w:val="0"/>
            <w:vAlign w:val="center"/>
          </w:tcPr>
          <w:p w14:paraId="365187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C3674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41BC570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888FC49">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实训基地开展特色美食人才、特色产业人才各类培训</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0人次</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45EC30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0674F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1E72D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DEE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4" w:type="dxa"/>
            <w:vMerge w:val="restart"/>
            <w:noWrap w:val="0"/>
            <w:vAlign w:val="center"/>
          </w:tcPr>
          <w:p w14:paraId="493805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13</w:t>
            </w:r>
          </w:p>
        </w:tc>
        <w:tc>
          <w:tcPr>
            <w:tcW w:w="2742" w:type="dxa"/>
            <w:vMerge w:val="restart"/>
            <w:noWrap w:val="0"/>
            <w:vAlign w:val="center"/>
          </w:tcPr>
          <w:p w14:paraId="51FB65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加快实施全域土地综合整治项目，推进牛华、金山农用地整治、生态保护修复、特色产业发展、乡村基础设施能级提升，夯实镇村发展基础。</w:t>
            </w:r>
          </w:p>
        </w:tc>
        <w:tc>
          <w:tcPr>
            <w:tcW w:w="330" w:type="dxa"/>
            <w:noWrap w:val="0"/>
            <w:vAlign w:val="center"/>
          </w:tcPr>
          <w:p w14:paraId="03CFE6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62C7E5E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lang w:val="en-US" w:eastAsia="zh-CN"/>
              </w:rPr>
              <w:t>启动牛华镇项目涉及子项目，对补充耕地和增减挂钩项目开展规划设计等前期工作</w:t>
            </w:r>
            <w:r>
              <w:rPr>
                <w:rFonts w:hint="eastAsia" w:ascii="仿宋_GB2312" w:hAnsi="仿宋_GB2312" w:eastAsia="仿宋_GB2312" w:cs="仿宋_GB2312"/>
                <w:color w:val="000000"/>
                <w:sz w:val="21"/>
                <w:szCs w:val="21"/>
                <w:lang w:val="en-US" w:eastAsia="zh-CN"/>
              </w:rPr>
              <w:t>。</w:t>
            </w:r>
          </w:p>
        </w:tc>
        <w:tc>
          <w:tcPr>
            <w:tcW w:w="1305" w:type="dxa"/>
            <w:vMerge w:val="restart"/>
            <w:noWrap w:val="0"/>
            <w:vAlign w:val="center"/>
          </w:tcPr>
          <w:p w14:paraId="031BD8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刘  凯</w:t>
            </w:r>
          </w:p>
        </w:tc>
        <w:tc>
          <w:tcPr>
            <w:tcW w:w="1695" w:type="dxa"/>
            <w:vMerge w:val="restart"/>
            <w:noWrap w:val="0"/>
            <w:vAlign w:val="center"/>
          </w:tcPr>
          <w:p w14:paraId="151DADC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区自然资源局</w:t>
            </w:r>
          </w:p>
        </w:tc>
        <w:tc>
          <w:tcPr>
            <w:tcW w:w="2119" w:type="dxa"/>
            <w:vMerge w:val="restart"/>
            <w:noWrap w:val="0"/>
            <w:vAlign w:val="center"/>
          </w:tcPr>
          <w:p w14:paraId="08FC6E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区发展改革局、区经济信息化局、区民政局、区住房城乡建设局、区交通运输局、区水务局、区农业农村局、区文广体育旅游局、区国资局、牛华镇、金山镇</w:t>
            </w:r>
          </w:p>
        </w:tc>
      </w:tr>
      <w:tr w14:paraId="6132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continue"/>
            <w:noWrap w:val="0"/>
            <w:vAlign w:val="center"/>
          </w:tcPr>
          <w:p w14:paraId="7F3739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451211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A7274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258302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金山镇项目进行实施方案的修改完善。</w:t>
            </w:r>
          </w:p>
        </w:tc>
        <w:tc>
          <w:tcPr>
            <w:tcW w:w="1305" w:type="dxa"/>
            <w:vMerge w:val="continue"/>
            <w:noWrap w:val="0"/>
            <w:vAlign w:val="center"/>
          </w:tcPr>
          <w:p w14:paraId="00CDAD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2785A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8A2B9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9FD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14" w:type="dxa"/>
            <w:vMerge w:val="continue"/>
            <w:noWrap w:val="0"/>
            <w:vAlign w:val="center"/>
          </w:tcPr>
          <w:p w14:paraId="461E4F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F97C9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238CF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177E2A59">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完成牛华镇项目补充耕地和增减挂钩项目立项</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1A8A77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376D3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CB40F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F62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14" w:type="dxa"/>
            <w:vMerge w:val="continue"/>
            <w:noWrap w:val="0"/>
            <w:vAlign w:val="center"/>
          </w:tcPr>
          <w:p w14:paraId="3829BA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FCC78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60FD83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7B14CC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补充耕地和增加挂钩项目开工建设，金山镇项目实施方案取得省级批复</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766883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C47D8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296C2E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CB3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14" w:type="dxa"/>
            <w:vMerge w:val="restart"/>
            <w:noWrap w:val="0"/>
            <w:vAlign w:val="center"/>
          </w:tcPr>
          <w:p w14:paraId="0412AC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14</w:t>
            </w:r>
          </w:p>
        </w:tc>
        <w:tc>
          <w:tcPr>
            <w:tcW w:w="2742" w:type="dxa"/>
            <w:vMerge w:val="restart"/>
            <w:noWrap w:val="0"/>
            <w:vAlign w:val="center"/>
          </w:tcPr>
          <w:p w14:paraId="3287E3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深化大气、水、土壤污染联防联控联治，扎实推进岷江、茫溪河等流域生态巩固提升和修复治理，确保岷江、茫溪河断面水质保持在Ⅱ类、Ш类。</w:t>
            </w:r>
          </w:p>
        </w:tc>
        <w:tc>
          <w:tcPr>
            <w:tcW w:w="330" w:type="dxa"/>
            <w:noWrap w:val="0"/>
            <w:vAlign w:val="center"/>
          </w:tcPr>
          <w:p w14:paraId="3497E7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79B3285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1.做好秋冬季大气治理攻坚。</w:t>
            </w:r>
          </w:p>
          <w:p w14:paraId="23487CC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2.推动茫溪河水质达标攻坚和岷江总磷管控。</w:t>
            </w:r>
          </w:p>
        </w:tc>
        <w:tc>
          <w:tcPr>
            <w:tcW w:w="1305" w:type="dxa"/>
            <w:vMerge w:val="restart"/>
            <w:noWrap w:val="0"/>
            <w:vAlign w:val="center"/>
          </w:tcPr>
          <w:p w14:paraId="3BA74E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72EF70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五通桥生态</w:t>
            </w:r>
          </w:p>
          <w:p w14:paraId="4E28BB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环境局</w:t>
            </w:r>
          </w:p>
        </w:tc>
        <w:tc>
          <w:tcPr>
            <w:tcW w:w="2119" w:type="dxa"/>
            <w:vMerge w:val="restart"/>
            <w:noWrap w:val="0"/>
            <w:vAlign w:val="center"/>
          </w:tcPr>
          <w:p w14:paraId="4F68A9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区经济信息化局、区公安分局、区住房城乡建设局、区交通运输局、区水务局、区应急局、各相关镇</w:t>
            </w:r>
          </w:p>
        </w:tc>
      </w:tr>
      <w:tr w14:paraId="230B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14" w:type="dxa"/>
            <w:vMerge w:val="continue"/>
            <w:noWrap w:val="0"/>
            <w:vAlign w:val="center"/>
          </w:tcPr>
          <w:p w14:paraId="376269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69E80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4AEA1C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69D1F63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1.做好春季臭氧治理攻坚。</w:t>
            </w:r>
          </w:p>
          <w:p w14:paraId="7CDBE6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2.推动茫溪河水质达标攻坚和岷江总磷管控。</w:t>
            </w:r>
          </w:p>
        </w:tc>
        <w:tc>
          <w:tcPr>
            <w:tcW w:w="1305" w:type="dxa"/>
            <w:vMerge w:val="continue"/>
            <w:noWrap w:val="0"/>
            <w:vAlign w:val="center"/>
          </w:tcPr>
          <w:p w14:paraId="78250B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0F58C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41BD9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5E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14" w:type="dxa"/>
            <w:vMerge w:val="continue"/>
            <w:noWrap w:val="0"/>
            <w:vAlign w:val="center"/>
          </w:tcPr>
          <w:p w14:paraId="3FDAD3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44E2C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2FC560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1F56AC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1.做好夏季臭氧治理攻坚。</w:t>
            </w:r>
          </w:p>
          <w:p w14:paraId="67B3D6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2.推动茫溪河水质达标攻坚和岷江总磷管控。</w:t>
            </w:r>
          </w:p>
        </w:tc>
        <w:tc>
          <w:tcPr>
            <w:tcW w:w="1305" w:type="dxa"/>
            <w:vMerge w:val="continue"/>
            <w:noWrap w:val="0"/>
            <w:vAlign w:val="center"/>
          </w:tcPr>
          <w:p w14:paraId="42D9E7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787DB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97EDD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361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14" w:type="dxa"/>
            <w:vMerge w:val="continue"/>
            <w:noWrap w:val="0"/>
            <w:vAlign w:val="center"/>
          </w:tcPr>
          <w:p w14:paraId="537C6F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97A9A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326DDD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543398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1.做好秋冬季大气治理攻坚。</w:t>
            </w:r>
          </w:p>
          <w:p w14:paraId="304058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2.推动茫溪河水质达标攻坚和岷江总磷管控。</w:t>
            </w:r>
          </w:p>
        </w:tc>
        <w:tc>
          <w:tcPr>
            <w:tcW w:w="1305" w:type="dxa"/>
            <w:vMerge w:val="continue"/>
            <w:noWrap w:val="0"/>
            <w:vAlign w:val="center"/>
          </w:tcPr>
          <w:p w14:paraId="1A011D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5811F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1D2F8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3DC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4" w:type="dxa"/>
            <w:vMerge w:val="restart"/>
            <w:noWrap w:val="0"/>
            <w:vAlign w:val="center"/>
          </w:tcPr>
          <w:p w14:paraId="29B182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15</w:t>
            </w:r>
          </w:p>
        </w:tc>
        <w:tc>
          <w:tcPr>
            <w:tcW w:w="2742" w:type="dxa"/>
            <w:vMerge w:val="restart"/>
            <w:noWrap w:val="0"/>
            <w:vAlign w:val="center"/>
          </w:tcPr>
          <w:p w14:paraId="03E7AC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抓好工业源、移动源、扬尘源治理，深入推进土壤污染状况调查，严厉打击固废非法倾倒行为，稳步推进“无废城市”建设。</w:t>
            </w:r>
          </w:p>
        </w:tc>
        <w:tc>
          <w:tcPr>
            <w:tcW w:w="330" w:type="dxa"/>
            <w:noWrap w:val="0"/>
            <w:vAlign w:val="center"/>
          </w:tcPr>
          <w:p w14:paraId="11A580B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084A12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抓好工业源、移动源、扬尘源治理,开展集中现场核查。</w:t>
            </w:r>
          </w:p>
        </w:tc>
        <w:tc>
          <w:tcPr>
            <w:tcW w:w="1305" w:type="dxa"/>
            <w:vMerge w:val="restart"/>
            <w:noWrap w:val="0"/>
            <w:vAlign w:val="center"/>
          </w:tcPr>
          <w:p w14:paraId="4412B6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745DCD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五通桥生态</w:t>
            </w:r>
          </w:p>
          <w:p w14:paraId="20F8B1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环境局</w:t>
            </w:r>
          </w:p>
        </w:tc>
        <w:tc>
          <w:tcPr>
            <w:tcW w:w="2119" w:type="dxa"/>
            <w:vMerge w:val="restart"/>
            <w:noWrap w:val="0"/>
            <w:vAlign w:val="center"/>
          </w:tcPr>
          <w:p w14:paraId="4C4DE9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区经济信息化局、区公安分局、区住房城乡建设局、区交通运输局、区水务局、区农业农村局、区卫生健康局、区应急局、经开区管委会、各镇</w:t>
            </w:r>
          </w:p>
        </w:tc>
      </w:tr>
      <w:tr w14:paraId="3E51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714" w:type="dxa"/>
            <w:vMerge w:val="continue"/>
            <w:noWrap w:val="0"/>
            <w:vAlign w:val="center"/>
          </w:tcPr>
          <w:p w14:paraId="5450B9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E85EC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03026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vMerge w:val="restart"/>
            <w:noWrap w:val="0"/>
            <w:vAlign w:val="center"/>
          </w:tcPr>
          <w:p w14:paraId="4BCE4D2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抓好工业源、移动源、扬尘源治理,开展集中现场核查问题整改。</w:t>
            </w:r>
          </w:p>
        </w:tc>
        <w:tc>
          <w:tcPr>
            <w:tcW w:w="1305" w:type="dxa"/>
            <w:vMerge w:val="continue"/>
            <w:noWrap w:val="0"/>
            <w:vAlign w:val="center"/>
          </w:tcPr>
          <w:p w14:paraId="19C1328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D2971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BB1FD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tc>
      </w:tr>
      <w:tr w14:paraId="3983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continue"/>
            <w:noWrap w:val="0"/>
            <w:vAlign w:val="center"/>
          </w:tcPr>
          <w:p w14:paraId="4D5B5C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B3C81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0DE11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vMerge w:val="continue"/>
            <w:noWrap w:val="0"/>
            <w:vAlign w:val="center"/>
          </w:tcPr>
          <w:p w14:paraId="46BFEA2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1305" w:type="dxa"/>
            <w:vMerge w:val="continue"/>
            <w:noWrap w:val="0"/>
            <w:vAlign w:val="center"/>
          </w:tcPr>
          <w:p w14:paraId="7C7669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0E415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15691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tc>
      </w:tr>
      <w:tr w14:paraId="38D2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14" w:type="dxa"/>
            <w:vMerge w:val="continue"/>
            <w:noWrap w:val="0"/>
            <w:vAlign w:val="center"/>
          </w:tcPr>
          <w:p w14:paraId="6D6E28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1F854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71D31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3EF0BE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抓好工业源、移动源、扬尘源治理,排查发现问题全部整改完成。</w:t>
            </w:r>
          </w:p>
        </w:tc>
        <w:tc>
          <w:tcPr>
            <w:tcW w:w="1305" w:type="dxa"/>
            <w:vMerge w:val="continue"/>
            <w:noWrap w:val="0"/>
            <w:vAlign w:val="center"/>
          </w:tcPr>
          <w:p w14:paraId="323D343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0C7C7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C132B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tc>
      </w:tr>
      <w:tr w14:paraId="0349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14" w:type="dxa"/>
            <w:vMerge w:val="restart"/>
            <w:noWrap w:val="0"/>
            <w:vAlign w:val="center"/>
          </w:tcPr>
          <w:p w14:paraId="5C16E5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16</w:t>
            </w:r>
          </w:p>
        </w:tc>
        <w:tc>
          <w:tcPr>
            <w:tcW w:w="2742" w:type="dxa"/>
            <w:vMerge w:val="restart"/>
            <w:noWrap w:val="0"/>
            <w:vAlign w:val="center"/>
          </w:tcPr>
          <w:p w14:paraId="4E92A2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以基础设施、空间格局、产业发展一体化为导向，有序完善城区功能结构和空间布局，加快推进城中村改造和五通大道沿线地块开发，有序启动榕景路以北现代化新城建设，一体推进39个老旧小区改造，适时启动茫溪河左岸老旧楼栋、危废房屋“留改拆”。</w:t>
            </w:r>
          </w:p>
        </w:tc>
        <w:tc>
          <w:tcPr>
            <w:tcW w:w="330" w:type="dxa"/>
            <w:noWrap w:val="0"/>
            <w:vAlign w:val="center"/>
          </w:tcPr>
          <w:p w14:paraId="17073E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0F7ECE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1.完成城北新城及茫溪河左岸瓦窑沱片区初步策划方案编制。</w:t>
            </w:r>
          </w:p>
          <w:p w14:paraId="72B985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2.完成39个老旧小区前期摸底及改造需求统计。</w:t>
            </w:r>
          </w:p>
        </w:tc>
        <w:tc>
          <w:tcPr>
            <w:tcW w:w="1305" w:type="dxa"/>
            <w:vMerge w:val="restart"/>
            <w:noWrap w:val="0"/>
            <w:vAlign w:val="center"/>
          </w:tcPr>
          <w:p w14:paraId="47BA91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7A8CF9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区住房城乡</w:t>
            </w:r>
          </w:p>
          <w:p w14:paraId="4DA227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建设局</w:t>
            </w:r>
          </w:p>
        </w:tc>
        <w:tc>
          <w:tcPr>
            <w:tcW w:w="2119" w:type="dxa"/>
            <w:vMerge w:val="restart"/>
            <w:noWrap w:val="0"/>
            <w:vAlign w:val="center"/>
          </w:tcPr>
          <w:p w14:paraId="0A1CECA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区财政局、区自然资源局、区综合行政执法局、区国资局、竹根镇</w:t>
            </w:r>
          </w:p>
        </w:tc>
      </w:tr>
      <w:tr w14:paraId="0EEA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14" w:type="dxa"/>
            <w:vMerge w:val="continue"/>
            <w:noWrap w:val="0"/>
            <w:vAlign w:val="center"/>
          </w:tcPr>
          <w:p w14:paraId="66D523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B90803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1B89BD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73E7BE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1.完成城北新城及茫溪河左岸瓦窑沱片区策划方案编制。</w:t>
            </w:r>
          </w:p>
          <w:p w14:paraId="5AC4D0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2.启动39个老旧小区前期方案编制工作。</w:t>
            </w:r>
          </w:p>
        </w:tc>
        <w:tc>
          <w:tcPr>
            <w:tcW w:w="1305" w:type="dxa"/>
            <w:vMerge w:val="continue"/>
            <w:noWrap w:val="0"/>
            <w:vAlign w:val="center"/>
          </w:tcPr>
          <w:p w14:paraId="2A252F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5AB2D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57BB6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786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714" w:type="dxa"/>
            <w:vMerge w:val="continue"/>
            <w:noWrap w:val="0"/>
            <w:vAlign w:val="center"/>
          </w:tcPr>
          <w:p w14:paraId="5129DE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5DE96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2F852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2DBCAA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1.结合城北新城规划，适时推进新城拆迁及项目招引工作。</w:t>
            </w:r>
          </w:p>
          <w:p w14:paraId="167ADA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2.结合瓦窑沱片区城市更新规划方案，启动瓦窑沱片区老旧小区及城中村改造（危旧楼拆除等）等基础设施建设项目的施工图设计工作。</w:t>
            </w:r>
          </w:p>
          <w:p w14:paraId="001722E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3.完成39个老旧小区改造项目的施工图设计及预算编制工作。</w:t>
            </w:r>
          </w:p>
        </w:tc>
        <w:tc>
          <w:tcPr>
            <w:tcW w:w="1305" w:type="dxa"/>
            <w:vMerge w:val="continue"/>
            <w:noWrap w:val="0"/>
            <w:vAlign w:val="center"/>
          </w:tcPr>
          <w:p w14:paraId="38E0C9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36591A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F691C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6A5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714" w:type="dxa"/>
            <w:vMerge w:val="continue"/>
            <w:noWrap w:val="0"/>
            <w:vAlign w:val="center"/>
          </w:tcPr>
          <w:p w14:paraId="299B38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9D240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B4D6E1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1271A0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1.启动城北新城拆迁及项目招引工作。</w:t>
            </w:r>
          </w:p>
          <w:p w14:paraId="30CF2B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2.完成瓦窑沱片区部分老旧小区及城中村改造（危旧楼拆除等）。</w:t>
            </w:r>
          </w:p>
          <w:p w14:paraId="540D4D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3.39个老旧小区进场实施。</w:t>
            </w:r>
          </w:p>
        </w:tc>
        <w:tc>
          <w:tcPr>
            <w:tcW w:w="1305" w:type="dxa"/>
            <w:vMerge w:val="continue"/>
            <w:noWrap w:val="0"/>
            <w:vAlign w:val="center"/>
          </w:tcPr>
          <w:p w14:paraId="7810873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EFDC2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B5263F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515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14" w:type="dxa"/>
            <w:vMerge w:val="restart"/>
            <w:noWrap w:val="0"/>
            <w:vAlign w:val="center"/>
          </w:tcPr>
          <w:p w14:paraId="5126AC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17</w:t>
            </w:r>
          </w:p>
        </w:tc>
        <w:tc>
          <w:tcPr>
            <w:tcW w:w="2742" w:type="dxa"/>
            <w:vMerge w:val="restart"/>
            <w:noWrap w:val="0"/>
            <w:vAlign w:val="center"/>
          </w:tcPr>
          <w:p w14:paraId="0D2F5A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加快城区雨污分流和燃气管网扩容，实施岷江东岸污水管网改造、排水防涝能力提升工程，提标改造冠英片区污水处理厂，推进“海绵城市”建设。</w:t>
            </w:r>
          </w:p>
        </w:tc>
        <w:tc>
          <w:tcPr>
            <w:tcW w:w="330" w:type="dxa"/>
            <w:noWrap w:val="0"/>
            <w:vAlign w:val="center"/>
          </w:tcPr>
          <w:p w14:paraId="02464F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w:t>
            </w:r>
          </w:p>
        </w:tc>
        <w:tc>
          <w:tcPr>
            <w:tcW w:w="6750" w:type="dxa"/>
            <w:noWrap w:val="0"/>
            <w:vAlign w:val="center"/>
          </w:tcPr>
          <w:p w14:paraId="3B130A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1.完成燃气管网扩容项目的部分标段招标工作。</w:t>
            </w:r>
          </w:p>
          <w:p w14:paraId="2EB18E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2.启动岷江东岸污水管网改造项目。</w:t>
            </w:r>
          </w:p>
          <w:p w14:paraId="1EDFDA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3.完成竹根片区及冠英片区排水防涝项目的方案论证。</w:t>
            </w:r>
          </w:p>
          <w:p w14:paraId="559AF0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4.加快推进冠英污水处理厂提标改造建设进度。</w:t>
            </w:r>
          </w:p>
          <w:p w14:paraId="3753A0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5.结合《乐山市海绵城市管理条例》，进行“海绵城市”专项设计，稳步推进“海绵城市”建设。</w:t>
            </w:r>
          </w:p>
        </w:tc>
        <w:tc>
          <w:tcPr>
            <w:tcW w:w="1305" w:type="dxa"/>
            <w:vMerge w:val="restart"/>
            <w:noWrap w:val="0"/>
            <w:vAlign w:val="center"/>
          </w:tcPr>
          <w:p w14:paraId="7BEE3D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4CE506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区住房城乡</w:t>
            </w:r>
          </w:p>
          <w:p w14:paraId="630F74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建设局</w:t>
            </w:r>
          </w:p>
        </w:tc>
        <w:tc>
          <w:tcPr>
            <w:tcW w:w="2119" w:type="dxa"/>
            <w:vMerge w:val="restart"/>
            <w:noWrap w:val="0"/>
            <w:vAlign w:val="center"/>
          </w:tcPr>
          <w:p w14:paraId="220A4C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区财政局、竹根镇</w:t>
            </w:r>
          </w:p>
        </w:tc>
      </w:tr>
      <w:tr w14:paraId="48E8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714" w:type="dxa"/>
            <w:vMerge w:val="continue"/>
            <w:noWrap w:val="0"/>
            <w:vAlign w:val="center"/>
          </w:tcPr>
          <w:p w14:paraId="006A62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EEDA6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03589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6750" w:type="dxa"/>
            <w:noWrap w:val="0"/>
            <w:vAlign w:val="center"/>
          </w:tcPr>
          <w:p w14:paraId="0D9F01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1.加快推进燃气管网扩容改造项目，累计完成总工程量的30%。</w:t>
            </w:r>
          </w:p>
          <w:p w14:paraId="70D321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2.加快推进岷江东岸污水管网改造项目，累计完成总工程量的30%。</w:t>
            </w:r>
          </w:p>
          <w:p w14:paraId="6372EF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3.完成冠英污水处理厂的提标改造，开始通水调试。</w:t>
            </w:r>
          </w:p>
          <w:p w14:paraId="788517B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4.结合《乐山市海绵城市管理条例》，进行“海绵城市”专项设计，稳步推进“海绵城市”建设。</w:t>
            </w:r>
          </w:p>
        </w:tc>
        <w:tc>
          <w:tcPr>
            <w:tcW w:w="1305" w:type="dxa"/>
            <w:vMerge w:val="continue"/>
            <w:noWrap w:val="0"/>
            <w:vAlign w:val="center"/>
          </w:tcPr>
          <w:p w14:paraId="072B573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F5E8D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378FF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11E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714" w:type="dxa"/>
            <w:vMerge w:val="continue"/>
            <w:noWrap w:val="0"/>
            <w:vAlign w:val="center"/>
          </w:tcPr>
          <w:p w14:paraId="146B8C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99294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649313C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6750" w:type="dxa"/>
            <w:noWrap w:val="0"/>
            <w:vAlign w:val="center"/>
          </w:tcPr>
          <w:p w14:paraId="230061E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1.加快推进燃气管网扩容改造项目，累计完成总工程量的60%。</w:t>
            </w:r>
          </w:p>
          <w:p w14:paraId="04ECD3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2.加快推进岷江东岸污水管网改造项目，累计完成总工程量的60%。</w:t>
            </w:r>
          </w:p>
          <w:p w14:paraId="725670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3.结合《乐山市海绵城市管理条例》，进行“海绵城市”专项设计，稳步推进“海绵城市”建设。</w:t>
            </w:r>
          </w:p>
        </w:tc>
        <w:tc>
          <w:tcPr>
            <w:tcW w:w="1305" w:type="dxa"/>
            <w:vMerge w:val="continue"/>
            <w:noWrap w:val="0"/>
            <w:vAlign w:val="center"/>
          </w:tcPr>
          <w:p w14:paraId="5F96E5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EF2D6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BD669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183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714" w:type="dxa"/>
            <w:vMerge w:val="continue"/>
            <w:noWrap w:val="0"/>
            <w:vAlign w:val="center"/>
          </w:tcPr>
          <w:p w14:paraId="2B6C0F1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F9B44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8304D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6750" w:type="dxa"/>
            <w:noWrap w:val="0"/>
            <w:vAlign w:val="center"/>
          </w:tcPr>
          <w:p w14:paraId="59D392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加快推进燃气管网扩容改造项目，累计完成总工程量的90%；</w:t>
            </w:r>
            <w:r>
              <w:rPr>
                <w:rFonts w:hint="eastAsia" w:ascii="仿宋_GB2312" w:hAnsi="仿宋_GB2312" w:eastAsia="仿宋_GB2312" w:cs="仿宋_GB2312"/>
                <w:color w:val="000000"/>
                <w:kern w:val="2"/>
                <w:sz w:val="21"/>
                <w:szCs w:val="21"/>
                <w:lang w:val="en-US" w:eastAsia="zh-CN" w:bidi="ar-SA"/>
              </w:rPr>
              <w:t>加快推进岷江东岸污水管网改造项目，累计完成总工程量的90%；结合《乐山市海绵城市管理条例》，在项目设计阶段，进行“海绵城市”专项设计，稳步推进“海绵城市”建设。</w:t>
            </w:r>
          </w:p>
        </w:tc>
        <w:tc>
          <w:tcPr>
            <w:tcW w:w="1305" w:type="dxa"/>
            <w:vMerge w:val="continue"/>
            <w:noWrap w:val="0"/>
            <w:vAlign w:val="center"/>
          </w:tcPr>
          <w:p w14:paraId="4160D9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368DD3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3DA2F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509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14" w:type="dxa"/>
            <w:vMerge w:val="restart"/>
            <w:noWrap w:val="0"/>
            <w:vAlign w:val="center"/>
          </w:tcPr>
          <w:p w14:paraId="7AE6AC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18</w:t>
            </w:r>
          </w:p>
        </w:tc>
        <w:tc>
          <w:tcPr>
            <w:tcW w:w="2742" w:type="dxa"/>
            <w:vMerge w:val="restart"/>
            <w:noWrap w:val="0"/>
            <w:vAlign w:val="center"/>
          </w:tcPr>
          <w:p w14:paraId="2B09AD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完善闲置空间功能植入和公共设施整合重构，统筹中央公园、城市驿站等25个节点项目建设，建成新天地商业中心等城市配套项目，打造“十五分钟生活服务圈”。</w:t>
            </w:r>
          </w:p>
        </w:tc>
        <w:tc>
          <w:tcPr>
            <w:tcW w:w="330" w:type="dxa"/>
            <w:noWrap w:val="0"/>
            <w:vAlign w:val="center"/>
          </w:tcPr>
          <w:p w14:paraId="63C99E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3411DE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结合2026年“四公一农”项目清单，加快推进25个项目建设，确保1季度6个项目完工投用。</w:t>
            </w:r>
          </w:p>
        </w:tc>
        <w:tc>
          <w:tcPr>
            <w:tcW w:w="1305" w:type="dxa"/>
            <w:vMerge w:val="restart"/>
            <w:noWrap w:val="0"/>
            <w:vAlign w:val="center"/>
          </w:tcPr>
          <w:p w14:paraId="6B223B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20C37F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区住房城乡</w:t>
            </w:r>
          </w:p>
          <w:p w14:paraId="029EDC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建设局</w:t>
            </w:r>
          </w:p>
        </w:tc>
        <w:tc>
          <w:tcPr>
            <w:tcW w:w="2119" w:type="dxa"/>
            <w:vMerge w:val="restart"/>
            <w:noWrap w:val="0"/>
            <w:vAlign w:val="center"/>
          </w:tcPr>
          <w:p w14:paraId="3D4279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区财政局、区国资局</w:t>
            </w:r>
          </w:p>
        </w:tc>
      </w:tr>
      <w:tr w14:paraId="3721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14" w:type="dxa"/>
            <w:vMerge w:val="continue"/>
            <w:noWrap w:val="0"/>
            <w:vAlign w:val="center"/>
          </w:tcPr>
          <w:p w14:paraId="609A89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4528D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31BED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4C0519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结合2026年“四公一农”项目清单，加快推进25个项目建设，确保2季度2个项目完工投用。</w:t>
            </w:r>
          </w:p>
        </w:tc>
        <w:tc>
          <w:tcPr>
            <w:tcW w:w="1305" w:type="dxa"/>
            <w:vMerge w:val="continue"/>
            <w:noWrap w:val="0"/>
            <w:vAlign w:val="center"/>
          </w:tcPr>
          <w:p w14:paraId="1EE70A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FC080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002A7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046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14" w:type="dxa"/>
            <w:vMerge w:val="continue"/>
            <w:noWrap w:val="0"/>
            <w:vAlign w:val="center"/>
          </w:tcPr>
          <w:p w14:paraId="614C06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9413D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E09CB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5C132F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结合2026年“四公一农”项目清单，加快推进25个项目建设确保3季度7个项目完工投用。</w:t>
            </w:r>
          </w:p>
        </w:tc>
        <w:tc>
          <w:tcPr>
            <w:tcW w:w="1305" w:type="dxa"/>
            <w:vMerge w:val="continue"/>
            <w:noWrap w:val="0"/>
            <w:vAlign w:val="center"/>
          </w:tcPr>
          <w:p w14:paraId="4B03B5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FB306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ECEC9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B0C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14" w:type="dxa"/>
            <w:vMerge w:val="continue"/>
            <w:noWrap w:val="0"/>
            <w:vAlign w:val="center"/>
          </w:tcPr>
          <w:p w14:paraId="4F78DA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3F096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AD4D4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1FF429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结合2026年“四公一农”项目清单，加快推进25个项目建设确保4季度10个项目完工投用。</w:t>
            </w:r>
          </w:p>
        </w:tc>
        <w:tc>
          <w:tcPr>
            <w:tcW w:w="1305" w:type="dxa"/>
            <w:vMerge w:val="continue"/>
            <w:noWrap w:val="0"/>
            <w:vAlign w:val="center"/>
          </w:tcPr>
          <w:p w14:paraId="79E296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7F169D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EB963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5A8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14" w:type="dxa"/>
            <w:vMerge w:val="restart"/>
            <w:noWrap w:val="0"/>
            <w:vAlign w:val="center"/>
          </w:tcPr>
          <w:p w14:paraId="02FEBC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19</w:t>
            </w:r>
          </w:p>
        </w:tc>
        <w:tc>
          <w:tcPr>
            <w:tcW w:w="2742" w:type="dxa"/>
            <w:vMerge w:val="restart"/>
            <w:noWrap w:val="0"/>
            <w:vAlign w:val="center"/>
          </w:tcPr>
          <w:p w14:paraId="36AA3E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运用大数据、云计算、人工智能等赋能城市治理，建设高频民生服务事项智慧平台，打造智慧“城市大脑”。</w:t>
            </w:r>
          </w:p>
        </w:tc>
        <w:tc>
          <w:tcPr>
            <w:tcW w:w="330" w:type="dxa"/>
            <w:noWrap w:val="0"/>
            <w:vAlign w:val="center"/>
          </w:tcPr>
          <w:p w14:paraId="7CE7E9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264F1A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综合城市运行中心标段完成总工程量的</w:t>
            </w:r>
            <w:r>
              <w:rPr>
                <w:rFonts w:hint="eastAsia" w:ascii="仿宋_GB2312" w:hAnsi="仿宋_GB2312" w:eastAsia="仿宋_GB2312" w:cs="仿宋_GB2312"/>
                <w:color w:val="000000"/>
                <w:sz w:val="21"/>
                <w:szCs w:val="21"/>
                <w:lang w:val="en-US" w:eastAsia="zh-CN"/>
              </w:rPr>
              <w:t>90%。</w:t>
            </w:r>
          </w:p>
        </w:tc>
        <w:tc>
          <w:tcPr>
            <w:tcW w:w="1305" w:type="dxa"/>
            <w:vMerge w:val="restart"/>
            <w:noWrap w:val="0"/>
            <w:vAlign w:val="center"/>
          </w:tcPr>
          <w:p w14:paraId="4C0132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0CFBFE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区住房城乡</w:t>
            </w:r>
          </w:p>
          <w:p w14:paraId="7DEFFC3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建设局</w:t>
            </w:r>
          </w:p>
        </w:tc>
        <w:tc>
          <w:tcPr>
            <w:tcW w:w="2119" w:type="dxa"/>
            <w:vMerge w:val="restart"/>
            <w:noWrap w:val="0"/>
            <w:vAlign w:val="center"/>
          </w:tcPr>
          <w:p w14:paraId="1F051F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区委政法委</w:t>
            </w:r>
          </w:p>
        </w:tc>
      </w:tr>
      <w:tr w14:paraId="6D9C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14" w:type="dxa"/>
            <w:vMerge w:val="continue"/>
            <w:noWrap w:val="0"/>
            <w:vAlign w:val="center"/>
          </w:tcPr>
          <w:p w14:paraId="7D18B0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388A0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tc>
        <w:tc>
          <w:tcPr>
            <w:tcW w:w="330" w:type="dxa"/>
            <w:noWrap w:val="0"/>
            <w:vAlign w:val="center"/>
          </w:tcPr>
          <w:p w14:paraId="4FB047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75FB0B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综合城市运行中心标段工程完工。</w:t>
            </w:r>
          </w:p>
        </w:tc>
        <w:tc>
          <w:tcPr>
            <w:tcW w:w="1305" w:type="dxa"/>
            <w:vMerge w:val="continue"/>
            <w:noWrap w:val="0"/>
            <w:vAlign w:val="center"/>
          </w:tcPr>
          <w:p w14:paraId="301BC0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8F45D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DF2182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1F7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14" w:type="dxa"/>
            <w:vMerge w:val="restart"/>
            <w:noWrap w:val="0"/>
            <w:vAlign w:val="center"/>
          </w:tcPr>
          <w:p w14:paraId="021FEF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w:t>
            </w:r>
          </w:p>
        </w:tc>
        <w:tc>
          <w:tcPr>
            <w:tcW w:w="2742" w:type="dxa"/>
            <w:vMerge w:val="restart"/>
            <w:noWrap w:val="0"/>
            <w:vAlign w:val="center"/>
          </w:tcPr>
          <w:p w14:paraId="3776E8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推动城市治理融入社区、小区，加强社区和物业协同联动。</w:t>
            </w:r>
          </w:p>
        </w:tc>
        <w:tc>
          <w:tcPr>
            <w:tcW w:w="330" w:type="dxa"/>
            <w:noWrap w:val="0"/>
            <w:vAlign w:val="center"/>
          </w:tcPr>
          <w:p w14:paraId="1ECAD3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75DBBA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开展摸底排查，建立社区、物业、小区台账，出台协同联动制度，确定试点小区。</w:t>
            </w:r>
          </w:p>
        </w:tc>
        <w:tc>
          <w:tcPr>
            <w:tcW w:w="1305" w:type="dxa"/>
            <w:vMerge w:val="restart"/>
            <w:noWrap w:val="0"/>
            <w:vAlign w:val="center"/>
          </w:tcPr>
          <w:p w14:paraId="1A9758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3A4501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区住房城乡</w:t>
            </w:r>
          </w:p>
          <w:p w14:paraId="197469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建设局</w:t>
            </w:r>
          </w:p>
        </w:tc>
        <w:tc>
          <w:tcPr>
            <w:tcW w:w="2119" w:type="dxa"/>
            <w:vMerge w:val="restart"/>
            <w:noWrap w:val="0"/>
            <w:vAlign w:val="center"/>
          </w:tcPr>
          <w:p w14:paraId="1676947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竹根镇</w:t>
            </w:r>
          </w:p>
        </w:tc>
      </w:tr>
      <w:tr w14:paraId="5D36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14" w:type="dxa"/>
            <w:vMerge w:val="continue"/>
            <w:noWrap w:val="0"/>
            <w:vAlign w:val="center"/>
          </w:tcPr>
          <w:p w14:paraId="49DBD5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C50F8E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5D4225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6B3B1B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推动联席会议、问题闭环等机制常态化运行，将城市治理事项下沉社区和小区，开展联合服务。</w:t>
            </w:r>
          </w:p>
        </w:tc>
        <w:tc>
          <w:tcPr>
            <w:tcW w:w="1305" w:type="dxa"/>
            <w:vMerge w:val="continue"/>
            <w:noWrap w:val="0"/>
            <w:vAlign w:val="center"/>
          </w:tcPr>
          <w:p w14:paraId="442825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5D07AB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D7204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DC0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714" w:type="dxa"/>
            <w:vMerge w:val="continue"/>
            <w:noWrap w:val="0"/>
            <w:vAlign w:val="center"/>
          </w:tcPr>
          <w:p w14:paraId="2C44EA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DB93D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07435D8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5E9C8E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全面推广试点经验，打造示范小区，强化数字化支撑与监督考核，提升治理效能。</w:t>
            </w:r>
          </w:p>
        </w:tc>
        <w:tc>
          <w:tcPr>
            <w:tcW w:w="1305" w:type="dxa"/>
            <w:vMerge w:val="continue"/>
            <w:noWrap w:val="0"/>
            <w:vAlign w:val="center"/>
          </w:tcPr>
          <w:p w14:paraId="518F971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8EE45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560B0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4D1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4" w:type="dxa"/>
            <w:vMerge w:val="continue"/>
            <w:noWrap w:val="0"/>
            <w:vAlign w:val="center"/>
          </w:tcPr>
          <w:p w14:paraId="0C8535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EA9D8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0661B8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799905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开展年度总结评估，固化长效机制，表彰先进典型，谋划下一年度工作。</w:t>
            </w:r>
          </w:p>
        </w:tc>
        <w:tc>
          <w:tcPr>
            <w:tcW w:w="1305" w:type="dxa"/>
            <w:vMerge w:val="continue"/>
            <w:noWrap w:val="0"/>
            <w:vAlign w:val="center"/>
          </w:tcPr>
          <w:p w14:paraId="7E813F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D8290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9C4E1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EC1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14" w:type="dxa"/>
            <w:vMerge w:val="restart"/>
            <w:noWrap w:val="0"/>
            <w:vAlign w:val="center"/>
          </w:tcPr>
          <w:p w14:paraId="49996F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21</w:t>
            </w:r>
          </w:p>
        </w:tc>
        <w:tc>
          <w:tcPr>
            <w:tcW w:w="2742" w:type="dxa"/>
            <w:vMerge w:val="restart"/>
            <w:noWrap w:val="0"/>
            <w:vAlign w:val="center"/>
          </w:tcPr>
          <w:p w14:paraId="01C840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紧扣“公铁水空”一站式多式联运示范基地建设目标，服务乐山机场尽快通航，布局空港物流产业，积极争取乐山港老江坝作业区铁路专用线、货运港口等项目布局，完善物流节点基础设施，降低物流运输成本。</w:t>
            </w:r>
          </w:p>
        </w:tc>
        <w:tc>
          <w:tcPr>
            <w:tcW w:w="330" w:type="dxa"/>
            <w:noWrap w:val="0"/>
            <w:vAlign w:val="center"/>
          </w:tcPr>
          <w:p w14:paraId="3459CA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0CECAC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1.</w:t>
            </w:r>
            <w:r>
              <w:rPr>
                <w:rFonts w:hint="eastAsia" w:ascii="仿宋_GB2312" w:hAnsi="仿宋_GB2312" w:eastAsia="仿宋_GB2312" w:cs="仿宋_GB2312"/>
                <w:i w:val="0"/>
                <w:iCs w:val="0"/>
                <w:caps w:val="0"/>
                <w:color w:val="auto"/>
                <w:spacing w:val="0"/>
                <w:sz w:val="21"/>
                <w:szCs w:val="21"/>
              </w:rPr>
              <w:t>协调上级牵头部门及项目属地，为公铁水空一站式多式联运示范基地建设做好要素保障。</w:t>
            </w:r>
          </w:p>
          <w:p w14:paraId="1459CD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2.</w:t>
            </w:r>
            <w:r>
              <w:rPr>
                <w:rFonts w:hint="eastAsia" w:ascii="仿宋_GB2312" w:hAnsi="仿宋_GB2312" w:eastAsia="仿宋_GB2312" w:cs="仿宋_GB2312"/>
                <w:i w:val="0"/>
                <w:iCs w:val="0"/>
                <w:caps w:val="0"/>
                <w:color w:val="auto"/>
                <w:spacing w:val="0"/>
                <w:sz w:val="21"/>
                <w:szCs w:val="21"/>
              </w:rPr>
              <w:t>配合市级完成机场通航后五通桥区客运、货运接驳线路规划初步思路。</w:t>
            </w:r>
          </w:p>
          <w:p w14:paraId="4A4703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3.</w:t>
            </w:r>
            <w:r>
              <w:rPr>
                <w:rFonts w:hint="eastAsia" w:ascii="仿宋_GB2312" w:hAnsi="仿宋_GB2312" w:eastAsia="仿宋_GB2312" w:cs="仿宋_GB2312"/>
                <w:i w:val="0"/>
                <w:iCs w:val="0"/>
                <w:caps w:val="0"/>
                <w:color w:val="auto"/>
                <w:spacing w:val="0"/>
                <w:sz w:val="21"/>
                <w:szCs w:val="21"/>
              </w:rPr>
              <w:t>配合市级和属地开展老江坝作业区大件码头、进港公路以及公共锚地等项目组卷报批工作。</w:t>
            </w:r>
          </w:p>
          <w:p w14:paraId="50C308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aps w:val="0"/>
                <w:color w:val="auto"/>
                <w:spacing w:val="0"/>
                <w:sz w:val="21"/>
                <w:szCs w:val="21"/>
                <w:lang w:val="en-US" w:eastAsia="zh-CN"/>
              </w:rPr>
              <w:t>4.</w:t>
            </w:r>
            <w:r>
              <w:rPr>
                <w:rFonts w:hint="eastAsia" w:ascii="仿宋_GB2312" w:hAnsi="仿宋_GB2312" w:eastAsia="仿宋_GB2312" w:cs="仿宋_GB2312"/>
                <w:i w:val="0"/>
                <w:iCs w:val="0"/>
                <w:caps w:val="0"/>
                <w:color w:val="auto"/>
                <w:spacing w:val="0"/>
                <w:sz w:val="21"/>
                <w:szCs w:val="21"/>
              </w:rPr>
              <w:t>同步开展征地拆迁资金准备，加快预征地协议签订进度。</w:t>
            </w:r>
          </w:p>
        </w:tc>
        <w:tc>
          <w:tcPr>
            <w:tcW w:w="1305" w:type="dxa"/>
            <w:vMerge w:val="restart"/>
            <w:noWrap w:val="0"/>
            <w:vAlign w:val="center"/>
          </w:tcPr>
          <w:p w14:paraId="044E46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4E339D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区交通运输局</w:t>
            </w:r>
          </w:p>
        </w:tc>
        <w:tc>
          <w:tcPr>
            <w:tcW w:w="2119" w:type="dxa"/>
            <w:vMerge w:val="restart"/>
            <w:noWrap w:val="0"/>
            <w:vAlign w:val="center"/>
          </w:tcPr>
          <w:p w14:paraId="733DDE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highlight w:val="none"/>
              </w:rPr>
              <w:t>冠英新区管委会</w:t>
            </w:r>
            <w:r>
              <w:rPr>
                <w:rFonts w:ascii="仿宋_GB2312" w:hAnsi="宋体" w:eastAsia="仿宋_GB2312" w:cs="仿宋_GB2312"/>
                <w:i w:val="0"/>
                <w:iCs w:val="0"/>
                <w:caps w:val="0"/>
                <w:color w:val="auto"/>
                <w:spacing w:val="0"/>
                <w:sz w:val="20"/>
                <w:szCs w:val="20"/>
              </w:rPr>
              <w:t>、冠英镇</w:t>
            </w:r>
          </w:p>
        </w:tc>
      </w:tr>
      <w:tr w14:paraId="59A9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714" w:type="dxa"/>
            <w:vMerge w:val="continue"/>
            <w:noWrap w:val="0"/>
            <w:vAlign w:val="center"/>
          </w:tcPr>
          <w:p w14:paraId="7A9848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F408C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548DC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7D0AD1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lang w:eastAsia="zh-CN"/>
              </w:rPr>
            </w:pPr>
            <w:r>
              <w:rPr>
                <w:rFonts w:hint="eastAsia" w:ascii="仿宋_GB2312" w:hAnsi="仿宋_GB2312" w:eastAsia="仿宋_GB2312" w:cs="仿宋_GB2312"/>
                <w:i w:val="0"/>
                <w:iCs w:val="0"/>
                <w:caps w:val="0"/>
                <w:color w:val="auto"/>
                <w:spacing w:val="0"/>
                <w:sz w:val="21"/>
                <w:szCs w:val="21"/>
                <w:lang w:val="en-US" w:eastAsia="zh-CN"/>
              </w:rPr>
              <w:t>1.</w:t>
            </w:r>
            <w:r>
              <w:rPr>
                <w:rFonts w:hint="eastAsia" w:ascii="仿宋_GB2312" w:hAnsi="仿宋_GB2312" w:eastAsia="仿宋_GB2312" w:cs="仿宋_GB2312"/>
                <w:i w:val="0"/>
                <w:iCs w:val="0"/>
                <w:caps w:val="0"/>
                <w:color w:val="auto"/>
                <w:spacing w:val="0"/>
                <w:sz w:val="21"/>
                <w:szCs w:val="21"/>
              </w:rPr>
              <w:t>摸排区内物流企业、产业园区空港物流需求</w:t>
            </w:r>
            <w:r>
              <w:rPr>
                <w:rFonts w:hint="eastAsia" w:ascii="仿宋_GB2312" w:hAnsi="仿宋_GB2312" w:eastAsia="仿宋_GB2312" w:cs="仿宋_GB2312"/>
                <w:i w:val="0"/>
                <w:iCs w:val="0"/>
                <w:caps w:val="0"/>
                <w:color w:val="auto"/>
                <w:spacing w:val="0"/>
                <w:sz w:val="21"/>
                <w:szCs w:val="21"/>
                <w:lang w:eastAsia="zh-CN"/>
              </w:rPr>
              <w:t>。</w:t>
            </w:r>
          </w:p>
          <w:p w14:paraId="67F8E6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lang w:eastAsia="zh-CN"/>
              </w:rPr>
            </w:pPr>
            <w:r>
              <w:rPr>
                <w:rFonts w:hint="eastAsia" w:ascii="仿宋_GB2312" w:hAnsi="仿宋_GB2312" w:eastAsia="仿宋_GB2312" w:cs="仿宋_GB2312"/>
                <w:i w:val="0"/>
                <w:iCs w:val="0"/>
                <w:caps w:val="0"/>
                <w:color w:val="auto"/>
                <w:spacing w:val="0"/>
                <w:sz w:val="21"/>
                <w:szCs w:val="21"/>
                <w:lang w:val="en-US" w:eastAsia="zh-CN"/>
              </w:rPr>
              <w:t>2.</w:t>
            </w:r>
            <w:r>
              <w:rPr>
                <w:rFonts w:hint="eastAsia" w:ascii="仿宋_GB2312" w:hAnsi="仿宋_GB2312" w:eastAsia="仿宋_GB2312" w:cs="仿宋_GB2312"/>
                <w:i w:val="0"/>
                <w:iCs w:val="0"/>
                <w:caps w:val="0"/>
                <w:color w:val="auto"/>
                <w:spacing w:val="0"/>
                <w:sz w:val="21"/>
                <w:szCs w:val="21"/>
              </w:rPr>
              <w:t>积极对接市级部门推动老江坝作业区铁路专用线项目编制、立项等前期工作</w:t>
            </w:r>
            <w:r>
              <w:rPr>
                <w:rFonts w:hint="eastAsia" w:ascii="仿宋_GB2312" w:hAnsi="仿宋_GB2312" w:eastAsia="仿宋_GB2312" w:cs="仿宋_GB2312"/>
                <w:i w:val="0"/>
                <w:iCs w:val="0"/>
                <w:caps w:val="0"/>
                <w:color w:val="auto"/>
                <w:spacing w:val="0"/>
                <w:sz w:val="21"/>
                <w:szCs w:val="21"/>
                <w:lang w:eastAsia="zh-CN"/>
              </w:rPr>
              <w:t>。</w:t>
            </w:r>
          </w:p>
          <w:p w14:paraId="61B637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aps w:val="0"/>
                <w:color w:val="auto"/>
                <w:spacing w:val="0"/>
                <w:sz w:val="21"/>
                <w:szCs w:val="21"/>
                <w:lang w:val="en-US" w:eastAsia="zh-CN"/>
              </w:rPr>
              <w:t>3.</w:t>
            </w:r>
            <w:r>
              <w:rPr>
                <w:rFonts w:hint="eastAsia" w:ascii="仿宋_GB2312" w:hAnsi="仿宋_GB2312" w:eastAsia="仿宋_GB2312" w:cs="仿宋_GB2312"/>
                <w:i w:val="0"/>
                <w:iCs w:val="0"/>
                <w:caps w:val="0"/>
                <w:color w:val="auto"/>
                <w:spacing w:val="0"/>
                <w:sz w:val="21"/>
                <w:szCs w:val="21"/>
              </w:rPr>
              <w:t>配合市级完成老江坝作业区货运港口项目预征地协议签订率80%以上。</w:t>
            </w:r>
          </w:p>
        </w:tc>
        <w:tc>
          <w:tcPr>
            <w:tcW w:w="1305" w:type="dxa"/>
            <w:vMerge w:val="continue"/>
            <w:noWrap w:val="0"/>
            <w:vAlign w:val="center"/>
          </w:tcPr>
          <w:p w14:paraId="228CB7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BB86A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1F2CDC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55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714" w:type="dxa"/>
            <w:vMerge w:val="continue"/>
            <w:noWrap w:val="0"/>
            <w:vAlign w:val="center"/>
          </w:tcPr>
          <w:p w14:paraId="3F9117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3966F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71A0B6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4CCA77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1.</w:t>
            </w:r>
            <w:r>
              <w:rPr>
                <w:rFonts w:hint="eastAsia" w:ascii="仿宋_GB2312" w:hAnsi="仿宋_GB2312" w:eastAsia="仿宋_GB2312" w:cs="仿宋_GB2312"/>
                <w:i w:val="0"/>
                <w:iCs w:val="0"/>
                <w:caps w:val="0"/>
                <w:color w:val="auto"/>
                <w:spacing w:val="0"/>
                <w:sz w:val="21"/>
                <w:szCs w:val="21"/>
              </w:rPr>
              <w:t>配合市级完成机场通航交通配套工程建设，实现空港物流产业布局规划落地，保障机场顺利通航。</w:t>
            </w:r>
          </w:p>
          <w:p w14:paraId="461BB67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lang w:eastAsia="zh-CN"/>
              </w:rPr>
            </w:pPr>
            <w:r>
              <w:rPr>
                <w:rFonts w:hint="eastAsia" w:ascii="仿宋_GB2312" w:hAnsi="仿宋_GB2312" w:eastAsia="仿宋_GB2312" w:cs="仿宋_GB2312"/>
                <w:i w:val="0"/>
                <w:iCs w:val="0"/>
                <w:caps w:val="0"/>
                <w:color w:val="auto"/>
                <w:spacing w:val="0"/>
                <w:sz w:val="21"/>
                <w:szCs w:val="21"/>
                <w:lang w:val="en-US" w:eastAsia="zh-CN"/>
              </w:rPr>
              <w:t>2.</w:t>
            </w:r>
            <w:r>
              <w:rPr>
                <w:rFonts w:hint="eastAsia" w:ascii="仿宋_GB2312" w:hAnsi="仿宋_GB2312" w:eastAsia="仿宋_GB2312" w:cs="仿宋_GB2312"/>
                <w:i w:val="0"/>
                <w:iCs w:val="0"/>
                <w:caps w:val="0"/>
                <w:color w:val="auto"/>
                <w:spacing w:val="0"/>
                <w:sz w:val="21"/>
                <w:szCs w:val="21"/>
              </w:rPr>
              <w:t>配合市级完成老江坝作业区铁路专用线可行性研究报告初稿编制</w:t>
            </w:r>
            <w:r>
              <w:rPr>
                <w:rFonts w:hint="eastAsia" w:ascii="仿宋_GB2312" w:hAnsi="仿宋_GB2312" w:eastAsia="仿宋_GB2312" w:cs="仿宋_GB2312"/>
                <w:i w:val="0"/>
                <w:iCs w:val="0"/>
                <w:caps w:val="0"/>
                <w:color w:val="auto"/>
                <w:spacing w:val="0"/>
                <w:sz w:val="21"/>
                <w:szCs w:val="21"/>
                <w:lang w:eastAsia="zh-CN"/>
              </w:rPr>
              <w:t>。</w:t>
            </w:r>
          </w:p>
          <w:p w14:paraId="4850AF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aps w:val="0"/>
                <w:color w:val="auto"/>
                <w:spacing w:val="0"/>
                <w:sz w:val="21"/>
                <w:szCs w:val="21"/>
                <w:lang w:val="en-US" w:eastAsia="zh-CN"/>
              </w:rPr>
              <w:t>3.</w:t>
            </w:r>
            <w:r>
              <w:rPr>
                <w:rFonts w:hint="eastAsia" w:ascii="仿宋_GB2312" w:hAnsi="仿宋_GB2312" w:eastAsia="仿宋_GB2312" w:cs="仿宋_GB2312"/>
                <w:i w:val="0"/>
                <w:iCs w:val="0"/>
                <w:caps w:val="0"/>
                <w:color w:val="auto"/>
                <w:spacing w:val="0"/>
                <w:sz w:val="21"/>
                <w:szCs w:val="21"/>
              </w:rPr>
              <w:t>完成老江坝作业区货运港口项目预征地协议签订率100%以上。</w:t>
            </w:r>
          </w:p>
        </w:tc>
        <w:tc>
          <w:tcPr>
            <w:tcW w:w="1305" w:type="dxa"/>
            <w:vMerge w:val="continue"/>
            <w:noWrap w:val="0"/>
            <w:vAlign w:val="center"/>
          </w:tcPr>
          <w:p w14:paraId="58D41F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49A895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3B488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6AD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714" w:type="dxa"/>
            <w:vMerge w:val="continue"/>
            <w:noWrap w:val="0"/>
            <w:vAlign w:val="center"/>
          </w:tcPr>
          <w:p w14:paraId="522638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B5A5C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558A4A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5985F1D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1.</w:t>
            </w:r>
            <w:r>
              <w:rPr>
                <w:rFonts w:hint="eastAsia" w:ascii="仿宋_GB2312" w:hAnsi="仿宋_GB2312" w:eastAsia="仿宋_GB2312" w:cs="仿宋_GB2312"/>
                <w:i w:val="0"/>
                <w:iCs w:val="0"/>
                <w:caps w:val="0"/>
                <w:color w:val="auto"/>
                <w:spacing w:val="0"/>
                <w:sz w:val="21"/>
                <w:szCs w:val="21"/>
              </w:rPr>
              <w:t>配合市级推动老江坝作业区项目开工建设前期准备，初步构建“公铁水空”多式联运物流节点体系。</w:t>
            </w:r>
          </w:p>
          <w:p w14:paraId="0C9C93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2.</w:t>
            </w:r>
            <w:r>
              <w:rPr>
                <w:rFonts w:hint="eastAsia" w:ascii="仿宋_GB2312" w:hAnsi="仿宋_GB2312" w:eastAsia="仿宋_GB2312" w:cs="仿宋_GB2312"/>
                <w:i w:val="0"/>
                <w:iCs w:val="0"/>
                <w:caps w:val="0"/>
                <w:color w:val="auto"/>
                <w:spacing w:val="0"/>
                <w:sz w:val="21"/>
                <w:szCs w:val="21"/>
              </w:rPr>
              <w:t>启动机场高速五通桥段项目立项报批工作。</w:t>
            </w:r>
          </w:p>
          <w:p w14:paraId="60040D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aps w:val="0"/>
                <w:color w:val="auto"/>
                <w:spacing w:val="0"/>
                <w:sz w:val="21"/>
                <w:szCs w:val="21"/>
                <w:lang w:val="en-US" w:eastAsia="zh-CN"/>
              </w:rPr>
              <w:t>3.</w:t>
            </w:r>
            <w:r>
              <w:rPr>
                <w:rFonts w:hint="eastAsia" w:ascii="仿宋_GB2312" w:hAnsi="仿宋_GB2312" w:eastAsia="仿宋_GB2312" w:cs="仿宋_GB2312"/>
                <w:i w:val="0"/>
                <w:iCs w:val="0"/>
                <w:caps w:val="0"/>
                <w:color w:val="auto"/>
                <w:spacing w:val="0"/>
                <w:sz w:val="21"/>
                <w:szCs w:val="21"/>
              </w:rPr>
              <w:t>12月底前完成全年各项工作任务，物流节点网络体系初步形成。</w:t>
            </w:r>
          </w:p>
        </w:tc>
        <w:tc>
          <w:tcPr>
            <w:tcW w:w="1305" w:type="dxa"/>
            <w:vMerge w:val="continue"/>
            <w:noWrap w:val="0"/>
            <w:vAlign w:val="center"/>
          </w:tcPr>
          <w:p w14:paraId="539915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45182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B89F6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610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14" w:type="dxa"/>
            <w:vMerge w:val="restart"/>
            <w:noWrap w:val="0"/>
            <w:vAlign w:val="center"/>
          </w:tcPr>
          <w:p w14:paraId="0E4664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22</w:t>
            </w:r>
          </w:p>
        </w:tc>
        <w:tc>
          <w:tcPr>
            <w:tcW w:w="2742" w:type="dxa"/>
            <w:vMerge w:val="restart"/>
            <w:noWrap w:val="0"/>
            <w:vAlign w:val="center"/>
          </w:tcPr>
          <w:p w14:paraId="755981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加快国省干线重点项目建设，推动省道103线青五路、省道429线东风岷江特大桥尽早开工建设，提升区域综合交通枢纽能级。</w:t>
            </w:r>
          </w:p>
        </w:tc>
        <w:tc>
          <w:tcPr>
            <w:tcW w:w="330" w:type="dxa"/>
            <w:noWrap w:val="0"/>
            <w:vAlign w:val="center"/>
          </w:tcPr>
          <w:p w14:paraId="4132D7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4CDC90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1.配合市级主管部门完成103线青五路1期土地报建组卷工作。</w:t>
            </w:r>
          </w:p>
          <w:p w14:paraId="6E07B5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lang w:val="en-US" w:eastAsia="zh-CN"/>
              </w:rPr>
              <w:t>2.深化429线东风岷江特大桥设计，对接省市主管部门寻求政策支持。</w:t>
            </w:r>
          </w:p>
        </w:tc>
        <w:tc>
          <w:tcPr>
            <w:tcW w:w="1305" w:type="dxa"/>
            <w:vMerge w:val="restart"/>
            <w:noWrap w:val="0"/>
            <w:vAlign w:val="center"/>
          </w:tcPr>
          <w:p w14:paraId="51888B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4CCCB9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区交通运输局</w:t>
            </w:r>
          </w:p>
        </w:tc>
        <w:tc>
          <w:tcPr>
            <w:tcW w:w="2119" w:type="dxa"/>
            <w:vMerge w:val="restart"/>
            <w:noWrap w:val="0"/>
            <w:vAlign w:val="center"/>
          </w:tcPr>
          <w:p w14:paraId="46ED24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lang w:val="en-US" w:eastAsia="zh-CN"/>
              </w:rPr>
              <w:t>牛华镇、金山镇、金粟镇、西坝镇</w:t>
            </w:r>
          </w:p>
        </w:tc>
      </w:tr>
      <w:tr w14:paraId="008E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714" w:type="dxa"/>
            <w:vMerge w:val="continue"/>
            <w:noWrap w:val="0"/>
            <w:vAlign w:val="center"/>
          </w:tcPr>
          <w:p w14:paraId="6E1572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C5469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12765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3C845D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1.配合市级主管部门争取在6月底前取得青五路1期土地报建，并启动2期报建工作。</w:t>
            </w:r>
          </w:p>
          <w:p w14:paraId="1FD075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lang w:val="en-US" w:eastAsia="zh-CN"/>
              </w:rPr>
              <w:t>2.完成429线东风岷江特大桥利用桥沟码头作业区包装专项债筹备工作。</w:t>
            </w:r>
          </w:p>
        </w:tc>
        <w:tc>
          <w:tcPr>
            <w:tcW w:w="1305" w:type="dxa"/>
            <w:vMerge w:val="continue"/>
            <w:noWrap w:val="0"/>
            <w:vAlign w:val="center"/>
          </w:tcPr>
          <w:p w14:paraId="450417F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652D2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6E971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14D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14" w:type="dxa"/>
            <w:vMerge w:val="continue"/>
            <w:noWrap w:val="0"/>
            <w:vAlign w:val="center"/>
          </w:tcPr>
          <w:p w14:paraId="45F312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F2033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36C2F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66BD50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1.力争青五路1期实质性进场施工，完成2期报建工作。</w:t>
            </w:r>
          </w:p>
          <w:p w14:paraId="31C404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lang w:val="en-US" w:eastAsia="zh-CN"/>
              </w:rPr>
              <w:t>2.完成429线东风岷江特大桥专项债包装工作、完成报建相关组卷工作。</w:t>
            </w:r>
          </w:p>
        </w:tc>
        <w:tc>
          <w:tcPr>
            <w:tcW w:w="1305" w:type="dxa"/>
            <w:vMerge w:val="continue"/>
            <w:noWrap w:val="0"/>
            <w:vAlign w:val="center"/>
          </w:tcPr>
          <w:p w14:paraId="52EB96A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2B88B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84A4B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F8F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14" w:type="dxa"/>
            <w:vMerge w:val="continue"/>
            <w:noWrap w:val="0"/>
            <w:vAlign w:val="center"/>
          </w:tcPr>
          <w:p w14:paraId="242716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EB1E22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61200C5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A348C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s="仿宋_GB2312"/>
                <w:i w:val="0"/>
                <w:iCs w:val="0"/>
                <w:caps w:val="0"/>
                <w:color w:val="auto"/>
                <w:spacing w:val="0"/>
                <w:sz w:val="20"/>
                <w:szCs w:val="20"/>
                <w:lang w:eastAsia="zh-CN"/>
              </w:rPr>
            </w:pPr>
            <w:r>
              <w:rPr>
                <w:rFonts w:hint="eastAsia" w:ascii="仿宋_GB2312" w:hAnsi="宋体" w:eastAsia="仿宋_GB2312" w:cs="仿宋_GB2312"/>
                <w:i w:val="0"/>
                <w:iCs w:val="0"/>
                <w:caps w:val="0"/>
                <w:color w:val="auto"/>
                <w:spacing w:val="0"/>
                <w:sz w:val="20"/>
                <w:szCs w:val="20"/>
                <w:lang w:val="en-US" w:eastAsia="zh-CN"/>
              </w:rPr>
              <w:t>1.</w:t>
            </w:r>
            <w:r>
              <w:rPr>
                <w:rFonts w:ascii="仿宋_GB2312" w:hAnsi="宋体" w:eastAsia="仿宋_GB2312" w:cs="仿宋_GB2312"/>
                <w:i w:val="0"/>
                <w:iCs w:val="0"/>
                <w:caps w:val="0"/>
                <w:color w:val="auto"/>
                <w:spacing w:val="0"/>
                <w:sz w:val="20"/>
                <w:szCs w:val="20"/>
              </w:rPr>
              <w:t>完成青五路1期工程，推动2期进入施工阶段</w:t>
            </w:r>
            <w:r>
              <w:rPr>
                <w:rFonts w:hint="eastAsia" w:ascii="仿宋_GB2312" w:hAnsi="宋体" w:eastAsia="仿宋_GB2312" w:cs="仿宋_GB2312"/>
                <w:i w:val="0"/>
                <w:iCs w:val="0"/>
                <w:caps w:val="0"/>
                <w:color w:val="auto"/>
                <w:spacing w:val="0"/>
                <w:sz w:val="20"/>
                <w:szCs w:val="20"/>
                <w:lang w:eastAsia="zh-CN"/>
              </w:rPr>
              <w:t>。</w:t>
            </w:r>
          </w:p>
          <w:p w14:paraId="3CCE3E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ascii="仿宋_GB2312" w:hAnsi="宋体" w:eastAsia="仿宋_GB2312" w:cs="仿宋_GB2312"/>
                <w:i w:val="0"/>
                <w:iCs w:val="0"/>
                <w:caps w:val="0"/>
                <w:color w:val="auto"/>
                <w:spacing w:val="0"/>
                <w:sz w:val="20"/>
                <w:szCs w:val="20"/>
              </w:rPr>
            </w:pPr>
            <w:r>
              <w:rPr>
                <w:rFonts w:hint="eastAsia" w:ascii="仿宋_GB2312" w:hAnsi="宋体" w:eastAsia="仿宋_GB2312" w:cs="仿宋_GB2312"/>
                <w:i w:val="0"/>
                <w:iCs w:val="0"/>
                <w:caps w:val="0"/>
                <w:color w:val="auto"/>
                <w:spacing w:val="0"/>
                <w:sz w:val="20"/>
                <w:szCs w:val="20"/>
                <w:lang w:val="en-US" w:eastAsia="zh-CN"/>
              </w:rPr>
              <w:t>2.</w:t>
            </w:r>
            <w:r>
              <w:rPr>
                <w:rFonts w:ascii="仿宋_GB2312" w:hAnsi="宋体" w:eastAsia="仿宋_GB2312" w:cs="仿宋_GB2312"/>
                <w:i w:val="0"/>
                <w:iCs w:val="0"/>
                <w:caps w:val="0"/>
                <w:color w:val="auto"/>
                <w:spacing w:val="0"/>
                <w:sz w:val="20"/>
                <w:szCs w:val="20"/>
              </w:rPr>
              <w:t>力争完成429项目立项批复工作。</w:t>
            </w:r>
          </w:p>
          <w:p w14:paraId="596A13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宋体" w:eastAsia="仿宋_GB2312" w:cs="仿宋_GB2312"/>
                <w:i w:val="0"/>
                <w:iCs w:val="0"/>
                <w:caps w:val="0"/>
                <w:color w:val="auto"/>
                <w:spacing w:val="0"/>
                <w:sz w:val="20"/>
                <w:szCs w:val="20"/>
                <w:lang w:val="en-US" w:eastAsia="zh-CN"/>
              </w:rPr>
              <w:t>3.</w:t>
            </w:r>
            <w:r>
              <w:rPr>
                <w:rFonts w:ascii="仿宋_GB2312" w:hAnsi="宋体" w:eastAsia="仿宋_GB2312" w:cs="仿宋_GB2312"/>
                <w:i w:val="0"/>
                <w:iCs w:val="0"/>
                <w:caps w:val="0"/>
                <w:color w:val="auto"/>
                <w:spacing w:val="0"/>
                <w:sz w:val="20"/>
                <w:szCs w:val="20"/>
              </w:rPr>
              <w:t>全年工作结束后形成总体验收报告，梳理成效、短板，制定2027年工作推进计划。</w:t>
            </w:r>
          </w:p>
        </w:tc>
        <w:tc>
          <w:tcPr>
            <w:tcW w:w="1305" w:type="dxa"/>
            <w:vMerge w:val="continue"/>
            <w:noWrap w:val="0"/>
            <w:vAlign w:val="center"/>
          </w:tcPr>
          <w:p w14:paraId="4B57FB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0CB51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D1D06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C31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714" w:type="dxa"/>
            <w:vMerge w:val="restart"/>
            <w:noWrap w:val="0"/>
            <w:vAlign w:val="center"/>
          </w:tcPr>
          <w:p w14:paraId="65149E5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23</w:t>
            </w:r>
          </w:p>
        </w:tc>
        <w:tc>
          <w:tcPr>
            <w:tcW w:w="2742" w:type="dxa"/>
            <w:vMerge w:val="restart"/>
            <w:noWrap w:val="0"/>
            <w:vAlign w:val="center"/>
          </w:tcPr>
          <w:p w14:paraId="650BE0C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持续开展新技术、新品种、新装备示范推广，新建水稻千亩片3个、粮油百亩攻关方9个，聚力打造百亩超高产攻关片，粮食播面和产量分别稳定在19.48万亩、8.34万吨以上。</w:t>
            </w:r>
          </w:p>
        </w:tc>
        <w:tc>
          <w:tcPr>
            <w:tcW w:w="330" w:type="dxa"/>
            <w:noWrap w:val="0"/>
            <w:vAlign w:val="center"/>
          </w:tcPr>
          <w:p w14:paraId="137AEE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301D60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1.加强小春作物田间管理工作，指导全年粮食生产目标，做好农资储备、销售，强化春季农资市场监管，引导农户做好大春春耕备耕和播种相关工作。</w:t>
            </w:r>
          </w:p>
          <w:p w14:paraId="06E8B0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2.开展粮油作物重大品种推广行动，推动粮油作物大面积单产提升，确定3个省级水稻千亩高产展示片、9个粮油百亩攻关方、水稻及玉米新品种展示点位。</w:t>
            </w:r>
          </w:p>
        </w:tc>
        <w:tc>
          <w:tcPr>
            <w:tcW w:w="1305" w:type="dxa"/>
            <w:vMerge w:val="restart"/>
            <w:noWrap w:val="0"/>
            <w:vAlign w:val="center"/>
          </w:tcPr>
          <w:p w14:paraId="5AF4A3C6">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47A9E403">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4E1BA6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各镇</w:t>
            </w:r>
          </w:p>
        </w:tc>
      </w:tr>
      <w:tr w14:paraId="1690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714" w:type="dxa"/>
            <w:vMerge w:val="continue"/>
            <w:noWrap w:val="0"/>
            <w:vAlign w:val="center"/>
          </w:tcPr>
          <w:p w14:paraId="48F1C1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1E7C9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5EA2EF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0A50FAE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1.持续开展水稻、玉米、大豆等大春粮食作物播种，同时加强田间管理及技术指导。</w:t>
            </w:r>
          </w:p>
          <w:p w14:paraId="2D396A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2.小麦、豌胡豆等小春粮食作物完成收获。</w:t>
            </w:r>
          </w:p>
        </w:tc>
        <w:tc>
          <w:tcPr>
            <w:tcW w:w="1305" w:type="dxa"/>
            <w:vMerge w:val="continue"/>
            <w:noWrap w:val="0"/>
            <w:vAlign w:val="center"/>
          </w:tcPr>
          <w:p w14:paraId="162B176A">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continue"/>
            <w:noWrap w:val="0"/>
            <w:vAlign w:val="center"/>
          </w:tcPr>
          <w:p w14:paraId="2A76F27F">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2119" w:type="dxa"/>
            <w:vMerge w:val="continue"/>
            <w:noWrap w:val="0"/>
            <w:vAlign w:val="center"/>
          </w:tcPr>
          <w:p w14:paraId="6C17C2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24B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714" w:type="dxa"/>
            <w:vMerge w:val="continue"/>
            <w:noWrap w:val="0"/>
            <w:vAlign w:val="center"/>
          </w:tcPr>
          <w:p w14:paraId="6ED8AA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64788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747E28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6984D0E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1.大春粮食作物完成收获。</w:t>
            </w:r>
          </w:p>
          <w:p w14:paraId="4F66793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2.完成市下达粮食面积19.5万亩，产量8.34万吨任务，力争3个省级水稻千亩高产展示片平均亩产在700公斤以上，水稻百亩超高产攻关片产量超过820公斤/亩，带动全年粮食单产提升4公斤。</w:t>
            </w:r>
          </w:p>
        </w:tc>
        <w:tc>
          <w:tcPr>
            <w:tcW w:w="1305" w:type="dxa"/>
            <w:vMerge w:val="continue"/>
            <w:noWrap w:val="0"/>
            <w:vAlign w:val="center"/>
          </w:tcPr>
          <w:p w14:paraId="731A8F98">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continue"/>
            <w:noWrap w:val="0"/>
            <w:vAlign w:val="center"/>
          </w:tcPr>
          <w:p w14:paraId="438BC4FE">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2119" w:type="dxa"/>
            <w:vMerge w:val="continue"/>
            <w:noWrap w:val="0"/>
            <w:vAlign w:val="center"/>
          </w:tcPr>
          <w:p w14:paraId="7675DD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A3F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14" w:type="dxa"/>
            <w:vMerge w:val="continue"/>
            <w:noWrap w:val="0"/>
            <w:vAlign w:val="center"/>
          </w:tcPr>
          <w:p w14:paraId="190DC1E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3CB88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0EAC4D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6256E8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强化冬季农资市场监管，做好2027年小春粮食备耕播种工作。</w:t>
            </w:r>
          </w:p>
        </w:tc>
        <w:tc>
          <w:tcPr>
            <w:tcW w:w="1305" w:type="dxa"/>
            <w:vMerge w:val="continue"/>
            <w:noWrap w:val="0"/>
            <w:vAlign w:val="center"/>
          </w:tcPr>
          <w:p w14:paraId="6127D5F4">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continue"/>
            <w:noWrap w:val="0"/>
            <w:vAlign w:val="center"/>
          </w:tcPr>
          <w:p w14:paraId="356D8177">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2119" w:type="dxa"/>
            <w:vMerge w:val="continue"/>
            <w:noWrap w:val="0"/>
            <w:vAlign w:val="center"/>
          </w:tcPr>
          <w:p w14:paraId="664C73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CF7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714" w:type="dxa"/>
            <w:vMerge w:val="restart"/>
            <w:noWrap w:val="0"/>
            <w:vAlign w:val="center"/>
          </w:tcPr>
          <w:p w14:paraId="2D4DD5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24</w:t>
            </w:r>
          </w:p>
        </w:tc>
        <w:tc>
          <w:tcPr>
            <w:tcW w:w="2742" w:type="dxa"/>
            <w:vMerge w:val="restart"/>
            <w:noWrap w:val="0"/>
            <w:vAlign w:val="center"/>
          </w:tcPr>
          <w:p w14:paraId="138703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持续落实畜禽业产能稳定政策，引导闲置规模养殖户盘活复养，新建标准化生猪产能项目2个，年出栏生猪稳定在14.05万头以上。</w:t>
            </w:r>
          </w:p>
        </w:tc>
        <w:tc>
          <w:tcPr>
            <w:tcW w:w="330" w:type="dxa"/>
            <w:noWrap w:val="0"/>
            <w:vAlign w:val="center"/>
          </w:tcPr>
          <w:p w14:paraId="11B2CF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59C844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1.全面落实乐山市畜禽增产激励行动，做好政策宣传落实。</w:t>
            </w:r>
          </w:p>
          <w:p w14:paraId="7B2975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2.紧盯新建标准化生猪产能项目建设，牧云农业有限公司（二期）完成60%，锦禾瑞家庭农场生猪项目进度完成40%。</w:t>
            </w:r>
          </w:p>
          <w:p w14:paraId="102419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3.夯实动物疫病防控和安全生产工作，做好生猪有序出栏指导，预计一季度出栏生猪3.4万头。</w:t>
            </w:r>
          </w:p>
        </w:tc>
        <w:tc>
          <w:tcPr>
            <w:tcW w:w="1305" w:type="dxa"/>
            <w:vMerge w:val="restart"/>
            <w:noWrap w:val="0"/>
            <w:vAlign w:val="center"/>
          </w:tcPr>
          <w:p w14:paraId="79796F7C">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1E70181F">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0ACBF9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各镇</w:t>
            </w:r>
          </w:p>
        </w:tc>
      </w:tr>
      <w:tr w14:paraId="4A2B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714" w:type="dxa"/>
            <w:vMerge w:val="continue"/>
            <w:noWrap w:val="0"/>
            <w:vAlign w:val="center"/>
          </w:tcPr>
          <w:p w14:paraId="076513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8B404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9A6D1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089CAC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1.全面落实乐山市畜禽增产激励行动，做好政策宣传落实。</w:t>
            </w:r>
          </w:p>
          <w:p w14:paraId="78E237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2.紧盯新建标准化生猪产能项目建设，牧云农业有限公司（二期）完成100%，锦禾瑞家庭农场生猪项目进度完成80%。</w:t>
            </w:r>
          </w:p>
          <w:p w14:paraId="40BF51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3.夯实动物疫病防控和安全生产工作，做好生猪有序出栏指导，预计二季度出栏生猪6.8万头。</w:t>
            </w:r>
          </w:p>
        </w:tc>
        <w:tc>
          <w:tcPr>
            <w:tcW w:w="1305" w:type="dxa"/>
            <w:vMerge w:val="continue"/>
            <w:noWrap w:val="0"/>
            <w:vAlign w:val="center"/>
          </w:tcPr>
          <w:p w14:paraId="0CBE39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6577AE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55B9D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B3F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714" w:type="dxa"/>
            <w:vMerge w:val="continue"/>
            <w:noWrap w:val="0"/>
            <w:vAlign w:val="center"/>
          </w:tcPr>
          <w:p w14:paraId="1F041D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6B031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6120C9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145814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1.全面落实乐山市畜禽增产激励行动，做好政策宣传落实。</w:t>
            </w:r>
          </w:p>
          <w:p w14:paraId="40CF83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2.紧盯新建标准化生猪产能项目建设，牧云农业有限公司（二期）完成100%，锦禾瑞家庭农场生猪项目进度完成100%。</w:t>
            </w:r>
          </w:p>
          <w:p w14:paraId="35DDF3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3.夯实动物疫病防控和安全生产工作，做好生猪有序出栏指导，预计三季度出栏生猪9.8万头。</w:t>
            </w:r>
          </w:p>
        </w:tc>
        <w:tc>
          <w:tcPr>
            <w:tcW w:w="1305" w:type="dxa"/>
            <w:vMerge w:val="continue"/>
            <w:noWrap w:val="0"/>
            <w:vAlign w:val="center"/>
          </w:tcPr>
          <w:p w14:paraId="073C38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17537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4CDED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5DD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714" w:type="dxa"/>
            <w:vMerge w:val="continue"/>
            <w:noWrap w:val="0"/>
            <w:vAlign w:val="center"/>
          </w:tcPr>
          <w:p w14:paraId="57FEC8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094167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88529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090489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1.全面落实乐山市畜禽增产激励行动，做好政策宣传落实。</w:t>
            </w:r>
          </w:p>
          <w:p w14:paraId="76F4EB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2.紧盯新建标准化生猪产能项目建设，牧云农业有限公司（二期）完成100%，锦禾瑞家庭农场生猪项目进度完成100%。</w:t>
            </w:r>
          </w:p>
          <w:p w14:paraId="02FA2D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3.夯实动物疫病防控和安全生产工作，做好生猪有序出栏指导，预计四季度出栏生猪14.05万头。</w:t>
            </w:r>
          </w:p>
        </w:tc>
        <w:tc>
          <w:tcPr>
            <w:tcW w:w="1305" w:type="dxa"/>
            <w:vMerge w:val="continue"/>
            <w:noWrap w:val="0"/>
            <w:vAlign w:val="center"/>
          </w:tcPr>
          <w:p w14:paraId="1F17D4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1F3D2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5D9BB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442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14" w:type="dxa"/>
            <w:vMerge w:val="restart"/>
            <w:noWrap w:val="0"/>
            <w:vAlign w:val="center"/>
          </w:tcPr>
          <w:p w14:paraId="0B301D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25</w:t>
            </w:r>
          </w:p>
        </w:tc>
        <w:tc>
          <w:tcPr>
            <w:tcW w:w="2742" w:type="dxa"/>
            <w:vMerge w:val="restart"/>
            <w:noWrap w:val="0"/>
            <w:vAlign w:val="center"/>
          </w:tcPr>
          <w:p w14:paraId="782710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大力发展“公司+农户”订单式经营模式，服务中国麻辣烫之乡美食产业孵化园和西坝生姜加工厂加快投运见效，持续推进农业特色产业全链条贯通。</w:t>
            </w:r>
          </w:p>
        </w:tc>
        <w:tc>
          <w:tcPr>
            <w:tcW w:w="330" w:type="dxa"/>
            <w:noWrap w:val="0"/>
            <w:vAlign w:val="center"/>
          </w:tcPr>
          <w:p w14:paraId="23012A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rPr>
              <w:t>1</w:t>
            </w:r>
          </w:p>
        </w:tc>
        <w:tc>
          <w:tcPr>
            <w:tcW w:w="6750" w:type="dxa"/>
            <w:noWrap w:val="0"/>
            <w:vAlign w:val="center"/>
          </w:tcPr>
          <w:p w14:paraId="56F703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大力推进中国麻辣烫之乡美食产业孵化园和西坝生姜加工厂加工厂房建设和设备安装调试，做好试生产前期工作。</w:t>
            </w:r>
          </w:p>
        </w:tc>
        <w:tc>
          <w:tcPr>
            <w:tcW w:w="1305" w:type="dxa"/>
            <w:vMerge w:val="restart"/>
            <w:noWrap w:val="0"/>
            <w:vAlign w:val="center"/>
          </w:tcPr>
          <w:p w14:paraId="09FEF4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6C2ADE1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1E7DEE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区</w:t>
            </w:r>
            <w:r>
              <w:rPr>
                <w:rFonts w:hint="eastAsia" w:ascii="仿宋_GB2312" w:hAnsi="仿宋_GB2312" w:eastAsia="仿宋_GB2312" w:cs="仿宋_GB2312"/>
                <w:color w:val="000000"/>
                <w:sz w:val="21"/>
                <w:szCs w:val="21"/>
                <w:lang w:val="en-US" w:eastAsia="zh-CN"/>
              </w:rPr>
              <w:t>经济信息化</w:t>
            </w:r>
            <w:r>
              <w:rPr>
                <w:rFonts w:hint="eastAsia" w:ascii="仿宋_GB2312" w:hAnsi="仿宋_GB2312" w:eastAsia="仿宋_GB2312" w:cs="仿宋_GB2312"/>
                <w:color w:val="000000"/>
                <w:sz w:val="21"/>
                <w:szCs w:val="21"/>
                <w:lang w:eastAsia="zh-CN"/>
              </w:rPr>
              <w:t>局、五通桥生态环境局、区</w:t>
            </w:r>
            <w:r>
              <w:rPr>
                <w:rFonts w:hint="eastAsia" w:ascii="仿宋_GB2312" w:hAnsi="仿宋_GB2312" w:eastAsia="仿宋_GB2312" w:cs="仿宋_GB2312"/>
                <w:color w:val="000000"/>
                <w:sz w:val="21"/>
                <w:szCs w:val="21"/>
                <w:lang w:val="en-US" w:eastAsia="zh-CN"/>
              </w:rPr>
              <w:t>住房城乡建设</w:t>
            </w:r>
            <w:r>
              <w:rPr>
                <w:rFonts w:hint="eastAsia" w:ascii="仿宋_GB2312" w:hAnsi="仿宋_GB2312" w:eastAsia="仿宋_GB2312" w:cs="仿宋_GB2312"/>
                <w:color w:val="000000"/>
                <w:sz w:val="21"/>
                <w:szCs w:val="21"/>
                <w:lang w:eastAsia="zh-CN"/>
              </w:rPr>
              <w:t>局、区应急局、各镇</w:t>
            </w:r>
          </w:p>
        </w:tc>
      </w:tr>
      <w:tr w14:paraId="565B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14" w:type="dxa"/>
            <w:vMerge w:val="continue"/>
            <w:noWrap w:val="0"/>
            <w:vAlign w:val="center"/>
          </w:tcPr>
          <w:p w14:paraId="44BDFD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2742" w:type="dxa"/>
            <w:vMerge w:val="continue"/>
            <w:noWrap w:val="0"/>
            <w:vAlign w:val="center"/>
          </w:tcPr>
          <w:p w14:paraId="28DAB3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4913AA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017528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中国麻辣烫之乡美食产业孵化园完成全部建设工作，开始试生产，与金粟、牛华等开展订单农业相关工作。</w:t>
            </w:r>
          </w:p>
        </w:tc>
        <w:tc>
          <w:tcPr>
            <w:tcW w:w="1305" w:type="dxa"/>
            <w:vMerge w:val="continue"/>
            <w:noWrap w:val="0"/>
            <w:vAlign w:val="center"/>
          </w:tcPr>
          <w:p w14:paraId="572F721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1695" w:type="dxa"/>
            <w:vMerge w:val="continue"/>
            <w:noWrap w:val="0"/>
            <w:vAlign w:val="center"/>
          </w:tcPr>
          <w:p w14:paraId="476372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2119" w:type="dxa"/>
            <w:vMerge w:val="continue"/>
            <w:noWrap w:val="0"/>
            <w:vAlign w:val="center"/>
          </w:tcPr>
          <w:p w14:paraId="45F6BA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3E68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14" w:type="dxa"/>
            <w:vMerge w:val="continue"/>
            <w:noWrap w:val="0"/>
            <w:vAlign w:val="center"/>
          </w:tcPr>
          <w:p w14:paraId="705F9C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2742" w:type="dxa"/>
            <w:vMerge w:val="continue"/>
            <w:noWrap w:val="0"/>
            <w:vAlign w:val="center"/>
          </w:tcPr>
          <w:p w14:paraId="2302BB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34FCE8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574289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西坝生姜加工厂加工厂房完成全部建设内容并试生产，开展生姜、谷物等订单农业相关工作。</w:t>
            </w:r>
          </w:p>
        </w:tc>
        <w:tc>
          <w:tcPr>
            <w:tcW w:w="1305" w:type="dxa"/>
            <w:vMerge w:val="continue"/>
            <w:noWrap w:val="0"/>
            <w:vAlign w:val="center"/>
          </w:tcPr>
          <w:p w14:paraId="77AFF3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continue"/>
            <w:noWrap w:val="0"/>
            <w:vAlign w:val="center"/>
          </w:tcPr>
          <w:p w14:paraId="6E90D3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tc>
        <w:tc>
          <w:tcPr>
            <w:tcW w:w="2119" w:type="dxa"/>
            <w:vMerge w:val="continue"/>
            <w:noWrap w:val="0"/>
            <w:vAlign w:val="center"/>
          </w:tcPr>
          <w:p w14:paraId="5A8C3E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442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714" w:type="dxa"/>
            <w:vMerge w:val="continue"/>
            <w:noWrap w:val="0"/>
            <w:vAlign w:val="center"/>
          </w:tcPr>
          <w:p w14:paraId="1DBE08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2742" w:type="dxa"/>
            <w:vMerge w:val="continue"/>
            <w:noWrap w:val="0"/>
            <w:vAlign w:val="center"/>
          </w:tcPr>
          <w:p w14:paraId="54A0EE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16ADE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0EE656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完成订单农业协议签订，带动合作社、家庭农场、种植大户、村集体经济组织发展农业特色产业。</w:t>
            </w:r>
          </w:p>
        </w:tc>
        <w:tc>
          <w:tcPr>
            <w:tcW w:w="1305" w:type="dxa"/>
            <w:vMerge w:val="continue"/>
            <w:noWrap w:val="0"/>
            <w:vAlign w:val="center"/>
          </w:tcPr>
          <w:p w14:paraId="2E6B1CE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continue"/>
            <w:noWrap w:val="0"/>
            <w:vAlign w:val="center"/>
          </w:tcPr>
          <w:p w14:paraId="687E6F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tc>
        <w:tc>
          <w:tcPr>
            <w:tcW w:w="2119" w:type="dxa"/>
            <w:vMerge w:val="continue"/>
            <w:noWrap w:val="0"/>
            <w:vAlign w:val="center"/>
          </w:tcPr>
          <w:p w14:paraId="48C2225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D8A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14" w:type="dxa"/>
            <w:vMerge w:val="restart"/>
            <w:noWrap w:val="0"/>
            <w:vAlign w:val="center"/>
          </w:tcPr>
          <w:p w14:paraId="428FC8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26</w:t>
            </w:r>
          </w:p>
        </w:tc>
        <w:tc>
          <w:tcPr>
            <w:tcW w:w="2742" w:type="dxa"/>
            <w:vMerge w:val="restart"/>
            <w:noWrap w:val="0"/>
            <w:vAlign w:val="center"/>
          </w:tcPr>
          <w:p w14:paraId="43E8308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实施金粟蔬菜现代农业园区提升项目，力争创建为省三星级现代农业园区。</w:t>
            </w:r>
          </w:p>
        </w:tc>
        <w:tc>
          <w:tcPr>
            <w:tcW w:w="330" w:type="dxa"/>
            <w:noWrap w:val="0"/>
            <w:vAlign w:val="center"/>
          </w:tcPr>
          <w:p w14:paraId="57F7F8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w:t>
            </w:r>
          </w:p>
        </w:tc>
        <w:tc>
          <w:tcPr>
            <w:tcW w:w="6750" w:type="dxa"/>
            <w:noWrap w:val="0"/>
            <w:vAlign w:val="center"/>
          </w:tcPr>
          <w:p w14:paraId="57ECBD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完成金粟蔬菜园区规划修订，成立工作专班。</w:t>
            </w:r>
          </w:p>
        </w:tc>
        <w:tc>
          <w:tcPr>
            <w:tcW w:w="1305" w:type="dxa"/>
            <w:vMerge w:val="restart"/>
            <w:noWrap w:val="0"/>
            <w:vAlign w:val="center"/>
          </w:tcPr>
          <w:p w14:paraId="30927E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2AA78D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04CA98C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区自然资源局、区统计局、竹根镇、牛华镇、金粟镇、西坝镇、冠英镇</w:t>
            </w:r>
          </w:p>
        </w:tc>
      </w:tr>
      <w:tr w14:paraId="3954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4" w:type="dxa"/>
            <w:vMerge w:val="continue"/>
            <w:noWrap w:val="0"/>
            <w:vAlign w:val="center"/>
          </w:tcPr>
          <w:p w14:paraId="67BB2F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F2F468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E6489A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2</w:t>
            </w:r>
          </w:p>
        </w:tc>
        <w:tc>
          <w:tcPr>
            <w:tcW w:w="6750" w:type="dxa"/>
            <w:noWrap w:val="0"/>
            <w:vAlign w:val="center"/>
          </w:tcPr>
          <w:p w14:paraId="652E881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对照创建要求，建立工作任务清单，对标补短扎实推进。</w:t>
            </w:r>
          </w:p>
        </w:tc>
        <w:tc>
          <w:tcPr>
            <w:tcW w:w="1305" w:type="dxa"/>
            <w:vMerge w:val="continue"/>
            <w:noWrap w:val="0"/>
            <w:vAlign w:val="center"/>
          </w:tcPr>
          <w:p w14:paraId="76DB59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435E1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9DF97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235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4" w:type="dxa"/>
            <w:vMerge w:val="continue"/>
            <w:noWrap w:val="0"/>
            <w:vAlign w:val="center"/>
          </w:tcPr>
          <w:p w14:paraId="6CF62A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1F3FC1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5E4AEC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3</w:t>
            </w:r>
          </w:p>
        </w:tc>
        <w:tc>
          <w:tcPr>
            <w:tcW w:w="6750" w:type="dxa"/>
            <w:noWrap w:val="0"/>
            <w:vAlign w:val="center"/>
          </w:tcPr>
          <w:p w14:paraId="0F5782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完成相关补短工作，并积极对接沟通上级部门，做好创建资料收集整理。</w:t>
            </w:r>
          </w:p>
        </w:tc>
        <w:tc>
          <w:tcPr>
            <w:tcW w:w="1305" w:type="dxa"/>
            <w:vMerge w:val="continue"/>
            <w:noWrap w:val="0"/>
            <w:vAlign w:val="center"/>
          </w:tcPr>
          <w:p w14:paraId="3EEF883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DC28B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E6754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B7B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vMerge w:val="continue"/>
            <w:noWrap w:val="0"/>
            <w:vAlign w:val="center"/>
          </w:tcPr>
          <w:p w14:paraId="621073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621B7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06FB83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4</w:t>
            </w:r>
          </w:p>
        </w:tc>
        <w:tc>
          <w:tcPr>
            <w:tcW w:w="6750" w:type="dxa"/>
            <w:noWrap w:val="0"/>
            <w:vAlign w:val="center"/>
          </w:tcPr>
          <w:p w14:paraId="3A1E32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上报创建资料，做好迎检工作。</w:t>
            </w:r>
          </w:p>
        </w:tc>
        <w:tc>
          <w:tcPr>
            <w:tcW w:w="1305" w:type="dxa"/>
            <w:vMerge w:val="continue"/>
            <w:noWrap w:val="0"/>
            <w:vAlign w:val="center"/>
          </w:tcPr>
          <w:p w14:paraId="126BE5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0D0BA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4C8D3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E9A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714" w:type="dxa"/>
            <w:vMerge w:val="restart"/>
            <w:noWrap w:val="0"/>
            <w:vAlign w:val="center"/>
          </w:tcPr>
          <w:p w14:paraId="293048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27</w:t>
            </w:r>
          </w:p>
        </w:tc>
        <w:tc>
          <w:tcPr>
            <w:tcW w:w="2742" w:type="dxa"/>
            <w:vMerge w:val="restart"/>
            <w:noWrap w:val="0"/>
            <w:vAlign w:val="center"/>
          </w:tcPr>
          <w:p w14:paraId="71EA06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推动“蔡金泽泻”申报国家地理标志证明商标。</w:t>
            </w:r>
          </w:p>
        </w:tc>
        <w:tc>
          <w:tcPr>
            <w:tcW w:w="330" w:type="dxa"/>
            <w:noWrap w:val="0"/>
            <w:vAlign w:val="center"/>
          </w:tcPr>
          <w:p w14:paraId="7A2750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w:t>
            </w:r>
          </w:p>
        </w:tc>
        <w:tc>
          <w:tcPr>
            <w:tcW w:w="6750" w:type="dxa"/>
            <w:noWrap w:val="0"/>
            <w:vAlign w:val="center"/>
          </w:tcPr>
          <w:p w14:paraId="65D162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取得商标注册申请受理通知书。</w:t>
            </w:r>
          </w:p>
        </w:tc>
        <w:tc>
          <w:tcPr>
            <w:tcW w:w="1305" w:type="dxa"/>
            <w:vMerge w:val="restart"/>
            <w:noWrap w:val="0"/>
            <w:vAlign w:val="center"/>
          </w:tcPr>
          <w:p w14:paraId="58D925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257507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7E9D3E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蔡金镇</w:t>
            </w:r>
          </w:p>
        </w:tc>
      </w:tr>
      <w:tr w14:paraId="3C1D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793B15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ED36E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9688ED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2</w:t>
            </w:r>
          </w:p>
        </w:tc>
        <w:tc>
          <w:tcPr>
            <w:tcW w:w="6750" w:type="dxa"/>
            <w:noWrap w:val="0"/>
            <w:vAlign w:val="center"/>
          </w:tcPr>
          <w:p w14:paraId="13E1AD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等待国家知识产权局实质审查。</w:t>
            </w:r>
          </w:p>
        </w:tc>
        <w:tc>
          <w:tcPr>
            <w:tcW w:w="1305" w:type="dxa"/>
            <w:vMerge w:val="continue"/>
            <w:noWrap w:val="0"/>
            <w:vAlign w:val="center"/>
          </w:tcPr>
          <w:p w14:paraId="0BA6BB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B8065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8950D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067C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514875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3EF2A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2D15F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3</w:t>
            </w:r>
          </w:p>
        </w:tc>
        <w:tc>
          <w:tcPr>
            <w:tcW w:w="6750" w:type="dxa"/>
            <w:noWrap w:val="0"/>
            <w:vAlign w:val="center"/>
          </w:tcPr>
          <w:p w14:paraId="3839183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根据实质审查结果进行补正（答复），按期提交资料。</w:t>
            </w:r>
          </w:p>
        </w:tc>
        <w:tc>
          <w:tcPr>
            <w:tcW w:w="1305" w:type="dxa"/>
            <w:vMerge w:val="continue"/>
            <w:noWrap w:val="0"/>
            <w:vAlign w:val="center"/>
          </w:tcPr>
          <w:p w14:paraId="05B9ED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B8FA5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B4D2E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5A05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4" w:type="dxa"/>
            <w:vMerge w:val="continue"/>
            <w:noWrap w:val="0"/>
            <w:vAlign w:val="center"/>
          </w:tcPr>
          <w:p w14:paraId="614788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9F6C0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B1AE6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4</w:t>
            </w:r>
          </w:p>
        </w:tc>
        <w:tc>
          <w:tcPr>
            <w:tcW w:w="6750" w:type="dxa"/>
            <w:noWrap w:val="0"/>
            <w:vAlign w:val="center"/>
          </w:tcPr>
          <w:p w14:paraId="2458EC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实质审查通过后发布审定公告，接受社会异议。</w:t>
            </w:r>
          </w:p>
        </w:tc>
        <w:tc>
          <w:tcPr>
            <w:tcW w:w="1305" w:type="dxa"/>
            <w:vMerge w:val="continue"/>
            <w:noWrap w:val="0"/>
            <w:vAlign w:val="center"/>
          </w:tcPr>
          <w:p w14:paraId="2A01BE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5CB209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4740E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500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restart"/>
            <w:noWrap w:val="0"/>
            <w:vAlign w:val="center"/>
          </w:tcPr>
          <w:p w14:paraId="7ED90A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28</w:t>
            </w:r>
          </w:p>
        </w:tc>
        <w:tc>
          <w:tcPr>
            <w:tcW w:w="2742" w:type="dxa"/>
            <w:vMerge w:val="restart"/>
            <w:noWrap w:val="0"/>
            <w:vAlign w:val="center"/>
          </w:tcPr>
          <w:p w14:paraId="3DBEC5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持续完善强农惠农富农政策体系，推动村集体经济收入合理增长。</w:t>
            </w:r>
          </w:p>
        </w:tc>
        <w:tc>
          <w:tcPr>
            <w:tcW w:w="330" w:type="dxa"/>
            <w:noWrap w:val="0"/>
            <w:vAlign w:val="center"/>
          </w:tcPr>
          <w:p w14:paraId="0BF6D09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w:t>
            </w:r>
          </w:p>
        </w:tc>
        <w:tc>
          <w:tcPr>
            <w:tcW w:w="6750" w:type="dxa"/>
            <w:vMerge w:val="restart"/>
            <w:noWrap w:val="0"/>
            <w:vAlign w:val="center"/>
          </w:tcPr>
          <w:p w14:paraId="47623A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指导各镇积极争取中省扶持资金、项目资金等，加强对财务会计知识的业务培训。</w:t>
            </w:r>
          </w:p>
        </w:tc>
        <w:tc>
          <w:tcPr>
            <w:tcW w:w="1305" w:type="dxa"/>
            <w:vMerge w:val="restart"/>
            <w:noWrap w:val="0"/>
            <w:vAlign w:val="center"/>
          </w:tcPr>
          <w:p w14:paraId="272575A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528E94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5C1430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区委组织部、区财政局、各镇</w:t>
            </w:r>
          </w:p>
        </w:tc>
      </w:tr>
      <w:tr w14:paraId="164A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7C6E4E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A5897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829309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2</w:t>
            </w:r>
          </w:p>
        </w:tc>
        <w:tc>
          <w:tcPr>
            <w:tcW w:w="6750" w:type="dxa"/>
            <w:vMerge w:val="continue"/>
            <w:noWrap w:val="0"/>
            <w:vAlign w:val="center"/>
          </w:tcPr>
          <w:p w14:paraId="3AE749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1305" w:type="dxa"/>
            <w:vMerge w:val="continue"/>
            <w:noWrap w:val="0"/>
            <w:vAlign w:val="center"/>
          </w:tcPr>
          <w:p w14:paraId="5FB906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18C40C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F7C229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0E8F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11CDBB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FC799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00FF15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3</w:t>
            </w:r>
          </w:p>
        </w:tc>
        <w:tc>
          <w:tcPr>
            <w:tcW w:w="6750" w:type="dxa"/>
            <w:vMerge w:val="restart"/>
            <w:noWrap w:val="0"/>
            <w:vAlign w:val="center"/>
          </w:tcPr>
          <w:p w14:paraId="230226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指导各村盘活农村集体“三资</w:t>
            </w:r>
            <w:r>
              <w:rPr>
                <w:rFonts w:hint="default"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val="en-US" w:eastAsia="zh-CN"/>
              </w:rPr>
              <w:t>，吸引业主通过股份合作、资源合作、资金入股、租赁等经营模式参与农村集体经济发展，进一步发展壮大集体经济。</w:t>
            </w:r>
          </w:p>
        </w:tc>
        <w:tc>
          <w:tcPr>
            <w:tcW w:w="1305" w:type="dxa"/>
            <w:vMerge w:val="continue"/>
            <w:noWrap w:val="0"/>
            <w:vAlign w:val="center"/>
          </w:tcPr>
          <w:p w14:paraId="4176CF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09C5A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C1080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3E7C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05E619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8558F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234495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4</w:t>
            </w:r>
          </w:p>
        </w:tc>
        <w:tc>
          <w:tcPr>
            <w:tcW w:w="6750" w:type="dxa"/>
            <w:vMerge w:val="continue"/>
            <w:noWrap w:val="0"/>
            <w:vAlign w:val="center"/>
          </w:tcPr>
          <w:p w14:paraId="43BA4D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p>
        </w:tc>
        <w:tc>
          <w:tcPr>
            <w:tcW w:w="1305" w:type="dxa"/>
            <w:vMerge w:val="continue"/>
            <w:noWrap w:val="0"/>
            <w:vAlign w:val="center"/>
          </w:tcPr>
          <w:p w14:paraId="2829D2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3738E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D8A75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44AE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14" w:type="dxa"/>
            <w:vMerge w:val="restart"/>
            <w:noWrap w:val="0"/>
            <w:vAlign w:val="center"/>
          </w:tcPr>
          <w:p w14:paraId="26CB15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29</w:t>
            </w:r>
          </w:p>
        </w:tc>
        <w:tc>
          <w:tcPr>
            <w:tcW w:w="2742" w:type="dxa"/>
            <w:vMerge w:val="restart"/>
            <w:noWrap w:val="0"/>
            <w:vAlign w:val="center"/>
          </w:tcPr>
          <w:p w14:paraId="5BE0D8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深入学习运用“千万工程”经验，启动“一村一规划一图一方案”编制，新打造省级宜居宜业和美乡村样板村2个、补短村12个。</w:t>
            </w:r>
          </w:p>
        </w:tc>
        <w:tc>
          <w:tcPr>
            <w:tcW w:w="330" w:type="dxa"/>
            <w:noWrap w:val="0"/>
            <w:vAlign w:val="center"/>
          </w:tcPr>
          <w:p w14:paraId="62D974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05ECE6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tl w:val="0"/>
                <w:lang w:val="en-US" w:eastAsia="zh-CN"/>
              </w:rPr>
              <w:t>确定省级宜居宜业和美乡村样板村2个、补短村12个名单，启动项目方案编制。</w:t>
            </w:r>
          </w:p>
        </w:tc>
        <w:tc>
          <w:tcPr>
            <w:tcW w:w="1305" w:type="dxa"/>
            <w:vMerge w:val="restart"/>
            <w:noWrap w:val="0"/>
            <w:vAlign w:val="center"/>
          </w:tcPr>
          <w:p w14:paraId="1333F2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337D74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7252CF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各镇</w:t>
            </w:r>
          </w:p>
        </w:tc>
      </w:tr>
      <w:tr w14:paraId="6095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76AD4A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3D5B1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AA55E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2A0796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tl w:val="0"/>
                <w:lang w:val="en-US" w:eastAsia="zh-CN"/>
              </w:rPr>
              <w:t>根据《</w:t>
            </w:r>
            <w:r>
              <w:rPr>
                <w:rFonts w:hint="default" w:ascii="仿宋_GB2312" w:hAnsi="仿宋_GB2312" w:eastAsia="仿宋_GB2312" w:cs="仿宋_GB2312"/>
                <w:color w:val="000000"/>
                <w:sz w:val="21"/>
                <w:szCs w:val="21"/>
                <w:rtl w:val="0"/>
                <w:lang w:val="en-US" w:eastAsia="zh-CN"/>
              </w:rPr>
              <w:t>四川省宜居宜业和美乡村建设筹资方案</w:t>
            </w:r>
            <w:r>
              <w:rPr>
                <w:rFonts w:hint="eastAsia" w:ascii="仿宋_GB2312" w:hAnsi="仿宋_GB2312" w:eastAsia="仿宋_GB2312" w:cs="仿宋_GB2312"/>
                <w:color w:val="000000"/>
                <w:sz w:val="21"/>
                <w:szCs w:val="21"/>
                <w:rtl w:val="0"/>
                <w:lang w:val="en-US" w:eastAsia="zh-CN"/>
              </w:rPr>
              <w:t>》要求，</w:t>
            </w:r>
            <w:r>
              <w:rPr>
                <w:rFonts w:hint="default" w:ascii="仿宋_GB2312" w:hAnsi="仿宋_GB2312" w:eastAsia="仿宋_GB2312" w:cs="仿宋_GB2312"/>
                <w:color w:val="000000"/>
                <w:sz w:val="21"/>
                <w:szCs w:val="21"/>
                <w:rtl w:val="0"/>
                <w:lang w:val="en-US" w:eastAsia="zh-CN"/>
              </w:rPr>
              <w:t>整合不同领域涉农资金集中补短</w:t>
            </w:r>
            <w:r>
              <w:rPr>
                <w:rFonts w:hint="eastAsia" w:ascii="仿宋_GB2312" w:hAnsi="仿宋_GB2312" w:eastAsia="仿宋_GB2312" w:cs="仿宋_GB2312"/>
                <w:color w:val="000000"/>
                <w:sz w:val="21"/>
                <w:szCs w:val="21"/>
                <w:rtl w:val="0"/>
                <w:lang w:val="en-US" w:eastAsia="zh-CN"/>
              </w:rPr>
              <w:t>，完成项目方案编制，全力推进项目实施。</w:t>
            </w:r>
          </w:p>
        </w:tc>
        <w:tc>
          <w:tcPr>
            <w:tcW w:w="1305" w:type="dxa"/>
            <w:vMerge w:val="continue"/>
            <w:noWrap w:val="0"/>
            <w:vAlign w:val="center"/>
          </w:tcPr>
          <w:p w14:paraId="0A25B6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B75CC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501CB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67B5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714" w:type="dxa"/>
            <w:vMerge w:val="continue"/>
            <w:noWrap w:val="0"/>
            <w:vAlign w:val="center"/>
          </w:tcPr>
          <w:p w14:paraId="06B420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0221E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3501A6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287891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tl w:val="0"/>
                <w:lang w:val="en-US" w:eastAsia="zh-CN"/>
              </w:rPr>
              <w:t>加强项目进度调度，全力</w:t>
            </w:r>
            <w:r>
              <w:rPr>
                <w:rFonts w:hint="default" w:ascii="仿宋_GB2312" w:hAnsi="仿宋_GB2312" w:eastAsia="仿宋_GB2312" w:cs="仿宋_GB2312"/>
                <w:color w:val="000000"/>
                <w:sz w:val="21"/>
                <w:szCs w:val="21"/>
                <w:rtl w:val="0"/>
                <w:lang w:val="en-US" w:eastAsia="zh-CN"/>
              </w:rPr>
              <w:t>加快</w:t>
            </w:r>
            <w:r>
              <w:rPr>
                <w:rFonts w:hint="eastAsia" w:ascii="仿宋_GB2312" w:hAnsi="仿宋_GB2312" w:eastAsia="仿宋_GB2312" w:cs="仿宋_GB2312"/>
                <w:color w:val="000000"/>
                <w:sz w:val="21"/>
                <w:szCs w:val="21"/>
                <w:rtl w:val="0"/>
                <w:lang w:val="en-US" w:eastAsia="zh-CN"/>
              </w:rPr>
              <w:t>实施</w:t>
            </w:r>
            <w:r>
              <w:rPr>
                <w:rFonts w:hint="default" w:ascii="仿宋_GB2312" w:hAnsi="仿宋_GB2312" w:eastAsia="仿宋_GB2312" w:cs="仿宋_GB2312"/>
                <w:color w:val="000000"/>
                <w:sz w:val="21"/>
                <w:szCs w:val="21"/>
                <w:rtl w:val="0"/>
                <w:lang w:val="en-US" w:eastAsia="zh-CN"/>
              </w:rPr>
              <w:t>项目建设</w:t>
            </w:r>
            <w:r>
              <w:rPr>
                <w:rFonts w:hint="eastAsia" w:ascii="仿宋_GB2312" w:hAnsi="仿宋_GB2312" w:eastAsia="仿宋_GB2312" w:cs="仿宋_GB2312"/>
                <w:color w:val="000000"/>
                <w:sz w:val="21"/>
                <w:szCs w:val="21"/>
                <w:rtl w:val="0"/>
                <w:lang w:val="en-US" w:eastAsia="zh-CN"/>
              </w:rPr>
              <w:t>，力争样板村、补短村项目完工率达到80%。</w:t>
            </w:r>
          </w:p>
        </w:tc>
        <w:tc>
          <w:tcPr>
            <w:tcW w:w="1305" w:type="dxa"/>
            <w:vMerge w:val="continue"/>
            <w:noWrap w:val="0"/>
            <w:vAlign w:val="center"/>
          </w:tcPr>
          <w:p w14:paraId="248901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7AD9B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0012B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754D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4" w:type="dxa"/>
            <w:vMerge w:val="continue"/>
            <w:noWrap w:val="0"/>
            <w:vAlign w:val="center"/>
          </w:tcPr>
          <w:p w14:paraId="599A3D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2BD04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38772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795F95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tl w:val="0"/>
                <w:lang w:val="en-US" w:eastAsia="zh-CN"/>
              </w:rPr>
              <w:t>全面完成项目建设，开展和美乡村建设成效评估，并通过市级评估验收。</w:t>
            </w:r>
          </w:p>
        </w:tc>
        <w:tc>
          <w:tcPr>
            <w:tcW w:w="1305" w:type="dxa"/>
            <w:vMerge w:val="continue"/>
            <w:noWrap w:val="0"/>
            <w:vAlign w:val="center"/>
          </w:tcPr>
          <w:p w14:paraId="60D546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AAA7E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A8993E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6560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4" w:type="dxa"/>
            <w:vMerge w:val="restart"/>
            <w:noWrap w:val="0"/>
            <w:vAlign w:val="center"/>
          </w:tcPr>
          <w:p w14:paraId="24A41C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701A6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C35CE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DD47233">
            <w:pPr>
              <w:pStyle w:val="3"/>
              <w:rPr>
                <w:rFonts w:hint="eastAsia" w:ascii="仿宋_GB2312" w:hAnsi="仿宋_GB2312" w:eastAsia="仿宋_GB2312" w:cs="仿宋_GB2312"/>
                <w:color w:val="000000"/>
                <w:sz w:val="21"/>
                <w:szCs w:val="21"/>
                <w:lang w:val="en-US" w:eastAsia="zh-CN"/>
              </w:rPr>
            </w:pPr>
          </w:p>
          <w:p w14:paraId="13582C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30</w:t>
            </w:r>
          </w:p>
          <w:p w14:paraId="01365330">
            <w:pPr>
              <w:rPr>
                <w:rFonts w:hint="eastAsia" w:ascii="仿宋_GB2312" w:hAnsi="仿宋_GB2312" w:eastAsia="仿宋_GB2312" w:cs="仿宋_GB2312"/>
                <w:color w:val="000000"/>
                <w:sz w:val="21"/>
                <w:szCs w:val="21"/>
                <w:lang w:val="en-US" w:eastAsia="zh-CN"/>
              </w:rPr>
            </w:pPr>
          </w:p>
          <w:p w14:paraId="0CD1084E">
            <w:pPr>
              <w:pStyle w:val="3"/>
              <w:rPr>
                <w:rFonts w:hint="eastAsia" w:ascii="仿宋_GB2312" w:hAnsi="仿宋_GB2312" w:eastAsia="仿宋_GB2312" w:cs="仿宋_GB2312"/>
                <w:color w:val="000000"/>
                <w:sz w:val="21"/>
                <w:szCs w:val="21"/>
                <w:lang w:val="en-US" w:eastAsia="zh-CN"/>
              </w:rPr>
            </w:pPr>
          </w:p>
          <w:p w14:paraId="716C7D80">
            <w:pPr>
              <w:rPr>
                <w:rFonts w:hint="eastAsia" w:ascii="仿宋_GB2312" w:hAnsi="仿宋_GB2312" w:eastAsia="仿宋_GB2312" w:cs="仿宋_GB2312"/>
                <w:color w:val="000000"/>
                <w:sz w:val="21"/>
                <w:szCs w:val="21"/>
                <w:lang w:val="en-US" w:eastAsia="zh-CN"/>
              </w:rPr>
            </w:pPr>
          </w:p>
          <w:p w14:paraId="1827395F">
            <w:pPr>
              <w:pStyle w:val="3"/>
              <w:rPr>
                <w:rFonts w:hint="eastAsia" w:ascii="仿宋_GB2312" w:hAnsi="仿宋_GB2312" w:eastAsia="仿宋_GB2312" w:cs="仿宋_GB2312"/>
                <w:color w:val="000000"/>
                <w:sz w:val="21"/>
                <w:szCs w:val="21"/>
                <w:lang w:val="en-US" w:eastAsia="zh-CN"/>
              </w:rPr>
            </w:pPr>
          </w:p>
          <w:p w14:paraId="75C350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4CA5F1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30</w:t>
            </w:r>
          </w:p>
          <w:p w14:paraId="37B680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2742" w:type="dxa"/>
            <w:vMerge w:val="restart"/>
            <w:noWrap w:val="0"/>
            <w:vAlign w:val="center"/>
          </w:tcPr>
          <w:p w14:paraId="50D45B1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0AD6EC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7E9624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5B0ACF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3CEA7B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推进“两街两厂两镇”历史文化传承保护，加快推进牛华特色美食街区和两河口历史文化保护街区改造升级，实施盐厂旧址整治更新，焕新打造永利川厂国家工业遗产旅游基地、桫椤峡谷、西坝古镇等高品质文旅景观带，构建联动发展的文旅集聚区。</w:t>
            </w:r>
          </w:p>
          <w:p w14:paraId="1BFA3C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6708D7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2F09B0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推进“两街两厂两镇”历史文化传承保护，加快推进牛华特色美食街区和两河口历史文化保护街区改造升级，实施盐厂旧址整治更新，焕新打造永利川厂国家工业遗产旅游基地、桫椤峡谷、西坝古镇等高品质文旅景观带，构建联动发展的文旅集聚区。</w:t>
            </w:r>
          </w:p>
        </w:tc>
        <w:tc>
          <w:tcPr>
            <w:tcW w:w="330" w:type="dxa"/>
            <w:noWrap w:val="0"/>
            <w:vAlign w:val="center"/>
          </w:tcPr>
          <w:p w14:paraId="22A537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6750" w:type="dxa"/>
            <w:noWrap w:val="0"/>
            <w:vAlign w:val="center"/>
          </w:tcPr>
          <w:p w14:paraId="47E1C6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1.加快推进宝庆街、牛华镇项目建设，完成总工程量的90%，完成花盐街锁龙巷节点施工招标挂网。</w:t>
            </w:r>
          </w:p>
          <w:p w14:paraId="05D895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2.盐厂老旧小区改造部分完成工程量的60%，新建商业部分完成方案调整。</w:t>
            </w:r>
          </w:p>
          <w:p w14:paraId="213D06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3.永利川厂修改完善总体策划方案，做好专项债申报前期工作。</w:t>
            </w:r>
          </w:p>
          <w:p w14:paraId="2A8F676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4.桫椤峡谷完成初步设计初稿，西坝古镇开展初步设计。</w:t>
            </w:r>
          </w:p>
        </w:tc>
        <w:tc>
          <w:tcPr>
            <w:tcW w:w="1305" w:type="dxa"/>
            <w:vMerge w:val="restart"/>
            <w:noWrap w:val="0"/>
            <w:vAlign w:val="center"/>
          </w:tcPr>
          <w:p w14:paraId="57A907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7759E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B8CB5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567A4C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476D26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6EE523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77EF3D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p w14:paraId="4D91C2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5F65D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95335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D2337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5F549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C77C4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07C6D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A22DA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28D90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BE3EF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88734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7E504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p w14:paraId="748B3D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restart"/>
            <w:noWrap w:val="0"/>
            <w:vAlign w:val="center"/>
          </w:tcPr>
          <w:p w14:paraId="505FDB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089E7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E3119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5210183">
            <w:pPr>
              <w:pStyle w:val="3"/>
              <w:ind w:left="0" w:leftChars="0" w:firstLine="0" w:firstLineChars="0"/>
              <w:rPr>
                <w:rFonts w:hint="eastAsia"/>
                <w:lang w:eastAsia="zh-CN"/>
              </w:rPr>
            </w:pPr>
          </w:p>
          <w:p w14:paraId="76CAC8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区文广体育</w:t>
            </w:r>
          </w:p>
          <w:p w14:paraId="5CCCA5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旅游局</w:t>
            </w:r>
          </w:p>
          <w:p w14:paraId="7A3B9B1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6622BE8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FA03A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4B81F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2F10BF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DA563F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D3079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FE808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3E3C8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EE98B4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0370F63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区文广体育</w:t>
            </w:r>
          </w:p>
          <w:p w14:paraId="157C745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旅游局</w:t>
            </w:r>
          </w:p>
          <w:p w14:paraId="1A9276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restart"/>
            <w:noWrap w:val="0"/>
            <w:vAlign w:val="center"/>
          </w:tcPr>
          <w:p w14:paraId="3A55F55E">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5BAE5490">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583F6FFE">
            <w:pPr>
              <w:pStyle w:val="3"/>
              <w:ind w:left="0" w:leftChars="0" w:firstLine="0" w:firstLineChars="0"/>
              <w:rPr>
                <w:rFonts w:hint="eastAsia"/>
                <w:lang w:val="en-US" w:eastAsia="zh-CN"/>
              </w:rPr>
            </w:pPr>
          </w:p>
          <w:p w14:paraId="19524432">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区住房城乡建设局、区</w:t>
            </w:r>
            <w:r>
              <w:rPr>
                <w:rFonts w:hint="eastAsia" w:ascii="仿宋_GB2312" w:hAnsi="仿宋_GB2312" w:eastAsia="仿宋_GB2312" w:cs="仿宋_GB2312"/>
                <w:color w:val="000000"/>
                <w:sz w:val="21"/>
                <w:szCs w:val="21"/>
              </w:rPr>
              <w:t>国资</w:t>
            </w:r>
            <w:r>
              <w:rPr>
                <w:rFonts w:hint="eastAsia" w:ascii="仿宋_GB2312" w:hAnsi="仿宋_GB2312" w:eastAsia="仿宋_GB2312" w:cs="仿宋_GB2312"/>
                <w:color w:val="000000"/>
                <w:sz w:val="21"/>
                <w:szCs w:val="21"/>
                <w:lang w:val="en-US" w:eastAsia="zh-CN"/>
              </w:rPr>
              <w:t>局、</w:t>
            </w:r>
            <w:r>
              <w:rPr>
                <w:rFonts w:hint="eastAsia" w:ascii="仿宋_GB2312" w:hAnsi="仿宋_GB2312" w:eastAsia="仿宋_GB2312" w:cs="仿宋_GB2312"/>
                <w:color w:val="000000"/>
                <w:sz w:val="21"/>
                <w:szCs w:val="21"/>
              </w:rPr>
              <w:t>竹根</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rPr>
              <w:t>牛华</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金粟</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rPr>
              <w:t>西坝</w:t>
            </w:r>
            <w:r>
              <w:rPr>
                <w:rFonts w:hint="eastAsia" w:ascii="仿宋_GB2312" w:hAnsi="仿宋_GB2312" w:eastAsia="仿宋_GB2312" w:cs="仿宋_GB2312"/>
                <w:color w:val="000000"/>
                <w:sz w:val="21"/>
                <w:szCs w:val="21"/>
                <w:lang w:val="en-US" w:eastAsia="zh-CN"/>
              </w:rPr>
              <w:t>镇</w:t>
            </w:r>
          </w:p>
          <w:p w14:paraId="1B676363">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32479C03">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6A71AC0C">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27E0FC6F">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5697E6A9">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3F447A48">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71FD11D6">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1FD6F3B6">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06A144E4">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区住房城乡建设局、区</w:t>
            </w:r>
            <w:r>
              <w:rPr>
                <w:rFonts w:hint="eastAsia" w:ascii="仿宋_GB2312" w:hAnsi="仿宋_GB2312" w:eastAsia="仿宋_GB2312" w:cs="仿宋_GB2312"/>
                <w:color w:val="000000"/>
                <w:sz w:val="21"/>
                <w:szCs w:val="21"/>
              </w:rPr>
              <w:t>国资</w:t>
            </w:r>
            <w:r>
              <w:rPr>
                <w:rFonts w:hint="eastAsia" w:ascii="仿宋_GB2312" w:hAnsi="仿宋_GB2312" w:eastAsia="仿宋_GB2312" w:cs="仿宋_GB2312"/>
                <w:color w:val="000000"/>
                <w:sz w:val="21"/>
                <w:szCs w:val="21"/>
                <w:lang w:val="en-US" w:eastAsia="zh-CN"/>
              </w:rPr>
              <w:t>局、</w:t>
            </w:r>
            <w:r>
              <w:rPr>
                <w:rFonts w:hint="eastAsia" w:ascii="仿宋_GB2312" w:hAnsi="仿宋_GB2312" w:eastAsia="仿宋_GB2312" w:cs="仿宋_GB2312"/>
                <w:color w:val="000000"/>
                <w:sz w:val="21"/>
                <w:szCs w:val="21"/>
              </w:rPr>
              <w:t>竹根</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rPr>
              <w:t>牛华</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金粟</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rPr>
              <w:t>西坝</w:t>
            </w:r>
            <w:r>
              <w:rPr>
                <w:rFonts w:hint="eastAsia" w:ascii="仿宋_GB2312" w:hAnsi="仿宋_GB2312" w:eastAsia="仿宋_GB2312" w:cs="仿宋_GB2312"/>
                <w:color w:val="000000"/>
                <w:sz w:val="21"/>
                <w:szCs w:val="21"/>
                <w:lang w:val="en-US" w:eastAsia="zh-CN"/>
              </w:rPr>
              <w:t>镇</w:t>
            </w:r>
          </w:p>
          <w:p w14:paraId="5BBA5F73">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476C2C1A">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rPr>
            </w:pPr>
          </w:p>
        </w:tc>
      </w:tr>
      <w:tr w14:paraId="3F2C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3EF3583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3B0AF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71F146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6750" w:type="dxa"/>
            <w:noWrap w:val="0"/>
            <w:vAlign w:val="center"/>
          </w:tcPr>
          <w:p w14:paraId="288FC9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1.完成宝庆街、牛华镇项目建设，完成花盐街整体修缮方案施工图设计，锁龙巷节点进场施工。</w:t>
            </w:r>
          </w:p>
          <w:p w14:paraId="037F441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2.盐厂老旧小区改造部分完成工程量的80%，新建商业部分完成施工招标。</w:t>
            </w:r>
          </w:p>
          <w:p w14:paraId="565518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3.永利川厂完成专项债申报，开展考古调查，策划方案报规委会审议。</w:t>
            </w:r>
          </w:p>
          <w:p w14:paraId="1EB8E3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4.桫椤峡谷开展施工图设计，西坝古镇完成施工招标。</w:t>
            </w:r>
          </w:p>
        </w:tc>
        <w:tc>
          <w:tcPr>
            <w:tcW w:w="1305" w:type="dxa"/>
            <w:vMerge w:val="continue"/>
            <w:noWrap w:val="0"/>
            <w:vAlign w:val="center"/>
          </w:tcPr>
          <w:p w14:paraId="3A9E4E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2EDE1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01C5E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5FC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14" w:type="dxa"/>
            <w:vMerge w:val="continue"/>
            <w:noWrap w:val="0"/>
            <w:vAlign w:val="center"/>
          </w:tcPr>
          <w:p w14:paraId="57F720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E6B93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F1007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6750" w:type="dxa"/>
            <w:noWrap w:val="0"/>
            <w:vAlign w:val="center"/>
          </w:tcPr>
          <w:p w14:paraId="01A4140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1.花盐街锁龙巷节点完工，完成花盐街整体修缮完成工程预算。</w:t>
            </w:r>
          </w:p>
          <w:p w14:paraId="5DE6415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2.盐厂老旧小区改造部分完成工程量的90%，新建商业部分进场施工。</w:t>
            </w:r>
          </w:p>
          <w:p w14:paraId="5E21DAF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3.永利川厂策划方案报省文物局审批，同步开展深化设计。</w:t>
            </w:r>
          </w:p>
          <w:p w14:paraId="13869E6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4.桫椤峡谷完成施工招标，西坝古镇推进施工作业。</w:t>
            </w:r>
          </w:p>
        </w:tc>
        <w:tc>
          <w:tcPr>
            <w:tcW w:w="1305" w:type="dxa"/>
            <w:vMerge w:val="continue"/>
            <w:noWrap w:val="0"/>
            <w:vAlign w:val="center"/>
          </w:tcPr>
          <w:p w14:paraId="2E4D7B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7CE7CD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93FD8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C7C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14" w:type="dxa"/>
            <w:vMerge w:val="continue"/>
            <w:noWrap w:val="0"/>
            <w:vAlign w:val="center"/>
          </w:tcPr>
          <w:p w14:paraId="08342C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01048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15C829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6750" w:type="dxa"/>
            <w:noWrap w:val="0"/>
            <w:vAlign w:val="center"/>
          </w:tcPr>
          <w:p w14:paraId="18A2D9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1.花盐街锁龙巷节点施工基本完工，成花盐街整体修缮进场施工。</w:t>
            </w:r>
          </w:p>
          <w:p w14:paraId="7E98A6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2.盐厂老旧小区改造部分完工，新建商业部分推进施工作业。</w:t>
            </w:r>
          </w:p>
          <w:p w14:paraId="358448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3.永利川厂启动重点文物保护单位修缮。</w:t>
            </w:r>
          </w:p>
          <w:p w14:paraId="1D1604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4.桫椤峡谷、西坝古镇推进施工作业。</w:t>
            </w:r>
          </w:p>
        </w:tc>
        <w:tc>
          <w:tcPr>
            <w:tcW w:w="1305" w:type="dxa"/>
            <w:vMerge w:val="continue"/>
            <w:noWrap w:val="0"/>
            <w:vAlign w:val="center"/>
          </w:tcPr>
          <w:p w14:paraId="6D41B5A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C8FA0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02367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F8A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14" w:type="dxa"/>
            <w:vMerge w:val="restart"/>
            <w:noWrap w:val="0"/>
            <w:vAlign w:val="center"/>
          </w:tcPr>
          <w:p w14:paraId="5549CA8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31</w:t>
            </w:r>
          </w:p>
        </w:tc>
        <w:tc>
          <w:tcPr>
            <w:tcW w:w="2742" w:type="dxa"/>
            <w:vMerge w:val="restart"/>
            <w:noWrap w:val="0"/>
            <w:vAlign w:val="center"/>
          </w:tcPr>
          <w:p w14:paraId="3BA58B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活化历史文化资源，培育一批具有较强吸引力、行业影响力和地方特色的文化品牌、美食品牌与节庆品牌，推动“德昌源”桥牌豆腐乳制作工艺申报国家级非遗，接续举办龙舟文化展演、“小西湖之秋”文艺展演等系列活动，持续擦亮“千年盐城”“美丽小西湖”“中国麻辣烫发源地”三张名片。</w:t>
            </w:r>
          </w:p>
        </w:tc>
        <w:tc>
          <w:tcPr>
            <w:tcW w:w="330" w:type="dxa"/>
            <w:noWrap w:val="0"/>
            <w:vAlign w:val="center"/>
          </w:tcPr>
          <w:p w14:paraId="6B4694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5E86E3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1.常态化开展“佑君讲坛”公益品牌讲座。</w:t>
            </w:r>
          </w:p>
          <w:p w14:paraId="7E413B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2.完成申报书核心模块编制，系统梳理传承谱系、历史渊源、核心技艺等关键内容。</w:t>
            </w:r>
          </w:p>
          <w:p w14:paraId="3E7B3C7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3.加强与中国龙舟协会的对接，确定2026年全国龙舟锦标赛承办权，做好相关筹备工作。</w:t>
            </w:r>
          </w:p>
        </w:tc>
        <w:tc>
          <w:tcPr>
            <w:tcW w:w="1305" w:type="dxa"/>
            <w:vMerge w:val="restart"/>
            <w:noWrap w:val="0"/>
            <w:vAlign w:val="center"/>
          </w:tcPr>
          <w:p w14:paraId="267282C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653ACE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区文广体育</w:t>
            </w:r>
          </w:p>
          <w:p w14:paraId="472001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旅游局</w:t>
            </w:r>
          </w:p>
        </w:tc>
        <w:tc>
          <w:tcPr>
            <w:tcW w:w="2119" w:type="dxa"/>
            <w:vMerge w:val="restart"/>
            <w:noWrap w:val="0"/>
            <w:vAlign w:val="center"/>
          </w:tcPr>
          <w:p w14:paraId="5318AE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全国龙舟锦标赛各成员单位、西坝镇</w:t>
            </w:r>
          </w:p>
        </w:tc>
      </w:tr>
      <w:tr w14:paraId="5ED2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14" w:type="dxa"/>
            <w:vMerge w:val="continue"/>
            <w:noWrap w:val="0"/>
            <w:vAlign w:val="center"/>
          </w:tcPr>
          <w:p w14:paraId="3444B14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4EAB2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99764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D2BB08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1.五通桥盐文化博物馆正式开馆后，举办桥盐课堂”公益品牌讲座。</w:t>
            </w:r>
          </w:p>
          <w:p w14:paraId="79FEBCC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启动非遗工坊建设，按规划推进古法流程操作长廊等功能区域施工</w:t>
            </w:r>
            <w:r>
              <w:rPr>
                <w:rFonts w:hint="eastAsia" w:ascii="仿宋_GB2312" w:hAnsi="仿宋_GB2312" w:eastAsia="仿宋_GB2312" w:cs="仿宋_GB2312"/>
                <w:color w:val="000000"/>
                <w:sz w:val="21"/>
                <w:szCs w:val="21"/>
                <w:lang w:eastAsia="zh-CN"/>
              </w:rPr>
              <w:t>。</w:t>
            </w:r>
          </w:p>
          <w:p w14:paraId="3F7FD8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3.圆满办好2026年全国龙舟锦标赛。</w:t>
            </w:r>
          </w:p>
        </w:tc>
        <w:tc>
          <w:tcPr>
            <w:tcW w:w="1305" w:type="dxa"/>
            <w:vMerge w:val="continue"/>
            <w:noWrap w:val="0"/>
            <w:vAlign w:val="center"/>
          </w:tcPr>
          <w:p w14:paraId="33E64D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9F594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B8334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6F3A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714" w:type="dxa"/>
            <w:vMerge w:val="continue"/>
            <w:noWrap w:val="0"/>
            <w:vAlign w:val="center"/>
          </w:tcPr>
          <w:p w14:paraId="0DB51A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3E1077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09599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0C0426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1.开展“小西湖之秋”文艺展演、“麻辣滚烫·美味绽放”国庆中秋系列品牌活动前期筹备工作。</w:t>
            </w:r>
          </w:p>
          <w:p w14:paraId="570F535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竣工并验收非遗工坊，完成展示空间布置及相关配套设施完善</w:t>
            </w:r>
            <w:r>
              <w:rPr>
                <w:rFonts w:hint="eastAsia" w:ascii="仿宋_GB2312" w:hAnsi="仿宋_GB2312" w:eastAsia="仿宋_GB2312" w:cs="仿宋_GB2312"/>
                <w:color w:val="000000"/>
                <w:sz w:val="21"/>
                <w:szCs w:val="21"/>
                <w:lang w:eastAsia="zh-CN"/>
              </w:rPr>
              <w:t>。</w:t>
            </w:r>
          </w:p>
          <w:p w14:paraId="5B0516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启动申报片摄制工作，记录技艺流程、传承人实操、工坊实景等核心内容</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5EC4F47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349EA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86609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701B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14" w:type="dxa"/>
            <w:vMerge w:val="continue"/>
            <w:noWrap w:val="0"/>
            <w:vAlign w:val="center"/>
          </w:tcPr>
          <w:p w14:paraId="1B9911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F2EDA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29890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0639E5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1.举办“小西湖之秋”文艺展演、“麻辣滚烫·美味绽放”国庆中秋系列品牌活动。                                       </w:t>
            </w:r>
          </w:p>
          <w:p w14:paraId="49B3F90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开展申报答辩预演</w:t>
            </w:r>
            <w:r>
              <w:rPr>
                <w:rFonts w:hint="eastAsia" w:ascii="仿宋_GB2312" w:hAnsi="仿宋_GB2312" w:eastAsia="仿宋_GB2312" w:cs="仿宋_GB2312"/>
                <w:color w:val="000000"/>
                <w:sz w:val="21"/>
                <w:szCs w:val="21"/>
                <w:lang w:val="en-US" w:eastAsia="zh-CN"/>
              </w:rPr>
              <w:t>,完成</w:t>
            </w:r>
            <w:r>
              <w:rPr>
                <w:rFonts w:hint="eastAsia" w:ascii="仿宋_GB2312" w:hAnsi="仿宋_GB2312" w:eastAsia="仿宋_GB2312" w:cs="仿宋_GB2312"/>
                <w:color w:val="000000"/>
                <w:sz w:val="21"/>
                <w:szCs w:val="21"/>
                <w:lang w:eastAsia="zh-CN"/>
              </w:rPr>
              <w:t>后续审核工作。</w:t>
            </w:r>
          </w:p>
        </w:tc>
        <w:tc>
          <w:tcPr>
            <w:tcW w:w="1305" w:type="dxa"/>
            <w:vMerge w:val="continue"/>
            <w:noWrap w:val="0"/>
            <w:vAlign w:val="center"/>
          </w:tcPr>
          <w:p w14:paraId="64D9C0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5951D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D2C29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745F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4" w:type="dxa"/>
            <w:vMerge w:val="restart"/>
            <w:noWrap w:val="0"/>
            <w:vAlign w:val="center"/>
          </w:tcPr>
          <w:p w14:paraId="6CCE1D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32</w:t>
            </w:r>
          </w:p>
        </w:tc>
        <w:tc>
          <w:tcPr>
            <w:tcW w:w="2742" w:type="dxa"/>
            <w:vMerge w:val="restart"/>
            <w:noWrap w:val="0"/>
            <w:vAlign w:val="center"/>
          </w:tcPr>
          <w:p w14:paraId="4C8955EF">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实施文化创新重点任务三年行动，加快文化资源向文化产业转化，围绕盐文化、龙舟文化、美食文化开发一批特色主题旅游线路和文旅产品，围绕“吃住行游购娱”完善消费场景和服务设施，提高中高端服务接待能力，培育文旅消费新增长点。</w:t>
            </w:r>
          </w:p>
        </w:tc>
        <w:tc>
          <w:tcPr>
            <w:tcW w:w="330" w:type="dxa"/>
            <w:noWrap w:val="0"/>
            <w:vAlign w:val="center"/>
          </w:tcPr>
          <w:p w14:paraId="24CD326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w:t>
            </w:r>
          </w:p>
        </w:tc>
        <w:tc>
          <w:tcPr>
            <w:tcW w:w="6750" w:type="dxa"/>
            <w:noWrap w:val="0"/>
            <w:vAlign w:val="center"/>
          </w:tcPr>
          <w:p w14:paraId="340A239B">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结合</w:t>
            </w:r>
            <w:r>
              <w:rPr>
                <w:rFonts w:hint="eastAsia" w:ascii="仿宋_GB2312" w:hAnsi="仿宋_GB2312" w:eastAsia="仿宋_GB2312" w:cs="仿宋_GB2312"/>
                <w:color w:val="000000"/>
                <w:sz w:val="21"/>
                <w:szCs w:val="21"/>
                <w:lang w:val="en-US" w:eastAsia="zh-CN"/>
              </w:rPr>
              <w:t>五通桥</w:t>
            </w:r>
            <w:r>
              <w:rPr>
                <w:rFonts w:hint="eastAsia" w:ascii="仿宋_GB2312" w:hAnsi="仿宋_GB2312" w:eastAsia="仿宋_GB2312" w:cs="仿宋_GB2312"/>
                <w:color w:val="000000"/>
                <w:sz w:val="21"/>
                <w:szCs w:val="21"/>
              </w:rPr>
              <w:t>盐文化博物馆，围绕盐文化开发特色主题旅游线路</w:t>
            </w:r>
            <w:r>
              <w:rPr>
                <w:rFonts w:hint="eastAsia" w:ascii="仿宋_GB2312" w:hAnsi="仿宋_GB2312" w:eastAsia="仿宋_GB2312" w:cs="仿宋_GB2312"/>
                <w:color w:val="000000"/>
                <w:sz w:val="21"/>
                <w:szCs w:val="21"/>
                <w:lang w:val="en-US" w:eastAsia="zh-CN"/>
              </w:rPr>
              <w:t>及文创产品。</w:t>
            </w:r>
          </w:p>
        </w:tc>
        <w:tc>
          <w:tcPr>
            <w:tcW w:w="1305" w:type="dxa"/>
            <w:vMerge w:val="restart"/>
            <w:noWrap w:val="0"/>
            <w:vAlign w:val="center"/>
          </w:tcPr>
          <w:p w14:paraId="2A8005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2986E5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区文广体育</w:t>
            </w:r>
          </w:p>
          <w:p w14:paraId="1FFB56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旅游局</w:t>
            </w:r>
          </w:p>
        </w:tc>
        <w:tc>
          <w:tcPr>
            <w:tcW w:w="2119" w:type="dxa"/>
            <w:vMerge w:val="restart"/>
            <w:noWrap w:val="0"/>
            <w:vAlign w:val="center"/>
          </w:tcPr>
          <w:p w14:paraId="27E94108">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牛华镇</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西坝镇</w:t>
            </w:r>
          </w:p>
        </w:tc>
      </w:tr>
      <w:tr w14:paraId="623A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714" w:type="dxa"/>
            <w:vMerge w:val="continue"/>
            <w:noWrap w:val="0"/>
            <w:vAlign w:val="center"/>
          </w:tcPr>
          <w:p w14:paraId="7ABF3A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6AB2BA8">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4F8A5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2</w:t>
            </w:r>
          </w:p>
        </w:tc>
        <w:tc>
          <w:tcPr>
            <w:tcW w:w="6750" w:type="dxa"/>
            <w:noWrap w:val="0"/>
            <w:vAlign w:val="center"/>
          </w:tcPr>
          <w:p w14:paraId="76D04B9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结合</w:t>
            </w:r>
            <w:r>
              <w:rPr>
                <w:rFonts w:hint="eastAsia" w:ascii="仿宋_GB2312" w:hAnsi="仿宋_GB2312" w:eastAsia="仿宋_GB2312" w:cs="仿宋_GB2312"/>
                <w:color w:val="000000"/>
                <w:sz w:val="21"/>
                <w:szCs w:val="21"/>
                <w:lang w:val="en-US" w:eastAsia="zh-CN"/>
              </w:rPr>
              <w:t>全国龙舟锦标赛</w:t>
            </w:r>
            <w:r>
              <w:rPr>
                <w:rFonts w:hint="eastAsia" w:ascii="仿宋_GB2312" w:hAnsi="仿宋_GB2312" w:eastAsia="仿宋_GB2312" w:cs="仿宋_GB2312"/>
                <w:color w:val="000000"/>
                <w:sz w:val="21"/>
                <w:szCs w:val="21"/>
              </w:rPr>
              <w:t>，围绕龙舟文化开发特色主题旅游线路</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70BDF51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9E202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E9697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A3E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14" w:type="dxa"/>
            <w:vMerge w:val="continue"/>
            <w:noWrap w:val="0"/>
            <w:vAlign w:val="center"/>
          </w:tcPr>
          <w:p w14:paraId="5AA3F9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5CE8DFF">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37408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3</w:t>
            </w:r>
          </w:p>
        </w:tc>
        <w:tc>
          <w:tcPr>
            <w:tcW w:w="6750" w:type="dxa"/>
            <w:noWrap w:val="0"/>
            <w:vAlign w:val="center"/>
          </w:tcPr>
          <w:p w14:paraId="0550FCC4">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结合牛华</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麻辣滚烫·美味绽放</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及</w:t>
            </w:r>
            <w:r>
              <w:rPr>
                <w:rFonts w:hint="eastAsia" w:ascii="仿宋_GB2312" w:hAnsi="仿宋_GB2312" w:eastAsia="仿宋_GB2312" w:cs="仿宋_GB2312"/>
                <w:color w:val="000000"/>
                <w:sz w:val="21"/>
                <w:szCs w:val="21"/>
              </w:rPr>
              <w:t>西坝特色文旅活动，围绕美食文化开发特色主题旅游线路</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164087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9EEEEC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9994D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3DB9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14" w:type="dxa"/>
            <w:vMerge w:val="continue"/>
            <w:noWrap w:val="0"/>
            <w:vAlign w:val="center"/>
          </w:tcPr>
          <w:p w14:paraId="6A89E1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252CACE">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15C45D1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4</w:t>
            </w:r>
          </w:p>
        </w:tc>
        <w:tc>
          <w:tcPr>
            <w:tcW w:w="6750" w:type="dxa"/>
            <w:noWrap w:val="0"/>
            <w:vAlign w:val="center"/>
          </w:tcPr>
          <w:p w14:paraId="1F44F13D">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完善宝庆街、牛华美食街区消费场景</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0B47DA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308D6E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00597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3BD5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14" w:type="dxa"/>
            <w:vMerge w:val="restart"/>
            <w:noWrap w:val="0"/>
            <w:vAlign w:val="center"/>
          </w:tcPr>
          <w:p w14:paraId="2718563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33</w:t>
            </w:r>
          </w:p>
        </w:tc>
        <w:tc>
          <w:tcPr>
            <w:tcW w:w="2742" w:type="dxa"/>
            <w:vMerge w:val="restart"/>
            <w:noWrap w:val="0"/>
            <w:vAlign w:val="center"/>
          </w:tcPr>
          <w:p w14:paraId="1443C779">
            <w:pPr>
              <w:keepNext w:val="0"/>
              <w:keepLines w:val="0"/>
              <w:pageBreakBefore w:val="0"/>
              <w:widowControl/>
              <w:suppressLineNumbers w:val="0"/>
              <w:kinsoku/>
              <w:wordWrap/>
              <w:overflowPunct/>
              <w:topLinePunct w:val="0"/>
              <w:autoSpaceDE/>
              <w:autoSpaceDN/>
              <w:bidi w:val="0"/>
              <w:adjustRightInd/>
              <w:snapToGrid/>
              <w:spacing w:line="250" w:lineRule="exact"/>
              <w:ind w:firstLine="0" w:firstLineChars="0"/>
              <w:jc w:val="both"/>
              <w:textAlignment w:val="center"/>
              <w:rPr>
                <w:rFonts w:hint="eastAsia" w:ascii="仿宋_GB2312" w:hAnsi="仿宋_GB2312" w:eastAsia="仿宋_GB2312" w:cs="仿宋_GB2312"/>
                <w:color w:val="000000"/>
                <w:sz w:val="21"/>
                <w:szCs w:val="21"/>
              </w:rPr>
            </w:pPr>
            <w:r>
              <w:rPr>
                <w:rFonts w:hint="eastAsia" w:ascii="仿宋_GB2312" w:hAnsi="宋体" w:eastAsia="仿宋_GB2312" w:cs="仿宋_GB2312"/>
                <w:i w:val="0"/>
                <w:color w:val="000000"/>
                <w:kern w:val="0"/>
                <w:sz w:val="21"/>
                <w:szCs w:val="21"/>
                <w:u w:val="none"/>
                <w:lang w:val="en-US" w:eastAsia="zh-CN" w:bidi="ar"/>
              </w:rPr>
              <w:t>落实人口高质量发展9条措施，加大城区基础设施适老化、宜幼化改造，扩大托育供给。</w:t>
            </w:r>
          </w:p>
        </w:tc>
        <w:tc>
          <w:tcPr>
            <w:tcW w:w="330" w:type="dxa"/>
            <w:noWrap w:val="0"/>
            <w:vAlign w:val="center"/>
          </w:tcPr>
          <w:p w14:paraId="3670D2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25FD6AB2">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做好一季度育儿补贴发放。</w:t>
            </w:r>
          </w:p>
          <w:p w14:paraId="76B9B6E2">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依程序对符合条件的托育机构开展普惠托育认定工作；完成</w:t>
            </w:r>
            <w:r>
              <w:rPr>
                <w:rFonts w:hint="eastAsia" w:ascii="仿宋_GB2312" w:hAnsi="仿宋_GB2312" w:eastAsia="仿宋_GB2312" w:cs="仿宋_GB2312"/>
                <w:color w:val="auto"/>
                <w:sz w:val="21"/>
                <w:szCs w:val="21"/>
                <w:highlight w:val="none"/>
                <w:lang w:val="en-US" w:eastAsia="zh-CN"/>
              </w:rPr>
              <w:t>2家托育机构约90个托位认定。</w:t>
            </w:r>
          </w:p>
          <w:p w14:paraId="627B72E6">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启动开展</w:t>
            </w:r>
            <w:r>
              <w:rPr>
                <w:rFonts w:hint="eastAsia" w:ascii="仿宋_GB2312" w:hAnsi="仿宋_GB2312" w:eastAsia="仿宋_GB2312" w:cs="仿宋_GB2312"/>
                <w:color w:val="auto"/>
                <w:sz w:val="21"/>
                <w:szCs w:val="21"/>
                <w:highlight w:val="none"/>
                <w:lang w:val="en-US" w:eastAsia="zh-CN"/>
              </w:rPr>
              <w:t>65岁及以上老年健康免费体检工作，完成全年8%体检任务。</w:t>
            </w:r>
          </w:p>
        </w:tc>
        <w:tc>
          <w:tcPr>
            <w:tcW w:w="1305" w:type="dxa"/>
            <w:vMerge w:val="restart"/>
            <w:noWrap w:val="0"/>
            <w:vAlign w:val="center"/>
          </w:tcPr>
          <w:p w14:paraId="3B1A2F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tc>
        <w:tc>
          <w:tcPr>
            <w:tcW w:w="1695" w:type="dxa"/>
            <w:vMerge w:val="restart"/>
            <w:noWrap w:val="0"/>
            <w:vAlign w:val="center"/>
          </w:tcPr>
          <w:p w14:paraId="01A568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区</w:t>
            </w:r>
            <w:r>
              <w:rPr>
                <w:rFonts w:hint="eastAsia" w:ascii="仿宋_GB2312" w:hAnsi="仿宋_GB2312" w:eastAsia="仿宋_GB2312" w:cs="仿宋_GB2312"/>
                <w:color w:val="000000"/>
                <w:sz w:val="21"/>
                <w:szCs w:val="21"/>
                <w:lang w:val="en-US" w:eastAsia="zh-CN"/>
              </w:rPr>
              <w:t>卫生健康</w:t>
            </w:r>
            <w:r>
              <w:rPr>
                <w:rFonts w:hint="eastAsia" w:ascii="仿宋_GB2312" w:hAnsi="仿宋_GB2312" w:eastAsia="仿宋_GB2312" w:cs="仿宋_GB2312"/>
                <w:color w:val="000000"/>
                <w:sz w:val="21"/>
                <w:szCs w:val="21"/>
                <w:lang w:eastAsia="zh-CN"/>
              </w:rPr>
              <w:t>局</w:t>
            </w:r>
          </w:p>
        </w:tc>
        <w:tc>
          <w:tcPr>
            <w:tcW w:w="2119" w:type="dxa"/>
            <w:vMerge w:val="restart"/>
            <w:noWrap w:val="0"/>
            <w:vAlign w:val="center"/>
          </w:tcPr>
          <w:p w14:paraId="61FA2D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eastAsia="zh-CN"/>
              </w:rPr>
              <w:t>区教育局、</w:t>
            </w:r>
            <w:r>
              <w:rPr>
                <w:rFonts w:hint="eastAsia" w:ascii="仿宋_GB2312" w:hAnsi="仿宋_GB2312" w:eastAsia="仿宋_GB2312" w:cs="仿宋_GB2312"/>
                <w:color w:val="000000"/>
                <w:sz w:val="21"/>
                <w:szCs w:val="21"/>
                <w:lang w:val="en-US" w:eastAsia="zh-CN"/>
              </w:rPr>
              <w:t>区住房城乡建设局、</w:t>
            </w:r>
            <w:r>
              <w:rPr>
                <w:rFonts w:hint="eastAsia" w:ascii="仿宋_GB2312" w:hAnsi="仿宋_GB2312" w:eastAsia="仿宋_GB2312" w:cs="仿宋_GB2312"/>
                <w:color w:val="auto"/>
                <w:sz w:val="21"/>
                <w:szCs w:val="21"/>
                <w:highlight w:val="none"/>
                <w:lang w:eastAsia="zh-CN"/>
              </w:rPr>
              <w:t>区市场监管局、各镇人民政府</w:t>
            </w:r>
          </w:p>
        </w:tc>
      </w:tr>
      <w:tr w14:paraId="220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14" w:type="dxa"/>
            <w:vMerge w:val="continue"/>
            <w:noWrap w:val="0"/>
            <w:vAlign w:val="center"/>
          </w:tcPr>
          <w:p w14:paraId="06D12E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4ADF7AC">
            <w:pPr>
              <w:keepNext w:val="0"/>
              <w:keepLines w:val="0"/>
              <w:pageBreakBefore w:val="0"/>
              <w:widowControl/>
              <w:suppressLineNumbers w:val="0"/>
              <w:kinsoku/>
              <w:wordWrap/>
              <w:overflowPunct/>
              <w:topLinePunct w:val="0"/>
              <w:autoSpaceDE/>
              <w:autoSpaceDN/>
              <w:bidi w:val="0"/>
              <w:adjustRightInd/>
              <w:snapToGrid/>
              <w:spacing w:line="250" w:lineRule="exact"/>
              <w:ind w:firstLine="0" w:firstLineChars="0"/>
              <w:jc w:val="both"/>
              <w:textAlignment w:val="center"/>
              <w:rPr>
                <w:rFonts w:hint="eastAsia" w:ascii="仿宋_GB2312" w:hAnsi="仿宋_GB2312" w:eastAsia="仿宋_GB2312" w:cs="仿宋_GB2312"/>
                <w:color w:val="000000"/>
                <w:sz w:val="21"/>
                <w:szCs w:val="21"/>
              </w:rPr>
            </w:pPr>
          </w:p>
        </w:tc>
        <w:tc>
          <w:tcPr>
            <w:tcW w:w="330" w:type="dxa"/>
            <w:noWrap w:val="0"/>
            <w:vAlign w:val="center"/>
          </w:tcPr>
          <w:p w14:paraId="04FADF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6A50FF75">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做好二季度育儿补贴发放。</w:t>
            </w:r>
          </w:p>
          <w:p w14:paraId="1ADC498A">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继续开展</w:t>
            </w:r>
            <w:r>
              <w:rPr>
                <w:rFonts w:hint="eastAsia" w:ascii="仿宋_GB2312" w:hAnsi="仿宋_GB2312" w:eastAsia="仿宋_GB2312" w:cs="仿宋_GB2312"/>
                <w:color w:val="auto"/>
                <w:sz w:val="21"/>
                <w:szCs w:val="21"/>
                <w:highlight w:val="none"/>
                <w:lang w:val="en-US" w:eastAsia="zh-CN"/>
              </w:rPr>
              <w:t>65岁及以上老年健康免费体检工作，完成全年65%体检任务。</w:t>
            </w:r>
          </w:p>
        </w:tc>
        <w:tc>
          <w:tcPr>
            <w:tcW w:w="1305" w:type="dxa"/>
            <w:vMerge w:val="continue"/>
            <w:noWrap w:val="0"/>
            <w:vAlign w:val="center"/>
          </w:tcPr>
          <w:p w14:paraId="78CA045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2A3AD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E371A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23C7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14" w:type="dxa"/>
            <w:vMerge w:val="continue"/>
            <w:noWrap w:val="0"/>
            <w:vAlign w:val="center"/>
          </w:tcPr>
          <w:p w14:paraId="4E2993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8B1D7BD">
            <w:pPr>
              <w:keepNext w:val="0"/>
              <w:keepLines w:val="0"/>
              <w:pageBreakBefore w:val="0"/>
              <w:widowControl/>
              <w:suppressLineNumbers w:val="0"/>
              <w:kinsoku/>
              <w:wordWrap/>
              <w:overflowPunct/>
              <w:topLinePunct w:val="0"/>
              <w:autoSpaceDE/>
              <w:autoSpaceDN/>
              <w:bidi w:val="0"/>
              <w:adjustRightInd/>
              <w:snapToGrid/>
              <w:spacing w:line="250" w:lineRule="exact"/>
              <w:ind w:firstLine="0" w:firstLineChars="0"/>
              <w:jc w:val="both"/>
              <w:textAlignment w:val="center"/>
              <w:rPr>
                <w:rFonts w:hint="eastAsia" w:ascii="仿宋_GB2312" w:hAnsi="仿宋_GB2312" w:eastAsia="仿宋_GB2312" w:cs="仿宋_GB2312"/>
                <w:color w:val="000000"/>
                <w:sz w:val="21"/>
                <w:szCs w:val="21"/>
              </w:rPr>
            </w:pPr>
          </w:p>
        </w:tc>
        <w:tc>
          <w:tcPr>
            <w:tcW w:w="330" w:type="dxa"/>
            <w:noWrap w:val="0"/>
            <w:vAlign w:val="center"/>
          </w:tcPr>
          <w:p w14:paraId="69E465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7CE7AF54">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做好三季度育儿补贴发放。</w:t>
            </w:r>
          </w:p>
          <w:p w14:paraId="62479760">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继续开展</w:t>
            </w:r>
            <w:r>
              <w:rPr>
                <w:rFonts w:hint="eastAsia" w:ascii="仿宋_GB2312" w:hAnsi="仿宋_GB2312" w:eastAsia="仿宋_GB2312" w:cs="仿宋_GB2312"/>
                <w:color w:val="auto"/>
                <w:sz w:val="21"/>
                <w:szCs w:val="21"/>
                <w:highlight w:val="none"/>
                <w:lang w:val="en-US" w:eastAsia="zh-CN"/>
              </w:rPr>
              <w:t>65岁及以上老年健康免费体检工作，完成全年85%体检任务。</w:t>
            </w:r>
          </w:p>
        </w:tc>
        <w:tc>
          <w:tcPr>
            <w:tcW w:w="1305" w:type="dxa"/>
            <w:vMerge w:val="continue"/>
            <w:noWrap w:val="0"/>
            <w:vAlign w:val="center"/>
          </w:tcPr>
          <w:p w14:paraId="52C1F4C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45473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CB55D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4FF9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14" w:type="dxa"/>
            <w:vMerge w:val="continue"/>
            <w:noWrap w:val="0"/>
            <w:vAlign w:val="center"/>
          </w:tcPr>
          <w:p w14:paraId="58E6D1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D3D512F">
            <w:pPr>
              <w:keepNext w:val="0"/>
              <w:keepLines w:val="0"/>
              <w:pageBreakBefore w:val="0"/>
              <w:widowControl/>
              <w:suppressLineNumbers w:val="0"/>
              <w:kinsoku/>
              <w:wordWrap/>
              <w:overflowPunct/>
              <w:topLinePunct w:val="0"/>
              <w:autoSpaceDE/>
              <w:autoSpaceDN/>
              <w:bidi w:val="0"/>
              <w:adjustRightInd/>
              <w:snapToGrid/>
              <w:spacing w:line="250" w:lineRule="exact"/>
              <w:ind w:firstLine="0" w:firstLineChars="0"/>
              <w:jc w:val="both"/>
              <w:textAlignment w:val="center"/>
              <w:rPr>
                <w:rFonts w:hint="eastAsia" w:ascii="仿宋_GB2312" w:hAnsi="仿宋_GB2312" w:eastAsia="仿宋_GB2312" w:cs="仿宋_GB2312"/>
                <w:color w:val="000000"/>
                <w:sz w:val="21"/>
                <w:szCs w:val="21"/>
              </w:rPr>
            </w:pPr>
          </w:p>
        </w:tc>
        <w:tc>
          <w:tcPr>
            <w:tcW w:w="330" w:type="dxa"/>
            <w:noWrap w:val="0"/>
            <w:vAlign w:val="center"/>
          </w:tcPr>
          <w:p w14:paraId="7E7CDD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7508B5CB">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做好四季度育儿补贴发放。</w:t>
            </w:r>
          </w:p>
          <w:p w14:paraId="7CD9B220">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全面完成</w:t>
            </w:r>
            <w:r>
              <w:rPr>
                <w:rFonts w:hint="eastAsia" w:ascii="仿宋_GB2312" w:hAnsi="仿宋_GB2312" w:eastAsia="仿宋_GB2312" w:cs="仿宋_GB2312"/>
                <w:color w:val="auto"/>
                <w:sz w:val="21"/>
                <w:szCs w:val="21"/>
                <w:highlight w:val="none"/>
                <w:lang w:val="en-US" w:eastAsia="zh-CN"/>
              </w:rPr>
              <w:t>65岁及以上老年健康免费体检工作，完成全年100%体检任务。</w:t>
            </w:r>
          </w:p>
        </w:tc>
        <w:tc>
          <w:tcPr>
            <w:tcW w:w="1305" w:type="dxa"/>
            <w:vMerge w:val="continue"/>
            <w:noWrap w:val="0"/>
            <w:vAlign w:val="center"/>
          </w:tcPr>
          <w:p w14:paraId="5EA7C7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A7280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468F7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F63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14" w:type="dxa"/>
            <w:vMerge w:val="restart"/>
            <w:noWrap w:val="0"/>
            <w:vAlign w:val="center"/>
          </w:tcPr>
          <w:p w14:paraId="0C9147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000000"/>
                <w:sz w:val="21"/>
                <w:szCs w:val="21"/>
                <w:lang w:val="en-US" w:eastAsia="zh-CN"/>
              </w:rPr>
              <w:t>34</w:t>
            </w:r>
          </w:p>
        </w:tc>
        <w:tc>
          <w:tcPr>
            <w:tcW w:w="2742" w:type="dxa"/>
            <w:vMerge w:val="restart"/>
            <w:noWrap w:val="0"/>
            <w:vAlign w:val="center"/>
          </w:tcPr>
          <w:p w14:paraId="444701C0">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实施医疗卫生强基工程，推动区人民医院新院区尽早投用，促进“三医”协同发展。</w:t>
            </w:r>
          </w:p>
        </w:tc>
        <w:tc>
          <w:tcPr>
            <w:tcW w:w="330" w:type="dxa"/>
            <w:noWrap w:val="0"/>
            <w:vAlign w:val="center"/>
          </w:tcPr>
          <w:p w14:paraId="35C76E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4B9BC1E5">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1.开展全区医疗机构重复医疗检查检验、违规收费等集中整治工作督导检查。</w:t>
            </w:r>
          </w:p>
          <w:p w14:paraId="5BBF336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2.指导牛华社区卫生服务中心制定《基层特色科室建设实施方案》，开展老年医学科建设。</w:t>
            </w:r>
          </w:p>
          <w:p w14:paraId="3E735261">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3.选派区级专家到基层医疗机构开展对口支援，提升基层医疗机构专科能力。</w:t>
            </w:r>
          </w:p>
          <w:p w14:paraId="4A968A41">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auto"/>
                <w:sz w:val="21"/>
                <w:szCs w:val="21"/>
                <w:highlight w:val="none"/>
                <w:lang w:val="en-US" w:eastAsia="zh-CN"/>
              </w:rPr>
              <w:t>4.区人民医院建设项目完成基建工程竣工验收和内电调试及人防验收，开展家具、家电、医疗设备招标开标工作。</w:t>
            </w:r>
          </w:p>
        </w:tc>
        <w:tc>
          <w:tcPr>
            <w:tcW w:w="1305" w:type="dxa"/>
            <w:vMerge w:val="restart"/>
            <w:noWrap w:val="0"/>
            <w:vAlign w:val="center"/>
          </w:tcPr>
          <w:p w14:paraId="5FF2D5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tc>
        <w:tc>
          <w:tcPr>
            <w:tcW w:w="1695" w:type="dxa"/>
            <w:vMerge w:val="restart"/>
            <w:noWrap w:val="0"/>
            <w:vAlign w:val="center"/>
          </w:tcPr>
          <w:p w14:paraId="4CBC13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000000"/>
                <w:sz w:val="21"/>
                <w:szCs w:val="21"/>
                <w:lang w:eastAsia="zh-CN"/>
              </w:rPr>
              <w:t>区卫生健康局</w:t>
            </w:r>
          </w:p>
        </w:tc>
        <w:tc>
          <w:tcPr>
            <w:tcW w:w="2119" w:type="dxa"/>
            <w:vMerge w:val="restart"/>
            <w:noWrap w:val="0"/>
            <w:vAlign w:val="center"/>
          </w:tcPr>
          <w:p w14:paraId="72D9666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区住房城乡建设局</w:t>
            </w:r>
          </w:p>
        </w:tc>
      </w:tr>
      <w:tr w14:paraId="0163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714" w:type="dxa"/>
            <w:vMerge w:val="continue"/>
            <w:noWrap w:val="0"/>
            <w:vAlign w:val="center"/>
          </w:tcPr>
          <w:p w14:paraId="72D9CC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95B12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E9099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38F5575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1.发挥中医专科优势，开展全区基层医务人员中医药适宜技术培训，“首诊看中医”品牌日、中医药进校园活动，推广中医药文化。</w:t>
            </w:r>
          </w:p>
          <w:p w14:paraId="1CBF6C3F">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2.区人民医院建设项目完成消防验收，完成家具、家电采购验收，医疗设备安装及调试工作，顺利完成搬迁工作，正式投入使用。</w:t>
            </w:r>
          </w:p>
        </w:tc>
        <w:tc>
          <w:tcPr>
            <w:tcW w:w="1305" w:type="dxa"/>
            <w:vMerge w:val="continue"/>
            <w:noWrap w:val="0"/>
            <w:vAlign w:val="center"/>
          </w:tcPr>
          <w:p w14:paraId="71B44D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ABD9BD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0C2F5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1B9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714" w:type="dxa"/>
            <w:vMerge w:val="continue"/>
            <w:noWrap w:val="0"/>
            <w:vAlign w:val="center"/>
          </w:tcPr>
          <w:p w14:paraId="04A89F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BB884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2418F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29E5CAAA">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围绕专科建设开展新技术新项目，加强专科能力建设。</w:t>
            </w:r>
          </w:p>
        </w:tc>
        <w:tc>
          <w:tcPr>
            <w:tcW w:w="1305" w:type="dxa"/>
            <w:vMerge w:val="continue"/>
            <w:noWrap w:val="0"/>
            <w:vAlign w:val="center"/>
          </w:tcPr>
          <w:p w14:paraId="326298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24E43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5FC8F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EDA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14" w:type="dxa"/>
            <w:vMerge w:val="continue"/>
            <w:noWrap w:val="0"/>
            <w:vAlign w:val="center"/>
          </w:tcPr>
          <w:p w14:paraId="2FB631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D9271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5B4E07F">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67D075F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lang w:val="en-US" w:eastAsia="zh-CN"/>
              </w:rPr>
              <w:t>完成牛华社区卫生服务中心基层特色科室建设项目。</w:t>
            </w:r>
          </w:p>
        </w:tc>
        <w:tc>
          <w:tcPr>
            <w:tcW w:w="1305" w:type="dxa"/>
            <w:vMerge w:val="continue"/>
            <w:noWrap w:val="0"/>
            <w:vAlign w:val="center"/>
          </w:tcPr>
          <w:p w14:paraId="219B0F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51A59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26524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D4B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5" w:hRule="atLeast"/>
          <w:jc w:val="center"/>
        </w:trPr>
        <w:tc>
          <w:tcPr>
            <w:tcW w:w="714" w:type="dxa"/>
            <w:vMerge w:val="restart"/>
            <w:noWrap w:val="0"/>
            <w:vAlign w:val="center"/>
          </w:tcPr>
          <w:p w14:paraId="44085A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684B7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39D2C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CCD9F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53BD4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65FACA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35</w:t>
            </w:r>
          </w:p>
          <w:p w14:paraId="0D304D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4E24DE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C86CB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CDDD4E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1B102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C9D06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96E75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F3CE0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AC8C7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030B0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950B1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9A971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8699B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27F46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DBB2C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E5F1C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CDBCA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35</w:t>
            </w:r>
          </w:p>
        </w:tc>
        <w:tc>
          <w:tcPr>
            <w:tcW w:w="2742" w:type="dxa"/>
            <w:vMerge w:val="restart"/>
            <w:noWrap w:val="0"/>
            <w:vAlign w:val="center"/>
          </w:tcPr>
          <w:p w14:paraId="74AB7A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12B9B7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坚持安全预防和应急抢险并重，全力开展煤矿、危化、工贸、消防、食品药品、“九小场所”、古镇古街等重点领域安全专项整治，力争创成国家级质量强区，用好“1+10+N”联动应对处置机制，确保各类风险隐患查得出、消得了，坚决防范遏制重特大安全生产事故发生。</w:t>
            </w:r>
          </w:p>
          <w:p w14:paraId="70C2501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3CF8AF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127607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2E02D4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3A03AA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30E16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27D11C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476F67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坚持安全预防和应急抢险并重，全力开展煤矿、危化、工贸、消防、食品药品、“九小场所”、古镇古街等重点领域安全专项整治，力争创成国家级质量强区，用好“1+10+N”联动应对处置机制，确保各类风险隐患查得出、消得了，坚决防范遏制重特大安全生产事故发生。</w:t>
            </w:r>
          </w:p>
        </w:tc>
        <w:tc>
          <w:tcPr>
            <w:tcW w:w="330" w:type="dxa"/>
            <w:noWrap w:val="0"/>
            <w:vAlign w:val="center"/>
          </w:tcPr>
          <w:p w14:paraId="43B2B8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643C278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r>
              <w:rPr>
                <w:rFonts w:hint="default" w:ascii="仿宋_GB2312" w:hAnsi="仿宋_GB2312" w:eastAsia="仿宋_GB2312" w:cs="仿宋_GB2312"/>
                <w:color w:val="auto"/>
                <w:sz w:val="21"/>
                <w:szCs w:val="21"/>
                <w:lang w:val="en-US" w:eastAsia="zh-CN"/>
              </w:rPr>
              <w:t>召开第一季度安委会，</w:t>
            </w:r>
            <w:r>
              <w:rPr>
                <w:rFonts w:hint="eastAsia" w:ascii="仿宋_GB2312" w:hAnsi="仿宋_GB2312" w:eastAsia="仿宋_GB2312" w:cs="仿宋_GB2312"/>
                <w:color w:val="auto"/>
                <w:sz w:val="21"/>
                <w:szCs w:val="21"/>
                <w:lang w:val="en-US" w:eastAsia="zh-CN"/>
              </w:rPr>
              <w:t>持续推进</w:t>
            </w:r>
            <w:r>
              <w:rPr>
                <w:rFonts w:hint="default" w:ascii="仿宋_GB2312" w:hAnsi="仿宋_GB2312" w:eastAsia="仿宋_GB2312" w:cs="仿宋_GB2312"/>
                <w:color w:val="auto"/>
                <w:sz w:val="21"/>
                <w:szCs w:val="21"/>
                <w:lang w:val="en-US" w:eastAsia="zh-CN"/>
              </w:rPr>
              <w:t>安全生产治本攻坚三年行动</w:t>
            </w:r>
            <w:r>
              <w:rPr>
                <w:rFonts w:hint="eastAsia" w:ascii="仿宋_GB2312" w:hAnsi="仿宋_GB2312" w:eastAsia="仿宋_GB2312" w:cs="仿宋_GB2312"/>
                <w:color w:val="auto"/>
                <w:sz w:val="21"/>
                <w:szCs w:val="21"/>
                <w:lang w:val="en-US" w:eastAsia="zh-CN"/>
              </w:rPr>
              <w:t>、扎实开展安全生产风险隐患排查整治“冬春行动”，古镇古街、老旧小区等重点区域消防“冬春行动”专项明查暗访行动等</w:t>
            </w:r>
            <w:r>
              <w:rPr>
                <w:rFonts w:hint="default" w:ascii="仿宋_GB2312" w:hAnsi="仿宋_GB2312" w:eastAsia="仿宋_GB2312" w:cs="仿宋_GB2312"/>
                <w:color w:val="auto"/>
                <w:sz w:val="21"/>
                <w:szCs w:val="21"/>
                <w:lang w:val="en-US" w:eastAsia="zh-CN"/>
              </w:rPr>
              <w:t>，做好节后复工复产和重点行业领域专项整治工作</w:t>
            </w:r>
            <w:r>
              <w:rPr>
                <w:rFonts w:hint="eastAsia" w:ascii="仿宋_GB2312" w:hAnsi="仿宋_GB2312" w:eastAsia="仿宋_GB2312" w:cs="仿宋_GB2312"/>
                <w:color w:val="auto"/>
                <w:sz w:val="21"/>
                <w:szCs w:val="21"/>
                <w:lang w:val="en-US" w:eastAsia="zh-CN"/>
              </w:rPr>
              <w:t>。</w:t>
            </w:r>
          </w:p>
          <w:p w14:paraId="5C51322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auto"/>
                <w:sz w:val="21"/>
                <w:szCs w:val="21"/>
                <w:lang w:val="en-US" w:eastAsia="zh-CN"/>
              </w:rPr>
              <w:t>2.针对煤矿、</w:t>
            </w:r>
            <w:r>
              <w:rPr>
                <w:rFonts w:hint="default" w:ascii="仿宋_GB2312" w:hAnsi="仿宋_GB2312" w:eastAsia="仿宋_GB2312" w:cs="仿宋_GB2312"/>
                <w:color w:val="auto"/>
                <w:sz w:val="21"/>
                <w:szCs w:val="21"/>
                <w:lang w:val="en-US" w:eastAsia="zh-CN"/>
              </w:rPr>
              <w:t>危化生产企业开展</w:t>
            </w:r>
            <w:r>
              <w:rPr>
                <w:rFonts w:hint="eastAsia" w:ascii="仿宋_GB2312" w:hAnsi="仿宋_GB2312" w:eastAsia="仿宋_GB2312" w:cs="仿宋_GB2312"/>
                <w:color w:val="auto"/>
                <w:sz w:val="21"/>
                <w:szCs w:val="21"/>
                <w:lang w:val="en-US" w:eastAsia="zh-CN"/>
              </w:rPr>
              <w:t>冬春行动</w:t>
            </w:r>
            <w:r>
              <w:rPr>
                <w:rFonts w:hint="default" w:ascii="仿宋_GB2312" w:hAnsi="仿宋_GB2312" w:eastAsia="仿宋_GB2312" w:cs="仿宋_GB2312"/>
                <w:color w:val="auto"/>
                <w:sz w:val="21"/>
                <w:szCs w:val="21"/>
                <w:lang w:val="en-US" w:eastAsia="zh-CN"/>
              </w:rPr>
              <w:t>全覆盖大检查，重点加强问题隐患排查</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000000"/>
                <w:sz w:val="21"/>
                <w:szCs w:val="21"/>
                <w:lang w:val="en-US" w:eastAsia="zh-CN"/>
              </w:rPr>
              <w:t>全覆盖检查工贸领域粉尘涉爆、熔融金属企业，全面推进风险隐患排查“冬春行动”。</w:t>
            </w:r>
          </w:p>
          <w:p w14:paraId="0D38600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3.联合公安部门开展烟花爆竹“打非治违”行动，会同各镇和有关部门开展春节期间烟花爆竹禁限放管控工作。</w:t>
            </w:r>
          </w:p>
          <w:p w14:paraId="21E4B7D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lang w:val="en-US" w:eastAsia="zh-CN"/>
              </w:rPr>
              <w:t>4.制定出台《2026年森林防火命令》，开展森林防灭火督查，开展全区厂房仓储场所消防安全专项整治行动。</w:t>
            </w:r>
          </w:p>
        </w:tc>
        <w:tc>
          <w:tcPr>
            <w:tcW w:w="1305" w:type="dxa"/>
            <w:vMerge w:val="restart"/>
            <w:noWrap w:val="0"/>
            <w:vAlign w:val="center"/>
          </w:tcPr>
          <w:p w14:paraId="4E6A4F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4D120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73421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F259E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579498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p w14:paraId="070887B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0B4CB7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55ABC3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CF84D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C59B5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DAE53C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79344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21D96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5C5A7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10700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2F3A5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00D62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853E0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FFC6E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ABAF0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5AF37F9">
            <w:pPr>
              <w:widowControl w:val="0"/>
              <w:spacing w:after="120" w:line="580" w:lineRule="exact"/>
              <w:ind w:left="0" w:leftChars="0" w:firstLine="0" w:firstLineChars="0"/>
              <w:jc w:val="both"/>
              <w:rPr>
                <w:rFonts w:hint="eastAsia" w:ascii="Times New Roman" w:hAnsi="Times New Roman" w:eastAsia="仿宋_GB2312" w:cs="Times New Roman"/>
                <w:kern w:val="2"/>
                <w:sz w:val="24"/>
                <w:szCs w:val="24"/>
                <w:lang w:val="en-US" w:eastAsia="zh-CN" w:bidi="ar-SA"/>
              </w:rPr>
            </w:pPr>
          </w:p>
          <w:p w14:paraId="74FAC4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tc>
        <w:tc>
          <w:tcPr>
            <w:tcW w:w="1695" w:type="dxa"/>
            <w:vMerge w:val="restart"/>
            <w:noWrap w:val="0"/>
            <w:vAlign w:val="center"/>
          </w:tcPr>
          <w:p w14:paraId="43E8EB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927DB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1E4F2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69D1CC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0609EDE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w:t>
            </w:r>
            <w:r>
              <w:rPr>
                <w:rFonts w:hint="eastAsia" w:ascii="仿宋_GB2312" w:hAnsi="仿宋_GB2312" w:eastAsia="仿宋_GB2312" w:cs="仿宋_GB2312"/>
                <w:color w:val="000000"/>
                <w:sz w:val="21"/>
                <w:szCs w:val="21"/>
                <w:lang w:val="en-US" w:eastAsia="zh-CN"/>
              </w:rPr>
              <w:t>应急</w:t>
            </w:r>
            <w:r>
              <w:rPr>
                <w:rFonts w:hint="eastAsia" w:ascii="仿宋_GB2312" w:hAnsi="仿宋_GB2312" w:eastAsia="仿宋_GB2312" w:cs="仿宋_GB2312"/>
                <w:color w:val="000000"/>
                <w:sz w:val="21"/>
                <w:szCs w:val="21"/>
                <w:lang w:eastAsia="zh-CN"/>
              </w:rPr>
              <w:t>局</w:t>
            </w:r>
          </w:p>
          <w:p w14:paraId="07AFF8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2AB43F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4B948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3902D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4680D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7FC3F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A114C2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380B3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D5FE9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2392F4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0F50F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6C462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CF491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27DB81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9B036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6D9988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7365F742">
            <w:pPr>
              <w:keepNext w:val="0"/>
              <w:keepLines w:val="0"/>
              <w:pageBreakBefore w:val="0"/>
              <w:widowControl w:val="0"/>
              <w:kinsoku/>
              <w:wordWrap/>
              <w:overflowPunct/>
              <w:topLinePunct w:val="0"/>
              <w:autoSpaceDE/>
              <w:autoSpaceDN/>
              <w:bidi w:val="0"/>
              <w:adjustRightInd/>
              <w:snapToGrid/>
              <w:spacing w:after="120" w:line="340" w:lineRule="exact"/>
              <w:ind w:left="0" w:leftChars="0" w:firstLine="0" w:firstLineChars="0"/>
              <w:jc w:val="both"/>
              <w:textAlignment w:val="auto"/>
              <w:rPr>
                <w:rFonts w:hint="eastAsia" w:ascii="Times New Roman" w:hAnsi="Times New Roman" w:eastAsia="仿宋_GB2312" w:cs="Times New Roman"/>
                <w:kern w:val="2"/>
                <w:sz w:val="24"/>
                <w:szCs w:val="24"/>
                <w:lang w:val="en-US" w:eastAsia="zh-CN" w:bidi="ar-SA"/>
              </w:rPr>
            </w:pPr>
          </w:p>
          <w:p w14:paraId="0518AFC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区</w:t>
            </w:r>
            <w:r>
              <w:rPr>
                <w:rFonts w:hint="eastAsia" w:ascii="仿宋_GB2312" w:hAnsi="仿宋_GB2312" w:eastAsia="仿宋_GB2312" w:cs="仿宋_GB2312"/>
                <w:color w:val="000000"/>
                <w:sz w:val="21"/>
                <w:szCs w:val="21"/>
                <w:lang w:val="en-US" w:eastAsia="zh-CN"/>
              </w:rPr>
              <w:t>应急</w:t>
            </w:r>
            <w:r>
              <w:rPr>
                <w:rFonts w:hint="eastAsia" w:ascii="仿宋_GB2312" w:hAnsi="仿宋_GB2312" w:eastAsia="仿宋_GB2312" w:cs="仿宋_GB2312"/>
                <w:color w:val="000000"/>
                <w:sz w:val="21"/>
                <w:szCs w:val="21"/>
                <w:lang w:eastAsia="zh-CN"/>
              </w:rPr>
              <w:t>局</w:t>
            </w:r>
          </w:p>
        </w:tc>
        <w:tc>
          <w:tcPr>
            <w:tcW w:w="2119" w:type="dxa"/>
            <w:vMerge w:val="restart"/>
            <w:noWrap w:val="0"/>
            <w:vAlign w:val="center"/>
          </w:tcPr>
          <w:p w14:paraId="74020C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76E06D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区经济信息化局、区教育局、区公安分局、区民政局、自然资源局、区住房城乡建设局、区交通运输局、区水务局、区农业农村局、区文广体育旅游局、区卫生健康局、</w:t>
            </w:r>
            <w:r>
              <w:rPr>
                <w:rFonts w:hint="default" w:ascii="仿宋_GB2312" w:hAnsi="仿宋_GB2312" w:eastAsia="仿宋_GB2312" w:cs="仿宋_GB2312"/>
                <w:color w:val="auto"/>
                <w:kern w:val="2"/>
                <w:sz w:val="21"/>
                <w:szCs w:val="21"/>
                <w:lang w:val="en-US" w:eastAsia="zh-CN" w:bidi="ar-SA"/>
              </w:rPr>
              <w:t>区市场监管局</w:t>
            </w:r>
            <w:r>
              <w:rPr>
                <w:rFonts w:hint="eastAsia" w:ascii="仿宋_GB2312" w:hAnsi="仿宋_GB2312" w:eastAsia="仿宋_GB2312" w:cs="仿宋_GB2312"/>
                <w:color w:val="auto"/>
                <w:kern w:val="2"/>
                <w:sz w:val="21"/>
                <w:szCs w:val="21"/>
                <w:lang w:val="en-US" w:eastAsia="zh-CN" w:bidi="ar-SA"/>
              </w:rPr>
              <w:t>、区消防大队、各镇</w:t>
            </w:r>
          </w:p>
          <w:p w14:paraId="392AE5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250440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5A0D8B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2B7452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22C0CA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1D2ABD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373EDD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73BA1A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5A2EBA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134852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kern w:val="2"/>
                <w:sz w:val="21"/>
                <w:szCs w:val="21"/>
                <w:lang w:val="en-US" w:eastAsia="zh-CN" w:bidi="ar-SA"/>
              </w:rPr>
              <w:t>区经济信息化局、区教育局、区公安分局、区民政局、自然资源局、区住房城乡建设局、区交通运输局、区水务局、区农业农村局、区文广体育旅游局、区卫生健康局、</w:t>
            </w:r>
            <w:r>
              <w:rPr>
                <w:rFonts w:hint="default" w:ascii="仿宋_GB2312" w:hAnsi="仿宋_GB2312" w:eastAsia="仿宋_GB2312" w:cs="仿宋_GB2312"/>
                <w:color w:val="auto"/>
                <w:kern w:val="2"/>
                <w:sz w:val="21"/>
                <w:szCs w:val="21"/>
                <w:lang w:val="en-US" w:eastAsia="zh-CN" w:bidi="ar-SA"/>
              </w:rPr>
              <w:t>区市场监管局</w:t>
            </w:r>
            <w:r>
              <w:rPr>
                <w:rFonts w:hint="eastAsia" w:ascii="仿宋_GB2312" w:hAnsi="仿宋_GB2312" w:eastAsia="仿宋_GB2312" w:cs="仿宋_GB2312"/>
                <w:color w:val="auto"/>
                <w:kern w:val="2"/>
                <w:sz w:val="21"/>
                <w:szCs w:val="21"/>
                <w:lang w:val="en-US" w:eastAsia="zh-CN" w:bidi="ar-SA"/>
              </w:rPr>
              <w:t>、区消防大队、各镇</w:t>
            </w:r>
          </w:p>
        </w:tc>
      </w:tr>
      <w:tr w14:paraId="3960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0" w:hRule="atLeast"/>
          <w:jc w:val="center"/>
        </w:trPr>
        <w:tc>
          <w:tcPr>
            <w:tcW w:w="714" w:type="dxa"/>
            <w:vMerge w:val="continue"/>
            <w:noWrap w:val="0"/>
            <w:vAlign w:val="center"/>
          </w:tcPr>
          <w:p w14:paraId="72D6D9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1B51A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9803F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0935B4D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r>
              <w:rPr>
                <w:rFonts w:hint="default" w:ascii="仿宋_GB2312" w:hAnsi="仿宋_GB2312" w:eastAsia="仿宋_GB2312" w:cs="仿宋_GB2312"/>
                <w:color w:val="000000"/>
                <w:sz w:val="21"/>
                <w:szCs w:val="21"/>
                <w:lang w:val="en-US" w:eastAsia="zh-CN"/>
              </w:rPr>
              <w:t>召开第二季度安委会，强化重点行业的安全监管</w:t>
            </w:r>
            <w:r>
              <w:rPr>
                <w:rFonts w:hint="eastAsia" w:ascii="仿宋_GB2312" w:hAnsi="仿宋_GB2312" w:eastAsia="仿宋_GB2312" w:cs="仿宋_GB2312"/>
                <w:color w:val="000000"/>
                <w:sz w:val="21"/>
                <w:szCs w:val="21"/>
                <w:lang w:val="en-US" w:eastAsia="zh-CN"/>
              </w:rPr>
              <w:t>，组织开展</w:t>
            </w:r>
            <w:r>
              <w:rPr>
                <w:rFonts w:hint="default" w:ascii="仿宋_GB2312" w:hAnsi="仿宋_GB2312" w:eastAsia="仿宋_GB2312" w:cs="仿宋_GB2312"/>
                <w:color w:val="000000"/>
                <w:sz w:val="21"/>
                <w:szCs w:val="21"/>
                <w:lang w:val="en-US" w:eastAsia="zh-CN"/>
              </w:rPr>
              <w:t>“五一”期间安全大检查大排查</w:t>
            </w:r>
            <w:r>
              <w:rPr>
                <w:rFonts w:hint="eastAsia" w:ascii="仿宋_GB2312" w:hAnsi="仿宋_GB2312" w:eastAsia="仿宋_GB2312" w:cs="仿宋_GB2312"/>
                <w:color w:val="000000"/>
                <w:sz w:val="21"/>
                <w:szCs w:val="21"/>
                <w:lang w:val="en-US" w:eastAsia="zh-CN"/>
              </w:rPr>
              <w:t>。</w:t>
            </w:r>
          </w:p>
          <w:p w14:paraId="1F6A2CB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3.有序推进森林防灭火督查工作。</w:t>
            </w:r>
          </w:p>
          <w:p w14:paraId="40FE004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3.督促企业加强应急预案修订演练，明确1家危化企业会同相关部门开展2026年度第一次危险化学品事故政企应急演练。</w:t>
            </w:r>
          </w:p>
          <w:p w14:paraId="302AFF2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4.联合区经信局开展工贸企业安全生产“明白人”能力提升培训，重点对粉尘涉爆、熔融金属和有限空间作业等高风险领域企业开展专题培训。</w:t>
            </w:r>
          </w:p>
          <w:p w14:paraId="309BC6F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5.清明时节开展农村地区烟花爆竹政策宣传和安全巡查，做好汛期值守。</w:t>
            </w:r>
          </w:p>
          <w:p w14:paraId="114F93F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6.持续抓好畅通消防“生命通道”，电动自行车，人员密集场所动火作业和建筑保温材料等3个国字号专项整治。</w:t>
            </w:r>
          </w:p>
        </w:tc>
        <w:tc>
          <w:tcPr>
            <w:tcW w:w="1305" w:type="dxa"/>
            <w:vMerge w:val="continue"/>
            <w:noWrap w:val="0"/>
            <w:vAlign w:val="center"/>
          </w:tcPr>
          <w:p w14:paraId="15B0AF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EDAD6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6E7CC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EEE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jc w:val="center"/>
        </w:trPr>
        <w:tc>
          <w:tcPr>
            <w:tcW w:w="714" w:type="dxa"/>
            <w:vMerge w:val="continue"/>
            <w:noWrap w:val="0"/>
            <w:vAlign w:val="center"/>
          </w:tcPr>
          <w:p w14:paraId="4EC43F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1332BB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78E31E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3A316AD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r>
              <w:rPr>
                <w:rFonts w:hint="default" w:ascii="仿宋_GB2312" w:hAnsi="仿宋_GB2312" w:eastAsia="仿宋_GB2312" w:cs="仿宋_GB2312"/>
                <w:color w:val="auto"/>
                <w:sz w:val="21"/>
                <w:szCs w:val="21"/>
                <w:lang w:val="en-US" w:eastAsia="zh-CN"/>
              </w:rPr>
              <w:t>召开第三季度安委会</w:t>
            </w:r>
            <w:r>
              <w:rPr>
                <w:rFonts w:hint="eastAsia" w:ascii="仿宋_GB2312" w:hAnsi="仿宋_GB2312" w:eastAsia="仿宋_GB2312" w:cs="仿宋_GB2312"/>
                <w:color w:val="auto"/>
                <w:sz w:val="21"/>
                <w:szCs w:val="21"/>
                <w:lang w:val="en-US" w:eastAsia="zh-CN"/>
              </w:rPr>
              <w:t>，安排部署主汛期安全生产工作要求。</w:t>
            </w:r>
          </w:p>
          <w:p w14:paraId="766BBC9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default" w:ascii="仿宋_GB2312" w:hAnsi="仿宋_GB2312" w:eastAsia="仿宋_GB2312" w:cs="仿宋_GB2312"/>
                <w:color w:val="auto"/>
                <w:sz w:val="21"/>
                <w:szCs w:val="21"/>
                <w:lang w:val="en-US" w:eastAsia="zh-CN"/>
              </w:rPr>
              <w:t>持续开展汛期安全大检查，做好汛期值班值守工作，严格执行极端天气撤人制度</w:t>
            </w:r>
            <w:r>
              <w:rPr>
                <w:rFonts w:hint="eastAsia" w:ascii="仿宋_GB2312" w:hAnsi="仿宋_GB2312" w:eastAsia="仿宋_GB2312" w:cs="仿宋_GB2312"/>
                <w:color w:val="auto"/>
                <w:sz w:val="21"/>
                <w:szCs w:val="21"/>
                <w:lang w:val="en-US" w:eastAsia="zh-CN"/>
              </w:rPr>
              <w:t>，组织开展区级防汛演练不少于1次。</w:t>
            </w:r>
          </w:p>
          <w:p w14:paraId="410D82C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3.对涉有限空间重点工贸企业开展安全巡查，指导各乡镇对涉有限空间工贸领域小作坊家庭式生产经营单位开展隐患排查治理。</w:t>
            </w:r>
          </w:p>
          <w:p w14:paraId="17DEBFD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lang w:val="en-US" w:eastAsia="zh-CN"/>
              </w:rPr>
              <w:t>4.持续抓好“小型餐饮场所”“高层建筑</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两项重点整治行动，严格落实国务院安委会办公室《关于坚决防范遏制小型餐饮场所群死群伤火灾事故的通知》精神，同步推进国务院安委会部署的高层建筑重大火灾风险隐患排查整治行动</w:t>
            </w:r>
            <w:r>
              <w:rPr>
                <w:rFonts w:hint="eastAsia" w:ascii="仿宋_GB2312" w:hAnsi="仿宋_GB2312" w:eastAsia="仿宋_GB2312" w:cs="仿宋_GB2312"/>
                <w:color w:val="000000"/>
                <w:sz w:val="21"/>
                <w:szCs w:val="21"/>
                <w:lang w:val="en-US" w:eastAsia="zh-CN"/>
              </w:rPr>
              <w:t>。</w:t>
            </w:r>
          </w:p>
        </w:tc>
        <w:tc>
          <w:tcPr>
            <w:tcW w:w="1305" w:type="dxa"/>
            <w:vMerge w:val="continue"/>
            <w:noWrap w:val="0"/>
            <w:vAlign w:val="center"/>
          </w:tcPr>
          <w:p w14:paraId="2715439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7D205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226CC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047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0" w:hRule="atLeast"/>
          <w:jc w:val="center"/>
        </w:trPr>
        <w:tc>
          <w:tcPr>
            <w:tcW w:w="714" w:type="dxa"/>
            <w:vMerge w:val="continue"/>
            <w:noWrap w:val="0"/>
            <w:vAlign w:val="center"/>
          </w:tcPr>
          <w:p w14:paraId="5DEC5D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9DDDD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037CD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3336B313">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right="0" w:right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1.召开</w:t>
            </w:r>
            <w:r>
              <w:rPr>
                <w:rFonts w:hint="default" w:ascii="仿宋_GB2312" w:hAnsi="仿宋_GB2312" w:eastAsia="仿宋_GB2312" w:cs="仿宋_GB2312"/>
                <w:color w:val="000000"/>
                <w:sz w:val="21"/>
                <w:szCs w:val="21"/>
                <w:lang w:val="en-US" w:eastAsia="zh-CN"/>
              </w:rPr>
              <w:t>第四季度安委会</w:t>
            </w:r>
            <w:r>
              <w:rPr>
                <w:rFonts w:hint="eastAsia" w:ascii="仿宋_GB2312" w:hAnsi="仿宋_GB2312" w:eastAsia="仿宋_GB2312" w:cs="仿宋_GB2312"/>
                <w:color w:val="000000"/>
                <w:sz w:val="21"/>
                <w:szCs w:val="21"/>
                <w:lang w:val="en-US" w:eastAsia="zh-CN"/>
              </w:rPr>
              <w:t>，组织开展国庆和</w:t>
            </w:r>
            <w:r>
              <w:rPr>
                <w:rFonts w:hint="default" w:ascii="仿宋_GB2312" w:hAnsi="仿宋_GB2312" w:eastAsia="仿宋_GB2312" w:cs="仿宋_GB2312"/>
                <w:color w:val="000000"/>
                <w:sz w:val="21"/>
                <w:szCs w:val="21"/>
                <w:lang w:val="en-US" w:eastAsia="zh-CN"/>
              </w:rPr>
              <w:t>岁末年初安全生产</w:t>
            </w:r>
            <w:r>
              <w:rPr>
                <w:rFonts w:hint="eastAsia" w:ascii="仿宋_GB2312" w:hAnsi="仿宋_GB2312" w:eastAsia="仿宋_GB2312" w:cs="仿宋_GB2312"/>
                <w:color w:val="000000"/>
                <w:sz w:val="21"/>
                <w:szCs w:val="21"/>
                <w:lang w:val="en-US" w:eastAsia="zh-CN"/>
              </w:rPr>
              <w:t>专项检查。</w:t>
            </w:r>
          </w:p>
          <w:p w14:paraId="121598F3">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right="0" w:right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2.研究谋划2027年安全生产工作，明确1家危化企业会同消防、公安、生态环境、交通等部门开展2026年度第二次危化品事故政企应急演练。</w:t>
            </w:r>
          </w:p>
          <w:p w14:paraId="72795A0B">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right="0" w:right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3.开展岁末年初工贸企业风险隐患排查整治专项行动，重点紧盯粉尘涉爆、熔融金属等高风险行业及动火作业、有限空间作业、检维修等关键环节。</w:t>
            </w:r>
          </w:p>
          <w:p w14:paraId="66B4BF51">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right="0" w:right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4.联合公安部门开展烟花爆竹“打非治违”，针对乐山机场通航，研究分析烟花爆竹禁限放管控工作，规划零售经营布局调整。</w:t>
            </w:r>
          </w:p>
          <w:p w14:paraId="311B4C0D">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right="0" w:rightChars="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5.持续发动各镇，各部门，及社会各界宣传力量，通过摆摊设点，走</w:t>
            </w:r>
            <w:r>
              <w:rPr>
                <w:rFonts w:hint="eastAsia" w:ascii="仿宋_GB2312" w:hAnsi="仿宋_GB2312" w:eastAsia="仿宋_GB2312" w:cs="仿宋_GB2312"/>
                <w:color w:val="auto"/>
                <w:sz w:val="21"/>
                <w:szCs w:val="21"/>
                <w:lang w:val="en-US" w:eastAsia="zh-CN"/>
              </w:rPr>
              <w:t>街串巷，敲门入户等形式，把消防知识送到群众身边</w:t>
            </w:r>
            <w:r>
              <w:rPr>
                <w:rFonts w:hint="eastAsia" w:ascii="仿宋_GB2312" w:hAnsi="仿宋_GB2312" w:eastAsia="仿宋_GB2312" w:cs="仿宋_GB2312"/>
                <w:color w:val="000000"/>
                <w:sz w:val="21"/>
                <w:szCs w:val="21"/>
                <w:lang w:val="en-US" w:eastAsia="zh-CN"/>
              </w:rPr>
              <w:t>。</w:t>
            </w:r>
          </w:p>
        </w:tc>
        <w:tc>
          <w:tcPr>
            <w:tcW w:w="1305" w:type="dxa"/>
            <w:vMerge w:val="continue"/>
            <w:noWrap w:val="0"/>
            <w:vAlign w:val="center"/>
          </w:tcPr>
          <w:p w14:paraId="23FCD8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0A7AE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B72A4E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5E3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0" w:hRule="atLeast"/>
          <w:jc w:val="center"/>
        </w:trPr>
        <w:tc>
          <w:tcPr>
            <w:tcW w:w="714" w:type="dxa"/>
            <w:vMerge w:val="restart"/>
            <w:noWrap w:val="0"/>
            <w:vAlign w:val="center"/>
          </w:tcPr>
          <w:p w14:paraId="2EB614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AE27F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54516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DAE23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0F942B2">
            <w:pPr>
              <w:pStyle w:val="3"/>
              <w:rPr>
                <w:rFonts w:hint="eastAsia" w:ascii="仿宋_GB2312" w:hAnsi="仿宋_GB2312" w:eastAsia="仿宋_GB2312" w:cs="仿宋_GB2312"/>
                <w:color w:val="000000"/>
                <w:sz w:val="21"/>
                <w:szCs w:val="21"/>
                <w:lang w:val="en-US" w:eastAsia="zh-CN"/>
              </w:rPr>
            </w:pPr>
          </w:p>
          <w:p w14:paraId="1392575F">
            <w:pPr>
              <w:rPr>
                <w:rFonts w:hint="eastAsia" w:ascii="仿宋_GB2312" w:hAnsi="仿宋_GB2312" w:eastAsia="仿宋_GB2312" w:cs="仿宋_GB2312"/>
                <w:color w:val="000000"/>
                <w:sz w:val="21"/>
                <w:szCs w:val="21"/>
                <w:lang w:val="en-US" w:eastAsia="zh-CN"/>
              </w:rPr>
            </w:pPr>
          </w:p>
          <w:p w14:paraId="754CADC1">
            <w:pPr>
              <w:pStyle w:val="3"/>
              <w:rPr>
                <w:rFonts w:hint="eastAsia" w:ascii="仿宋_GB2312" w:hAnsi="仿宋_GB2312" w:eastAsia="仿宋_GB2312" w:cs="仿宋_GB2312"/>
                <w:color w:val="000000"/>
                <w:sz w:val="21"/>
                <w:szCs w:val="21"/>
                <w:lang w:val="en-US" w:eastAsia="zh-CN"/>
              </w:rPr>
            </w:pPr>
          </w:p>
          <w:p w14:paraId="025DE211">
            <w:pPr>
              <w:pStyle w:val="3"/>
              <w:ind w:left="0" w:leftChars="0" w:firstLine="0" w:firstLineChars="0"/>
              <w:rPr>
                <w:rFonts w:hint="eastAsia"/>
                <w:lang w:val="en-US" w:eastAsia="zh-CN"/>
              </w:rPr>
            </w:pPr>
          </w:p>
          <w:p w14:paraId="6B83BB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36</w:t>
            </w:r>
          </w:p>
          <w:p w14:paraId="4AD314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49A48C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1FE8F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E4222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2D843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937DD2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6AF38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3D1AAC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08763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8F05B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7C438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C31BF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A6D56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F659A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63B82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92B8B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26D98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70EBC01">
            <w:pPr>
              <w:pStyle w:val="2"/>
              <w:rPr>
                <w:rFonts w:hint="eastAsia"/>
                <w:lang w:val="en-US" w:eastAsia="zh-CN"/>
              </w:rPr>
            </w:pPr>
          </w:p>
          <w:p w14:paraId="236A2B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36</w:t>
            </w:r>
          </w:p>
        </w:tc>
        <w:tc>
          <w:tcPr>
            <w:tcW w:w="2742" w:type="dxa"/>
            <w:vMerge w:val="restart"/>
            <w:noWrap w:val="0"/>
            <w:vAlign w:val="center"/>
          </w:tcPr>
          <w:p w14:paraId="2CC71B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E4680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18BC84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B474C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5DC0F2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792DE9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70819D0">
            <w:pPr>
              <w:pStyle w:val="3"/>
              <w:rPr>
                <w:rFonts w:hint="eastAsia"/>
              </w:rPr>
            </w:pPr>
          </w:p>
          <w:p w14:paraId="0A7F2F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深化国资国企改革。优化“5+N”国企股权架构，分板块逐步打造5家AA级以上集团企业，筹建国资产业投资发展基金，促进区属国企主业升级、战投合作、风险防控，建设好、运营好冷链物流基地、新天地商业综合体等实体化项目，不断提升区属国企在城市建设、运营服务、产业发展和税源贡献中的支撑作用。</w:t>
            </w:r>
          </w:p>
          <w:p w14:paraId="0EF2E2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7B2936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638DF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E0C56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713AAF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30A3387E">
            <w:pPr>
              <w:pStyle w:val="3"/>
              <w:ind w:left="0" w:leftChars="0" w:firstLine="0" w:firstLineChars="0"/>
              <w:rPr>
                <w:rFonts w:hint="eastAsia"/>
                <w:lang w:val="en-US" w:eastAsia="zh-CN"/>
              </w:rPr>
            </w:pPr>
          </w:p>
          <w:p w14:paraId="687417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EF3B7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317DC5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深化国资国企改革。优化“5+N”国企股权架构，分板块逐步打造5家AA级以上集团企业，筹建国资产业投资发展基金，促进区属国企主业升级、战投合作、风险防控，建设好、运营好冷链物流基地、新天地商业综合体等实体化项目，不断提升区属国企在城市建设、运营服务、产业发展和税源贡献中的支撑作用。</w:t>
            </w:r>
          </w:p>
        </w:tc>
        <w:tc>
          <w:tcPr>
            <w:tcW w:w="330" w:type="dxa"/>
            <w:noWrap w:val="0"/>
            <w:vAlign w:val="center"/>
          </w:tcPr>
          <w:p w14:paraId="22AD05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3F85003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完成“新公司注册”及“原公司更名注册”，启动股权变更、三定方案制定及人事调整程序</w:t>
            </w:r>
            <w:r>
              <w:rPr>
                <w:rFonts w:hint="eastAsia" w:ascii="仿宋_GB2312" w:hAnsi="仿宋_GB2312" w:eastAsia="仿宋_GB2312" w:cs="仿宋_GB2312"/>
                <w:color w:val="000000"/>
                <w:sz w:val="21"/>
                <w:szCs w:val="21"/>
                <w:lang w:eastAsia="zh-CN"/>
              </w:rPr>
              <w:t>。</w:t>
            </w:r>
          </w:p>
          <w:p w14:paraId="422B48F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2.签订主体评级合同，启动五产投、经开产投评级前期准备工作。</w:t>
            </w:r>
          </w:p>
          <w:p w14:paraId="2C3E41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3月底前完成信寰基金工商注册及中基协备案，与协鑫方沟通基金组建后续计划</w:t>
            </w:r>
            <w:r>
              <w:rPr>
                <w:rFonts w:hint="eastAsia" w:ascii="仿宋_GB2312" w:hAnsi="仿宋_GB2312" w:eastAsia="仿宋_GB2312" w:cs="仿宋_GB2312"/>
                <w:color w:val="000000"/>
                <w:sz w:val="21"/>
                <w:szCs w:val="21"/>
                <w:lang w:eastAsia="zh-CN"/>
              </w:rPr>
              <w:t>。</w:t>
            </w:r>
          </w:p>
          <w:p w14:paraId="03B353D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力争完成润和催化剂第一、二批注资，启动投资迪阳PTMEG项目的尽调、可研和协议谈判工作。</w:t>
            </w:r>
          </w:p>
          <w:p w14:paraId="63A77A7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新天地商业综合体完成总工程量95%；流花溪加油站完成总工程量40%；红星村养猪厂项目完成融资可研编制</w:t>
            </w:r>
            <w:r>
              <w:rPr>
                <w:rFonts w:hint="eastAsia" w:ascii="仿宋_GB2312" w:hAnsi="仿宋_GB2312" w:eastAsia="仿宋_GB2312" w:cs="仿宋_GB2312"/>
                <w:color w:val="000000"/>
                <w:sz w:val="21"/>
                <w:szCs w:val="21"/>
                <w:lang w:eastAsia="zh-CN"/>
              </w:rPr>
              <w:t>。</w:t>
            </w:r>
          </w:p>
          <w:p w14:paraId="78C58D2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完善冷链物流基地作业流程与制度优化，与3家强村公司建立合作，梳理冷链基地目前短板并制定改进方向。</w:t>
            </w:r>
          </w:p>
        </w:tc>
        <w:tc>
          <w:tcPr>
            <w:tcW w:w="1305" w:type="dxa"/>
            <w:vMerge w:val="restart"/>
            <w:noWrap w:val="0"/>
            <w:vAlign w:val="center"/>
          </w:tcPr>
          <w:p w14:paraId="5EE19F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32E99C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48D7B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00853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93C87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908FC90">
            <w:pPr>
              <w:pStyle w:val="2"/>
              <w:rPr>
                <w:rFonts w:hint="eastAsia" w:ascii="仿宋_GB2312" w:hAnsi="仿宋_GB2312" w:eastAsia="仿宋_GB2312" w:cs="仿宋_GB2312"/>
                <w:color w:val="000000"/>
                <w:sz w:val="21"/>
                <w:szCs w:val="21"/>
                <w:lang w:val="en-US" w:eastAsia="zh-CN"/>
              </w:rPr>
            </w:pPr>
          </w:p>
          <w:p w14:paraId="0E6DA2A6">
            <w:pPr>
              <w:pStyle w:val="2"/>
              <w:rPr>
                <w:rFonts w:hint="eastAsia" w:ascii="仿宋_GB2312" w:hAnsi="仿宋_GB2312" w:eastAsia="仿宋_GB2312" w:cs="仿宋_GB2312"/>
                <w:color w:val="000000"/>
                <w:sz w:val="21"/>
                <w:szCs w:val="21"/>
                <w:lang w:val="en-US" w:eastAsia="zh-CN"/>
              </w:rPr>
            </w:pPr>
          </w:p>
          <w:p w14:paraId="12D614BD">
            <w:pPr>
              <w:pStyle w:val="2"/>
              <w:rPr>
                <w:rFonts w:hint="eastAsia" w:ascii="仿宋_GB2312" w:hAnsi="仿宋_GB2312" w:eastAsia="仿宋_GB2312" w:cs="仿宋_GB2312"/>
                <w:color w:val="000000"/>
                <w:sz w:val="21"/>
                <w:szCs w:val="21"/>
                <w:lang w:val="en-US" w:eastAsia="zh-CN"/>
              </w:rPr>
            </w:pPr>
          </w:p>
          <w:p w14:paraId="7956E2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13AD0C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p w14:paraId="03B176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101C6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C77D31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E03ED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4C874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0218A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62872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78246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1D7A8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539D2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FF9ED7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42B38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4ED96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6142A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E4586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2C218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E3BE14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2A0EE333">
            <w:pPr>
              <w:pStyle w:val="3"/>
              <w:ind w:left="0" w:leftChars="0" w:firstLine="0" w:firstLineChars="0"/>
              <w:rPr>
                <w:rFonts w:hint="eastAsia"/>
                <w:lang w:val="en-US" w:eastAsia="zh-CN"/>
              </w:rPr>
            </w:pPr>
          </w:p>
          <w:p w14:paraId="0541CC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tc>
        <w:tc>
          <w:tcPr>
            <w:tcW w:w="1695" w:type="dxa"/>
            <w:vMerge w:val="restart"/>
            <w:noWrap w:val="0"/>
            <w:vAlign w:val="center"/>
          </w:tcPr>
          <w:p w14:paraId="636EFB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0E834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B6A24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F8DD8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E40A8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5B3879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7182A68">
            <w:pPr>
              <w:pStyle w:val="2"/>
              <w:rPr>
                <w:rFonts w:hint="eastAsia" w:ascii="仿宋_GB2312" w:hAnsi="仿宋_GB2312" w:eastAsia="仿宋_GB2312" w:cs="仿宋_GB2312"/>
                <w:color w:val="000000"/>
                <w:sz w:val="21"/>
                <w:szCs w:val="21"/>
                <w:lang w:val="en-US" w:eastAsia="zh-CN"/>
              </w:rPr>
            </w:pPr>
          </w:p>
          <w:p w14:paraId="71FF74C1">
            <w:pPr>
              <w:pStyle w:val="2"/>
              <w:rPr>
                <w:rFonts w:hint="eastAsia" w:ascii="仿宋_GB2312" w:hAnsi="仿宋_GB2312" w:eastAsia="仿宋_GB2312" w:cs="仿宋_GB2312"/>
                <w:color w:val="000000"/>
                <w:sz w:val="21"/>
                <w:szCs w:val="21"/>
                <w:lang w:val="en-US" w:eastAsia="zh-CN"/>
              </w:rPr>
            </w:pPr>
          </w:p>
          <w:p w14:paraId="09F2AFFE">
            <w:pPr>
              <w:pStyle w:val="2"/>
              <w:rPr>
                <w:rFonts w:hint="eastAsia" w:ascii="仿宋_GB2312" w:hAnsi="仿宋_GB2312" w:eastAsia="仿宋_GB2312" w:cs="仿宋_GB2312"/>
                <w:color w:val="000000"/>
                <w:sz w:val="21"/>
                <w:szCs w:val="21"/>
                <w:lang w:val="en-US" w:eastAsia="zh-CN"/>
              </w:rPr>
            </w:pPr>
          </w:p>
          <w:p w14:paraId="636611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区国资局</w:t>
            </w:r>
          </w:p>
          <w:p w14:paraId="2DFD8B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AEE10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C7A95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56242E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F8932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20931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599A2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9A1A3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97244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8EB67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4E74B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582737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D3E612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34AAC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09FBBD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FBBD9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134E5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2CC98900">
            <w:pPr>
              <w:pStyle w:val="3"/>
              <w:ind w:left="0" w:leftChars="0" w:firstLine="0" w:firstLineChars="0"/>
              <w:rPr>
                <w:rFonts w:hint="eastAsia"/>
                <w:lang w:val="en-US" w:eastAsia="zh-CN"/>
              </w:rPr>
            </w:pPr>
          </w:p>
          <w:p w14:paraId="5A035AE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区国资局</w:t>
            </w:r>
          </w:p>
        </w:tc>
        <w:tc>
          <w:tcPr>
            <w:tcW w:w="2119" w:type="dxa"/>
            <w:vMerge w:val="restart"/>
            <w:noWrap w:val="0"/>
            <w:vAlign w:val="center"/>
          </w:tcPr>
          <w:p w14:paraId="099C3A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520734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4458AF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5BD9303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06E5DD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22346C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099AF05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410054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1E87E93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196E6E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20D843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区发展改革局、区经济信息化局、区财政局、区自然资源局、区住房城乡建设局、区农业农村局、区市场监管局、区行政审批局、区税务局、经开区管委会</w:t>
            </w:r>
          </w:p>
          <w:p w14:paraId="4A8317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6D465D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137679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5D734F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5810D8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107FE2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0E44EFE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211C31C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26A91AA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0A33EA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446228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61A9F1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07A395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7A3B45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375D78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7942B4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区发展改革局、区经济信息化局、区财政局、区自然资源局、区住房城乡建设局、区农业农村局、区市场监管局、区行政审批局、区税务局、经开区管委会</w:t>
            </w:r>
          </w:p>
        </w:tc>
      </w:tr>
      <w:tr w14:paraId="36F3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714" w:type="dxa"/>
            <w:vMerge w:val="continue"/>
            <w:noWrap w:val="0"/>
            <w:vAlign w:val="center"/>
          </w:tcPr>
          <w:p w14:paraId="1E0D9C3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F06B6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86F4A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746A0E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完成股权变更、三定方案制定、人事调整，推进新公司建章立制</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部分经营权资产挂网、注入，部分经营权完成包装。</w:t>
            </w:r>
          </w:p>
          <w:p w14:paraId="7E3230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完成协鑫基金尽调、可研等前期工作</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力争完成润和催化剂第三批注资、项目设计招标，稀土伴生矿项目签订股权转让协议，西王集团菜籽油项目完成尽调等前期工作</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根据迪阳公司资金需求情况进行注资。</w:t>
            </w:r>
          </w:p>
          <w:p w14:paraId="75DF23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新天地商业综合体全面完工；流花溪加油站完工；红星村养猪厂项目完成项目立项、过规委会、取得林地征占手续、施工图编制</w:t>
            </w:r>
            <w:r>
              <w:rPr>
                <w:rFonts w:hint="eastAsia" w:ascii="仿宋_GB2312" w:hAnsi="仿宋_GB2312" w:eastAsia="仿宋_GB2312" w:cs="仿宋_GB2312"/>
                <w:color w:val="000000"/>
                <w:sz w:val="21"/>
                <w:szCs w:val="21"/>
                <w:lang w:eastAsia="zh-CN"/>
              </w:rPr>
              <w:t>。</w:t>
            </w:r>
          </w:p>
          <w:p w14:paraId="1014C3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落实冷链环节节能降耗措施，拓展新的冷链贸易合作客户。</w:t>
            </w:r>
          </w:p>
        </w:tc>
        <w:tc>
          <w:tcPr>
            <w:tcW w:w="1305" w:type="dxa"/>
            <w:vMerge w:val="continue"/>
            <w:noWrap w:val="0"/>
            <w:vAlign w:val="center"/>
          </w:tcPr>
          <w:p w14:paraId="5EBE81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42309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5C80F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824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714" w:type="dxa"/>
            <w:vMerge w:val="continue"/>
            <w:noWrap w:val="0"/>
            <w:vAlign w:val="center"/>
          </w:tcPr>
          <w:p w14:paraId="2DF0D8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E332F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614E9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44282B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力争完成五产投、经开产投AA+评级，启动科创集团、文旅集团AA评级准备工作。</w:t>
            </w:r>
          </w:p>
          <w:p w14:paraId="080438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完成协鑫基金组建全部前期工作</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西王集团菜籽油项目完成土地作价并签约，推进润和催化剂、稀土伴生矿、西王菜籽油、迪阳PTMEG等项目投后管理。</w:t>
            </w:r>
          </w:p>
          <w:p w14:paraId="570D052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冠英冷链物流完成施工图编制；红星村养猪厂项目完成图审、预算编制、取得财评、完成施工单位招采</w:t>
            </w:r>
            <w:r>
              <w:rPr>
                <w:rFonts w:hint="eastAsia" w:ascii="仿宋_GB2312" w:hAnsi="仿宋_GB2312" w:eastAsia="仿宋_GB2312" w:cs="仿宋_GB2312"/>
                <w:color w:val="000000"/>
                <w:sz w:val="21"/>
                <w:szCs w:val="21"/>
                <w:lang w:eastAsia="zh-CN"/>
              </w:rPr>
              <w:t>。</w:t>
            </w:r>
          </w:p>
          <w:p w14:paraId="01F4EF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优化冷链物流基地货物配送流程，深化现有客户业务联动，整合行业资源形成服务闭环。</w:t>
            </w:r>
          </w:p>
        </w:tc>
        <w:tc>
          <w:tcPr>
            <w:tcW w:w="1305" w:type="dxa"/>
            <w:vMerge w:val="continue"/>
            <w:noWrap w:val="0"/>
            <w:vAlign w:val="center"/>
          </w:tcPr>
          <w:p w14:paraId="1E7435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69272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3D40A6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100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atLeast"/>
          <w:jc w:val="center"/>
        </w:trPr>
        <w:tc>
          <w:tcPr>
            <w:tcW w:w="714" w:type="dxa"/>
            <w:vMerge w:val="continue"/>
            <w:noWrap w:val="0"/>
            <w:vAlign w:val="center"/>
          </w:tcPr>
          <w:p w14:paraId="3AF488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8E72F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FBAAC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31D9DE7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力争完成科创集团、文旅集团AA评级。</w:t>
            </w:r>
          </w:p>
          <w:p w14:paraId="64D32B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力争完成第一批协鑫基金出资。</w:t>
            </w:r>
          </w:p>
          <w:p w14:paraId="7087DFB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冠英冷链物流完成招采并进场施工；红星村养猪厂项目完成总工程量30%</w:t>
            </w:r>
            <w:r>
              <w:rPr>
                <w:rFonts w:hint="eastAsia" w:ascii="仿宋_GB2312" w:hAnsi="仿宋_GB2312" w:eastAsia="仿宋_GB2312" w:cs="仿宋_GB2312"/>
                <w:color w:val="000000"/>
                <w:sz w:val="21"/>
                <w:szCs w:val="21"/>
                <w:lang w:eastAsia="zh-CN"/>
              </w:rPr>
              <w:t>。</w:t>
            </w:r>
          </w:p>
          <w:p w14:paraId="2E695D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冷链物流基地完成98%以上年度收入目标，争取超额完成，新增2家以上省外源头供应商合作，降低贸易成本。优化冷链物流基地客户服务体系，完成客户满意度调研，提升复购率。</w:t>
            </w:r>
          </w:p>
        </w:tc>
        <w:tc>
          <w:tcPr>
            <w:tcW w:w="1305" w:type="dxa"/>
            <w:vMerge w:val="continue"/>
            <w:noWrap w:val="0"/>
            <w:vAlign w:val="center"/>
          </w:tcPr>
          <w:p w14:paraId="2E4A9F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C779D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440EAC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238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14" w:type="dxa"/>
            <w:vMerge w:val="restart"/>
            <w:noWrap w:val="0"/>
            <w:vAlign w:val="center"/>
          </w:tcPr>
          <w:p w14:paraId="69669E7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37</w:t>
            </w:r>
          </w:p>
        </w:tc>
        <w:tc>
          <w:tcPr>
            <w:tcW w:w="2742" w:type="dxa"/>
            <w:vMerge w:val="restart"/>
            <w:noWrap w:val="0"/>
            <w:vAlign w:val="center"/>
          </w:tcPr>
          <w:p w14:paraId="6FDA1D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全面推进项目并联审批和“高效办成一件事”改革。</w:t>
            </w:r>
          </w:p>
        </w:tc>
        <w:tc>
          <w:tcPr>
            <w:tcW w:w="330" w:type="dxa"/>
            <w:noWrap w:val="0"/>
            <w:vAlign w:val="center"/>
          </w:tcPr>
          <w:p w14:paraId="28B389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vMerge w:val="restart"/>
            <w:noWrap w:val="0"/>
            <w:vAlign w:val="center"/>
          </w:tcPr>
          <w:p w14:paraId="630BAA3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right="0" w:right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val="en-US" w:eastAsia="zh-CN"/>
              </w:rPr>
              <w:fldChar w:fldCharType="begin"/>
            </w:r>
            <w:r>
              <w:rPr>
                <w:rFonts w:hint="eastAsia" w:ascii="仿宋_GB2312" w:hAnsi="仿宋_GB2312" w:eastAsia="仿宋_GB2312" w:cs="仿宋_GB2312"/>
                <w:color w:val="000000"/>
                <w:sz w:val="21"/>
                <w:szCs w:val="21"/>
                <w:lang w:val="en-US" w:eastAsia="zh-CN"/>
              </w:rPr>
              <w:instrText xml:space="preserve"> HYPERLINK "javascript:void(0);" \o "川办发〔2025〕40号省政府办关于健全\“高效办成一件事\”重点事项常态化推进机制的实施意见.pdf" </w:instrText>
            </w:r>
            <w:r>
              <w:rPr>
                <w:rFonts w:hint="eastAsia" w:ascii="仿宋_GB2312" w:hAnsi="仿宋_GB2312" w:eastAsia="仿宋_GB2312" w:cs="仿宋_GB2312"/>
                <w:color w:val="000000"/>
                <w:sz w:val="21"/>
                <w:szCs w:val="21"/>
                <w:lang w:val="en-US" w:eastAsia="zh-CN"/>
              </w:rPr>
              <w:fldChar w:fldCharType="separate"/>
            </w:r>
            <w:r>
              <w:rPr>
                <w:rFonts w:hint="eastAsia" w:ascii="仿宋_GB2312" w:hAnsi="仿宋_GB2312" w:eastAsia="仿宋_GB2312" w:cs="仿宋_GB2312"/>
                <w:color w:val="000000"/>
                <w:sz w:val="21"/>
                <w:szCs w:val="21"/>
                <w:lang w:val="en-US" w:eastAsia="zh-CN"/>
              </w:rPr>
              <w:t>健全“高效办成一件事”重点事项常态化推进机制</w:t>
            </w:r>
            <w:r>
              <w:rPr>
                <w:rFonts w:hint="eastAsia" w:ascii="仿宋_GB2312" w:hAnsi="仿宋_GB2312" w:eastAsia="仿宋_GB2312" w:cs="仿宋_GB2312"/>
                <w:color w:val="000000"/>
                <w:sz w:val="21"/>
                <w:szCs w:val="21"/>
                <w:lang w:val="en-US" w:eastAsia="zh-CN"/>
              </w:rPr>
              <w:fldChar w:fldCharType="end"/>
            </w:r>
            <w:r>
              <w:rPr>
                <w:rFonts w:hint="eastAsia" w:ascii="仿宋_GB2312" w:hAnsi="仿宋_GB2312" w:eastAsia="仿宋_GB2312" w:cs="仿宋_GB2312"/>
                <w:color w:val="000000"/>
                <w:sz w:val="21"/>
                <w:szCs w:val="21"/>
                <w:lang w:val="en-US" w:eastAsia="zh-CN"/>
              </w:rPr>
              <w:t>。</w:t>
            </w:r>
          </w:p>
          <w:p w14:paraId="404980F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2.完成“高效办成一件事”2026年第一批重点事项清单梳理，明确牵头部门和办理流程，开展办理工作。</w:t>
            </w:r>
          </w:p>
        </w:tc>
        <w:tc>
          <w:tcPr>
            <w:tcW w:w="1305" w:type="dxa"/>
            <w:vMerge w:val="restart"/>
            <w:noWrap w:val="0"/>
            <w:vAlign w:val="center"/>
          </w:tcPr>
          <w:p w14:paraId="23617C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tc>
        <w:tc>
          <w:tcPr>
            <w:tcW w:w="1695" w:type="dxa"/>
            <w:vMerge w:val="restart"/>
            <w:noWrap w:val="0"/>
            <w:vAlign w:val="center"/>
          </w:tcPr>
          <w:p w14:paraId="58D8AA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区行政审批局</w:t>
            </w:r>
          </w:p>
        </w:tc>
        <w:tc>
          <w:tcPr>
            <w:tcW w:w="2119" w:type="dxa"/>
            <w:vMerge w:val="restart"/>
            <w:noWrap w:val="0"/>
            <w:vAlign w:val="center"/>
          </w:tcPr>
          <w:p w14:paraId="68B3B1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Times New Roman" w:hAnsi="Times New Roman" w:eastAsia="仿宋_GB2312" w:cs="Times New Roman"/>
                <w:sz w:val="32"/>
              </w:rPr>
            </w:pPr>
            <w:r>
              <w:rPr>
                <w:rFonts w:hint="eastAsia" w:ascii="仿宋_GB2312" w:hAnsi="仿宋_GB2312" w:eastAsia="仿宋_GB2312" w:cs="仿宋_GB2312"/>
                <w:color w:val="000000"/>
                <w:sz w:val="21"/>
                <w:szCs w:val="21"/>
                <w:lang w:eastAsia="zh-CN"/>
              </w:rPr>
              <w:t>区发展改革局、区民政局、区人力资源社会保障局、区住房城乡建设局、区自然资源局、区市场监管局、区卫生健康局、区文广体育旅游局</w:t>
            </w:r>
          </w:p>
        </w:tc>
      </w:tr>
      <w:tr w14:paraId="5F03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14" w:type="dxa"/>
            <w:vMerge w:val="continue"/>
            <w:noWrap w:val="0"/>
            <w:vAlign w:val="center"/>
          </w:tcPr>
          <w:p w14:paraId="68ACCC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EC0ECC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14D222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vMerge w:val="continue"/>
            <w:noWrap w:val="0"/>
            <w:vAlign w:val="center"/>
          </w:tcPr>
          <w:p w14:paraId="4B592DE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1305" w:type="dxa"/>
            <w:vMerge w:val="continue"/>
            <w:noWrap w:val="0"/>
            <w:vAlign w:val="center"/>
          </w:tcPr>
          <w:p w14:paraId="3ECF45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E2C08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3C20B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4F24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4" w:type="dxa"/>
            <w:vMerge w:val="continue"/>
            <w:noWrap w:val="0"/>
            <w:vAlign w:val="center"/>
          </w:tcPr>
          <w:p w14:paraId="56C7D2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72D02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DB0B7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vMerge w:val="continue"/>
            <w:noWrap w:val="0"/>
            <w:vAlign w:val="center"/>
          </w:tcPr>
          <w:p w14:paraId="3BEE12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1305" w:type="dxa"/>
            <w:vMerge w:val="continue"/>
            <w:noWrap w:val="0"/>
            <w:vAlign w:val="center"/>
          </w:tcPr>
          <w:p w14:paraId="6CEB39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02A95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E45AB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6CDE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14" w:type="dxa"/>
            <w:vMerge w:val="continue"/>
            <w:noWrap w:val="0"/>
            <w:vAlign w:val="center"/>
          </w:tcPr>
          <w:p w14:paraId="4A975730">
            <w:pPr>
              <w:keepNext w:val="0"/>
              <w:keepLines w:val="0"/>
              <w:pageBreakBefore w:val="0"/>
              <w:widowControl w:val="0"/>
              <w:kinsoku/>
              <w:wordWrap/>
              <w:overflowPunct/>
              <w:topLinePunct w:val="0"/>
              <w:autoSpaceDE/>
              <w:autoSpaceDN/>
              <w:bidi w:val="0"/>
              <w:adjustRightInd/>
              <w:snapToGrid/>
              <w:spacing w:after="0" w:line="260" w:lineRule="exact"/>
              <w:ind w:firstLine="480" w:firstLineChars="200"/>
              <w:jc w:val="both"/>
              <w:rPr>
                <w:rFonts w:hint="eastAsia" w:ascii="Times New Roman" w:hAnsi="Times New Roman" w:eastAsia="仿宋_GB2312" w:cs="Times New Roman"/>
                <w:kern w:val="2"/>
                <w:sz w:val="24"/>
                <w:szCs w:val="24"/>
                <w:lang w:val="en-US" w:eastAsia="zh-CN" w:bidi="ar-SA"/>
              </w:rPr>
            </w:pPr>
          </w:p>
        </w:tc>
        <w:tc>
          <w:tcPr>
            <w:tcW w:w="2742" w:type="dxa"/>
            <w:vMerge w:val="continue"/>
            <w:noWrap w:val="0"/>
            <w:vAlign w:val="center"/>
          </w:tcPr>
          <w:p w14:paraId="713A10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368BC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6E5D4F0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1.结合实际积极探索特色“一件事”。</w:t>
            </w:r>
          </w:p>
          <w:p w14:paraId="2C3196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2.推进建设项目“开工一件事”，将建设工程质量监督备案、安全监督备案以及施工许可证核发并联办理。</w:t>
            </w:r>
          </w:p>
        </w:tc>
        <w:tc>
          <w:tcPr>
            <w:tcW w:w="1305" w:type="dxa"/>
            <w:vMerge w:val="continue"/>
            <w:noWrap w:val="0"/>
            <w:vAlign w:val="center"/>
          </w:tcPr>
          <w:p w14:paraId="6156BF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F79A0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6C5575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061D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14" w:type="dxa"/>
            <w:vMerge w:val="restart"/>
            <w:noWrap w:val="0"/>
            <w:vAlign w:val="center"/>
          </w:tcPr>
          <w:p w14:paraId="5AA6AC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38</w:t>
            </w:r>
          </w:p>
        </w:tc>
        <w:tc>
          <w:tcPr>
            <w:tcW w:w="2742" w:type="dxa"/>
            <w:vMerge w:val="restart"/>
            <w:noWrap w:val="0"/>
            <w:vAlign w:val="center"/>
          </w:tcPr>
          <w:p w14:paraId="488B46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常态化开展社区停车综合治理、流动摊贩管理等行动，让城市功能更完善、环境更宜居、生活更美好。</w:t>
            </w:r>
          </w:p>
        </w:tc>
        <w:tc>
          <w:tcPr>
            <w:tcW w:w="330" w:type="dxa"/>
            <w:noWrap w:val="0"/>
            <w:vAlign w:val="center"/>
          </w:tcPr>
          <w:p w14:paraId="3C2C3B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25ACA5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制定工作方案、细化治理目标，明确责任分工，开展形式多样的法规宣传活动，提高居民法律素养，营造人人参与，共建宜居宜业宜游美丽小西湖的良好氛围。</w:t>
            </w:r>
          </w:p>
        </w:tc>
        <w:tc>
          <w:tcPr>
            <w:tcW w:w="1305" w:type="dxa"/>
            <w:vMerge w:val="restart"/>
            <w:noWrap w:val="0"/>
            <w:vAlign w:val="center"/>
          </w:tcPr>
          <w:p w14:paraId="647C1B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周扬彬</w:t>
            </w:r>
          </w:p>
        </w:tc>
        <w:tc>
          <w:tcPr>
            <w:tcW w:w="1695" w:type="dxa"/>
            <w:vMerge w:val="restart"/>
            <w:noWrap w:val="0"/>
            <w:vAlign w:val="center"/>
          </w:tcPr>
          <w:p w14:paraId="7C7E01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区综合行政</w:t>
            </w:r>
          </w:p>
          <w:p w14:paraId="620D7C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执法局</w:t>
            </w:r>
          </w:p>
        </w:tc>
        <w:tc>
          <w:tcPr>
            <w:tcW w:w="2119" w:type="dxa"/>
            <w:vMerge w:val="restart"/>
            <w:noWrap w:val="0"/>
            <w:vAlign w:val="center"/>
          </w:tcPr>
          <w:p w14:paraId="291106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区住房城乡建设局、</w:t>
            </w:r>
            <w:r>
              <w:rPr>
                <w:rFonts w:hint="eastAsia" w:ascii="仿宋_GB2312" w:hAnsi="仿宋_GB2312" w:eastAsia="仿宋_GB2312" w:cs="仿宋_GB2312"/>
                <w:color w:val="000000"/>
                <w:sz w:val="21"/>
                <w:szCs w:val="21"/>
                <w:lang w:val="en-US" w:eastAsia="zh-CN"/>
              </w:rPr>
              <w:t>区</w:t>
            </w:r>
            <w:r>
              <w:rPr>
                <w:rFonts w:hint="eastAsia" w:ascii="仿宋_GB2312" w:hAnsi="仿宋_GB2312" w:eastAsia="仿宋_GB2312" w:cs="仿宋_GB2312"/>
                <w:color w:val="000000"/>
                <w:sz w:val="21"/>
                <w:szCs w:val="21"/>
              </w:rPr>
              <w:t>市场监管局、区交警大队、竹根镇</w:t>
            </w:r>
          </w:p>
        </w:tc>
      </w:tr>
      <w:tr w14:paraId="4613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14" w:type="dxa"/>
            <w:vMerge w:val="continue"/>
            <w:noWrap w:val="0"/>
            <w:vAlign w:val="center"/>
          </w:tcPr>
          <w:p w14:paraId="6965C5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21FC9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DBCD8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002FFE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按照方案要求，深入开展市容环境综合治理行动，集中非机动车乱停乱放、占道经营、小广告乱涂乱画等现象，推进市容环境向规范化、有序化发展。</w:t>
            </w:r>
          </w:p>
        </w:tc>
        <w:tc>
          <w:tcPr>
            <w:tcW w:w="1305" w:type="dxa"/>
            <w:vMerge w:val="continue"/>
            <w:noWrap w:val="0"/>
            <w:vAlign w:val="center"/>
          </w:tcPr>
          <w:p w14:paraId="6CD81E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74B209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5DC93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B37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14" w:type="dxa"/>
            <w:vMerge w:val="continue"/>
            <w:noWrap w:val="0"/>
            <w:vAlign w:val="center"/>
          </w:tcPr>
          <w:p w14:paraId="0EFC4A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3FC41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06D4C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0E3D51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进一步加强巡查执法力度，巩固和深化城市综合治理成效，建立健全多元城市治理新格局，筑牢共建共治共享机制，推动城市管理迈上新台阶。</w:t>
            </w:r>
          </w:p>
        </w:tc>
        <w:tc>
          <w:tcPr>
            <w:tcW w:w="1305" w:type="dxa"/>
            <w:vMerge w:val="continue"/>
            <w:noWrap w:val="0"/>
            <w:vAlign w:val="center"/>
          </w:tcPr>
          <w:p w14:paraId="15FEC8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0EE0B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B86D7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DAC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714" w:type="dxa"/>
            <w:vMerge w:val="continue"/>
            <w:noWrap w:val="0"/>
            <w:vAlign w:val="center"/>
          </w:tcPr>
          <w:p w14:paraId="12C48F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21F89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918762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28C5BF7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全面总结治理成效，进一步完善常态长效机制，推动城市面貌焕然一新，全面提升城市管理科学化、精准化水平。</w:t>
            </w:r>
          </w:p>
        </w:tc>
        <w:tc>
          <w:tcPr>
            <w:tcW w:w="1305" w:type="dxa"/>
            <w:vMerge w:val="continue"/>
            <w:noWrap w:val="0"/>
            <w:vAlign w:val="center"/>
          </w:tcPr>
          <w:p w14:paraId="687027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BBF76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E553F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4DA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4" w:type="dxa"/>
            <w:vMerge w:val="restart"/>
            <w:noWrap w:val="0"/>
            <w:vAlign w:val="center"/>
          </w:tcPr>
          <w:p w14:paraId="392E9C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39</w:t>
            </w:r>
          </w:p>
        </w:tc>
        <w:tc>
          <w:tcPr>
            <w:tcW w:w="2742" w:type="dxa"/>
            <w:vMerge w:val="restart"/>
            <w:noWrap w:val="0"/>
            <w:vAlign w:val="center"/>
          </w:tcPr>
          <w:p w14:paraId="5F0171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提速冠英新区建设。锚定“宜居宜业宜游的产城融合新区”建设目标，服务岷江航电枢纽、保税物流中心等项目建设，完善城市交通路网、地下管网以及公共服务配套，加快培育现代物流、低空经济等新兴产业，支持房地产市场健康发展，绘就“人、城、产、景”和谐共融新画卷。</w:t>
            </w:r>
          </w:p>
        </w:tc>
        <w:tc>
          <w:tcPr>
            <w:tcW w:w="330" w:type="dxa"/>
            <w:noWrap w:val="0"/>
            <w:vAlign w:val="center"/>
          </w:tcPr>
          <w:p w14:paraId="1621F2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212382C5">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完成老木孔航电枢纽修编工作</w:t>
            </w:r>
            <w:r>
              <w:rPr>
                <w:rFonts w:hint="eastAsia" w:ascii="仿宋_GB2312" w:hAnsi="仿宋_GB2312" w:eastAsia="仿宋_GB2312" w:cs="仿宋_GB2312"/>
                <w:color w:val="000000"/>
                <w:sz w:val="21"/>
                <w:szCs w:val="21"/>
                <w:lang w:eastAsia="zh-CN"/>
              </w:rPr>
              <w:t>。</w:t>
            </w:r>
          </w:p>
          <w:p w14:paraId="3FA4B84F">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启动业主营地征地拆迁前期相关工作</w:t>
            </w:r>
            <w:r>
              <w:rPr>
                <w:rFonts w:hint="eastAsia" w:ascii="仿宋_GB2312" w:hAnsi="仿宋_GB2312" w:eastAsia="仿宋_GB2312" w:cs="仿宋_GB2312"/>
                <w:color w:val="000000"/>
                <w:sz w:val="21"/>
                <w:szCs w:val="21"/>
                <w:lang w:eastAsia="zh-CN"/>
              </w:rPr>
              <w:t>。</w:t>
            </w:r>
          </w:p>
          <w:p w14:paraId="7719580A">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配合完成西坝镇水银坝临时用地交地工作，确保移民资金补偿到位。</w:t>
            </w:r>
          </w:p>
          <w:p w14:paraId="6F7D2580">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玉津路五期、建业大道B段完成路基换填；国泰路曹坝儿段、地下综合管线开工建设</w:t>
            </w:r>
            <w:r>
              <w:rPr>
                <w:rFonts w:hint="eastAsia" w:ascii="仿宋_GB2312" w:hAnsi="仿宋_GB2312" w:eastAsia="仿宋_GB2312" w:cs="仿宋_GB2312"/>
                <w:color w:val="000000"/>
                <w:sz w:val="21"/>
                <w:szCs w:val="21"/>
                <w:lang w:eastAsia="zh-CN"/>
              </w:rPr>
              <w:t>。</w:t>
            </w:r>
          </w:p>
        </w:tc>
        <w:tc>
          <w:tcPr>
            <w:tcW w:w="1305" w:type="dxa"/>
            <w:vMerge w:val="restart"/>
            <w:noWrap w:val="0"/>
            <w:vAlign w:val="center"/>
          </w:tcPr>
          <w:p w14:paraId="2A9BE1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716ECC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区水务局、</w:t>
            </w:r>
          </w:p>
          <w:p w14:paraId="5EDA45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冠英新区管委会</w:t>
            </w:r>
          </w:p>
        </w:tc>
        <w:tc>
          <w:tcPr>
            <w:tcW w:w="2119" w:type="dxa"/>
            <w:vMerge w:val="restart"/>
            <w:noWrap w:val="0"/>
            <w:vAlign w:val="center"/>
          </w:tcPr>
          <w:p w14:paraId="06B8053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区</w:t>
            </w:r>
            <w:r>
              <w:rPr>
                <w:rFonts w:hint="eastAsia" w:ascii="仿宋_GB2312" w:hAnsi="仿宋_GB2312" w:eastAsia="仿宋_GB2312" w:cs="仿宋_GB2312"/>
                <w:color w:val="000000"/>
                <w:sz w:val="21"/>
                <w:szCs w:val="21"/>
                <w:lang w:val="en-US" w:eastAsia="zh-CN"/>
              </w:rPr>
              <w:t>发展改革局</w:t>
            </w:r>
            <w:r>
              <w:rPr>
                <w:rFonts w:hint="eastAsia" w:ascii="仿宋_GB2312" w:hAnsi="仿宋_GB2312" w:eastAsia="仿宋_GB2312" w:cs="仿宋_GB2312"/>
                <w:color w:val="000000"/>
                <w:sz w:val="21"/>
                <w:szCs w:val="21"/>
              </w:rPr>
              <w:t>、区财政</w:t>
            </w:r>
            <w:r>
              <w:rPr>
                <w:rFonts w:hint="eastAsia" w:ascii="仿宋_GB2312" w:hAnsi="仿宋_GB2312" w:eastAsia="仿宋_GB2312" w:cs="仿宋_GB2312"/>
                <w:color w:val="000000"/>
                <w:sz w:val="21"/>
                <w:szCs w:val="21"/>
                <w:lang w:val="en-US" w:eastAsia="zh-CN"/>
              </w:rPr>
              <w:t>局</w:t>
            </w:r>
            <w:r>
              <w:rPr>
                <w:rFonts w:hint="eastAsia" w:ascii="仿宋_GB2312" w:hAnsi="仿宋_GB2312" w:eastAsia="仿宋_GB2312" w:cs="仿宋_GB2312"/>
                <w:color w:val="000000"/>
                <w:sz w:val="21"/>
                <w:szCs w:val="21"/>
              </w:rPr>
              <w:t>、区自然资源局、区</w:t>
            </w:r>
            <w:r>
              <w:rPr>
                <w:rFonts w:hint="eastAsia" w:ascii="仿宋_GB2312" w:hAnsi="仿宋_GB2312" w:eastAsia="仿宋_GB2312" w:cs="仿宋_GB2312"/>
                <w:color w:val="000000"/>
                <w:sz w:val="21"/>
                <w:szCs w:val="21"/>
                <w:lang w:val="en-US" w:eastAsia="zh-CN"/>
              </w:rPr>
              <w:t>住房城乡建设</w:t>
            </w:r>
            <w:r>
              <w:rPr>
                <w:rFonts w:hint="eastAsia" w:ascii="仿宋_GB2312" w:hAnsi="仿宋_GB2312" w:eastAsia="仿宋_GB2312" w:cs="仿宋_GB2312"/>
                <w:color w:val="000000"/>
                <w:sz w:val="21"/>
                <w:szCs w:val="21"/>
              </w:rPr>
              <w:t>局、区交通</w:t>
            </w:r>
            <w:r>
              <w:rPr>
                <w:rFonts w:hint="eastAsia" w:ascii="仿宋_GB2312" w:hAnsi="仿宋_GB2312" w:eastAsia="仿宋_GB2312" w:cs="仿宋_GB2312"/>
                <w:color w:val="000000"/>
                <w:sz w:val="21"/>
                <w:szCs w:val="21"/>
                <w:lang w:val="en-US" w:eastAsia="zh-CN"/>
              </w:rPr>
              <w:t>运输</w:t>
            </w:r>
            <w:r>
              <w:rPr>
                <w:rFonts w:hint="eastAsia" w:ascii="仿宋_GB2312" w:hAnsi="仿宋_GB2312" w:eastAsia="仿宋_GB2312" w:cs="仿宋_GB2312"/>
                <w:color w:val="000000"/>
                <w:sz w:val="21"/>
                <w:szCs w:val="21"/>
              </w:rPr>
              <w:t>局、区国资局、冠英镇</w:t>
            </w:r>
          </w:p>
        </w:tc>
      </w:tr>
      <w:tr w14:paraId="4325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jc w:val="center"/>
        </w:trPr>
        <w:tc>
          <w:tcPr>
            <w:tcW w:w="714" w:type="dxa"/>
            <w:vMerge w:val="continue"/>
            <w:noWrap w:val="0"/>
            <w:vAlign w:val="center"/>
          </w:tcPr>
          <w:p w14:paraId="0A88D7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238306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4F6CB1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18DBC96">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开展老木孔航电枢纽业主营地征地拆迁工作</w:t>
            </w:r>
            <w:r>
              <w:rPr>
                <w:rFonts w:hint="eastAsia" w:ascii="仿宋_GB2312" w:hAnsi="仿宋_GB2312" w:eastAsia="仿宋_GB2312" w:cs="仿宋_GB2312"/>
                <w:color w:val="000000"/>
                <w:sz w:val="21"/>
                <w:szCs w:val="21"/>
                <w:lang w:eastAsia="zh-CN"/>
              </w:rPr>
              <w:t>。</w:t>
            </w:r>
          </w:p>
          <w:p w14:paraId="6453CB4A">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开展老木孔航电枢纽文物搬迁相关工作</w:t>
            </w:r>
            <w:r>
              <w:rPr>
                <w:rFonts w:hint="eastAsia" w:ascii="仿宋_GB2312" w:hAnsi="仿宋_GB2312" w:eastAsia="仿宋_GB2312" w:cs="仿宋_GB2312"/>
                <w:color w:val="000000"/>
                <w:sz w:val="21"/>
                <w:szCs w:val="21"/>
                <w:lang w:eastAsia="zh-CN"/>
              </w:rPr>
              <w:t>。</w:t>
            </w:r>
          </w:p>
          <w:p w14:paraId="4197E282">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开展东风岩航电枢纽临时用地和永久用地土地补偿协议和房屋移民搬迁安置协议的签订，确保移民资金补偿到位</w:t>
            </w:r>
            <w:r>
              <w:rPr>
                <w:rFonts w:hint="eastAsia" w:ascii="仿宋_GB2312" w:hAnsi="仿宋_GB2312" w:eastAsia="仿宋_GB2312" w:cs="仿宋_GB2312"/>
                <w:color w:val="000000"/>
                <w:sz w:val="21"/>
                <w:szCs w:val="21"/>
                <w:lang w:eastAsia="zh-CN"/>
              </w:rPr>
              <w:t>。</w:t>
            </w:r>
          </w:p>
          <w:p w14:paraId="793EFCDF">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启动东风岩航电枢纽金西线燃气管道迁改工作</w:t>
            </w:r>
            <w:r>
              <w:rPr>
                <w:rFonts w:hint="eastAsia" w:ascii="仿宋_GB2312" w:hAnsi="仿宋_GB2312" w:eastAsia="仿宋_GB2312" w:cs="仿宋_GB2312"/>
                <w:color w:val="000000"/>
                <w:sz w:val="21"/>
                <w:szCs w:val="21"/>
                <w:lang w:eastAsia="zh-CN"/>
              </w:rPr>
              <w:t>。</w:t>
            </w:r>
          </w:p>
          <w:p w14:paraId="6F90FAA3">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玉津路五期、建业大道B段完成雨污水管埋设；国泰路曹坝儿段完成路基处理；地下综合管线完成1.5公里管网铺筑；鸭口山口袋公园开工建设</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09BA3F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D236A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29038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E26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714" w:type="dxa"/>
            <w:vMerge w:val="continue"/>
            <w:noWrap w:val="0"/>
            <w:vAlign w:val="center"/>
          </w:tcPr>
          <w:p w14:paraId="594FD4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64CBA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112085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0A791F8A">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东风岩航电枢纽永久用地土地补偿协议和房屋移民搬迁安置协议的签订，确保移民资金补偿到位，力争九月底按时交地</w:t>
            </w:r>
            <w:r>
              <w:rPr>
                <w:rFonts w:hint="eastAsia" w:ascii="仿宋_GB2312" w:hAnsi="仿宋_GB2312" w:eastAsia="仿宋_GB2312" w:cs="仿宋_GB2312"/>
                <w:color w:val="000000"/>
                <w:sz w:val="21"/>
                <w:szCs w:val="21"/>
                <w:lang w:eastAsia="zh-CN"/>
              </w:rPr>
              <w:t>。</w:t>
            </w:r>
          </w:p>
          <w:p w14:paraId="56E758DB">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开展东风岩航电枢纽专业项目的相关工作。</w:t>
            </w:r>
          </w:p>
          <w:p w14:paraId="74BBB6B0">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玉津路五期、建业大道B段完成水稳铺筑；国泰路曹坝儿段完成路基回填，进行强弱电埋设；地下综合管线完成3公里管网铺筑；迎宾大道至乐山机场沿线综合整治项目、陈祠堂路蓝城绿洲段开工建设；鸭口山口袋公园完成道路路基施工</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4E4292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500E1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4952F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42C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jc w:val="center"/>
        </w:trPr>
        <w:tc>
          <w:tcPr>
            <w:tcW w:w="714" w:type="dxa"/>
            <w:vMerge w:val="continue"/>
            <w:noWrap w:val="0"/>
            <w:vAlign w:val="center"/>
          </w:tcPr>
          <w:p w14:paraId="17E822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18484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B8DE3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01DA6496">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完成老木孔航电枢纽扫尾工作</w:t>
            </w:r>
            <w:r>
              <w:rPr>
                <w:rFonts w:hint="eastAsia" w:ascii="仿宋_GB2312" w:hAnsi="仿宋_GB2312" w:eastAsia="仿宋_GB2312" w:cs="仿宋_GB2312"/>
                <w:color w:val="000000"/>
                <w:sz w:val="21"/>
                <w:szCs w:val="21"/>
                <w:lang w:eastAsia="zh-CN"/>
              </w:rPr>
              <w:t>。</w:t>
            </w:r>
          </w:p>
          <w:p w14:paraId="0A654F7B">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继续开展东风岩航电枢纽专业项目相关工作。</w:t>
            </w:r>
          </w:p>
          <w:p w14:paraId="2E9009B2">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玉津路五期、建业大道B段、国泰路曹坝儿段、地下综合管线、鸭口山口袋公园竣工；迎宾大道至乐山机场沿线综合整治项目完成完成机场大道整体改造；国泰路李家湾段完成路基换填；陈祠堂路蓝城绿洲段完成雨污水埋设；城北公园开工建设</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2FD1CB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D77E4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C827BD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436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714" w:type="dxa"/>
            <w:vMerge w:val="restart"/>
            <w:noWrap w:val="0"/>
            <w:vAlign w:val="center"/>
          </w:tcPr>
          <w:p w14:paraId="005C1E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40</w:t>
            </w:r>
          </w:p>
        </w:tc>
        <w:tc>
          <w:tcPr>
            <w:tcW w:w="2742" w:type="dxa"/>
            <w:vMerge w:val="restart"/>
            <w:noWrap w:val="0"/>
            <w:vAlign w:val="center"/>
          </w:tcPr>
          <w:p w14:paraId="28B3C5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助推和邦60万吨蛋氨酸、协鑫5万吨硅碳负极材料等项目尽快启动，推动福华新材料一体化产业园加快建设，积极打造中欧化工合作产业园，服务盛和1.5万吨高性能稀土抛光粉、玉润6000吨稀土材料再生资源利用、嘉美100吨高纯砷等8个项目建成投产，夯实绿色化工千亿集群发展基础。</w:t>
            </w:r>
          </w:p>
        </w:tc>
        <w:tc>
          <w:tcPr>
            <w:tcW w:w="330" w:type="dxa"/>
            <w:noWrap w:val="0"/>
            <w:vAlign w:val="center"/>
          </w:tcPr>
          <w:p w14:paraId="43761F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6824FF10">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竣工福华新材料产业园中氟泰华20万吨双氧水和赢创2万吨特种级双氧水、盛和10万吨稀土抛光粉一期一标段、华融储能电站（一期））等项目</w:t>
            </w:r>
            <w:r>
              <w:rPr>
                <w:rFonts w:hint="eastAsia" w:ascii="仿宋_GB2312" w:hAnsi="仿宋_GB2312" w:eastAsia="仿宋_GB2312" w:cs="仿宋_GB2312"/>
                <w:color w:val="000000"/>
                <w:sz w:val="21"/>
                <w:szCs w:val="21"/>
                <w:lang w:eastAsia="zh-CN"/>
              </w:rPr>
              <w:t>。</w:t>
            </w:r>
          </w:p>
          <w:p w14:paraId="1A42ABEE">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完成和邦60万吨蛋氨酸、福华50万吨烧碱、润和催化剂10万吨稀土催化新材料项目等项目前期立项工作</w:t>
            </w:r>
            <w:r>
              <w:rPr>
                <w:rFonts w:hint="eastAsia" w:ascii="仿宋_GB2312" w:hAnsi="仿宋_GB2312" w:eastAsia="仿宋_GB2312" w:cs="仿宋_GB2312"/>
                <w:color w:val="000000"/>
                <w:sz w:val="21"/>
                <w:szCs w:val="21"/>
                <w:lang w:eastAsia="zh-CN"/>
              </w:rPr>
              <w:t>。</w:t>
            </w:r>
          </w:p>
          <w:p w14:paraId="212A9B67">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力争开工福华产业园60万吨硫磺制酸、15万吨纤维素醚（一期5万吨）、3000吨磷系阻燃剂项目等</w:t>
            </w:r>
            <w:r>
              <w:rPr>
                <w:rFonts w:hint="eastAsia" w:ascii="仿宋_GB2312" w:hAnsi="仿宋_GB2312" w:cs="仿宋_GB2312"/>
                <w:color w:val="000000"/>
                <w:sz w:val="21"/>
                <w:szCs w:val="21"/>
                <w:lang w:eastAsia="zh-CN"/>
              </w:rPr>
              <w:t>。</w:t>
            </w:r>
          </w:p>
        </w:tc>
        <w:tc>
          <w:tcPr>
            <w:tcW w:w="1305" w:type="dxa"/>
            <w:vMerge w:val="restart"/>
            <w:noWrap w:val="0"/>
            <w:vAlign w:val="center"/>
          </w:tcPr>
          <w:p w14:paraId="379E76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60FE90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经开区管委会</w:t>
            </w:r>
          </w:p>
        </w:tc>
        <w:tc>
          <w:tcPr>
            <w:tcW w:w="2119" w:type="dxa"/>
            <w:vMerge w:val="restart"/>
            <w:noWrap w:val="0"/>
            <w:vAlign w:val="center"/>
          </w:tcPr>
          <w:p w14:paraId="0C20E8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lang w:val="en-US"/>
              </w:rPr>
            </w:pPr>
            <w:r>
              <w:rPr>
                <w:rFonts w:hint="eastAsia" w:ascii="仿宋_GB2312" w:hAnsi="仿宋_GB2312" w:eastAsia="仿宋_GB2312" w:cs="仿宋_GB2312"/>
                <w:color w:val="000000"/>
                <w:sz w:val="21"/>
                <w:szCs w:val="21"/>
                <w:lang w:eastAsia="zh-CN"/>
              </w:rPr>
              <w:t>区发展改革局、区经济信息化局、区自然资源局、五通桥生态环境局、区</w:t>
            </w:r>
            <w:r>
              <w:rPr>
                <w:rFonts w:hint="eastAsia" w:ascii="仿宋_GB2312" w:hAnsi="仿宋_GB2312" w:eastAsia="仿宋_GB2312" w:cs="仿宋_GB2312"/>
                <w:color w:val="000000"/>
                <w:sz w:val="21"/>
                <w:szCs w:val="21"/>
                <w:lang w:val="en-US" w:eastAsia="zh-CN"/>
              </w:rPr>
              <w:t>住房城乡建设</w:t>
            </w:r>
            <w:r>
              <w:rPr>
                <w:rFonts w:hint="eastAsia" w:ascii="仿宋_GB2312" w:hAnsi="仿宋_GB2312" w:eastAsia="仿宋_GB2312" w:cs="仿宋_GB2312"/>
                <w:color w:val="000000"/>
                <w:sz w:val="21"/>
                <w:szCs w:val="21"/>
                <w:lang w:eastAsia="zh-CN"/>
              </w:rPr>
              <w:t>局、区水务局、区应急局、区市场监管局、区行政审批局、区消防</w:t>
            </w:r>
            <w:r>
              <w:rPr>
                <w:rFonts w:hint="eastAsia" w:ascii="仿宋_GB2312" w:hAnsi="仿宋_GB2312" w:eastAsia="仿宋_GB2312" w:cs="仿宋_GB2312"/>
                <w:color w:val="000000"/>
                <w:sz w:val="21"/>
                <w:szCs w:val="21"/>
                <w:lang w:val="en-US" w:eastAsia="zh-CN"/>
              </w:rPr>
              <w:t>大队</w:t>
            </w:r>
          </w:p>
        </w:tc>
      </w:tr>
      <w:tr w14:paraId="266C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14" w:type="dxa"/>
            <w:vMerge w:val="continue"/>
            <w:noWrap w:val="0"/>
            <w:vAlign w:val="center"/>
          </w:tcPr>
          <w:p w14:paraId="219737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635033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8BDC9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C56C340">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竣工中氟泰华1万吨PVDF项目及6万吨电子级</w:t>
            </w:r>
            <w:r>
              <w:rPr>
                <w:rFonts w:hint="eastAsia" w:ascii="仿宋_GB2312" w:hAnsi="仿宋_GB2312" w:eastAsia="仿宋_GB2312" w:cs="仿宋_GB2312"/>
                <w:color w:val="000000"/>
                <w:sz w:val="21"/>
                <w:szCs w:val="21"/>
                <w:lang w:eastAsia="zh-CN"/>
              </w:rPr>
              <w:t>无水</w:t>
            </w:r>
            <w:r>
              <w:rPr>
                <w:rFonts w:hint="eastAsia" w:ascii="仿宋_GB2312" w:hAnsi="仿宋_GB2312" w:eastAsia="仿宋_GB2312" w:cs="仿宋_GB2312"/>
                <w:color w:val="000000"/>
                <w:sz w:val="21"/>
                <w:szCs w:val="21"/>
              </w:rPr>
              <w:t>氟化氢</w:t>
            </w:r>
            <w:r>
              <w:rPr>
                <w:rFonts w:hint="eastAsia" w:ascii="仿宋_GB2312" w:hAnsi="仿宋_GB2312" w:eastAsia="仿宋_GB2312" w:cs="仿宋_GB2312"/>
                <w:color w:val="000000"/>
                <w:sz w:val="21"/>
                <w:szCs w:val="21"/>
                <w:lang w:eastAsia="zh-CN"/>
              </w:rPr>
              <w:t>一期</w:t>
            </w:r>
            <w:r>
              <w:rPr>
                <w:rFonts w:hint="eastAsia" w:ascii="仿宋_GB2312" w:hAnsi="仿宋_GB2312" w:eastAsia="仿宋_GB2312" w:cs="仿宋_GB2312"/>
                <w:color w:val="000000"/>
                <w:sz w:val="21"/>
                <w:szCs w:val="21"/>
              </w:rPr>
              <w:t>、嘉美100吨高纯砷</w:t>
            </w:r>
            <w:r>
              <w:rPr>
                <w:rFonts w:hint="eastAsia" w:ascii="仿宋_GB2312" w:hAnsi="仿宋_GB2312" w:eastAsia="仿宋_GB2312" w:cs="仿宋_GB2312"/>
                <w:color w:val="000000"/>
                <w:sz w:val="21"/>
                <w:szCs w:val="21"/>
                <w:lang w:eastAsia="zh-CN"/>
              </w:rPr>
              <w:t>。</w:t>
            </w:r>
          </w:p>
          <w:p w14:paraId="2F2A4A75">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力争开工建设润和催化剂10万吨稀土催化新材料、亿禾资源循环及综合利用等项目</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3C81E0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60144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90A04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09B4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14" w:type="dxa"/>
            <w:vMerge w:val="continue"/>
            <w:noWrap w:val="0"/>
            <w:vAlign w:val="center"/>
          </w:tcPr>
          <w:p w14:paraId="312A54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932DD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E5BC1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36823E93">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竣工四川稀土伴生矿项目，力争开工商舟磷化工、迪阳PTMEG、和邦60万吨蛋氨酸等项目</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30BE107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70ACDE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466D0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2A77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14" w:type="dxa"/>
            <w:vMerge w:val="continue"/>
            <w:noWrap w:val="0"/>
            <w:vAlign w:val="center"/>
          </w:tcPr>
          <w:p w14:paraId="54BF1C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35A942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47D09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69544A9B">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竣工玉润年产6000吨（REO）稀土材料再生利用项目、福华产业园60万吨硫磺制酸、15万吨纤维素醚（一期5万吨）、3000吨磷系阻燃剂等项目，开工新投华瀛化合物半导体材料（二期）等项目</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511C43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94DD9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3254C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2C0F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5" w:hRule="atLeast"/>
          <w:jc w:val="center"/>
        </w:trPr>
        <w:tc>
          <w:tcPr>
            <w:tcW w:w="714" w:type="dxa"/>
            <w:vMerge w:val="restart"/>
            <w:noWrap w:val="0"/>
            <w:vAlign w:val="center"/>
          </w:tcPr>
          <w:p w14:paraId="288CA9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1753B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325D4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FF986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B704C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F127D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86ED5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41</w:t>
            </w:r>
          </w:p>
          <w:p w14:paraId="65B23F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F27904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44BEF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077CA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B0617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1E5E3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BD765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B44F4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3C9D8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7EB29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6FACE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9BD92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80066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37A3C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0F4EC8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p>
        </w:tc>
        <w:tc>
          <w:tcPr>
            <w:tcW w:w="2742" w:type="dxa"/>
            <w:vMerge w:val="restart"/>
            <w:noWrap w:val="0"/>
            <w:vAlign w:val="center"/>
          </w:tcPr>
          <w:p w14:paraId="1B63D4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739F58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204B39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2B6781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09F7FFA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全力推进开创大道、凤翔路、园区能源中心、再生水厂、220千伏万宝输变电工程等基础设施建设，加快园区杆管线迁改和项目用地场平，完成5万平米标准化厂房建设，为项目开工打好基础。</w:t>
            </w:r>
          </w:p>
          <w:p w14:paraId="7753C3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754A6F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30A61C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3BF30D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43A962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6C39E3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0BA03B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693E7F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0FB7D5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2C15FB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6750" w:type="dxa"/>
            <w:noWrap w:val="0"/>
            <w:vAlign w:val="center"/>
          </w:tcPr>
          <w:p w14:paraId="6061621D">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开创大道完成至总工程量的65%</w:t>
            </w:r>
            <w:r>
              <w:rPr>
                <w:rFonts w:hint="eastAsia" w:ascii="仿宋_GB2312" w:hAnsi="仿宋_GB2312" w:eastAsia="仿宋_GB2312" w:cs="仿宋_GB2312"/>
                <w:color w:val="000000"/>
                <w:sz w:val="21"/>
                <w:szCs w:val="21"/>
                <w:lang w:eastAsia="zh-CN"/>
              </w:rPr>
              <w:t>。</w:t>
            </w:r>
          </w:p>
          <w:p w14:paraId="2DC26FCC">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园区能源中心完成可研方案定稿，同步开展项目前期相关工作</w:t>
            </w:r>
            <w:r>
              <w:rPr>
                <w:rFonts w:hint="eastAsia" w:ascii="仿宋_GB2312" w:hAnsi="仿宋_GB2312" w:eastAsia="仿宋_GB2312" w:cs="仿宋_GB2312"/>
                <w:color w:val="000000"/>
                <w:sz w:val="21"/>
                <w:szCs w:val="21"/>
                <w:lang w:eastAsia="zh-CN"/>
              </w:rPr>
              <w:t>。</w:t>
            </w:r>
          </w:p>
          <w:p w14:paraId="4D56A553">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完成再生水厂施工合同签订，同步办理项目开工前期手续</w:t>
            </w:r>
            <w:r>
              <w:rPr>
                <w:rFonts w:hint="eastAsia" w:ascii="仿宋_GB2312" w:hAnsi="仿宋_GB2312" w:eastAsia="仿宋_GB2312" w:cs="仿宋_GB2312"/>
                <w:color w:val="000000"/>
                <w:sz w:val="21"/>
                <w:szCs w:val="21"/>
                <w:lang w:eastAsia="zh-CN"/>
              </w:rPr>
              <w:t>。</w:t>
            </w:r>
          </w:p>
          <w:p w14:paraId="225A58B6">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220千伏万宝输变电已完成可研评审，现根据企业用电需求适时开展项目前期工作</w:t>
            </w:r>
            <w:r>
              <w:rPr>
                <w:rFonts w:hint="eastAsia" w:ascii="仿宋_GB2312" w:hAnsi="仿宋_GB2312" w:eastAsia="仿宋_GB2312" w:cs="仿宋_GB2312"/>
                <w:color w:val="000000"/>
                <w:sz w:val="21"/>
                <w:szCs w:val="21"/>
                <w:lang w:eastAsia="zh-CN"/>
              </w:rPr>
              <w:t>。</w:t>
            </w:r>
          </w:p>
          <w:p w14:paraId="00398977">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园区杆管线迁改根据项目用地需求，分阶段开展杆管线搬迁</w:t>
            </w:r>
            <w:r>
              <w:rPr>
                <w:rFonts w:hint="eastAsia" w:ascii="仿宋_GB2312" w:hAnsi="仿宋_GB2312" w:eastAsia="仿宋_GB2312" w:cs="仿宋_GB2312"/>
                <w:color w:val="000000"/>
                <w:sz w:val="21"/>
                <w:szCs w:val="21"/>
                <w:lang w:eastAsia="zh-CN"/>
              </w:rPr>
              <w:t>。</w:t>
            </w:r>
          </w:p>
          <w:p w14:paraId="7DF895F9">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协鑫二期预计3月底完工</w:t>
            </w:r>
            <w:r>
              <w:rPr>
                <w:rFonts w:hint="eastAsia" w:ascii="仿宋_GB2312" w:hAnsi="仿宋_GB2312" w:eastAsia="仿宋_GB2312" w:cs="仿宋_GB2312"/>
                <w:color w:val="000000"/>
                <w:sz w:val="21"/>
                <w:szCs w:val="21"/>
                <w:lang w:eastAsia="zh-CN"/>
              </w:rPr>
              <w:t>。</w:t>
            </w:r>
          </w:p>
          <w:p w14:paraId="13269A69">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color w:val="000000"/>
                <w:sz w:val="21"/>
                <w:szCs w:val="21"/>
              </w:rPr>
              <w:t>张家山场平完成总工程量的80%</w:t>
            </w:r>
            <w:r>
              <w:rPr>
                <w:rFonts w:hint="eastAsia" w:ascii="仿宋_GB2312" w:hAnsi="仿宋_GB2312" w:eastAsia="仿宋_GB2312" w:cs="仿宋_GB2312"/>
                <w:color w:val="000000"/>
                <w:sz w:val="21"/>
                <w:szCs w:val="21"/>
                <w:lang w:eastAsia="zh-CN"/>
              </w:rPr>
              <w:t>。</w:t>
            </w:r>
          </w:p>
          <w:p w14:paraId="567D9C98">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8.</w:t>
            </w:r>
            <w:r>
              <w:rPr>
                <w:rFonts w:hint="eastAsia" w:ascii="仿宋_GB2312" w:hAnsi="仿宋_GB2312" w:eastAsia="仿宋_GB2312" w:cs="仿宋_GB2312"/>
                <w:color w:val="000000"/>
                <w:sz w:val="21"/>
                <w:szCs w:val="21"/>
              </w:rPr>
              <w:t>1号地块完成总工程量的70%</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2号地块上部分场平预计3月完成施工招标并进场</w:t>
            </w:r>
            <w:r>
              <w:rPr>
                <w:rFonts w:hint="eastAsia" w:ascii="仿宋_GB2312" w:hAnsi="仿宋_GB2312" w:eastAsia="仿宋_GB2312" w:cs="仿宋_GB2312"/>
                <w:color w:val="000000"/>
                <w:sz w:val="21"/>
                <w:szCs w:val="21"/>
                <w:lang w:eastAsia="zh-CN"/>
              </w:rPr>
              <w:t>。</w:t>
            </w:r>
          </w:p>
        </w:tc>
        <w:tc>
          <w:tcPr>
            <w:tcW w:w="1305" w:type="dxa"/>
            <w:vMerge w:val="restart"/>
            <w:noWrap w:val="0"/>
            <w:vAlign w:val="center"/>
          </w:tcPr>
          <w:p w14:paraId="2D8044F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82D96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65038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C5105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F4976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6EA3A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4C785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208EC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p w14:paraId="21C116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BFB9F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3A656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D6335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00C5F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F537B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2DDAC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A85D7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AC52C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7A9DD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FF450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305EA1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D066F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1CACF1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p>
        </w:tc>
        <w:tc>
          <w:tcPr>
            <w:tcW w:w="1695" w:type="dxa"/>
            <w:vMerge w:val="restart"/>
            <w:noWrap w:val="0"/>
            <w:vAlign w:val="center"/>
          </w:tcPr>
          <w:p w14:paraId="058536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64075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6545DF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CDB79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37261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ADECE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217B94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6BA9B4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经开区管委会</w:t>
            </w:r>
          </w:p>
          <w:p w14:paraId="58E2B5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5F98CE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3024B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F3789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7BDE0B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304B0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19D31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FB8E7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DC6403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3580B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7932F75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A7E10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3A700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7F66FC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restart"/>
            <w:noWrap w:val="0"/>
            <w:vAlign w:val="center"/>
          </w:tcPr>
          <w:p w14:paraId="62DAAB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63E657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1C883A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346EFF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3A6FCC1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区发展改革局、区自然资源局、五通桥生态环境局、经开产投集团</w:t>
            </w:r>
          </w:p>
          <w:p w14:paraId="373666A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2BE4B7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6372FB8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0C4158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7BC1A1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1E945E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7ED1EF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54689A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1CAF013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2EB5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14" w:type="dxa"/>
            <w:vMerge w:val="continue"/>
            <w:noWrap w:val="0"/>
            <w:vAlign w:val="center"/>
          </w:tcPr>
          <w:p w14:paraId="6A70FE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2045E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7827FC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6750" w:type="dxa"/>
            <w:noWrap w:val="0"/>
            <w:vAlign w:val="center"/>
          </w:tcPr>
          <w:p w14:paraId="67E3AC48">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开创大道完成至总工程量的90%</w:t>
            </w:r>
            <w:r>
              <w:rPr>
                <w:rFonts w:hint="eastAsia" w:ascii="仿宋_GB2312" w:hAnsi="仿宋_GB2312" w:eastAsia="仿宋_GB2312" w:cs="仿宋_GB2312"/>
                <w:color w:val="000000"/>
                <w:sz w:val="21"/>
                <w:szCs w:val="21"/>
                <w:lang w:eastAsia="zh-CN"/>
              </w:rPr>
              <w:t>。</w:t>
            </w:r>
          </w:p>
          <w:p w14:paraId="5E13484C">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园区能源中心完成招投标工作</w:t>
            </w:r>
            <w:r>
              <w:rPr>
                <w:rFonts w:hint="eastAsia" w:ascii="仿宋_GB2312" w:hAnsi="仿宋_GB2312" w:eastAsia="仿宋_GB2312" w:cs="仿宋_GB2312"/>
                <w:color w:val="000000"/>
                <w:sz w:val="21"/>
                <w:szCs w:val="21"/>
                <w:lang w:eastAsia="zh-CN"/>
              </w:rPr>
              <w:t>。</w:t>
            </w:r>
          </w:p>
          <w:p w14:paraId="3547F6A2">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再生水厂进场施工，完成总工程量10%</w:t>
            </w:r>
            <w:r>
              <w:rPr>
                <w:rFonts w:hint="eastAsia" w:ascii="仿宋_GB2312" w:hAnsi="仿宋_GB2312" w:eastAsia="仿宋_GB2312" w:cs="仿宋_GB2312"/>
                <w:color w:val="000000"/>
                <w:sz w:val="21"/>
                <w:szCs w:val="21"/>
                <w:lang w:eastAsia="zh-CN"/>
              </w:rPr>
              <w:t>。</w:t>
            </w:r>
          </w:p>
          <w:p w14:paraId="2AD036B4">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园区杆管线迁改根据项目用地需求，分阶段开展杆管线搬迁</w:t>
            </w:r>
            <w:r>
              <w:rPr>
                <w:rFonts w:hint="eastAsia" w:ascii="仿宋_GB2312" w:hAnsi="仿宋_GB2312" w:eastAsia="仿宋_GB2312" w:cs="仿宋_GB2312"/>
                <w:color w:val="000000"/>
                <w:sz w:val="21"/>
                <w:szCs w:val="21"/>
                <w:lang w:eastAsia="zh-CN"/>
              </w:rPr>
              <w:t>。</w:t>
            </w:r>
          </w:p>
          <w:p w14:paraId="06264D18">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张家山场平预计4月底完工</w:t>
            </w:r>
            <w:r>
              <w:rPr>
                <w:rFonts w:hint="eastAsia" w:ascii="仿宋_GB2312" w:hAnsi="仿宋_GB2312" w:eastAsia="仿宋_GB2312" w:cs="仿宋_GB2312"/>
                <w:color w:val="000000"/>
                <w:sz w:val="21"/>
                <w:szCs w:val="21"/>
                <w:lang w:eastAsia="zh-CN"/>
              </w:rPr>
              <w:t>。</w:t>
            </w:r>
          </w:p>
          <w:p w14:paraId="1229C8A8">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1号地块预计5月底完工</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2号地块上部分场平5月完工</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7A06E9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F0694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C54EE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0B6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14" w:type="dxa"/>
            <w:vMerge w:val="continue"/>
            <w:noWrap w:val="0"/>
            <w:vAlign w:val="center"/>
          </w:tcPr>
          <w:p w14:paraId="7ED8D6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39613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7A0473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6750" w:type="dxa"/>
            <w:noWrap w:val="0"/>
            <w:vAlign w:val="center"/>
          </w:tcPr>
          <w:p w14:paraId="70A0E31C">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开创大道预计7月底完工</w:t>
            </w:r>
            <w:r>
              <w:rPr>
                <w:rFonts w:hint="eastAsia" w:ascii="仿宋_GB2312" w:hAnsi="仿宋_GB2312" w:eastAsia="仿宋_GB2312" w:cs="仿宋_GB2312"/>
                <w:color w:val="000000"/>
                <w:sz w:val="21"/>
                <w:szCs w:val="21"/>
                <w:lang w:eastAsia="zh-CN"/>
              </w:rPr>
              <w:t>。</w:t>
            </w:r>
          </w:p>
          <w:p w14:paraId="17349608">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园区能源中心进场施工，完成总工程量10%</w:t>
            </w:r>
            <w:r>
              <w:rPr>
                <w:rFonts w:hint="eastAsia" w:ascii="仿宋_GB2312" w:hAnsi="仿宋_GB2312" w:eastAsia="仿宋_GB2312" w:cs="仿宋_GB2312"/>
                <w:color w:val="000000"/>
                <w:sz w:val="21"/>
                <w:szCs w:val="21"/>
                <w:lang w:eastAsia="zh-CN"/>
              </w:rPr>
              <w:t>。</w:t>
            </w:r>
          </w:p>
          <w:p w14:paraId="01FDD050">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再生水厂进场施工，完成总工程量50%</w:t>
            </w:r>
            <w:r>
              <w:rPr>
                <w:rFonts w:hint="eastAsia" w:ascii="仿宋_GB2312" w:hAnsi="仿宋_GB2312" w:eastAsia="仿宋_GB2312" w:cs="仿宋_GB2312"/>
                <w:color w:val="000000"/>
                <w:sz w:val="21"/>
                <w:szCs w:val="21"/>
                <w:lang w:eastAsia="zh-CN"/>
              </w:rPr>
              <w:t>。</w:t>
            </w:r>
          </w:p>
          <w:p w14:paraId="0B3C1574">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园区杆管线迁改根据项目用地需求，分阶段开展杆管线搬迁</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1631AB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E0EBE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5A117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EE6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14" w:type="dxa"/>
            <w:vMerge w:val="continue"/>
            <w:noWrap w:val="0"/>
            <w:vAlign w:val="center"/>
          </w:tcPr>
          <w:p w14:paraId="0A4ABD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98331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676A9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6750" w:type="dxa"/>
            <w:noWrap w:val="0"/>
            <w:vAlign w:val="center"/>
          </w:tcPr>
          <w:p w14:paraId="438119E7">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园区能源中心进场施工，完成总工程量50%</w:t>
            </w:r>
            <w:r>
              <w:rPr>
                <w:rFonts w:hint="eastAsia" w:ascii="仿宋_GB2312" w:hAnsi="仿宋_GB2312" w:eastAsia="仿宋_GB2312" w:cs="仿宋_GB2312"/>
                <w:color w:val="000000"/>
                <w:sz w:val="21"/>
                <w:szCs w:val="21"/>
                <w:lang w:eastAsia="zh-CN"/>
              </w:rPr>
              <w:t>。</w:t>
            </w:r>
          </w:p>
          <w:p w14:paraId="7E9F045B">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再生水厂进场施工，完成总工程量70%</w:t>
            </w:r>
            <w:r>
              <w:rPr>
                <w:rFonts w:hint="eastAsia" w:ascii="仿宋_GB2312" w:hAnsi="仿宋_GB2312" w:eastAsia="仿宋_GB2312" w:cs="仿宋_GB2312"/>
                <w:color w:val="000000"/>
                <w:sz w:val="21"/>
                <w:szCs w:val="21"/>
                <w:lang w:eastAsia="zh-CN"/>
              </w:rPr>
              <w:t>。</w:t>
            </w:r>
          </w:p>
          <w:p w14:paraId="0FE814DD">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园区杆管线迁改根据项目用地需求，分阶段开展杆管线搬迁</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1CDF77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43B337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E2AF0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bl>
    <w:p w14:paraId="4F2B58D5">
      <w:pPr>
        <w:pStyle w:val="12"/>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sz w:val="21"/>
          <w:szCs w:val="21"/>
          <w:lang w:val="en-US" w:eastAsia="zh-CN"/>
        </w:rPr>
        <w:sectPr>
          <w:headerReference r:id="rId5" w:type="default"/>
          <w:footerReference r:id="rId6" w:type="default"/>
          <w:pgSz w:w="16838" w:h="11906" w:orient="landscape"/>
          <w:pgMar w:top="1134" w:right="1134" w:bottom="1134" w:left="1134" w:header="851" w:footer="737" w:gutter="0"/>
          <w:pgNumType w:fmt="decimal"/>
          <w:cols w:space="720" w:num="1"/>
          <w:docGrid w:type="lines" w:linePitch="312" w:charSpace="0"/>
        </w:sectPr>
      </w:pPr>
    </w:p>
    <w:p w14:paraId="2536829B">
      <w:pPr>
        <w:pStyle w:val="2"/>
        <w:spacing w:line="500" w:lineRule="exact"/>
        <w:ind w:left="0" w:leftChars="0" w:firstLine="0" w:firstLineChars="0"/>
        <w:rPr>
          <w:rFonts w:ascii="仿宋_GB2312"/>
          <w:sz w:val="28"/>
          <w:szCs w:val="28"/>
        </w:rPr>
      </w:pPr>
    </w:p>
    <w:sectPr>
      <w:headerReference r:id="rId7" w:type="default"/>
      <w:footerReference r:id="rId8" w:type="default"/>
      <w:pgSz w:w="11906" w:h="16838"/>
      <w:pgMar w:top="2098" w:right="1474" w:bottom="1984" w:left="1587" w:header="850" w:footer="1587" w:gutter="0"/>
      <w:pgNumType w:fmt="decimal"/>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0AE8A">
    <w:pPr>
      <w:pStyle w:val="4"/>
      <w:spacing w:line="240" w:lineRule="auto"/>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1796C">
                          <w:pPr>
                            <w:pStyle w:val="4"/>
                            <w:keepNext w:val="0"/>
                            <w:keepLines w:val="0"/>
                            <w:pageBreakBefore w:val="0"/>
                            <w:widowControl w:val="0"/>
                            <w:kinsoku/>
                            <w:wordWrap/>
                            <w:overflowPunct/>
                            <w:topLinePunct w:val="0"/>
                            <w:autoSpaceDE/>
                            <w:autoSpaceDN/>
                            <w:bidi w:val="0"/>
                            <w:adjustRightInd/>
                            <w:snapToGrid/>
                            <w:spacing w:line="240" w:lineRule="auto"/>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881796C">
                    <w:pPr>
                      <w:pStyle w:val="4"/>
                      <w:keepNext w:val="0"/>
                      <w:keepLines w:val="0"/>
                      <w:pageBreakBefore w:val="0"/>
                      <w:widowControl w:val="0"/>
                      <w:kinsoku/>
                      <w:wordWrap/>
                      <w:overflowPunct/>
                      <w:topLinePunct w:val="0"/>
                      <w:autoSpaceDE/>
                      <w:autoSpaceDN/>
                      <w:bidi w:val="0"/>
                      <w:adjustRightInd/>
                      <w:snapToGrid/>
                      <w:spacing w:line="240" w:lineRule="auto"/>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FCF5">
    <w:pPr>
      <w:pStyle w:val="4"/>
      <w:spacing w:line="240" w:lineRule="auto"/>
      <w:ind w:firstLine="3168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B1AD">
    <w:pPr>
      <w:pStyle w:val="5"/>
      <w:pBdr>
        <w:top w:val="none" w:color="auto" w:sz="0" w:space="0"/>
        <w:left w:val="none" w:color="auto" w:sz="0" w:space="0"/>
        <w:bottom w:val="none" w:color="auto" w:sz="0" w:space="0"/>
        <w:right w:val="none" w:color="auto" w:sz="0" w:space="0"/>
      </w:pBdr>
      <w:ind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9B900">
    <w:pPr>
      <w:pStyle w:val="5"/>
      <w:pBdr>
        <w:top w:val="none" w:color="auto" w:sz="0" w:space="0"/>
        <w:left w:val="none" w:color="auto" w:sz="0" w:space="0"/>
        <w:bottom w:val="none" w:color="auto" w:sz="0" w:space="0"/>
        <w:right w:val="none" w:color="auto" w:sz="0" w:space="0"/>
      </w:pBdr>
      <w:ind w:firstLine="316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HorizontalSpacing w:val="320"/>
  <w:drawingGridVerticalSpacing w:val="222"/>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OGI4NjNmMzg4MDgxNTAzODIyZGFjMzJmYzg2NGMifQ=="/>
  </w:docVars>
  <w:rsids>
    <w:rsidRoot w:val="00012F77"/>
    <w:rsid w:val="00012F77"/>
    <w:rsid w:val="00013066"/>
    <w:rsid w:val="000305E1"/>
    <w:rsid w:val="00091E67"/>
    <w:rsid w:val="00147460"/>
    <w:rsid w:val="001D084A"/>
    <w:rsid w:val="002326FE"/>
    <w:rsid w:val="003B6CFD"/>
    <w:rsid w:val="00493515"/>
    <w:rsid w:val="004A0F1D"/>
    <w:rsid w:val="005045C4"/>
    <w:rsid w:val="005C59D7"/>
    <w:rsid w:val="00650BA9"/>
    <w:rsid w:val="007F5C26"/>
    <w:rsid w:val="00971271"/>
    <w:rsid w:val="00A74489"/>
    <w:rsid w:val="00B64B24"/>
    <w:rsid w:val="00BD3383"/>
    <w:rsid w:val="00CC6A40"/>
    <w:rsid w:val="00CF3FF5"/>
    <w:rsid w:val="00EA0FC3"/>
    <w:rsid w:val="00EB0DDB"/>
    <w:rsid w:val="00F85FB1"/>
    <w:rsid w:val="00F95489"/>
    <w:rsid w:val="029468C4"/>
    <w:rsid w:val="06064044"/>
    <w:rsid w:val="063531C8"/>
    <w:rsid w:val="067B3CD2"/>
    <w:rsid w:val="086A3D60"/>
    <w:rsid w:val="0AFE34E9"/>
    <w:rsid w:val="0CA378A9"/>
    <w:rsid w:val="0CAE2E86"/>
    <w:rsid w:val="0CC223BD"/>
    <w:rsid w:val="0D564FF6"/>
    <w:rsid w:val="0DB275CA"/>
    <w:rsid w:val="0DD26630"/>
    <w:rsid w:val="0E545E1D"/>
    <w:rsid w:val="0ECF2B6F"/>
    <w:rsid w:val="0ED36912"/>
    <w:rsid w:val="0EDB1514"/>
    <w:rsid w:val="0F9B3454"/>
    <w:rsid w:val="0FD377B7"/>
    <w:rsid w:val="10E33591"/>
    <w:rsid w:val="11E903EC"/>
    <w:rsid w:val="11E9508F"/>
    <w:rsid w:val="125515DD"/>
    <w:rsid w:val="14A53E9C"/>
    <w:rsid w:val="150334F1"/>
    <w:rsid w:val="16423B7D"/>
    <w:rsid w:val="165C73DE"/>
    <w:rsid w:val="16821EB6"/>
    <w:rsid w:val="187A1097"/>
    <w:rsid w:val="1B2E636C"/>
    <w:rsid w:val="1B8A22F8"/>
    <w:rsid w:val="1C076272"/>
    <w:rsid w:val="1C444B9D"/>
    <w:rsid w:val="1C532056"/>
    <w:rsid w:val="1F1C0DD2"/>
    <w:rsid w:val="20B47E17"/>
    <w:rsid w:val="20E00A9B"/>
    <w:rsid w:val="20F1670C"/>
    <w:rsid w:val="218B501C"/>
    <w:rsid w:val="21962254"/>
    <w:rsid w:val="21F229A5"/>
    <w:rsid w:val="223572DE"/>
    <w:rsid w:val="22676D27"/>
    <w:rsid w:val="226C68CA"/>
    <w:rsid w:val="237B68CE"/>
    <w:rsid w:val="23DA7B95"/>
    <w:rsid w:val="242F6132"/>
    <w:rsid w:val="252E63EA"/>
    <w:rsid w:val="26431C5F"/>
    <w:rsid w:val="277B343D"/>
    <w:rsid w:val="28DF6264"/>
    <w:rsid w:val="293B0E9E"/>
    <w:rsid w:val="29845E50"/>
    <w:rsid w:val="2A393106"/>
    <w:rsid w:val="2D504343"/>
    <w:rsid w:val="2E4F2517"/>
    <w:rsid w:val="2E96604C"/>
    <w:rsid w:val="2F1F1BFA"/>
    <w:rsid w:val="2F5D64A2"/>
    <w:rsid w:val="2FA070D7"/>
    <w:rsid w:val="32F72511"/>
    <w:rsid w:val="33087A52"/>
    <w:rsid w:val="338616A3"/>
    <w:rsid w:val="346E05B1"/>
    <w:rsid w:val="34E7761B"/>
    <w:rsid w:val="350C643E"/>
    <w:rsid w:val="35A324DC"/>
    <w:rsid w:val="376A7F41"/>
    <w:rsid w:val="37E172EC"/>
    <w:rsid w:val="38AC0BFC"/>
    <w:rsid w:val="39537D75"/>
    <w:rsid w:val="39BE7DD0"/>
    <w:rsid w:val="3A176FF5"/>
    <w:rsid w:val="3ADA7B48"/>
    <w:rsid w:val="3AEF5E84"/>
    <w:rsid w:val="3D001FC2"/>
    <w:rsid w:val="3E997609"/>
    <w:rsid w:val="3EEC6C46"/>
    <w:rsid w:val="3F5577CE"/>
    <w:rsid w:val="40EB13D3"/>
    <w:rsid w:val="41515C2D"/>
    <w:rsid w:val="41E9396D"/>
    <w:rsid w:val="424563BA"/>
    <w:rsid w:val="43AD002C"/>
    <w:rsid w:val="45C81AEB"/>
    <w:rsid w:val="470F133D"/>
    <w:rsid w:val="470F7109"/>
    <w:rsid w:val="477261B2"/>
    <w:rsid w:val="48FF20F7"/>
    <w:rsid w:val="490E3CB9"/>
    <w:rsid w:val="4960084F"/>
    <w:rsid w:val="49BD3AD8"/>
    <w:rsid w:val="49BF133E"/>
    <w:rsid w:val="49E74B5E"/>
    <w:rsid w:val="4B233DC0"/>
    <w:rsid w:val="4B6256AF"/>
    <w:rsid w:val="4B9174E4"/>
    <w:rsid w:val="4E4B32B9"/>
    <w:rsid w:val="4E6600F3"/>
    <w:rsid w:val="4EA8378D"/>
    <w:rsid w:val="506348EA"/>
    <w:rsid w:val="50666188"/>
    <w:rsid w:val="511E0896"/>
    <w:rsid w:val="512809F5"/>
    <w:rsid w:val="5163682B"/>
    <w:rsid w:val="51FB0A21"/>
    <w:rsid w:val="53912714"/>
    <w:rsid w:val="53A600B9"/>
    <w:rsid w:val="53C51418"/>
    <w:rsid w:val="53EE2F0E"/>
    <w:rsid w:val="54106B37"/>
    <w:rsid w:val="55627866"/>
    <w:rsid w:val="556A325E"/>
    <w:rsid w:val="55747088"/>
    <w:rsid w:val="557B5493"/>
    <w:rsid w:val="56187F25"/>
    <w:rsid w:val="56C9336F"/>
    <w:rsid w:val="56C95FA0"/>
    <w:rsid w:val="582B471D"/>
    <w:rsid w:val="58930411"/>
    <w:rsid w:val="58B16DE5"/>
    <w:rsid w:val="58B77EC9"/>
    <w:rsid w:val="58DE7204"/>
    <w:rsid w:val="5A2822B9"/>
    <w:rsid w:val="5B0B746E"/>
    <w:rsid w:val="5C4F21C6"/>
    <w:rsid w:val="5C50666A"/>
    <w:rsid w:val="5C553502"/>
    <w:rsid w:val="5C6C296C"/>
    <w:rsid w:val="5CCA3EEF"/>
    <w:rsid w:val="5CDD430C"/>
    <w:rsid w:val="630E4B89"/>
    <w:rsid w:val="63C1211D"/>
    <w:rsid w:val="64AC0783"/>
    <w:rsid w:val="64EF45C5"/>
    <w:rsid w:val="665E3732"/>
    <w:rsid w:val="66823A94"/>
    <w:rsid w:val="670B3CFD"/>
    <w:rsid w:val="67457473"/>
    <w:rsid w:val="69117181"/>
    <w:rsid w:val="6A097E59"/>
    <w:rsid w:val="6A8E21D2"/>
    <w:rsid w:val="6BE72512"/>
    <w:rsid w:val="6CF62A1C"/>
    <w:rsid w:val="6D2B4793"/>
    <w:rsid w:val="6DD7286E"/>
    <w:rsid w:val="6E7156FD"/>
    <w:rsid w:val="6FF373A0"/>
    <w:rsid w:val="705F4C76"/>
    <w:rsid w:val="70DC1995"/>
    <w:rsid w:val="71050FD1"/>
    <w:rsid w:val="71087464"/>
    <w:rsid w:val="710E21F8"/>
    <w:rsid w:val="7112404F"/>
    <w:rsid w:val="736B3852"/>
    <w:rsid w:val="73B472EB"/>
    <w:rsid w:val="740A6D83"/>
    <w:rsid w:val="74105F2D"/>
    <w:rsid w:val="7447798D"/>
    <w:rsid w:val="744D3038"/>
    <w:rsid w:val="75B7239E"/>
    <w:rsid w:val="75E620DA"/>
    <w:rsid w:val="76A34A8A"/>
    <w:rsid w:val="76D17F50"/>
    <w:rsid w:val="76FC0AC8"/>
    <w:rsid w:val="77805325"/>
    <w:rsid w:val="79A43398"/>
    <w:rsid w:val="7BEC3136"/>
    <w:rsid w:val="7C5D630B"/>
    <w:rsid w:val="7CDC43F4"/>
    <w:rsid w:val="7CF06DAA"/>
    <w:rsid w:val="7D902913"/>
    <w:rsid w:val="7DCA2611"/>
    <w:rsid w:val="7E575F90"/>
    <w:rsid w:val="7E585D20"/>
    <w:rsid w:val="7E7E2495"/>
    <w:rsid w:val="7F083EB8"/>
    <w:rsid w:val="7F1E5CFC"/>
    <w:rsid w:val="7F2D3B57"/>
    <w:rsid w:val="7FAB11B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482" w:firstLineChars="20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200" w:firstLineChars="200"/>
    </w:pPr>
    <w:rPr>
      <w:rFonts w:ascii="Times New Roman" w:hAnsi="Times New Roman"/>
    </w:rPr>
  </w:style>
  <w:style w:type="paragraph" w:styleId="3">
    <w:name w:val="Body Text"/>
    <w:basedOn w:val="1"/>
    <w:next w:val="1"/>
    <w:link w:val="11"/>
    <w:qFormat/>
    <w:uiPriority w:val="99"/>
    <w:pPr>
      <w:spacing w:after="120"/>
    </w:pPr>
    <w:rPr>
      <w:sz w:val="24"/>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table of figures"/>
    <w:basedOn w:val="1"/>
    <w:next w:val="1"/>
    <w:semiHidden/>
    <w:qFormat/>
    <w:uiPriority w:val="99"/>
    <w:pPr>
      <w:ind w:left="200" w:leftChars="200" w:hanging="200" w:hangingChars="200"/>
    </w:pPr>
    <w:rPr>
      <w:rFonts w:eastAsia="方正仿宋_GBK"/>
      <w:szCs w:val="32"/>
    </w:rPr>
  </w:style>
  <w:style w:type="paragraph" w:styleId="7">
    <w:name w:val="Normal (Web)"/>
    <w:basedOn w:val="1"/>
    <w:qFormat/>
    <w:uiPriority w:val="99"/>
    <w:pPr>
      <w:widowControl/>
      <w:spacing w:before="100" w:beforeAutospacing="1" w:after="100" w:afterAutospacing="1"/>
      <w:jc w:val="left"/>
    </w:pPr>
    <w:rPr>
      <w:rFonts w:ascii="宋体" w:cs="宋体"/>
      <w:kern w:val="0"/>
      <w:sz w:val="24"/>
    </w:rPr>
  </w:style>
  <w:style w:type="character" w:styleId="10">
    <w:name w:val="page number"/>
    <w:basedOn w:val="9"/>
    <w:qFormat/>
    <w:uiPriority w:val="99"/>
    <w:rPr>
      <w:rFonts w:cs="Times New Roman"/>
    </w:rPr>
  </w:style>
  <w:style w:type="character" w:customStyle="1" w:styleId="11">
    <w:name w:val="Body Text Char"/>
    <w:basedOn w:val="9"/>
    <w:link w:val="3"/>
    <w:semiHidden/>
    <w:qFormat/>
    <w:uiPriority w:val="99"/>
    <w:rPr>
      <w:rFonts w:ascii="Times New Roman" w:hAnsi="Times New Roman" w:eastAsia="仿宋_GB2312"/>
      <w:sz w:val="32"/>
      <w:szCs w:val="24"/>
    </w:rPr>
  </w:style>
  <w:style w:type="paragraph" w:customStyle="1" w:styleId="12">
    <w:name w:val="Default"/>
    <w:qFormat/>
    <w:uiPriority w:val="99"/>
    <w:pPr>
      <w:widowControl w:val="0"/>
      <w:autoSpaceDE w:val="0"/>
      <w:autoSpaceDN w:val="0"/>
      <w:adjustRightInd w:val="0"/>
    </w:pPr>
    <w:rPr>
      <w:rFonts w:ascii="Calibri" w:hAnsi="Calibri" w:eastAsia="宋体" w:cs="宋体"/>
      <w:color w:val="000000"/>
      <w:kern w:val="0"/>
      <w:sz w:val="24"/>
      <w:szCs w:val="24"/>
      <w:lang w:val="en-US" w:eastAsia="zh-CN" w:bidi="ar-SA"/>
    </w:rPr>
  </w:style>
  <w:style w:type="character" w:customStyle="1" w:styleId="13">
    <w:name w:val="Footer Char"/>
    <w:basedOn w:val="9"/>
    <w:link w:val="4"/>
    <w:semiHidden/>
    <w:qFormat/>
    <w:uiPriority w:val="99"/>
    <w:rPr>
      <w:rFonts w:ascii="Times New Roman" w:hAnsi="Times New Roman" w:eastAsia="仿宋_GB2312"/>
      <w:sz w:val="18"/>
      <w:szCs w:val="18"/>
    </w:rPr>
  </w:style>
  <w:style w:type="character" w:customStyle="1" w:styleId="14">
    <w:name w:val="Header Char"/>
    <w:basedOn w:val="9"/>
    <w:link w:val="5"/>
    <w:semiHidden/>
    <w:qFormat/>
    <w:uiPriority w:val="99"/>
    <w:rPr>
      <w:rFonts w:ascii="Times New Roman" w:hAnsi="Times New Roman" w:eastAsia="仿宋_GB2312"/>
      <w:sz w:val="18"/>
      <w:szCs w:val="18"/>
    </w:rPr>
  </w:style>
  <w:style w:type="paragraph" w:customStyle="1" w:styleId="15">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4577</Words>
  <Characters>4718</Characters>
  <Lines>0</Lines>
  <Paragraphs>0</Paragraphs>
  <TotalTime>2</TotalTime>
  <ScaleCrop>false</ScaleCrop>
  <LinksUpToDate>false</LinksUpToDate>
  <CharactersWithSpaces>4730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2023-04-04T01:19:00Z</dcterms:created>
  <dc:creator>Administrator</dc:creator>
  <cp:lastModifiedBy>朱昆</cp:lastModifiedBy>
  <cp:lastPrinted>2026-03-27T01:24:00Z</cp:lastPrinted>
  <dcterms:modified xsi:type="dcterms:W3CDTF">2026-03-27T01:45:54Z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F26BF31382BE4A5EA31945C8E573B26C_13</vt:lpwstr>
  </property>
  <property fmtid="{D5CDD505-2E9C-101B-9397-08002B2CF9AE}" pid="4" name="KSOTemplateDocerSaveRecord">
    <vt:lpwstr>eyJoZGlkIjoiNGYyOWE1ZTdiNjM3ZWVjYzIwYTg2NDM1ZWEzOTA1YTEiLCJ1c2VySWQiOiIxNDg0NTcwMjMwIn0=</vt:lpwstr>
  </property>
</Properties>
</file>