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E517">
      <w:pPr>
        <w:keepNext w:val="0"/>
        <w:keepLines w:val="0"/>
        <w:pageBreakBefore w:val="0"/>
        <w:widowControl w:val="0"/>
        <w:kinsoku/>
        <w:wordWrap/>
        <w:overflowPunct w:val="0"/>
        <w:topLinePunct w:val="0"/>
        <w:autoSpaceDE/>
        <w:autoSpaceDN/>
        <w:bidi w:val="0"/>
        <w:adjustRightInd/>
        <w:snapToGrid/>
        <w:spacing w:line="600" w:lineRule="exact"/>
        <w:ind w:right="0" w:firstLine="0" w:firstLineChars="0"/>
        <w:jc w:val="both"/>
        <w:textAlignment w:val="baseline"/>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 xml:space="preserve">附件 </w:t>
      </w:r>
    </w:p>
    <w:p w14:paraId="7156079F">
      <w:pPr>
        <w:pStyle w:val="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bookmarkStart w:id="0" w:name="_GoBack"/>
      <w:r>
        <w:rPr>
          <w:rFonts w:hint="eastAsia" w:ascii="Times New Roman" w:hAnsi="Times New Roman" w:eastAsia="方正小标宋简体" w:cs="方正小标宋简体"/>
          <w:color w:val="auto"/>
          <w:spacing w:val="0"/>
          <w:sz w:val="44"/>
          <w:szCs w:val="44"/>
          <w:highlight w:val="none"/>
          <w:lang w:val="en-US" w:eastAsia="zh-CN"/>
        </w:rPr>
        <w:t>乐山港老江坝作业区大件码头进港公路</w:t>
      </w:r>
    </w:p>
    <w:p w14:paraId="10AEF231">
      <w:pPr>
        <w:pStyle w:val="5"/>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firstLine="0" w:firstLineChars="0"/>
        <w:jc w:val="center"/>
        <w:textAlignment w:val="auto"/>
        <w:rPr>
          <w:rFonts w:hint="eastAsia" w:ascii="Times New Roman" w:hAnsi="Times New Roman" w:eastAsia="方正小标宋简体" w:cs="方正小标宋简体"/>
          <w:color w:val="auto"/>
          <w:spacing w:val="0"/>
          <w:sz w:val="44"/>
          <w:szCs w:val="44"/>
          <w:highlight w:val="none"/>
        </w:rPr>
      </w:pPr>
      <w:r>
        <w:rPr>
          <w:rFonts w:hint="eastAsia" w:ascii="Times New Roman" w:hAnsi="Times New Roman" w:eastAsia="方正小标宋简体" w:cs="方正小标宋简体"/>
          <w:color w:val="auto"/>
          <w:spacing w:val="0"/>
          <w:sz w:val="44"/>
          <w:szCs w:val="44"/>
          <w:highlight w:val="none"/>
          <w:lang w:val="en-US" w:eastAsia="zh-CN"/>
        </w:rPr>
        <w:t>建设用地</w:t>
      </w:r>
      <w:r>
        <w:rPr>
          <w:rFonts w:hint="eastAsia" w:ascii="Times New Roman" w:hAnsi="Times New Roman" w:eastAsia="方正小标宋简体" w:cs="方正小标宋简体"/>
          <w:color w:val="auto"/>
          <w:spacing w:val="0"/>
          <w:sz w:val="44"/>
          <w:szCs w:val="44"/>
          <w:highlight w:val="none"/>
        </w:rPr>
        <w:t>征地补偿安置方案</w:t>
      </w:r>
    </w:p>
    <w:bookmarkEnd w:id="0"/>
    <w:p w14:paraId="60B4F0B7">
      <w:pPr>
        <w:pStyle w:val="5"/>
        <w:keepNext w:val="0"/>
        <w:keepLines w:val="0"/>
        <w:pageBreakBefore w:val="0"/>
        <w:widowControl w:val="0"/>
        <w:kinsoku/>
        <w:wordWrap/>
        <w:overflowPunct/>
        <w:topLinePunct w:val="0"/>
        <w:autoSpaceDE/>
        <w:autoSpaceDN/>
        <w:bidi w:val="0"/>
        <w:adjustRightInd/>
        <w:snapToGrid/>
        <w:spacing w:line="700" w:lineRule="exact"/>
        <w:ind w:left="0" w:leftChars="0" w:right="0" w:firstLine="640" w:firstLineChars="200"/>
        <w:jc w:val="center"/>
        <w:textAlignment w:val="auto"/>
        <w:rPr>
          <w:rFonts w:hint="eastAsia" w:ascii="Times New Roman" w:hAnsi="Times New Roman" w:cs="仿宋_GB2312"/>
          <w:b w:val="0"/>
          <w:bCs w:val="0"/>
          <w:color w:val="auto"/>
          <w:sz w:val="32"/>
          <w:szCs w:val="32"/>
          <w:highlight w:val="none"/>
          <w:lang w:val="en-US" w:eastAsia="zh-CN"/>
        </w:rPr>
      </w:pPr>
    </w:p>
    <w:p w14:paraId="76ED1DED">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根据征收土地预公告（公告〔2025〕16号），依据社会稳定风险评估结果，结合土地现状调查情况，按照《中华人民共和国土地管理法》《中华人民共和国土地管理法实施条例》等法律法规的规定，制定本方案。</w:t>
      </w:r>
    </w:p>
    <w:p w14:paraId="3380D0C5">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仿宋_GB2312"/>
          <w:b w:val="0"/>
          <w:bCs w:val="0"/>
          <w:color w:val="auto"/>
          <w:spacing w:val="0"/>
          <w:sz w:val="32"/>
          <w:szCs w:val="32"/>
          <w:highlight w:val="none"/>
          <w:lang w:val="en-US" w:eastAsia="zh-CN"/>
        </w:rPr>
        <w:t>一、</w:t>
      </w:r>
      <w:r>
        <w:rPr>
          <w:rFonts w:ascii="Times New Roman" w:hAnsi="Times New Roman" w:eastAsia="黑体" w:cs="黑体"/>
          <w:color w:val="auto"/>
          <w:spacing w:val="0"/>
          <w:sz w:val="32"/>
          <w:szCs w:val="32"/>
          <w:highlight w:val="none"/>
        </w:rPr>
        <w:t>拟征收土地范围</w:t>
      </w:r>
      <w:r>
        <w:rPr>
          <w:rFonts w:hint="eastAsia" w:ascii="Times New Roman" w:hAnsi="Times New Roman" w:eastAsia="黑体" w:cs="黑体"/>
          <w:color w:val="auto"/>
          <w:spacing w:val="0"/>
          <w:sz w:val="32"/>
          <w:szCs w:val="32"/>
          <w:highlight w:val="none"/>
          <w:lang w:eastAsia="zh-CN"/>
        </w:rPr>
        <w:t>、</w:t>
      </w:r>
      <w:r>
        <w:rPr>
          <w:rFonts w:hint="eastAsia" w:ascii="Times New Roman" w:hAnsi="Times New Roman" w:eastAsia="黑体" w:cs="黑体"/>
          <w:color w:val="auto"/>
          <w:spacing w:val="0"/>
          <w:sz w:val="32"/>
          <w:szCs w:val="32"/>
          <w:highlight w:val="none"/>
          <w:lang w:val="en-US" w:eastAsia="zh-CN"/>
        </w:rPr>
        <w:t>现状</w:t>
      </w:r>
    </w:p>
    <w:p w14:paraId="2AB89F1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根据拟征收土地现状调查结果，本次拟征收土地面积</w:t>
      </w:r>
      <w:r>
        <w:rPr>
          <w:rFonts w:hint="eastAsia" w:ascii="仿宋_GB2312" w:hAnsi="仿宋_GB2312" w:eastAsia="仿宋_GB2312" w:cs="仿宋_GB2312"/>
          <w:color w:val="auto"/>
          <w:spacing w:val="0"/>
          <w:sz w:val="32"/>
          <w:szCs w:val="32"/>
          <w:highlight w:val="none"/>
          <w:lang w:val="en-US" w:eastAsia="zh-CN"/>
        </w:rPr>
        <w:t>2.5963</w:t>
      </w:r>
      <w:r>
        <w:rPr>
          <w:rFonts w:hint="eastAsia" w:ascii="仿宋_GB2312" w:hAnsi="仿宋_GB2312" w:eastAsia="仿宋_GB2312" w:cs="仿宋_GB2312"/>
          <w:color w:val="auto"/>
          <w:spacing w:val="0"/>
          <w:sz w:val="32"/>
          <w:szCs w:val="32"/>
          <w:highlight w:val="none"/>
        </w:rPr>
        <w:t>公顷（38.9445亩），其中：农用地</w:t>
      </w:r>
      <w:r>
        <w:rPr>
          <w:rFonts w:hint="eastAsia" w:ascii="仿宋_GB2312" w:hAnsi="仿宋_GB2312" w:eastAsia="仿宋_GB2312" w:cs="仿宋_GB2312"/>
          <w:color w:val="auto"/>
          <w:spacing w:val="0"/>
          <w:sz w:val="32"/>
          <w:szCs w:val="32"/>
          <w:highlight w:val="none"/>
          <w:lang w:val="en-US" w:eastAsia="zh-CN"/>
        </w:rPr>
        <w:t>1.8811</w:t>
      </w:r>
      <w:r>
        <w:rPr>
          <w:rFonts w:hint="eastAsia" w:ascii="仿宋_GB2312" w:hAnsi="仿宋_GB2312" w:eastAsia="仿宋_GB2312" w:cs="仿宋_GB2312"/>
          <w:color w:val="auto"/>
          <w:spacing w:val="0"/>
          <w:sz w:val="32"/>
          <w:szCs w:val="32"/>
          <w:highlight w:val="none"/>
        </w:rPr>
        <w:t>公顷（28.2165亩），含耕地</w:t>
      </w:r>
      <w:r>
        <w:rPr>
          <w:rFonts w:hint="eastAsia" w:ascii="仿宋_GB2312" w:hAnsi="仿宋_GB2312" w:eastAsia="仿宋_GB2312" w:cs="仿宋_GB2312"/>
          <w:color w:val="auto"/>
          <w:spacing w:val="0"/>
          <w:sz w:val="32"/>
          <w:szCs w:val="32"/>
          <w:highlight w:val="none"/>
          <w:lang w:val="en-US" w:eastAsia="zh-CN"/>
        </w:rPr>
        <w:t>1.6088</w:t>
      </w:r>
      <w:r>
        <w:rPr>
          <w:rFonts w:hint="eastAsia" w:ascii="仿宋_GB2312" w:hAnsi="仿宋_GB2312" w:eastAsia="仿宋_GB2312" w:cs="仿宋_GB2312"/>
          <w:color w:val="auto"/>
          <w:spacing w:val="0"/>
          <w:sz w:val="32"/>
          <w:szCs w:val="32"/>
          <w:highlight w:val="none"/>
        </w:rPr>
        <w:t>公顷（24.132亩）、</w:t>
      </w:r>
      <w:r>
        <w:rPr>
          <w:rFonts w:hint="eastAsia" w:ascii="仿宋_GB2312" w:hAnsi="仿宋_GB2312" w:eastAsia="仿宋_GB2312" w:cs="仿宋_GB2312"/>
          <w:color w:val="auto"/>
          <w:spacing w:val="0"/>
          <w:sz w:val="32"/>
          <w:szCs w:val="32"/>
          <w:highlight w:val="none"/>
          <w:lang w:eastAsia="zh-CN"/>
        </w:rPr>
        <w:t>园地</w:t>
      </w:r>
      <w:r>
        <w:rPr>
          <w:rFonts w:hint="eastAsia" w:ascii="仿宋_GB2312" w:hAnsi="仿宋_GB2312" w:eastAsia="仿宋_GB2312" w:cs="仿宋_GB2312"/>
          <w:color w:val="auto"/>
          <w:spacing w:val="0"/>
          <w:sz w:val="32"/>
          <w:szCs w:val="32"/>
          <w:highlight w:val="none"/>
          <w:lang w:val="en-US" w:eastAsia="zh-CN"/>
        </w:rPr>
        <w:t>0.1340公顷</w:t>
      </w:r>
      <w:r>
        <w:rPr>
          <w:rFonts w:hint="eastAsia" w:ascii="仿宋_GB2312" w:hAnsi="仿宋_GB2312" w:eastAsia="仿宋_GB2312" w:cs="仿宋_GB2312"/>
          <w:color w:val="auto"/>
          <w:spacing w:val="0"/>
          <w:sz w:val="32"/>
          <w:szCs w:val="32"/>
          <w:highlight w:val="none"/>
        </w:rPr>
        <w:t>（2.01亩）</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其他农用地0.1383公顷</w:t>
      </w:r>
      <w:r>
        <w:rPr>
          <w:rFonts w:hint="eastAsia" w:ascii="仿宋_GB2312" w:hAnsi="仿宋_GB2312" w:eastAsia="仿宋_GB2312" w:cs="仿宋_GB2312"/>
          <w:color w:val="auto"/>
          <w:spacing w:val="0"/>
          <w:sz w:val="32"/>
          <w:szCs w:val="32"/>
          <w:highlight w:val="none"/>
        </w:rPr>
        <w:t>（2.0745亩）；建设用地</w:t>
      </w:r>
      <w:r>
        <w:rPr>
          <w:rFonts w:hint="eastAsia" w:ascii="仿宋_GB2312" w:hAnsi="仿宋_GB2312" w:eastAsia="仿宋_GB2312" w:cs="仿宋_GB2312"/>
          <w:color w:val="auto"/>
          <w:spacing w:val="0"/>
          <w:sz w:val="32"/>
          <w:szCs w:val="32"/>
          <w:highlight w:val="none"/>
          <w:lang w:val="en-US" w:eastAsia="zh-CN"/>
        </w:rPr>
        <w:t>0.4853</w:t>
      </w:r>
      <w:r>
        <w:rPr>
          <w:rFonts w:hint="eastAsia" w:ascii="仿宋_GB2312" w:hAnsi="仿宋_GB2312" w:eastAsia="仿宋_GB2312" w:cs="仿宋_GB2312"/>
          <w:color w:val="auto"/>
          <w:spacing w:val="0"/>
          <w:sz w:val="32"/>
          <w:szCs w:val="32"/>
          <w:highlight w:val="none"/>
        </w:rPr>
        <w:t>公顷（7.2795亩）；未利用地</w:t>
      </w:r>
      <w:r>
        <w:rPr>
          <w:rFonts w:hint="eastAsia" w:ascii="仿宋_GB2312" w:hAnsi="仿宋_GB2312" w:eastAsia="仿宋_GB2312" w:cs="仿宋_GB2312"/>
          <w:color w:val="auto"/>
          <w:spacing w:val="0"/>
          <w:sz w:val="32"/>
          <w:szCs w:val="32"/>
          <w:highlight w:val="none"/>
          <w:lang w:val="en-US" w:eastAsia="zh-CN"/>
        </w:rPr>
        <w:t>0.2299</w:t>
      </w:r>
      <w:r>
        <w:rPr>
          <w:rFonts w:hint="eastAsia" w:ascii="仿宋_GB2312" w:hAnsi="仿宋_GB2312" w:eastAsia="仿宋_GB2312" w:cs="仿宋_GB2312"/>
          <w:color w:val="auto"/>
          <w:spacing w:val="0"/>
          <w:sz w:val="32"/>
          <w:szCs w:val="32"/>
          <w:highlight w:val="none"/>
        </w:rPr>
        <w:t>公顷（3.4485亩）。具体现状如下：</w:t>
      </w:r>
    </w:p>
    <w:p w14:paraId="7E1C6A7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1.拟征收冠英镇青乐村1组集体所有土地0.4933公顷（7.3995亩）。其中：农用地0.4933公顷（7.3995亩），含耕地0.4933公顷（7.3995亩）；建设用地0公顷（0亩）；未利用地0公顷（0亩）。</w:t>
      </w:r>
    </w:p>
    <w:p w14:paraId="3E11924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拟征收冠英镇青乐村3组集体所有土地0.4521公顷（6.7815亩）。其中：农用地0.2455公顷（3.6825亩），含耕地0.2441公顷（3.6615亩）、其他农用地0.0014公顷（0.021亩）；建设用地0公顷（0亩）；未利用地0.2066公顷（3.099亩）。</w:t>
      </w:r>
    </w:p>
    <w:p w14:paraId="5254C04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拟征收冠英镇石子埂村8组集体所有土地0.3091公顷（4.6365亩）。其中：农用地0.1872公顷（2.808亩），含耕地0.0701公顷（1.0515亩）、园地0.1033公顷（1.5495亩）、其他农用地0.0138公顷（0.207亩）；建设用地0.1219公顷（1.8285亩）；未利用地0公顷（0亩）。</w:t>
      </w:r>
    </w:p>
    <w:p w14:paraId="7A402B8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拟征收冠英镇石子埂村9组集体所有土地0.9160公顷（13.74亩）。其中：农用地0.5309公顷（7.9635亩），含耕地0.4264公顷（6.396亩）、园地0.0307公顷（0.4605亩）、其他农用地0.0738公顷（1.107亩）；建设用地0.3634公顷（5.451亩）；未利用地0.0217公顷（0.3255亩）。</w:t>
      </w:r>
    </w:p>
    <w:p w14:paraId="7CC9A34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5.拟征收冠英镇玉津街社区1组集体所有土地0.4258公顷（6.387亩）。其中：农用地0.4242公顷（6.363亩），含耕地0.3749公顷（5.6235亩）、其他农用地0.0493公顷（0.7395</w:t>
      </w:r>
      <w:r>
        <w:rPr>
          <w:rFonts w:hint="eastAsia" w:ascii="仿宋_GB2312" w:hAnsi="仿宋_GB2312" w:eastAsia="仿宋_GB2312" w:cs="仿宋_GB2312"/>
          <w:color w:val="auto"/>
          <w:spacing w:val="-11"/>
          <w:sz w:val="32"/>
          <w:szCs w:val="32"/>
          <w:highlight w:val="none"/>
        </w:rPr>
        <w:t>亩）；建设用地0公顷</w:t>
      </w:r>
      <w:r>
        <w:rPr>
          <w:rFonts w:hint="eastAsia" w:ascii="仿宋_GB2312" w:hAnsi="仿宋_GB2312" w:eastAsia="仿宋_GB2312" w:cs="仿宋_GB2312"/>
          <w:color w:val="auto"/>
          <w:spacing w:val="-11"/>
          <w:sz w:val="32"/>
          <w:szCs w:val="32"/>
          <w:highlight w:val="none"/>
          <w:lang w:eastAsia="zh-CN"/>
        </w:rPr>
        <w:t>（</w:t>
      </w:r>
      <w:r>
        <w:rPr>
          <w:rFonts w:hint="eastAsia" w:ascii="仿宋_GB2312" w:hAnsi="仿宋_GB2312" w:eastAsia="仿宋_GB2312" w:cs="仿宋_GB2312"/>
          <w:color w:val="auto"/>
          <w:spacing w:val="-11"/>
          <w:sz w:val="32"/>
          <w:szCs w:val="32"/>
          <w:highlight w:val="none"/>
        </w:rPr>
        <w:t>0亩）；未利用地0.0016公顷（0.024亩）。</w:t>
      </w:r>
    </w:p>
    <w:p w14:paraId="25EC73EE">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拟征收土地现状情况表</w:t>
      </w:r>
    </w:p>
    <w:p w14:paraId="612127B2">
      <w:pPr>
        <w:pStyle w:val="2"/>
        <w:keepNext w:val="0"/>
        <w:keepLines w:val="0"/>
        <w:pageBreakBefore w:val="0"/>
        <w:widowControl w:val="0"/>
        <w:kinsoku/>
        <w:wordWrap/>
        <w:overflowPunct/>
        <w:topLinePunct w:val="0"/>
        <w:autoSpaceDE/>
        <w:autoSpaceDN/>
        <w:bidi w:val="0"/>
        <w:adjustRightInd/>
        <w:snapToGrid/>
        <w:spacing w:after="0" w:line="600" w:lineRule="exact"/>
        <w:ind w:firstLine="5880" w:firstLineChars="2100"/>
        <w:jc w:val="right"/>
        <w:textAlignment w:val="auto"/>
        <w:rPr>
          <w:rFonts w:hint="default"/>
          <w:lang w:val="en-US" w:eastAsia="zh-CN"/>
        </w:rPr>
      </w:pPr>
      <w:r>
        <w:rPr>
          <w:rFonts w:hint="eastAsia" w:ascii="Times New Roman" w:hAnsi="Times New Roman" w:eastAsia="仿宋_GB2312" w:cs="仿宋_GB2312"/>
          <w:color w:val="auto"/>
          <w:spacing w:val="0"/>
          <w:sz w:val="28"/>
          <w:szCs w:val="28"/>
          <w:highlight w:val="none"/>
          <w:lang w:val="en-US" w:eastAsia="zh-CN"/>
        </w:rPr>
        <w:t>单位：公顷</w:t>
      </w:r>
    </w:p>
    <w:tbl>
      <w:tblPr>
        <w:tblStyle w:val="8"/>
        <w:tblW w:w="8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975"/>
        <w:gridCol w:w="960"/>
        <w:gridCol w:w="1125"/>
        <w:gridCol w:w="915"/>
        <w:gridCol w:w="975"/>
        <w:gridCol w:w="911"/>
        <w:gridCol w:w="935"/>
      </w:tblGrid>
      <w:tr w14:paraId="1DFF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6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权属单位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7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总面积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B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农用地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耕地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园地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3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其他农用地</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9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建设用地</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3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未利用地</w:t>
            </w:r>
          </w:p>
        </w:tc>
      </w:tr>
      <w:tr w14:paraId="6DC4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1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青乐村1组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C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0.4933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0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0.4933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7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0.4933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94D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A6F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659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44D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r>
      <w:tr w14:paraId="2446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E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青乐村3组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9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0.4521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6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0.2455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D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0.2441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4E6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0.0014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297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1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0.2066</w:t>
            </w:r>
          </w:p>
        </w:tc>
      </w:tr>
      <w:tr w14:paraId="41B6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3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石子埂村8组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5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0.3091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F1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0.1872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A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0.0701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9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0.1033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C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0.0138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F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0.1219</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40F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r>
      <w:tr w14:paraId="0C93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石子埂村9组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D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0.9160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0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0.5309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5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0.4264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6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0.0307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3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0.0738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0.3634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CA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0.0217</w:t>
            </w:r>
          </w:p>
        </w:tc>
      </w:tr>
      <w:tr w14:paraId="3E3A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玉津街社区1组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E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0.4258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2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0.4242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C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0.3749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B48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3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0.0493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0D0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5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0.0016</w:t>
            </w:r>
          </w:p>
        </w:tc>
      </w:tr>
      <w:tr w14:paraId="06D1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2.5963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4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1.8811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1.6088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2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0.1340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D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0.1383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5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0.4853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3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0.2299</w:t>
            </w:r>
          </w:p>
        </w:tc>
      </w:tr>
    </w:tbl>
    <w:p w14:paraId="4E1040A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Times New Roman" w:hAnsi="Times New Roman" w:eastAsia="黑体" w:cs="黑体"/>
          <w:color w:val="auto"/>
          <w:sz w:val="32"/>
          <w:szCs w:val="32"/>
          <w:highlight w:val="none"/>
          <w:lang w:val="en-US" w:eastAsia="zh-CN"/>
        </w:rPr>
      </w:pPr>
      <w:r>
        <w:rPr>
          <w:rFonts w:ascii="Times New Roman" w:hAnsi="Times New Roman" w:eastAsia="黑体" w:cs="黑体"/>
          <w:color w:val="auto"/>
          <w:spacing w:val="0"/>
          <w:sz w:val="32"/>
          <w:szCs w:val="32"/>
          <w:highlight w:val="none"/>
        </w:rPr>
        <w:t>二、</w:t>
      </w:r>
      <w:r>
        <w:rPr>
          <w:rFonts w:hint="eastAsia" w:ascii="Times New Roman" w:hAnsi="Times New Roman" w:eastAsia="黑体" w:cs="黑体"/>
          <w:color w:val="auto"/>
          <w:spacing w:val="0"/>
          <w:sz w:val="32"/>
          <w:szCs w:val="32"/>
          <w:highlight w:val="none"/>
          <w:lang w:val="en-US" w:eastAsia="zh-CN"/>
        </w:rPr>
        <w:t>征收目的</w:t>
      </w:r>
    </w:p>
    <w:p w14:paraId="2112F85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ascii="Times New Roman" w:hAnsi="Times New Roman" w:eastAsia="FangSong_GB2312" w:cs="FangSong_GB2312"/>
          <w:color w:val="auto"/>
          <w:spacing w:val="0"/>
          <w:sz w:val="31"/>
          <w:szCs w:val="31"/>
          <w:highlight w:val="none"/>
        </w:rPr>
      </w:pPr>
      <w:r>
        <w:rPr>
          <w:rFonts w:hint="eastAsia" w:ascii="Times New Roman" w:hAnsi="Times New Roman" w:eastAsia="仿宋_GB2312" w:cs="仿宋_GB2312"/>
          <w:color w:val="auto"/>
          <w:spacing w:val="0"/>
          <w:sz w:val="32"/>
          <w:szCs w:val="32"/>
          <w:highlight w:val="none"/>
        </w:rPr>
        <w:t>本次拟征收土地目的为满足公共利益需要，</w:t>
      </w:r>
      <w:r>
        <w:rPr>
          <w:rFonts w:hint="eastAsia" w:ascii="Times New Roman" w:hAnsi="Times New Roman" w:eastAsia="仿宋_GB2312" w:cs="仿宋_GB2312"/>
          <w:color w:val="auto"/>
          <w:spacing w:val="0"/>
          <w:sz w:val="32"/>
          <w:szCs w:val="32"/>
          <w:highlight w:val="none"/>
          <w:lang w:val="en-US" w:eastAsia="zh-CN"/>
        </w:rPr>
        <w:t>拟用于建设乐山港老江坝作业区大件码头进港公路，</w:t>
      </w:r>
      <w:r>
        <w:rPr>
          <w:rFonts w:hint="eastAsia" w:ascii="Times New Roman" w:hAnsi="Times New Roman" w:eastAsia="仿宋_GB2312" w:cs="仿宋_GB2312"/>
          <w:color w:val="auto"/>
          <w:spacing w:val="0"/>
          <w:sz w:val="32"/>
          <w:szCs w:val="32"/>
          <w:highlight w:val="none"/>
        </w:rPr>
        <w:t>属于《中华人民共和国土地管理法》第四十五条第</w:t>
      </w:r>
      <w:r>
        <w:rPr>
          <w:rFonts w:hint="eastAsia" w:ascii="Times New Roman" w:hAnsi="Times New Roman" w:eastAsia="仿宋_GB2312" w:cs="仿宋_GB2312"/>
          <w:color w:val="auto"/>
          <w:spacing w:val="0"/>
          <w:sz w:val="32"/>
          <w:szCs w:val="32"/>
          <w:highlight w:val="none"/>
          <w:lang w:val="en-US" w:eastAsia="zh-CN"/>
        </w:rPr>
        <w:t>（二）项</w:t>
      </w: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lang w:val="en-US" w:eastAsia="zh-CN"/>
        </w:rPr>
        <w:t>由政府组织实施的能源、交通、水利、通信、邮政等础设施建设需要用地的</w:t>
      </w: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rPr>
        <w:t>规定可以征收集体所有土地的情形</w:t>
      </w:r>
      <w:r>
        <w:rPr>
          <w:rFonts w:hint="eastAsia" w:ascii="Times New Roman" w:hAnsi="Times New Roman" w:eastAsia="仿宋_GB2312" w:cs="仿宋_GB2312"/>
          <w:color w:val="auto"/>
          <w:spacing w:val="0"/>
          <w:sz w:val="32"/>
          <w:szCs w:val="32"/>
          <w:highlight w:val="none"/>
          <w:lang w:eastAsia="zh-CN"/>
        </w:rPr>
        <w:t>。</w:t>
      </w:r>
    </w:p>
    <w:p w14:paraId="5EC12154">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Times New Roman" w:hAnsi="Times New Roman" w:eastAsia="黑体" w:cs="黑体"/>
          <w:color w:val="auto"/>
          <w:sz w:val="32"/>
          <w:szCs w:val="32"/>
          <w:highlight w:val="none"/>
          <w:lang w:eastAsia="zh-CN"/>
        </w:rPr>
      </w:pPr>
      <w:r>
        <w:rPr>
          <w:rFonts w:ascii="Times New Roman" w:hAnsi="Times New Roman" w:eastAsia="黑体" w:cs="黑体"/>
          <w:color w:val="auto"/>
          <w:spacing w:val="0"/>
          <w:sz w:val="32"/>
          <w:szCs w:val="32"/>
          <w:highlight w:val="none"/>
        </w:rPr>
        <w:t>三、补偿方式</w:t>
      </w:r>
      <w:r>
        <w:rPr>
          <w:rFonts w:hint="eastAsia" w:ascii="Times New Roman" w:hAnsi="Times New Roman" w:eastAsia="黑体" w:cs="黑体"/>
          <w:color w:val="auto"/>
          <w:spacing w:val="0"/>
          <w:sz w:val="32"/>
          <w:szCs w:val="32"/>
          <w:highlight w:val="none"/>
          <w:lang w:eastAsia="zh-CN"/>
        </w:rPr>
        <w:t>和</w:t>
      </w:r>
      <w:r>
        <w:rPr>
          <w:rFonts w:ascii="Times New Roman" w:hAnsi="Times New Roman" w:eastAsia="黑体" w:cs="黑体"/>
          <w:color w:val="auto"/>
          <w:spacing w:val="0"/>
          <w:sz w:val="32"/>
          <w:szCs w:val="32"/>
          <w:highlight w:val="none"/>
        </w:rPr>
        <w:t>标准</w:t>
      </w:r>
    </w:p>
    <w:p w14:paraId="159615E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Times New Roman" w:hAnsi="Times New Roman" w:eastAsia="楷体_GB2312" w:cs="楷体_GB2312"/>
          <w:color w:val="auto"/>
          <w:spacing w:val="0"/>
          <w:sz w:val="32"/>
          <w:szCs w:val="32"/>
          <w:highlight w:val="none"/>
        </w:rPr>
        <w:t>（一）土地补偿费和安置补助费。</w:t>
      </w:r>
      <w:r>
        <w:rPr>
          <w:rFonts w:hint="eastAsia" w:ascii="仿宋_GB2312" w:hAnsi="仿宋_GB2312" w:eastAsia="仿宋_GB2312" w:cs="仿宋_GB2312"/>
          <w:color w:val="auto"/>
          <w:spacing w:val="0"/>
          <w:sz w:val="32"/>
          <w:szCs w:val="32"/>
          <w:highlight w:val="none"/>
          <w:lang w:val="en-US" w:eastAsia="zh-CN"/>
        </w:rPr>
        <w:t>本次征收土地补偿费、安置补助费标准按照《四川省人民政府关于同意各市（州）征收农用地区片综合地价标准的批复》（川府函〔2023〕222号）执行。</w:t>
      </w:r>
    </w:p>
    <w:p w14:paraId="5627088A">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Times New Roman" w:hAnsi="Times New Roman" w:eastAsia="楷体_GB2312" w:cs="楷体_GB2312"/>
          <w:color w:val="auto"/>
          <w:spacing w:val="0"/>
          <w:sz w:val="32"/>
          <w:szCs w:val="32"/>
          <w:highlight w:val="none"/>
        </w:rPr>
        <w:t>（二）地上附着物及青苗。</w:t>
      </w:r>
      <w:r>
        <w:rPr>
          <w:rFonts w:hint="eastAsia" w:ascii="仿宋_GB2312" w:hAnsi="仿宋_GB2312" w:eastAsia="仿宋_GB2312" w:cs="仿宋_GB2312"/>
          <w:color w:val="auto"/>
          <w:spacing w:val="0"/>
          <w:sz w:val="32"/>
          <w:szCs w:val="32"/>
          <w:highlight w:val="none"/>
          <w:lang w:val="en-US" w:eastAsia="zh-CN"/>
        </w:rPr>
        <w:t>本次拟征收土地地上附着物和青苗补偿费按照《四川省人民政府关于同意各市（州）征地地上附着物和青苗补偿标准的批复》（川府函〔2024〕190号）执行。</w:t>
      </w:r>
    </w:p>
    <w:p w14:paraId="2EF8306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本次土地征收的补偿方式为：货币补偿。</w:t>
      </w:r>
    </w:p>
    <w:p w14:paraId="1F46E585">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五通桥区地上附着物及其他附属设施补偿标准表</w:t>
      </w: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08"/>
        <w:gridCol w:w="2812"/>
        <w:gridCol w:w="1267"/>
        <w:gridCol w:w="2120"/>
      </w:tblGrid>
      <w:tr w14:paraId="3BA5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98" w:type="dxa"/>
            <w:noWrap/>
            <w:vAlign w:val="center"/>
          </w:tcPr>
          <w:p w14:paraId="48DE9CC5">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4120" w:type="dxa"/>
            <w:gridSpan w:val="2"/>
            <w:noWrap/>
            <w:vAlign w:val="center"/>
          </w:tcPr>
          <w:p w14:paraId="4A08923F">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补偿项目</w:t>
            </w:r>
          </w:p>
        </w:tc>
        <w:tc>
          <w:tcPr>
            <w:tcW w:w="1267" w:type="dxa"/>
            <w:noWrap/>
            <w:vAlign w:val="center"/>
          </w:tcPr>
          <w:p w14:paraId="01B0704D">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单位</w:t>
            </w:r>
          </w:p>
        </w:tc>
        <w:tc>
          <w:tcPr>
            <w:tcW w:w="2120" w:type="dxa"/>
            <w:noWrap/>
            <w:vAlign w:val="center"/>
          </w:tcPr>
          <w:p w14:paraId="5F76E5F7">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补偿标准（元）</w:t>
            </w:r>
          </w:p>
        </w:tc>
      </w:tr>
      <w:tr w14:paraId="208B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98" w:type="dxa"/>
            <w:vMerge w:val="restart"/>
            <w:noWrap/>
            <w:vAlign w:val="center"/>
          </w:tcPr>
          <w:p w14:paraId="2A9CFA33">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08" w:type="dxa"/>
            <w:vMerge w:val="restart"/>
            <w:noWrap/>
            <w:vAlign w:val="center"/>
          </w:tcPr>
          <w:p w14:paraId="431959E0">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围墙</w:t>
            </w:r>
          </w:p>
        </w:tc>
        <w:tc>
          <w:tcPr>
            <w:tcW w:w="2812" w:type="dxa"/>
            <w:noWrap/>
            <w:vAlign w:val="center"/>
          </w:tcPr>
          <w:p w14:paraId="5A06B497">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乱石垒、土围墙</w:t>
            </w:r>
          </w:p>
        </w:tc>
        <w:tc>
          <w:tcPr>
            <w:tcW w:w="1267" w:type="dxa"/>
            <w:noWrap/>
            <w:vAlign w:val="center"/>
          </w:tcPr>
          <w:p w14:paraId="2D333830">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立方米</w:t>
            </w:r>
          </w:p>
        </w:tc>
        <w:tc>
          <w:tcPr>
            <w:tcW w:w="2120" w:type="dxa"/>
            <w:noWrap/>
            <w:vAlign w:val="center"/>
          </w:tcPr>
          <w:p w14:paraId="4F91E188">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w:t>
            </w:r>
          </w:p>
        </w:tc>
      </w:tr>
      <w:tr w14:paraId="2F16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9B9C7BE">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1308" w:type="dxa"/>
            <w:vMerge w:val="continue"/>
            <w:noWrap/>
            <w:vAlign w:val="center"/>
          </w:tcPr>
          <w:p w14:paraId="0198C670">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2812" w:type="dxa"/>
            <w:noWrap/>
            <w:vAlign w:val="center"/>
          </w:tcPr>
          <w:p w14:paraId="33D28D14">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砖、石围墙</w:t>
            </w:r>
          </w:p>
        </w:tc>
        <w:tc>
          <w:tcPr>
            <w:tcW w:w="1267" w:type="dxa"/>
            <w:noWrap/>
            <w:vAlign w:val="center"/>
          </w:tcPr>
          <w:p w14:paraId="3306808D">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立方米</w:t>
            </w:r>
          </w:p>
        </w:tc>
        <w:tc>
          <w:tcPr>
            <w:tcW w:w="2120" w:type="dxa"/>
            <w:noWrap/>
            <w:vAlign w:val="center"/>
          </w:tcPr>
          <w:p w14:paraId="1EDB0033">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520</w:t>
            </w:r>
          </w:p>
        </w:tc>
      </w:tr>
      <w:tr w14:paraId="0876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8" w:type="dxa"/>
            <w:vMerge w:val="restart"/>
            <w:noWrap/>
            <w:vAlign w:val="center"/>
          </w:tcPr>
          <w:p w14:paraId="493C38B1">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08" w:type="dxa"/>
            <w:vMerge w:val="restart"/>
            <w:noWrap/>
            <w:vAlign w:val="center"/>
          </w:tcPr>
          <w:p w14:paraId="5F63A068">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color w:val="000000"/>
                <w:sz w:val="24"/>
                <w:szCs w:val="24"/>
                <w:u w:val="none"/>
                <w:lang w:val="en-US" w:eastAsia="zh-CN" w:bidi="ar"/>
              </w:rPr>
              <w:t>院（晒）坝</w:t>
            </w:r>
          </w:p>
        </w:tc>
        <w:tc>
          <w:tcPr>
            <w:tcW w:w="2812" w:type="dxa"/>
            <w:noWrap/>
            <w:vAlign w:val="center"/>
          </w:tcPr>
          <w:p w14:paraId="2398E356">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三合土</w:t>
            </w:r>
          </w:p>
        </w:tc>
        <w:tc>
          <w:tcPr>
            <w:tcW w:w="1267" w:type="dxa"/>
            <w:noWrap/>
            <w:vAlign w:val="center"/>
          </w:tcPr>
          <w:p w14:paraId="2C9DC8C4">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120" w:type="dxa"/>
            <w:noWrap/>
            <w:vAlign w:val="center"/>
          </w:tcPr>
          <w:p w14:paraId="6E5493DE">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13CF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0055364">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1308" w:type="dxa"/>
            <w:vMerge w:val="continue"/>
            <w:noWrap/>
            <w:vAlign w:val="center"/>
          </w:tcPr>
          <w:p w14:paraId="153D5D0B">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2812" w:type="dxa"/>
            <w:noWrap/>
            <w:vAlign w:val="center"/>
          </w:tcPr>
          <w:p w14:paraId="049D6D0A">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砖、石、水泥砂浆</w:t>
            </w:r>
          </w:p>
        </w:tc>
        <w:tc>
          <w:tcPr>
            <w:tcW w:w="1267" w:type="dxa"/>
            <w:noWrap/>
            <w:vAlign w:val="center"/>
          </w:tcPr>
          <w:p w14:paraId="779B75CC">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120" w:type="dxa"/>
            <w:noWrap/>
            <w:vAlign w:val="center"/>
          </w:tcPr>
          <w:p w14:paraId="2430391D">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64C0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4602AC49">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1308" w:type="dxa"/>
            <w:vMerge w:val="continue"/>
            <w:noWrap/>
            <w:vAlign w:val="center"/>
          </w:tcPr>
          <w:p w14:paraId="61E8FEBD">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2812" w:type="dxa"/>
            <w:noWrap/>
            <w:vAlign w:val="center"/>
          </w:tcPr>
          <w:p w14:paraId="291BB226">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土坝</w:t>
            </w:r>
          </w:p>
        </w:tc>
        <w:tc>
          <w:tcPr>
            <w:tcW w:w="1267" w:type="dxa"/>
            <w:noWrap/>
            <w:vAlign w:val="center"/>
          </w:tcPr>
          <w:p w14:paraId="6B1ADBAD">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120" w:type="dxa"/>
            <w:noWrap/>
            <w:vAlign w:val="center"/>
          </w:tcPr>
          <w:p w14:paraId="205B961D">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r>
      <w:tr w14:paraId="3CE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5A51501">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1308" w:type="dxa"/>
            <w:vMerge w:val="continue"/>
            <w:noWrap/>
            <w:vAlign w:val="center"/>
          </w:tcPr>
          <w:p w14:paraId="09C01FDD">
            <w:pPr>
              <w:keepNext w:val="0"/>
              <w:keepLines w:val="0"/>
              <w:pageBreakBefore w:val="0"/>
              <w:suppressAutoHyphens/>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4"/>
                <w:szCs w:val="24"/>
                <w:u w:val="none"/>
              </w:rPr>
            </w:pPr>
          </w:p>
        </w:tc>
        <w:tc>
          <w:tcPr>
            <w:tcW w:w="2812" w:type="dxa"/>
            <w:noWrap/>
            <w:vAlign w:val="center"/>
          </w:tcPr>
          <w:p w14:paraId="05DD3A5B">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石板坝</w:t>
            </w:r>
          </w:p>
        </w:tc>
        <w:tc>
          <w:tcPr>
            <w:tcW w:w="1267" w:type="dxa"/>
            <w:noWrap/>
            <w:vAlign w:val="center"/>
          </w:tcPr>
          <w:p w14:paraId="4C98AD65">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120" w:type="dxa"/>
            <w:noWrap/>
            <w:vAlign w:val="center"/>
          </w:tcPr>
          <w:p w14:paraId="2744C7F0">
            <w:pPr>
              <w:keepNext w:val="0"/>
              <w:keepLines w:val="0"/>
              <w:pageBreakBefore w:val="0"/>
              <w:widowControl/>
              <w:suppressLineNumbers w:val="0"/>
              <w:suppressAutoHyphens/>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1DA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77C9EE2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w:t>
            </w:r>
          </w:p>
        </w:tc>
        <w:tc>
          <w:tcPr>
            <w:tcW w:w="1308" w:type="dxa"/>
            <w:vMerge w:val="restart"/>
            <w:noWrap/>
            <w:vAlign w:val="center"/>
          </w:tcPr>
          <w:p w14:paraId="1522FE4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堡坎</w:t>
            </w:r>
          </w:p>
        </w:tc>
        <w:tc>
          <w:tcPr>
            <w:tcW w:w="2812" w:type="dxa"/>
            <w:noWrap/>
            <w:vAlign w:val="center"/>
          </w:tcPr>
          <w:p w14:paraId="7D09B4B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石堡坎</w:t>
            </w:r>
          </w:p>
        </w:tc>
        <w:tc>
          <w:tcPr>
            <w:tcW w:w="1267" w:type="dxa"/>
            <w:noWrap/>
            <w:vAlign w:val="center"/>
          </w:tcPr>
          <w:p w14:paraId="56B1EB0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4613F72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165</w:t>
            </w:r>
          </w:p>
        </w:tc>
      </w:tr>
      <w:tr w14:paraId="1E90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3E3D019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7D8123D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60216B2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砼</w:t>
            </w:r>
          </w:p>
        </w:tc>
        <w:tc>
          <w:tcPr>
            <w:tcW w:w="1267" w:type="dxa"/>
            <w:noWrap/>
            <w:vAlign w:val="center"/>
          </w:tcPr>
          <w:p w14:paraId="7ECBD84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5258E0C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310</w:t>
            </w:r>
          </w:p>
        </w:tc>
      </w:tr>
      <w:tr w14:paraId="1AC5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6E6FFA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48C4AFA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2AFD3F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砖</w:t>
            </w:r>
          </w:p>
        </w:tc>
        <w:tc>
          <w:tcPr>
            <w:tcW w:w="1267" w:type="dxa"/>
            <w:noWrap/>
            <w:vAlign w:val="center"/>
          </w:tcPr>
          <w:p w14:paraId="5B64042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1218D50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170</w:t>
            </w:r>
          </w:p>
        </w:tc>
      </w:tr>
      <w:tr w14:paraId="496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3044464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797C3D5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68922B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其他</w:t>
            </w:r>
          </w:p>
        </w:tc>
        <w:tc>
          <w:tcPr>
            <w:tcW w:w="1267" w:type="dxa"/>
            <w:noWrap/>
            <w:vAlign w:val="center"/>
          </w:tcPr>
          <w:p w14:paraId="7328EFF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48162BC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100</w:t>
            </w:r>
          </w:p>
        </w:tc>
      </w:tr>
      <w:tr w14:paraId="3FB6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4667B13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4</w:t>
            </w:r>
          </w:p>
        </w:tc>
        <w:tc>
          <w:tcPr>
            <w:tcW w:w="4120" w:type="dxa"/>
            <w:gridSpan w:val="2"/>
            <w:noWrap/>
            <w:vAlign w:val="center"/>
          </w:tcPr>
          <w:p w14:paraId="1DB912E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水缸</w:t>
            </w:r>
          </w:p>
        </w:tc>
        <w:tc>
          <w:tcPr>
            <w:tcW w:w="1267" w:type="dxa"/>
            <w:noWrap/>
            <w:vAlign w:val="center"/>
          </w:tcPr>
          <w:p w14:paraId="74CC192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19099AF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200</w:t>
            </w:r>
          </w:p>
        </w:tc>
      </w:tr>
      <w:tr w14:paraId="01BF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7E775E5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w:t>
            </w:r>
          </w:p>
        </w:tc>
        <w:tc>
          <w:tcPr>
            <w:tcW w:w="4120" w:type="dxa"/>
            <w:gridSpan w:val="2"/>
            <w:noWrap/>
            <w:vAlign w:val="center"/>
          </w:tcPr>
          <w:p w14:paraId="2B410BA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地窖</w:t>
            </w:r>
          </w:p>
        </w:tc>
        <w:tc>
          <w:tcPr>
            <w:tcW w:w="1267" w:type="dxa"/>
            <w:noWrap/>
            <w:vAlign w:val="center"/>
          </w:tcPr>
          <w:p w14:paraId="753CA86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3B4DA30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200</w:t>
            </w:r>
          </w:p>
        </w:tc>
      </w:tr>
      <w:tr w14:paraId="29CA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74F72CE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w:t>
            </w:r>
          </w:p>
        </w:tc>
        <w:tc>
          <w:tcPr>
            <w:tcW w:w="1308" w:type="dxa"/>
            <w:vMerge w:val="restart"/>
            <w:noWrap/>
            <w:vAlign w:val="center"/>
          </w:tcPr>
          <w:p w14:paraId="5E96C79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粪池</w:t>
            </w:r>
          </w:p>
        </w:tc>
        <w:tc>
          <w:tcPr>
            <w:tcW w:w="2812" w:type="dxa"/>
            <w:noWrap/>
            <w:vAlign w:val="center"/>
          </w:tcPr>
          <w:p w14:paraId="3335099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土粪池</w:t>
            </w:r>
          </w:p>
        </w:tc>
        <w:tc>
          <w:tcPr>
            <w:tcW w:w="1267" w:type="dxa"/>
            <w:noWrap/>
            <w:vAlign w:val="center"/>
          </w:tcPr>
          <w:p w14:paraId="4335FD2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545F7A8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25</w:t>
            </w:r>
          </w:p>
        </w:tc>
      </w:tr>
      <w:tr w14:paraId="1F61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53F4DE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7620304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75B0B81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水泥、三合土粪池</w:t>
            </w:r>
          </w:p>
        </w:tc>
        <w:tc>
          <w:tcPr>
            <w:tcW w:w="1267" w:type="dxa"/>
            <w:noWrap/>
            <w:vAlign w:val="center"/>
          </w:tcPr>
          <w:p w14:paraId="5A5727F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39A6D4A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50</w:t>
            </w:r>
          </w:p>
        </w:tc>
      </w:tr>
      <w:tr w14:paraId="76D5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259A2F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5608098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FB246E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条石粪池</w:t>
            </w:r>
          </w:p>
        </w:tc>
        <w:tc>
          <w:tcPr>
            <w:tcW w:w="1267" w:type="dxa"/>
            <w:noWrap/>
            <w:vAlign w:val="center"/>
          </w:tcPr>
          <w:p w14:paraId="193A61C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2849FC0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60</w:t>
            </w:r>
          </w:p>
        </w:tc>
      </w:tr>
      <w:tr w14:paraId="071A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6BB9FC5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7</w:t>
            </w:r>
          </w:p>
        </w:tc>
        <w:tc>
          <w:tcPr>
            <w:tcW w:w="1308" w:type="dxa"/>
            <w:vMerge w:val="restart"/>
            <w:noWrap/>
            <w:vAlign w:val="center"/>
          </w:tcPr>
          <w:p w14:paraId="3927AEA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水窖</w:t>
            </w:r>
          </w:p>
        </w:tc>
        <w:tc>
          <w:tcPr>
            <w:tcW w:w="2812" w:type="dxa"/>
            <w:noWrap/>
            <w:vAlign w:val="center"/>
          </w:tcPr>
          <w:p w14:paraId="342B3AD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土水窖</w:t>
            </w:r>
          </w:p>
        </w:tc>
        <w:tc>
          <w:tcPr>
            <w:tcW w:w="1267" w:type="dxa"/>
            <w:noWrap/>
            <w:vAlign w:val="center"/>
          </w:tcPr>
          <w:p w14:paraId="45F9158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3BDBC5A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25</w:t>
            </w:r>
          </w:p>
        </w:tc>
      </w:tr>
      <w:tr w14:paraId="114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0937ECB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45733EC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3168A2E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三合土水窖</w:t>
            </w:r>
          </w:p>
        </w:tc>
        <w:tc>
          <w:tcPr>
            <w:tcW w:w="1267" w:type="dxa"/>
            <w:noWrap/>
            <w:vAlign w:val="center"/>
          </w:tcPr>
          <w:p w14:paraId="48E4E72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7F6C77E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50</w:t>
            </w:r>
          </w:p>
        </w:tc>
      </w:tr>
      <w:tr w14:paraId="5D35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469A0F4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552F592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0E25E4A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条石及砼水窖</w:t>
            </w:r>
          </w:p>
        </w:tc>
        <w:tc>
          <w:tcPr>
            <w:tcW w:w="1267" w:type="dxa"/>
            <w:noWrap/>
            <w:vAlign w:val="center"/>
          </w:tcPr>
          <w:p w14:paraId="29C8E98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6F4807D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60</w:t>
            </w:r>
          </w:p>
        </w:tc>
      </w:tr>
      <w:tr w14:paraId="001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609FC8A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w:t>
            </w:r>
          </w:p>
        </w:tc>
        <w:tc>
          <w:tcPr>
            <w:tcW w:w="1308" w:type="dxa"/>
            <w:vMerge w:val="restart"/>
            <w:noWrap/>
            <w:vAlign w:val="center"/>
          </w:tcPr>
          <w:p w14:paraId="33DC668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水池</w:t>
            </w:r>
          </w:p>
        </w:tc>
        <w:tc>
          <w:tcPr>
            <w:tcW w:w="2812" w:type="dxa"/>
            <w:noWrap/>
            <w:vAlign w:val="center"/>
          </w:tcPr>
          <w:p w14:paraId="0F772FA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砣石、条石池</w:t>
            </w:r>
          </w:p>
        </w:tc>
        <w:tc>
          <w:tcPr>
            <w:tcW w:w="1267" w:type="dxa"/>
            <w:noWrap/>
            <w:vAlign w:val="center"/>
          </w:tcPr>
          <w:p w14:paraId="12892DC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120D2A2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60</w:t>
            </w:r>
          </w:p>
        </w:tc>
      </w:tr>
      <w:tr w14:paraId="152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0C9D3A7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184CEE2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32D3AF6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石砌、砖砌、混凝土</w:t>
            </w:r>
          </w:p>
        </w:tc>
        <w:tc>
          <w:tcPr>
            <w:tcW w:w="1267" w:type="dxa"/>
            <w:noWrap/>
            <w:vAlign w:val="center"/>
          </w:tcPr>
          <w:p w14:paraId="31FDDAA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2B1478A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70</w:t>
            </w:r>
          </w:p>
        </w:tc>
      </w:tr>
      <w:tr w14:paraId="7475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1865C89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044B99D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0CEE858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造型水池</w:t>
            </w:r>
          </w:p>
        </w:tc>
        <w:tc>
          <w:tcPr>
            <w:tcW w:w="1267" w:type="dxa"/>
            <w:noWrap/>
            <w:vAlign w:val="center"/>
          </w:tcPr>
          <w:p w14:paraId="599C7F0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422B248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80</w:t>
            </w:r>
          </w:p>
        </w:tc>
      </w:tr>
      <w:tr w14:paraId="7109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3AC6F67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9</w:t>
            </w:r>
          </w:p>
        </w:tc>
        <w:tc>
          <w:tcPr>
            <w:tcW w:w="1308" w:type="dxa"/>
            <w:vMerge w:val="restart"/>
            <w:noWrap/>
            <w:vAlign w:val="center"/>
          </w:tcPr>
          <w:p w14:paraId="28386D5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水井</w:t>
            </w:r>
          </w:p>
        </w:tc>
        <w:tc>
          <w:tcPr>
            <w:tcW w:w="2812" w:type="dxa"/>
            <w:noWrap/>
            <w:vAlign w:val="center"/>
          </w:tcPr>
          <w:p w14:paraId="601DDB5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土水井</w:t>
            </w:r>
          </w:p>
        </w:tc>
        <w:tc>
          <w:tcPr>
            <w:tcW w:w="1267" w:type="dxa"/>
            <w:noWrap/>
            <w:vAlign w:val="center"/>
          </w:tcPr>
          <w:p w14:paraId="7460862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1D4EEF4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200</w:t>
            </w:r>
          </w:p>
        </w:tc>
      </w:tr>
      <w:tr w14:paraId="676C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106B25F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256BA35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83BDE1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条石水井</w:t>
            </w:r>
          </w:p>
        </w:tc>
        <w:tc>
          <w:tcPr>
            <w:tcW w:w="1267" w:type="dxa"/>
            <w:noWrap/>
            <w:vAlign w:val="center"/>
          </w:tcPr>
          <w:p w14:paraId="65E9FCB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457EBEF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620</w:t>
            </w:r>
          </w:p>
        </w:tc>
      </w:tr>
      <w:tr w14:paraId="5601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510D466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3B85530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5F3F1EB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压水井</w:t>
            </w:r>
            <w:r>
              <w:rPr>
                <w:rFonts w:hint="eastAsia" w:ascii="仿宋_GB2312" w:hAnsi="仿宋_GB2312" w:eastAsia="仿宋_GB2312" w:cs="仿宋_GB2312"/>
                <w:i w:val="0"/>
                <w:iCs w:val="0"/>
                <w:color w:val="000000"/>
                <w:sz w:val="24"/>
                <w:szCs w:val="24"/>
                <w:u w:val="none"/>
                <w:lang w:val="en-US" w:eastAsia="zh-CN"/>
              </w:rPr>
              <w:t>（</w:t>
            </w:r>
            <w:r>
              <w:rPr>
                <w:rFonts w:hint="default" w:ascii="仿宋_GB2312" w:hAnsi="仿宋_GB2312" w:eastAsia="仿宋_GB2312" w:cs="仿宋_GB2312"/>
                <w:i w:val="0"/>
                <w:iCs w:val="0"/>
                <w:color w:val="000000"/>
                <w:sz w:val="24"/>
                <w:szCs w:val="24"/>
                <w:u w:val="none"/>
                <w:lang w:val="en-US" w:eastAsia="zh-CN"/>
              </w:rPr>
              <w:t>含机械取水</w:t>
            </w:r>
            <w:r>
              <w:rPr>
                <w:rFonts w:hint="eastAsia" w:ascii="仿宋_GB2312" w:hAnsi="仿宋_GB2312" w:eastAsia="仿宋_GB2312" w:cs="仿宋_GB2312"/>
                <w:i w:val="0"/>
                <w:iCs w:val="0"/>
                <w:color w:val="000000"/>
                <w:sz w:val="24"/>
                <w:szCs w:val="24"/>
                <w:u w:val="none"/>
                <w:lang w:val="en-US" w:eastAsia="zh-CN"/>
              </w:rPr>
              <w:t>）</w:t>
            </w:r>
          </w:p>
        </w:tc>
        <w:tc>
          <w:tcPr>
            <w:tcW w:w="1267" w:type="dxa"/>
            <w:noWrap/>
            <w:vAlign w:val="center"/>
          </w:tcPr>
          <w:p w14:paraId="0CC8530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3B59537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950</w:t>
            </w:r>
          </w:p>
        </w:tc>
      </w:tr>
      <w:tr w14:paraId="10A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3CB7C13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4094DA0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64BABBC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机井</w:t>
            </w:r>
            <w:r>
              <w:rPr>
                <w:rFonts w:hint="eastAsia" w:ascii="仿宋_GB2312" w:hAnsi="仿宋_GB2312" w:eastAsia="仿宋_GB2312" w:cs="仿宋_GB2312"/>
                <w:i w:val="0"/>
                <w:iCs w:val="0"/>
                <w:color w:val="000000"/>
                <w:sz w:val="24"/>
                <w:szCs w:val="24"/>
                <w:u w:val="none"/>
                <w:lang w:val="en-US" w:eastAsia="zh-CN"/>
              </w:rPr>
              <w:t>（</w:t>
            </w:r>
            <w:r>
              <w:rPr>
                <w:rFonts w:hint="default" w:ascii="仿宋_GB2312" w:hAnsi="仿宋_GB2312" w:eastAsia="仿宋_GB2312" w:cs="仿宋_GB2312"/>
                <w:i w:val="0"/>
                <w:iCs w:val="0"/>
                <w:color w:val="000000"/>
                <w:sz w:val="24"/>
                <w:szCs w:val="24"/>
                <w:u w:val="none"/>
                <w:lang w:val="en-US" w:eastAsia="zh-CN"/>
              </w:rPr>
              <w:t>含抗旱井</w:t>
            </w:r>
            <w:r>
              <w:rPr>
                <w:rFonts w:hint="eastAsia" w:ascii="仿宋_GB2312" w:hAnsi="仿宋_GB2312" w:eastAsia="仿宋_GB2312" w:cs="仿宋_GB2312"/>
                <w:i w:val="0"/>
                <w:iCs w:val="0"/>
                <w:color w:val="000000"/>
                <w:sz w:val="24"/>
                <w:szCs w:val="24"/>
                <w:u w:val="none"/>
                <w:lang w:val="en-US" w:eastAsia="zh-CN"/>
              </w:rPr>
              <w:t>）</w:t>
            </w:r>
          </w:p>
        </w:tc>
        <w:tc>
          <w:tcPr>
            <w:tcW w:w="1267" w:type="dxa"/>
            <w:noWrap/>
            <w:vAlign w:val="center"/>
          </w:tcPr>
          <w:p w14:paraId="10414D6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491F9A6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2000</w:t>
            </w:r>
          </w:p>
        </w:tc>
      </w:tr>
      <w:tr w14:paraId="75B2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4164744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10</w:t>
            </w:r>
          </w:p>
        </w:tc>
        <w:tc>
          <w:tcPr>
            <w:tcW w:w="1308" w:type="dxa"/>
            <w:vMerge w:val="restart"/>
            <w:noWrap/>
            <w:vAlign w:val="center"/>
          </w:tcPr>
          <w:p w14:paraId="255C159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灶台</w:t>
            </w:r>
          </w:p>
        </w:tc>
        <w:tc>
          <w:tcPr>
            <w:tcW w:w="2812" w:type="dxa"/>
            <w:noWrap/>
            <w:vAlign w:val="center"/>
          </w:tcPr>
          <w:p w14:paraId="15E439E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土灶</w:t>
            </w:r>
          </w:p>
        </w:tc>
        <w:tc>
          <w:tcPr>
            <w:tcW w:w="1267" w:type="dxa"/>
            <w:noWrap/>
            <w:vAlign w:val="center"/>
          </w:tcPr>
          <w:p w14:paraId="11C5EEF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眼</w:t>
            </w:r>
          </w:p>
        </w:tc>
        <w:tc>
          <w:tcPr>
            <w:tcW w:w="2120" w:type="dxa"/>
            <w:noWrap/>
            <w:vAlign w:val="center"/>
          </w:tcPr>
          <w:p w14:paraId="4B9D827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310</w:t>
            </w:r>
          </w:p>
        </w:tc>
      </w:tr>
      <w:tr w14:paraId="1277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3054062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4EEDDEE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2F711F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红砖砌灶</w:t>
            </w:r>
          </w:p>
        </w:tc>
        <w:tc>
          <w:tcPr>
            <w:tcW w:w="1267" w:type="dxa"/>
            <w:noWrap/>
            <w:vAlign w:val="center"/>
          </w:tcPr>
          <w:p w14:paraId="4F1B3D2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眼</w:t>
            </w:r>
          </w:p>
        </w:tc>
        <w:tc>
          <w:tcPr>
            <w:tcW w:w="2120" w:type="dxa"/>
            <w:noWrap/>
            <w:vAlign w:val="center"/>
          </w:tcPr>
          <w:p w14:paraId="09F2D46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360</w:t>
            </w:r>
          </w:p>
        </w:tc>
      </w:tr>
      <w:tr w14:paraId="0CD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7D7E85D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6BE6428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39CEDC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瓷砖灶、水泥灶</w:t>
            </w:r>
          </w:p>
        </w:tc>
        <w:tc>
          <w:tcPr>
            <w:tcW w:w="1267" w:type="dxa"/>
            <w:noWrap/>
            <w:vAlign w:val="center"/>
          </w:tcPr>
          <w:p w14:paraId="04568E3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眼</w:t>
            </w:r>
          </w:p>
        </w:tc>
        <w:tc>
          <w:tcPr>
            <w:tcW w:w="2120" w:type="dxa"/>
            <w:noWrap/>
            <w:vAlign w:val="center"/>
          </w:tcPr>
          <w:p w14:paraId="0B596F2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410</w:t>
            </w:r>
          </w:p>
        </w:tc>
      </w:tr>
      <w:tr w14:paraId="0D4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764754B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608F1FE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53E6687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节能灶</w:t>
            </w:r>
            <w:r>
              <w:rPr>
                <w:rFonts w:hint="eastAsia" w:ascii="仿宋_GB2312" w:hAnsi="仿宋_GB2312" w:eastAsia="仿宋_GB2312" w:cs="仿宋_GB2312"/>
                <w:i w:val="0"/>
                <w:iCs w:val="0"/>
                <w:color w:val="000000"/>
                <w:sz w:val="24"/>
                <w:szCs w:val="24"/>
                <w:u w:val="none"/>
                <w:lang w:val="en-US" w:eastAsia="zh-CN"/>
              </w:rPr>
              <w:t>（</w:t>
            </w:r>
            <w:r>
              <w:rPr>
                <w:rFonts w:hint="default" w:ascii="仿宋_GB2312" w:hAnsi="仿宋_GB2312" w:eastAsia="仿宋_GB2312" w:cs="仿宋_GB2312"/>
                <w:i w:val="0"/>
                <w:iCs w:val="0"/>
                <w:color w:val="000000"/>
                <w:sz w:val="24"/>
                <w:szCs w:val="24"/>
                <w:u w:val="none"/>
                <w:lang w:val="en-US" w:eastAsia="zh-CN"/>
              </w:rPr>
              <w:t>含设施</w:t>
            </w:r>
            <w:r>
              <w:rPr>
                <w:rFonts w:hint="eastAsia" w:ascii="仿宋_GB2312" w:hAnsi="仿宋_GB2312" w:eastAsia="仿宋_GB2312" w:cs="仿宋_GB2312"/>
                <w:i w:val="0"/>
                <w:iCs w:val="0"/>
                <w:color w:val="000000"/>
                <w:sz w:val="24"/>
                <w:szCs w:val="24"/>
                <w:u w:val="none"/>
                <w:lang w:val="en-US" w:eastAsia="zh-CN"/>
              </w:rPr>
              <w:t>）</w:t>
            </w:r>
          </w:p>
        </w:tc>
        <w:tc>
          <w:tcPr>
            <w:tcW w:w="1267" w:type="dxa"/>
            <w:noWrap/>
            <w:vAlign w:val="center"/>
          </w:tcPr>
          <w:p w14:paraId="405AD3D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眼</w:t>
            </w:r>
          </w:p>
        </w:tc>
        <w:tc>
          <w:tcPr>
            <w:tcW w:w="2120" w:type="dxa"/>
            <w:noWrap/>
            <w:vAlign w:val="center"/>
          </w:tcPr>
          <w:p w14:paraId="5464D1E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510</w:t>
            </w:r>
          </w:p>
        </w:tc>
      </w:tr>
      <w:tr w14:paraId="6045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5687BC3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11</w:t>
            </w:r>
          </w:p>
        </w:tc>
        <w:tc>
          <w:tcPr>
            <w:tcW w:w="1308" w:type="dxa"/>
            <w:vMerge w:val="restart"/>
            <w:noWrap/>
            <w:vAlign w:val="center"/>
          </w:tcPr>
          <w:p w14:paraId="59FDDA2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坟墓</w:t>
            </w:r>
          </w:p>
        </w:tc>
        <w:tc>
          <w:tcPr>
            <w:tcW w:w="2812" w:type="dxa"/>
            <w:noWrap/>
            <w:vAlign w:val="center"/>
          </w:tcPr>
          <w:p w14:paraId="59E208E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普通土堆坟</w:t>
            </w:r>
          </w:p>
        </w:tc>
        <w:tc>
          <w:tcPr>
            <w:tcW w:w="1267" w:type="dxa"/>
            <w:noWrap/>
            <w:vAlign w:val="center"/>
          </w:tcPr>
          <w:p w14:paraId="179742A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座</w:t>
            </w:r>
          </w:p>
        </w:tc>
        <w:tc>
          <w:tcPr>
            <w:tcW w:w="2120" w:type="dxa"/>
            <w:noWrap/>
            <w:vAlign w:val="center"/>
          </w:tcPr>
          <w:p w14:paraId="6DF6A2E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2000</w:t>
            </w:r>
          </w:p>
        </w:tc>
      </w:tr>
      <w:tr w14:paraId="47AC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7F801C3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5A866E6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63598F1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砖、石、水泥修砌</w:t>
            </w:r>
          </w:p>
        </w:tc>
        <w:tc>
          <w:tcPr>
            <w:tcW w:w="1267" w:type="dxa"/>
            <w:noWrap/>
            <w:vAlign w:val="center"/>
          </w:tcPr>
          <w:p w14:paraId="7084810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座</w:t>
            </w:r>
          </w:p>
        </w:tc>
        <w:tc>
          <w:tcPr>
            <w:tcW w:w="2120" w:type="dxa"/>
            <w:noWrap/>
            <w:vAlign w:val="center"/>
          </w:tcPr>
          <w:p w14:paraId="5A11E01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5000</w:t>
            </w:r>
          </w:p>
        </w:tc>
      </w:tr>
      <w:tr w14:paraId="4941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02731C3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3C5EA71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396C4CE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砖、石、水泥修砌加有</w:t>
            </w:r>
            <w:r>
              <w:rPr>
                <w:rFonts w:hint="default" w:ascii="仿宋_GB2312" w:hAnsi="仿宋_GB2312" w:eastAsia="仿宋_GB2312" w:cs="仿宋_GB2312"/>
                <w:i w:val="0"/>
                <w:iCs w:val="0"/>
                <w:color w:val="000000"/>
                <w:sz w:val="24"/>
                <w:szCs w:val="24"/>
                <w:u w:val="none"/>
                <w:lang w:val="en-US" w:eastAsia="zh-CN"/>
              </w:rPr>
              <w:br w:type="textWrapping"/>
            </w:r>
            <w:r>
              <w:rPr>
                <w:rFonts w:hint="default" w:ascii="仿宋_GB2312" w:hAnsi="仿宋_GB2312" w:eastAsia="仿宋_GB2312" w:cs="仿宋_GB2312"/>
                <w:i w:val="0"/>
                <w:iCs w:val="0"/>
                <w:color w:val="000000"/>
                <w:sz w:val="24"/>
                <w:szCs w:val="24"/>
                <w:u w:val="none"/>
                <w:lang w:val="en-US" w:eastAsia="zh-CN"/>
              </w:rPr>
              <w:t>花岗石、其他材料刻成</w:t>
            </w:r>
            <w:r>
              <w:rPr>
                <w:rFonts w:hint="default" w:ascii="仿宋_GB2312" w:hAnsi="仿宋_GB2312" w:eastAsia="仿宋_GB2312" w:cs="仿宋_GB2312"/>
                <w:i w:val="0"/>
                <w:iCs w:val="0"/>
                <w:color w:val="000000"/>
                <w:sz w:val="24"/>
                <w:szCs w:val="24"/>
                <w:u w:val="none"/>
                <w:lang w:val="en-US" w:eastAsia="zh-CN"/>
              </w:rPr>
              <w:br w:type="textWrapping"/>
            </w:r>
            <w:r>
              <w:rPr>
                <w:rFonts w:hint="default" w:ascii="仿宋_GB2312" w:hAnsi="仿宋_GB2312" w:eastAsia="仿宋_GB2312" w:cs="仿宋_GB2312"/>
                <w:i w:val="0"/>
                <w:iCs w:val="0"/>
                <w:color w:val="000000"/>
                <w:sz w:val="24"/>
                <w:szCs w:val="24"/>
                <w:u w:val="none"/>
                <w:lang w:val="en-US" w:eastAsia="zh-CN"/>
              </w:rPr>
              <w:t>的墓碑</w:t>
            </w:r>
          </w:p>
        </w:tc>
        <w:tc>
          <w:tcPr>
            <w:tcW w:w="1267" w:type="dxa"/>
            <w:noWrap/>
            <w:vAlign w:val="center"/>
          </w:tcPr>
          <w:p w14:paraId="3DE6E64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座</w:t>
            </w:r>
          </w:p>
        </w:tc>
        <w:tc>
          <w:tcPr>
            <w:tcW w:w="2120" w:type="dxa"/>
            <w:noWrap/>
            <w:vAlign w:val="center"/>
          </w:tcPr>
          <w:p w14:paraId="458E685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8000</w:t>
            </w:r>
          </w:p>
        </w:tc>
      </w:tr>
      <w:tr w14:paraId="6600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7B20961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12</w:t>
            </w:r>
          </w:p>
        </w:tc>
        <w:tc>
          <w:tcPr>
            <w:tcW w:w="1308" w:type="dxa"/>
            <w:vMerge w:val="restart"/>
            <w:noWrap/>
            <w:vAlign w:val="center"/>
          </w:tcPr>
          <w:p w14:paraId="642A658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水管</w:t>
            </w:r>
          </w:p>
        </w:tc>
        <w:tc>
          <w:tcPr>
            <w:tcW w:w="2812" w:type="dxa"/>
            <w:noWrap/>
            <w:vAlign w:val="center"/>
          </w:tcPr>
          <w:p w14:paraId="13C764C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钢管</w:t>
            </w:r>
          </w:p>
        </w:tc>
        <w:tc>
          <w:tcPr>
            <w:tcW w:w="1267" w:type="dxa"/>
            <w:noWrap/>
            <w:vAlign w:val="center"/>
          </w:tcPr>
          <w:p w14:paraId="5744D77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米</w:t>
            </w:r>
          </w:p>
        </w:tc>
        <w:tc>
          <w:tcPr>
            <w:tcW w:w="2120" w:type="dxa"/>
            <w:noWrap/>
            <w:vAlign w:val="center"/>
          </w:tcPr>
          <w:p w14:paraId="4C46678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w:t>
            </w:r>
          </w:p>
        </w:tc>
      </w:tr>
      <w:tr w14:paraId="328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457CB50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13B1F84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C189E4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PE管</w:t>
            </w:r>
          </w:p>
        </w:tc>
        <w:tc>
          <w:tcPr>
            <w:tcW w:w="1267" w:type="dxa"/>
            <w:noWrap/>
            <w:vAlign w:val="center"/>
          </w:tcPr>
          <w:p w14:paraId="11FE499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米</w:t>
            </w:r>
          </w:p>
        </w:tc>
        <w:tc>
          <w:tcPr>
            <w:tcW w:w="2120" w:type="dxa"/>
            <w:noWrap/>
            <w:vAlign w:val="center"/>
          </w:tcPr>
          <w:p w14:paraId="22CD748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w:t>
            </w:r>
          </w:p>
        </w:tc>
      </w:tr>
      <w:tr w14:paraId="59A4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1EE17D0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74AF9E0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5B546BE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PVC管</w:t>
            </w:r>
          </w:p>
        </w:tc>
        <w:tc>
          <w:tcPr>
            <w:tcW w:w="1267" w:type="dxa"/>
            <w:noWrap/>
            <w:vAlign w:val="center"/>
          </w:tcPr>
          <w:p w14:paraId="063B40D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米</w:t>
            </w:r>
          </w:p>
        </w:tc>
        <w:tc>
          <w:tcPr>
            <w:tcW w:w="2120" w:type="dxa"/>
            <w:noWrap/>
            <w:vAlign w:val="center"/>
          </w:tcPr>
          <w:p w14:paraId="5283CDB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w:t>
            </w:r>
          </w:p>
        </w:tc>
      </w:tr>
      <w:tr w14:paraId="3C24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119DC7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4B8BA66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5649745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胶管</w:t>
            </w:r>
          </w:p>
        </w:tc>
        <w:tc>
          <w:tcPr>
            <w:tcW w:w="1267" w:type="dxa"/>
            <w:noWrap/>
            <w:vAlign w:val="center"/>
          </w:tcPr>
          <w:p w14:paraId="648E83A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米</w:t>
            </w:r>
          </w:p>
        </w:tc>
        <w:tc>
          <w:tcPr>
            <w:tcW w:w="2120" w:type="dxa"/>
            <w:noWrap/>
            <w:vAlign w:val="center"/>
          </w:tcPr>
          <w:p w14:paraId="3F49913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5</w:t>
            </w:r>
          </w:p>
        </w:tc>
      </w:tr>
      <w:tr w14:paraId="12CE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6E7BF9E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13</w:t>
            </w:r>
          </w:p>
        </w:tc>
        <w:tc>
          <w:tcPr>
            <w:tcW w:w="1308" w:type="dxa"/>
            <w:vMerge w:val="restart"/>
            <w:noWrap/>
            <w:vAlign w:val="center"/>
          </w:tcPr>
          <w:p w14:paraId="0A3BA2B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沼气池</w:t>
            </w:r>
          </w:p>
        </w:tc>
        <w:tc>
          <w:tcPr>
            <w:tcW w:w="2812" w:type="dxa"/>
            <w:noWrap/>
            <w:vAlign w:val="center"/>
          </w:tcPr>
          <w:p w14:paraId="4E48C70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产气</w:t>
            </w:r>
          </w:p>
        </w:tc>
        <w:tc>
          <w:tcPr>
            <w:tcW w:w="1267" w:type="dxa"/>
            <w:noWrap/>
            <w:vAlign w:val="center"/>
          </w:tcPr>
          <w:p w14:paraId="5DF79D6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1E8BF6F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3000</w:t>
            </w:r>
          </w:p>
        </w:tc>
      </w:tr>
      <w:tr w14:paraId="5411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066D9CC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11FF2B6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1F98FEF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未产气</w:t>
            </w:r>
          </w:p>
        </w:tc>
        <w:tc>
          <w:tcPr>
            <w:tcW w:w="1267" w:type="dxa"/>
            <w:noWrap/>
            <w:vAlign w:val="center"/>
          </w:tcPr>
          <w:p w14:paraId="13CF5B7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口</w:t>
            </w:r>
          </w:p>
        </w:tc>
        <w:tc>
          <w:tcPr>
            <w:tcW w:w="2120" w:type="dxa"/>
            <w:noWrap/>
            <w:vAlign w:val="center"/>
          </w:tcPr>
          <w:p w14:paraId="59AA6EA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2500</w:t>
            </w:r>
          </w:p>
        </w:tc>
      </w:tr>
      <w:tr w14:paraId="7F50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0BE836B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14</w:t>
            </w:r>
          </w:p>
        </w:tc>
        <w:tc>
          <w:tcPr>
            <w:tcW w:w="4120" w:type="dxa"/>
            <w:gridSpan w:val="2"/>
            <w:noWrap/>
            <w:vAlign w:val="center"/>
          </w:tcPr>
          <w:p w14:paraId="446E373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粮仓</w:t>
            </w:r>
          </w:p>
        </w:tc>
        <w:tc>
          <w:tcPr>
            <w:tcW w:w="1267" w:type="dxa"/>
            <w:noWrap/>
            <w:vAlign w:val="center"/>
          </w:tcPr>
          <w:p w14:paraId="7D78B08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18C2465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60</w:t>
            </w:r>
          </w:p>
        </w:tc>
      </w:tr>
      <w:tr w14:paraId="3D9A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98" w:type="dxa"/>
            <w:noWrap/>
            <w:vAlign w:val="center"/>
          </w:tcPr>
          <w:p w14:paraId="5F251DA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15</w:t>
            </w:r>
          </w:p>
        </w:tc>
        <w:tc>
          <w:tcPr>
            <w:tcW w:w="4120" w:type="dxa"/>
            <w:gridSpan w:val="2"/>
            <w:noWrap/>
            <w:vAlign w:val="center"/>
          </w:tcPr>
          <w:p w14:paraId="05C6648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砖、石、混凝土柜</w:t>
            </w:r>
          </w:p>
        </w:tc>
        <w:tc>
          <w:tcPr>
            <w:tcW w:w="1267" w:type="dxa"/>
            <w:noWrap/>
            <w:vAlign w:val="center"/>
          </w:tcPr>
          <w:p w14:paraId="23D88E8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62D66F3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60</w:t>
            </w:r>
          </w:p>
        </w:tc>
      </w:tr>
      <w:tr w14:paraId="1321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3E80044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16</w:t>
            </w:r>
          </w:p>
        </w:tc>
        <w:tc>
          <w:tcPr>
            <w:tcW w:w="1308" w:type="dxa"/>
            <w:vMerge w:val="restart"/>
            <w:noWrap/>
            <w:vAlign w:val="center"/>
          </w:tcPr>
          <w:p w14:paraId="24ABADF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排灌沟渠</w:t>
            </w:r>
          </w:p>
        </w:tc>
        <w:tc>
          <w:tcPr>
            <w:tcW w:w="2812" w:type="dxa"/>
            <w:noWrap/>
            <w:vAlign w:val="center"/>
          </w:tcPr>
          <w:p w14:paraId="2C9FCC4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衬砌</w:t>
            </w:r>
          </w:p>
        </w:tc>
        <w:tc>
          <w:tcPr>
            <w:tcW w:w="1267" w:type="dxa"/>
            <w:noWrap/>
            <w:vAlign w:val="center"/>
          </w:tcPr>
          <w:p w14:paraId="0C344A7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7172CE1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120</w:t>
            </w:r>
          </w:p>
        </w:tc>
      </w:tr>
      <w:tr w14:paraId="6C63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F13B3E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6840D25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3E17954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未衬砌</w:t>
            </w:r>
          </w:p>
        </w:tc>
        <w:tc>
          <w:tcPr>
            <w:tcW w:w="1267" w:type="dxa"/>
            <w:noWrap/>
            <w:vAlign w:val="center"/>
          </w:tcPr>
          <w:p w14:paraId="5CFE215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1AB6C49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40</w:t>
            </w:r>
          </w:p>
        </w:tc>
      </w:tr>
      <w:tr w14:paraId="79D7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1D1295C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17</w:t>
            </w:r>
          </w:p>
        </w:tc>
        <w:tc>
          <w:tcPr>
            <w:tcW w:w="1308" w:type="dxa"/>
            <w:vMerge w:val="restart"/>
            <w:noWrap/>
            <w:vAlign w:val="center"/>
          </w:tcPr>
          <w:p w14:paraId="1472C5D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烤烟房</w:t>
            </w:r>
          </w:p>
        </w:tc>
        <w:tc>
          <w:tcPr>
            <w:tcW w:w="2812" w:type="dxa"/>
            <w:noWrap/>
            <w:vAlign w:val="center"/>
          </w:tcPr>
          <w:p w14:paraId="4CE079A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2.7米乘2.7米</w:t>
            </w:r>
          </w:p>
        </w:tc>
        <w:tc>
          <w:tcPr>
            <w:tcW w:w="1267" w:type="dxa"/>
            <w:noWrap/>
            <w:vAlign w:val="center"/>
          </w:tcPr>
          <w:p w14:paraId="425FF74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个</w:t>
            </w:r>
          </w:p>
        </w:tc>
        <w:tc>
          <w:tcPr>
            <w:tcW w:w="2120" w:type="dxa"/>
            <w:noWrap/>
            <w:vAlign w:val="center"/>
          </w:tcPr>
          <w:p w14:paraId="52AB9AF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800</w:t>
            </w:r>
          </w:p>
        </w:tc>
      </w:tr>
      <w:tr w14:paraId="0C6E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24BB788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18490DCA">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6D037C5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3米乘3米</w:t>
            </w:r>
          </w:p>
        </w:tc>
        <w:tc>
          <w:tcPr>
            <w:tcW w:w="1267" w:type="dxa"/>
            <w:noWrap/>
            <w:vAlign w:val="center"/>
          </w:tcPr>
          <w:p w14:paraId="1ED8C20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个</w:t>
            </w:r>
          </w:p>
        </w:tc>
        <w:tc>
          <w:tcPr>
            <w:tcW w:w="2120" w:type="dxa"/>
            <w:noWrap/>
            <w:vAlign w:val="center"/>
          </w:tcPr>
          <w:p w14:paraId="6EEC639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900</w:t>
            </w:r>
          </w:p>
        </w:tc>
      </w:tr>
      <w:tr w14:paraId="3EB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7AC79E7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59EC663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62EFB44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3.3米乘3.3米</w:t>
            </w:r>
          </w:p>
        </w:tc>
        <w:tc>
          <w:tcPr>
            <w:tcW w:w="1267" w:type="dxa"/>
            <w:noWrap/>
            <w:vAlign w:val="center"/>
          </w:tcPr>
          <w:p w14:paraId="5A522D5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个</w:t>
            </w:r>
          </w:p>
        </w:tc>
        <w:tc>
          <w:tcPr>
            <w:tcW w:w="2120" w:type="dxa"/>
            <w:noWrap/>
            <w:vAlign w:val="center"/>
          </w:tcPr>
          <w:p w14:paraId="2FA4431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1000</w:t>
            </w:r>
          </w:p>
        </w:tc>
      </w:tr>
      <w:tr w14:paraId="7C61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6D7D4D3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18</w:t>
            </w:r>
          </w:p>
        </w:tc>
        <w:tc>
          <w:tcPr>
            <w:tcW w:w="1308" w:type="dxa"/>
            <w:vMerge w:val="restart"/>
            <w:noWrap/>
            <w:vAlign w:val="center"/>
          </w:tcPr>
          <w:p w14:paraId="41CE540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围墙大门</w:t>
            </w:r>
          </w:p>
        </w:tc>
        <w:tc>
          <w:tcPr>
            <w:tcW w:w="2812" w:type="dxa"/>
            <w:noWrap/>
            <w:vAlign w:val="center"/>
          </w:tcPr>
          <w:p w14:paraId="05157FF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铁大门</w:t>
            </w:r>
          </w:p>
        </w:tc>
        <w:tc>
          <w:tcPr>
            <w:tcW w:w="1267" w:type="dxa"/>
            <w:noWrap/>
            <w:vAlign w:val="center"/>
          </w:tcPr>
          <w:p w14:paraId="3291679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0423E73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100</w:t>
            </w:r>
          </w:p>
        </w:tc>
      </w:tr>
      <w:tr w14:paraId="2163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0B601EC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ign w:val="center"/>
          </w:tcPr>
          <w:p w14:paraId="3313819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76D1D3F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木大门</w:t>
            </w:r>
          </w:p>
        </w:tc>
        <w:tc>
          <w:tcPr>
            <w:tcW w:w="1267" w:type="dxa"/>
            <w:noWrap/>
            <w:vAlign w:val="center"/>
          </w:tcPr>
          <w:p w14:paraId="0C2D04A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756F019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80</w:t>
            </w:r>
          </w:p>
        </w:tc>
      </w:tr>
      <w:tr w14:paraId="07CF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restart"/>
            <w:noWrap/>
            <w:vAlign w:val="center"/>
          </w:tcPr>
          <w:p w14:paraId="41FD2E8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19</w:t>
            </w:r>
          </w:p>
        </w:tc>
        <w:tc>
          <w:tcPr>
            <w:tcW w:w="1308" w:type="dxa"/>
            <w:vMerge w:val="restart"/>
            <w:noWrap w:val="0"/>
            <w:vAlign w:val="center"/>
          </w:tcPr>
          <w:p w14:paraId="63D432C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大棚(花棚、蔬菜大棚、蘑菇棚等）</w:t>
            </w:r>
          </w:p>
        </w:tc>
        <w:tc>
          <w:tcPr>
            <w:tcW w:w="2812" w:type="dxa"/>
            <w:noWrap/>
            <w:vAlign w:val="center"/>
          </w:tcPr>
          <w:p w14:paraId="4566DC0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竹架</w:t>
            </w:r>
          </w:p>
        </w:tc>
        <w:tc>
          <w:tcPr>
            <w:tcW w:w="1267" w:type="dxa"/>
            <w:noWrap/>
            <w:vAlign w:val="center"/>
          </w:tcPr>
          <w:p w14:paraId="5D8E339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4BBEB4D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w:t>
            </w:r>
          </w:p>
        </w:tc>
      </w:tr>
      <w:tr w14:paraId="0EA0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F0F5E0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0"/>
            <w:vAlign w:val="center"/>
          </w:tcPr>
          <w:p w14:paraId="7F0B912F">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048647D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钢架</w:t>
            </w:r>
          </w:p>
        </w:tc>
        <w:tc>
          <w:tcPr>
            <w:tcW w:w="1267" w:type="dxa"/>
            <w:noWrap/>
            <w:vAlign w:val="center"/>
          </w:tcPr>
          <w:p w14:paraId="5BF6C05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6BF0E34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w:t>
            </w:r>
          </w:p>
        </w:tc>
      </w:tr>
      <w:tr w14:paraId="7A5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5B23D45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0"/>
            <w:vAlign w:val="center"/>
          </w:tcPr>
          <w:p w14:paraId="155D2D6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46DE0FA7">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塑钢</w:t>
            </w:r>
          </w:p>
        </w:tc>
        <w:tc>
          <w:tcPr>
            <w:tcW w:w="1267" w:type="dxa"/>
            <w:noWrap/>
            <w:vAlign w:val="center"/>
          </w:tcPr>
          <w:p w14:paraId="1FA8CD08">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3965A86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8</w:t>
            </w:r>
          </w:p>
        </w:tc>
      </w:tr>
      <w:tr w14:paraId="032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EC28D9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0"/>
            <w:vAlign w:val="center"/>
          </w:tcPr>
          <w:p w14:paraId="2010EB1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573CD1A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水泥柱架</w:t>
            </w:r>
          </w:p>
        </w:tc>
        <w:tc>
          <w:tcPr>
            <w:tcW w:w="1267" w:type="dxa"/>
            <w:noWrap/>
            <w:vAlign w:val="center"/>
          </w:tcPr>
          <w:p w14:paraId="7A38037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4B304BA0">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10</w:t>
            </w:r>
          </w:p>
        </w:tc>
      </w:tr>
      <w:tr w14:paraId="20D3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vMerge w:val="continue"/>
            <w:noWrap/>
            <w:vAlign w:val="center"/>
          </w:tcPr>
          <w:p w14:paraId="69DB8951">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1308" w:type="dxa"/>
            <w:vMerge w:val="continue"/>
            <w:noWrap w:val="0"/>
            <w:vAlign w:val="center"/>
          </w:tcPr>
          <w:p w14:paraId="4B66B07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p>
        </w:tc>
        <w:tc>
          <w:tcPr>
            <w:tcW w:w="2812" w:type="dxa"/>
            <w:noWrap/>
            <w:vAlign w:val="center"/>
          </w:tcPr>
          <w:p w14:paraId="0EA5423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其他棚</w:t>
            </w:r>
          </w:p>
        </w:tc>
        <w:tc>
          <w:tcPr>
            <w:tcW w:w="1267" w:type="dxa"/>
            <w:noWrap/>
            <w:vAlign w:val="center"/>
          </w:tcPr>
          <w:p w14:paraId="604CC9A9">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46306923">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w:t>
            </w:r>
          </w:p>
        </w:tc>
      </w:tr>
      <w:tr w14:paraId="0EAE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764DB76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20</w:t>
            </w:r>
          </w:p>
        </w:tc>
        <w:tc>
          <w:tcPr>
            <w:tcW w:w="4120" w:type="dxa"/>
            <w:gridSpan w:val="2"/>
            <w:noWrap/>
            <w:vAlign w:val="center"/>
          </w:tcPr>
          <w:p w14:paraId="288429F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水塔</w:t>
            </w:r>
          </w:p>
        </w:tc>
        <w:tc>
          <w:tcPr>
            <w:tcW w:w="1267" w:type="dxa"/>
            <w:noWrap/>
            <w:vAlign w:val="center"/>
          </w:tcPr>
          <w:p w14:paraId="67917DC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立方米</w:t>
            </w:r>
          </w:p>
        </w:tc>
        <w:tc>
          <w:tcPr>
            <w:tcW w:w="2120" w:type="dxa"/>
            <w:noWrap/>
            <w:vAlign w:val="center"/>
          </w:tcPr>
          <w:p w14:paraId="47F1A47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300</w:t>
            </w:r>
          </w:p>
        </w:tc>
      </w:tr>
      <w:tr w14:paraId="2797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682E2BA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21</w:t>
            </w:r>
          </w:p>
        </w:tc>
        <w:tc>
          <w:tcPr>
            <w:tcW w:w="4120" w:type="dxa"/>
            <w:gridSpan w:val="2"/>
            <w:noWrap/>
            <w:vAlign w:val="center"/>
          </w:tcPr>
          <w:p w14:paraId="7DD502F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彩钢房</w:t>
            </w:r>
          </w:p>
        </w:tc>
        <w:tc>
          <w:tcPr>
            <w:tcW w:w="1267" w:type="dxa"/>
            <w:noWrap/>
            <w:vAlign w:val="center"/>
          </w:tcPr>
          <w:p w14:paraId="2AC098AB">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3AA84A75">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150</w:t>
            </w:r>
          </w:p>
        </w:tc>
      </w:tr>
      <w:tr w14:paraId="1B33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01A35746">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22</w:t>
            </w:r>
          </w:p>
        </w:tc>
        <w:tc>
          <w:tcPr>
            <w:tcW w:w="4120" w:type="dxa"/>
            <w:gridSpan w:val="2"/>
            <w:noWrap/>
            <w:vAlign w:val="center"/>
          </w:tcPr>
          <w:p w14:paraId="009EE73C">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小青瓦附属房</w:t>
            </w:r>
          </w:p>
        </w:tc>
        <w:tc>
          <w:tcPr>
            <w:tcW w:w="1267" w:type="dxa"/>
            <w:noWrap/>
            <w:vAlign w:val="center"/>
          </w:tcPr>
          <w:p w14:paraId="460360C4">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43F74AB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210</w:t>
            </w:r>
          </w:p>
        </w:tc>
      </w:tr>
      <w:tr w14:paraId="007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98" w:type="dxa"/>
            <w:noWrap/>
            <w:vAlign w:val="center"/>
          </w:tcPr>
          <w:p w14:paraId="682BFA8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23</w:t>
            </w:r>
          </w:p>
        </w:tc>
        <w:tc>
          <w:tcPr>
            <w:tcW w:w="4120" w:type="dxa"/>
            <w:gridSpan w:val="2"/>
            <w:noWrap/>
            <w:vAlign w:val="center"/>
          </w:tcPr>
          <w:p w14:paraId="7F44449E">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石棉瓦附属房</w:t>
            </w:r>
          </w:p>
        </w:tc>
        <w:tc>
          <w:tcPr>
            <w:tcW w:w="1267" w:type="dxa"/>
            <w:noWrap/>
            <w:vAlign w:val="center"/>
          </w:tcPr>
          <w:p w14:paraId="5FB02C62">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平方米</w:t>
            </w:r>
          </w:p>
        </w:tc>
        <w:tc>
          <w:tcPr>
            <w:tcW w:w="2120" w:type="dxa"/>
            <w:noWrap/>
            <w:vAlign w:val="center"/>
          </w:tcPr>
          <w:p w14:paraId="0AE2D1BD">
            <w:pPr>
              <w:keepNext w:val="0"/>
              <w:keepLines w:val="0"/>
              <w:pageBreakBefore w:val="0"/>
              <w:suppressAutoHyphens/>
              <w:kinsoku/>
              <w:wordWrap/>
              <w:overflowPunct/>
              <w:topLinePunct w:val="0"/>
              <w:autoSpaceDE/>
              <w:autoSpaceDN/>
              <w:bidi w:val="0"/>
              <w:adjustRightInd/>
              <w:snapToGrid/>
              <w:spacing w:line="320" w:lineRule="exact"/>
              <w:jc w:val="center"/>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lang w:val="en-US" w:eastAsia="zh-CN"/>
              </w:rPr>
              <w:t>110</w:t>
            </w:r>
          </w:p>
        </w:tc>
      </w:tr>
    </w:tbl>
    <w:p w14:paraId="7E2DE3D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lang w:val="en-US" w:eastAsia="zh-CN"/>
        </w:rPr>
        <w:t>四、</w:t>
      </w:r>
      <w:r>
        <w:rPr>
          <w:rFonts w:ascii="Times New Roman" w:hAnsi="Times New Roman" w:eastAsia="黑体" w:cs="黑体"/>
          <w:color w:val="auto"/>
          <w:spacing w:val="0"/>
          <w:sz w:val="32"/>
          <w:szCs w:val="32"/>
          <w:highlight w:val="none"/>
        </w:rPr>
        <w:t>安置对象</w:t>
      </w:r>
      <w:r>
        <w:rPr>
          <w:rFonts w:hint="default" w:ascii="Times New Roman" w:hAnsi="Times New Roman" w:eastAsia="黑体" w:cs="黑体"/>
          <w:color w:val="auto"/>
          <w:spacing w:val="0"/>
          <w:sz w:val="32"/>
          <w:szCs w:val="32"/>
          <w:highlight w:val="none"/>
          <w:lang w:eastAsia="zh-CN"/>
        </w:rPr>
        <w:t>和安置方式</w:t>
      </w:r>
    </w:p>
    <w:p w14:paraId="4793C9D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Times New Roman" w:hAnsi="Times New Roman" w:eastAsia="楷体_GB2312" w:cs="楷体_GB2312"/>
          <w:color w:val="auto"/>
          <w:spacing w:val="0"/>
          <w:sz w:val="32"/>
          <w:szCs w:val="32"/>
          <w:highlight w:val="none"/>
          <w:lang w:val="en-US" w:eastAsia="zh-CN"/>
        </w:rPr>
      </w:pPr>
      <w:r>
        <w:rPr>
          <w:rFonts w:hint="eastAsia" w:ascii="Times New Roman" w:hAnsi="Times New Roman" w:eastAsia="楷体_GB2312" w:cs="楷体_GB2312"/>
          <w:color w:val="auto"/>
          <w:spacing w:val="0"/>
          <w:sz w:val="32"/>
          <w:szCs w:val="32"/>
          <w:highlight w:val="none"/>
          <w:lang w:val="en-US" w:eastAsia="zh-CN"/>
        </w:rPr>
        <w:t>（一）人员安置。</w:t>
      </w:r>
    </w:p>
    <w:p w14:paraId="1A15D5C6">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本次征收土地的人员安置对象按照《四川省人民政府办公厅关于进一步做好征地工作的通知》（川办发〔2024〕18号）《四川省人力资源和社会保障厅 四川省财政厅 四川省自然资源厅关于印发〈四川省被征地农民养老保障实施办法〉的通知》（川人社发〔2018〕46号）的规定确定。</w:t>
      </w:r>
    </w:p>
    <w:p w14:paraId="2B03E89F">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本次征收土地涉及冠英镇青乐村3组4人，石子埂村8组3人、9组10人，玉津街社区1组6人，安置对象人数共23人，拟采取养老保障安置、货币安置方式进行安置。</w:t>
      </w:r>
    </w:p>
    <w:p w14:paraId="225FC11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1.年满16周岁的应安置集体经济组织成员按照《四川省人力资源和社会保障厅 四川省财政厅 四川省自然资源厅关于印发〈四川省被征地农民养老保障实施办法〉的通知》（川人社发〔2018〕46号）和《乐山市人力资源和社会保障局 乐山市财政局 乐山市自然资源局关于贯彻落实川人社发〔2018〕46号文件几个具体问题的通知》（乐人社发〔2019〕30号）执行。</w:t>
      </w:r>
    </w:p>
    <w:p w14:paraId="039475E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参加企业职工养老保险并逐年缴费已领取养老保险待遇的人员、参加企业职工养老保险并逐年缴费满15年及以上人员、16周岁以上全日制在校学历教育（由本人提供学籍证明材料，经办单位在学信网或教育部门学籍管理系统复查核实通过）学生、患重大疾病并取得县级二级以上公立医院证明人员等“四类人员”可按照项目启动实施当年的标准自愿申请一次性领取养老保险补偿费。</w:t>
      </w:r>
    </w:p>
    <w:p w14:paraId="3A5FFB87">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3.未满16周岁的应安置集体经济组织成员、年满16周岁但不符合申请一次性领取养老保险补偿费或不参加基本养老保险的应安置集体经济组织成员应一次性领取生活补助费，标准为24000元/人。</w:t>
      </w:r>
    </w:p>
    <w:p w14:paraId="152E6B1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Times New Roman" w:hAnsi="Times New Roman" w:eastAsia="楷体_GB2312" w:cs="楷体_GB2312"/>
          <w:color w:val="auto"/>
          <w:spacing w:val="0"/>
          <w:sz w:val="32"/>
          <w:szCs w:val="32"/>
          <w:highlight w:val="none"/>
          <w:lang w:val="en-US" w:eastAsia="zh-CN"/>
        </w:rPr>
      </w:pPr>
      <w:r>
        <w:rPr>
          <w:rFonts w:hint="eastAsia" w:ascii="Times New Roman" w:hAnsi="Times New Roman" w:eastAsia="楷体_GB2312" w:cs="楷体_GB2312"/>
          <w:color w:val="auto"/>
          <w:spacing w:val="0"/>
          <w:sz w:val="32"/>
          <w:szCs w:val="32"/>
          <w:highlight w:val="none"/>
          <w:lang w:val="en-US" w:eastAsia="zh-CN"/>
        </w:rPr>
        <w:t>（二）农村村民住宅安置。</w:t>
      </w:r>
    </w:p>
    <w:p w14:paraId="5D3B887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本次征收土地的房屋安置对象按照</w:t>
      </w:r>
      <w:r>
        <w:rPr>
          <w:rFonts w:hint="eastAsia" w:ascii="仿宋_GB2312" w:hAnsi="仿宋_GB2312" w:eastAsia="仿宋_GB2312" w:cs="仿宋_GB2312"/>
          <w:color w:val="auto"/>
          <w:spacing w:val="0"/>
          <w:sz w:val="32"/>
          <w:szCs w:val="32"/>
          <w:highlight w:val="none"/>
          <w:lang w:val="en-US" w:eastAsia="zh-CN"/>
        </w:rPr>
        <w:t>《乐山市五通桥区人民政府关于五通桥区征地拆迁补偿安置方案的批复》（五府复〔2021〕155号）的</w:t>
      </w:r>
      <w:r>
        <w:rPr>
          <w:rFonts w:hint="default" w:ascii="仿宋_GB2312" w:hAnsi="仿宋_GB2312" w:eastAsia="仿宋_GB2312" w:cs="仿宋_GB2312"/>
          <w:color w:val="auto"/>
          <w:spacing w:val="0"/>
          <w:sz w:val="32"/>
          <w:szCs w:val="32"/>
          <w:highlight w:val="none"/>
          <w:lang w:val="en-US" w:eastAsia="zh-CN"/>
        </w:rPr>
        <w:t>规定确定。</w:t>
      </w:r>
    </w:p>
    <w:p w14:paraId="6599A4DB">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本次征收土地</w:t>
      </w:r>
      <w:r>
        <w:rPr>
          <w:rFonts w:hint="eastAsia" w:ascii="仿宋_GB2312" w:hAnsi="仿宋_GB2312" w:eastAsia="仿宋_GB2312" w:cs="仿宋_GB2312"/>
          <w:color w:val="auto"/>
          <w:spacing w:val="0"/>
          <w:sz w:val="32"/>
          <w:szCs w:val="32"/>
          <w:highlight w:val="none"/>
          <w:lang w:val="en-US" w:eastAsia="zh-CN"/>
        </w:rPr>
        <w:t>住宅安置</w:t>
      </w:r>
      <w:r>
        <w:rPr>
          <w:rFonts w:hint="default" w:ascii="仿宋_GB2312" w:hAnsi="仿宋_GB2312" w:eastAsia="仿宋_GB2312" w:cs="仿宋_GB2312"/>
          <w:color w:val="auto"/>
          <w:spacing w:val="0"/>
          <w:sz w:val="32"/>
          <w:szCs w:val="32"/>
          <w:highlight w:val="none"/>
          <w:lang w:val="en-US" w:eastAsia="zh-CN"/>
        </w:rPr>
        <w:t>涉及</w:t>
      </w:r>
      <w:r>
        <w:rPr>
          <w:rFonts w:hint="eastAsia" w:ascii="仿宋_GB2312" w:hAnsi="仿宋_GB2312" w:eastAsia="仿宋_GB2312" w:cs="仿宋_GB2312"/>
          <w:color w:val="auto"/>
          <w:spacing w:val="0"/>
          <w:sz w:val="32"/>
          <w:szCs w:val="32"/>
          <w:highlight w:val="none"/>
          <w:lang w:val="en-US" w:eastAsia="zh-CN"/>
        </w:rPr>
        <w:t>冠英镇石子埂村8、9组，共47户，</w:t>
      </w:r>
      <w:r>
        <w:rPr>
          <w:rFonts w:hint="default" w:ascii="仿宋_GB2312" w:hAnsi="仿宋_GB2312" w:eastAsia="仿宋_GB2312" w:cs="仿宋_GB2312"/>
          <w:color w:val="auto"/>
          <w:spacing w:val="0"/>
          <w:sz w:val="32"/>
          <w:szCs w:val="32"/>
          <w:highlight w:val="none"/>
          <w:lang w:val="en-US" w:eastAsia="zh-CN"/>
        </w:rPr>
        <w:t>房屋拟采取货币化安置、产权价购、指定房源库方式进行安置。</w:t>
      </w:r>
    </w:p>
    <w:p w14:paraId="1C3B31BD">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1.货币化安置</w:t>
      </w:r>
      <w:r>
        <w:rPr>
          <w:rFonts w:hint="eastAsia" w:ascii="仿宋_GB2312" w:hAnsi="仿宋_GB2312" w:eastAsia="仿宋_GB2312" w:cs="仿宋_GB2312"/>
          <w:color w:val="auto"/>
          <w:spacing w:val="0"/>
          <w:sz w:val="32"/>
          <w:szCs w:val="32"/>
          <w:highlight w:val="none"/>
          <w:lang w:val="en-US" w:eastAsia="zh-CN"/>
        </w:rPr>
        <w:t>。</w:t>
      </w:r>
    </w:p>
    <w:p w14:paraId="640B74F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货币化安置面积=安置人数×基本住房安置面积，基本住房安置面积按35平方米/人计算。</w:t>
      </w:r>
    </w:p>
    <w:p w14:paraId="3525D5E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货币化安置单价：</w:t>
      </w:r>
      <w:r>
        <w:rPr>
          <w:rFonts w:hint="eastAsia" w:ascii="仿宋_GB2312" w:hAnsi="仿宋_GB2312" w:eastAsia="仿宋_GB2312" w:cs="仿宋_GB2312"/>
          <w:color w:val="auto"/>
          <w:spacing w:val="0"/>
          <w:sz w:val="32"/>
          <w:szCs w:val="32"/>
          <w:highlight w:val="none"/>
          <w:lang w:val="en-US" w:eastAsia="zh-CN"/>
        </w:rPr>
        <w:t>3250</w:t>
      </w:r>
      <w:r>
        <w:rPr>
          <w:rFonts w:hint="default" w:ascii="仿宋_GB2312" w:hAnsi="仿宋_GB2312" w:eastAsia="仿宋_GB2312" w:cs="仿宋_GB2312"/>
          <w:color w:val="auto"/>
          <w:spacing w:val="0"/>
          <w:sz w:val="32"/>
          <w:szCs w:val="32"/>
          <w:highlight w:val="none"/>
          <w:lang w:val="en-US" w:eastAsia="zh-CN"/>
        </w:rPr>
        <w:t>元/平方米。</w:t>
      </w:r>
    </w:p>
    <w:p w14:paraId="313F290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货币化安置金额=货币化安置面积×货币化安置单价。</w:t>
      </w:r>
    </w:p>
    <w:p w14:paraId="37A07085">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2.产权价购</w:t>
      </w:r>
      <w:r>
        <w:rPr>
          <w:rFonts w:hint="eastAsia" w:ascii="仿宋_GB2312" w:hAnsi="仿宋_GB2312" w:eastAsia="仿宋_GB2312" w:cs="仿宋_GB2312"/>
          <w:color w:val="auto"/>
          <w:spacing w:val="0"/>
          <w:sz w:val="32"/>
          <w:szCs w:val="32"/>
          <w:highlight w:val="none"/>
          <w:lang w:val="en-US" w:eastAsia="zh-CN"/>
        </w:rPr>
        <w:t>。</w:t>
      </w:r>
    </w:p>
    <w:p w14:paraId="52F5E99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按原有主体房屋合法面积计算，按砖混1800—2000元/平方米、砖木1500—1800元/平方米标准补偿。对不符合安置对象的合法的被拆迁住房适用该方式。</w:t>
      </w:r>
    </w:p>
    <w:p w14:paraId="64D0FD2D">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3.指定房源库安置</w:t>
      </w:r>
      <w:r>
        <w:rPr>
          <w:rFonts w:hint="eastAsia" w:ascii="仿宋_GB2312" w:hAnsi="仿宋_GB2312" w:eastAsia="仿宋_GB2312" w:cs="仿宋_GB2312"/>
          <w:color w:val="auto"/>
          <w:spacing w:val="0"/>
          <w:sz w:val="32"/>
          <w:szCs w:val="32"/>
          <w:highlight w:val="none"/>
          <w:lang w:val="en-US" w:eastAsia="zh-CN"/>
        </w:rPr>
        <w:t>。</w:t>
      </w:r>
    </w:p>
    <w:p w14:paraId="42F1CD5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安置面积=安置人数×基本住房安置面积，基本住房安置面积按35平方米/人计算。</w:t>
      </w:r>
    </w:p>
    <w:p w14:paraId="6404864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lang w:eastAsia="zh-CN"/>
        </w:rPr>
        <w:t>五、</w:t>
      </w:r>
      <w:r>
        <w:rPr>
          <w:rFonts w:hint="default" w:ascii="Times New Roman" w:hAnsi="Times New Roman" w:eastAsia="黑体" w:cs="黑体"/>
          <w:color w:val="auto"/>
          <w:spacing w:val="0"/>
          <w:sz w:val="32"/>
          <w:szCs w:val="32"/>
          <w:highlight w:val="none"/>
        </w:rPr>
        <w:t>社会保障措施</w:t>
      </w:r>
    </w:p>
    <w:p w14:paraId="158E36A5">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本次被征地农民的社会保障措施按照《四川省人民政府办公厅关于进一步做好征地工作的通知》（川办发〔2024〕18号）《四川省人力资源和社会保障厅 四川省财政厅 四川省自然资源厅关于印发〈四川省被征地农民养老保障实施办法〉的通知》（川人社发〔2018〕46号）的规定执行</w:t>
      </w:r>
      <w:r>
        <w:rPr>
          <w:rFonts w:hint="default" w:ascii="仿宋_GB2312" w:hAnsi="仿宋_GB2312" w:eastAsia="仿宋_GB2312" w:cs="仿宋_GB2312"/>
          <w:color w:val="auto"/>
          <w:spacing w:val="0"/>
          <w:sz w:val="32"/>
          <w:szCs w:val="32"/>
          <w:highlight w:val="none"/>
          <w:lang w:val="en-US" w:eastAsia="zh-CN"/>
        </w:rPr>
        <w:t>。</w:t>
      </w:r>
    </w:p>
    <w:p w14:paraId="3CA45707">
      <w:pPr>
        <w:pStyle w:val="2"/>
        <w:keepNext w:val="0"/>
        <w:keepLines w:val="0"/>
        <w:pageBreakBefore w:val="0"/>
        <w:widowControl w:val="0"/>
        <w:kinsoku/>
        <w:topLinePunct w:val="0"/>
        <w:autoSpaceDE/>
        <w:autoSpaceDN/>
        <w:bidi w:val="0"/>
        <w:adjustRightInd/>
        <w:snapToGrid/>
        <w:spacing w:after="0" w:line="600" w:lineRule="exact"/>
        <w:ind w:left="0" w:leftChars="0" w:firstLine="640" w:firstLineChars="200"/>
        <w:jc w:val="both"/>
        <w:rPr>
          <w:rFonts w:hint="default" w:ascii="Times New Roman" w:hAnsi="Times New Roman" w:eastAsia="黑体" w:cs="黑体"/>
          <w:color w:val="auto"/>
          <w:spacing w:val="0"/>
          <w:sz w:val="32"/>
          <w:szCs w:val="32"/>
          <w:highlight w:val="none"/>
          <w:lang w:val="en-US" w:eastAsia="en-US"/>
        </w:rPr>
      </w:pPr>
      <w:r>
        <w:rPr>
          <w:rFonts w:hint="default" w:ascii="Times New Roman" w:hAnsi="Times New Roman" w:eastAsia="黑体" w:cs="黑体"/>
          <w:color w:val="auto"/>
          <w:spacing w:val="0"/>
          <w:sz w:val="32"/>
          <w:szCs w:val="32"/>
          <w:highlight w:val="none"/>
          <w:lang w:val="en-US" w:eastAsia="en-US"/>
        </w:rPr>
        <w:t>六、其他事项</w:t>
      </w:r>
    </w:p>
    <w:p w14:paraId="5CD6DF5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本次土地征收范围和面积以最终土地征收批准文件载明的内容为准。</w:t>
      </w:r>
    </w:p>
    <w:p w14:paraId="105468B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p>
    <w:p w14:paraId="2149DA92">
      <w:pPr>
        <w:keepNext w:val="0"/>
        <w:keepLines w:val="0"/>
        <w:pageBreakBefore w:val="0"/>
        <w:widowControl w:val="0"/>
        <w:kinsoku/>
        <w:wordWrap/>
        <w:overflowPunct w:val="0"/>
        <w:topLinePunct w:val="0"/>
        <w:autoSpaceDE/>
        <w:autoSpaceDN/>
        <w:bidi w:val="0"/>
        <w:adjustRightInd/>
        <w:snapToGrid/>
        <w:spacing w:line="600" w:lineRule="exact"/>
        <w:ind w:left="1598" w:leftChars="304" w:hanging="960" w:hangingChars="3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附件：乐山港老江坝作业区大件码头进港公路拟征收土地范</w:t>
      </w:r>
    </w:p>
    <w:p w14:paraId="6C9E0440">
      <w:pPr>
        <w:keepNext w:val="0"/>
        <w:keepLines w:val="0"/>
        <w:pageBreakBefore w:val="0"/>
        <w:widowControl w:val="0"/>
        <w:kinsoku/>
        <w:wordWrap/>
        <w:overflowPunct w:val="0"/>
        <w:topLinePunct w:val="0"/>
        <w:autoSpaceDE/>
        <w:autoSpaceDN/>
        <w:bidi w:val="0"/>
        <w:adjustRightInd/>
        <w:snapToGrid/>
        <w:spacing w:line="600" w:lineRule="exact"/>
        <w:ind w:left="1591" w:leftChars="714" w:hanging="92" w:hangingChars="29"/>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围示意图</w:t>
      </w:r>
    </w:p>
    <w:p w14:paraId="7D7227E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 xml:space="preserve">             </w:t>
      </w:r>
    </w:p>
    <w:p w14:paraId="74E902E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p>
    <w:p w14:paraId="79CF6D2F">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p>
    <w:p w14:paraId="43ACA92F">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 xml:space="preserve">                           乐山市五通桥区人民政府   </w:t>
      </w:r>
    </w:p>
    <w:p w14:paraId="40E2FF77">
      <w:pPr>
        <w:keepNext w:val="0"/>
        <w:keepLines w:val="0"/>
        <w:pageBreakBefore w:val="0"/>
        <w:widowControl w:val="0"/>
        <w:kinsoku/>
        <w:wordWrap/>
        <w:overflowPunct w:val="0"/>
        <w:topLinePunct w:val="0"/>
        <w:autoSpaceDE/>
        <w:autoSpaceDN/>
        <w:bidi w:val="0"/>
        <w:adjustRightInd/>
        <w:snapToGrid/>
        <w:spacing w:line="600" w:lineRule="exact"/>
        <w:ind w:left="0" w:leftChars="0" w:firstLine="5337" w:firstLineChars="1668"/>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 xml:space="preserve">2026年3月17日        </w:t>
      </w:r>
    </w:p>
    <w:p w14:paraId="2F55C8F1">
      <w:pPr>
        <w:keepNext w:val="0"/>
        <w:keepLines w:val="0"/>
        <w:pageBreakBefore w:val="0"/>
        <w:kinsoku/>
        <w:topLinePunct w:val="0"/>
        <w:autoSpaceDE/>
        <w:autoSpaceDN/>
        <w:bidi w:val="0"/>
        <w:spacing w:line="600" w:lineRule="exact"/>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br w:type="page"/>
      </w:r>
    </w:p>
    <w:p w14:paraId="0D6A691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p>
    <w:p w14:paraId="34BCE628">
      <w:pPr>
        <w:pStyle w:val="2"/>
        <w:keepNext w:val="0"/>
        <w:keepLines w:val="0"/>
        <w:pageBreakBefore w:val="0"/>
        <w:kinsoku/>
        <w:topLinePunct w:val="0"/>
        <w:autoSpaceDE/>
        <w:autoSpaceDN/>
        <w:bidi w:val="0"/>
        <w:spacing w:line="600" w:lineRule="exact"/>
        <w:ind w:left="0" w:leftChars="0" w:right="0" w:rightChars="0" w:firstLine="0" w:firstLineChars="0"/>
        <w:jc w:val="both"/>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114300</wp:posOffset>
            </wp:positionV>
            <wp:extent cx="5206365" cy="8155305"/>
            <wp:effectExtent l="0" t="0" r="0" b="0"/>
            <wp:wrapTight wrapText="bothSides">
              <wp:wrapPolygon>
                <wp:start x="0" y="0"/>
                <wp:lineTo x="0" y="21544"/>
                <wp:lineTo x="21497" y="21544"/>
                <wp:lineTo x="21497"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9810" t="7447" r="9712" b="5226"/>
                    <a:stretch>
                      <a:fillRect/>
                    </a:stretch>
                  </pic:blipFill>
                  <pic:spPr>
                    <a:xfrm>
                      <a:off x="0" y="0"/>
                      <a:ext cx="5206365" cy="8155305"/>
                    </a:xfrm>
                    <a:prstGeom prst="rect">
                      <a:avLst/>
                    </a:prstGeom>
                    <a:noFill/>
                    <a:ln>
                      <a:noFill/>
                    </a:ln>
                  </pic:spPr>
                </pic:pic>
              </a:graphicData>
            </a:graphic>
          </wp:anchor>
        </w:drawing>
      </w:r>
    </w:p>
    <w:sectPr>
      <w:footerReference r:id="rId3" w:type="default"/>
      <w:pgSz w:w="11906" w:h="16838"/>
      <w:pgMar w:top="1701" w:right="1531" w:bottom="1134" w:left="1531" w:header="851"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78071-43C8-4116-8F51-A07DD7FEBC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083C1EA-83A0-4123-887F-4631B68E66EA}"/>
  </w:font>
  <w:font w:name="方正小标宋简体">
    <w:panose1 w:val="03000509000000000000"/>
    <w:charset w:val="86"/>
    <w:family w:val="auto"/>
    <w:pitch w:val="default"/>
    <w:sig w:usb0="00000001" w:usb1="080E0000" w:usb2="00000000" w:usb3="00000000" w:csb0="00040000" w:csb1="00000000"/>
    <w:embedRegular r:id="rId3" w:fontKey="{9658A7C1-A17B-4A36-95F8-3D9446D5E2CC}"/>
  </w:font>
  <w:font w:name="FangSong_GB2312">
    <w:altName w:val="仿宋"/>
    <w:panose1 w:val="02010609030101010101"/>
    <w:charset w:val="86"/>
    <w:family w:val="auto"/>
    <w:pitch w:val="default"/>
    <w:sig w:usb0="00000000" w:usb1="00000000" w:usb2="00000000" w:usb3="00000000" w:csb0="00040000" w:csb1="00000000"/>
    <w:embedRegular r:id="rId4" w:fontKey="{0FA1808B-C505-4EBC-AB73-BCF63DE7F135}"/>
  </w:font>
  <w:font w:name="楷体_GB2312">
    <w:panose1 w:val="02010609030101010101"/>
    <w:charset w:val="86"/>
    <w:family w:val="auto"/>
    <w:pitch w:val="default"/>
    <w:sig w:usb0="00000001" w:usb1="080E0000" w:usb2="00000000" w:usb3="00000000" w:csb0="00040000" w:csb1="00000000"/>
    <w:embedRegular r:id="rId5" w:fontKey="{D4FEA871-4D29-4F42-8383-E9CAD5DC49F7}"/>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11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AFBF0">
                          <w:pPr>
                            <w:pStyle w:val="6"/>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5AFBF0">
                    <w:pPr>
                      <w:pStyle w:val="6"/>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54E9"/>
    <w:rsid w:val="048746F9"/>
    <w:rsid w:val="05A15420"/>
    <w:rsid w:val="06584D49"/>
    <w:rsid w:val="088D48D7"/>
    <w:rsid w:val="08DA08BA"/>
    <w:rsid w:val="08DB66CD"/>
    <w:rsid w:val="08DC4C5E"/>
    <w:rsid w:val="09047D11"/>
    <w:rsid w:val="090B4308"/>
    <w:rsid w:val="09554A11"/>
    <w:rsid w:val="095B2210"/>
    <w:rsid w:val="099251BA"/>
    <w:rsid w:val="0B9F6417"/>
    <w:rsid w:val="0BEC57B8"/>
    <w:rsid w:val="0C5C7E64"/>
    <w:rsid w:val="0C5E53E9"/>
    <w:rsid w:val="0D87268F"/>
    <w:rsid w:val="0EBC4BEA"/>
    <w:rsid w:val="0ED879FC"/>
    <w:rsid w:val="0F386966"/>
    <w:rsid w:val="109F5513"/>
    <w:rsid w:val="10AC24BA"/>
    <w:rsid w:val="10DA4383"/>
    <w:rsid w:val="11A65BED"/>
    <w:rsid w:val="169A66DB"/>
    <w:rsid w:val="17E10F3F"/>
    <w:rsid w:val="190B2745"/>
    <w:rsid w:val="192B044E"/>
    <w:rsid w:val="1B210BF7"/>
    <w:rsid w:val="1C56667E"/>
    <w:rsid w:val="1CB739D9"/>
    <w:rsid w:val="1D606375"/>
    <w:rsid w:val="1D9825E2"/>
    <w:rsid w:val="1DD901E0"/>
    <w:rsid w:val="223B1F40"/>
    <w:rsid w:val="22A55B87"/>
    <w:rsid w:val="22D95913"/>
    <w:rsid w:val="22E569AE"/>
    <w:rsid w:val="23160915"/>
    <w:rsid w:val="24062738"/>
    <w:rsid w:val="24F70D19"/>
    <w:rsid w:val="261631EE"/>
    <w:rsid w:val="28BA172F"/>
    <w:rsid w:val="29562602"/>
    <w:rsid w:val="2992465D"/>
    <w:rsid w:val="29BC16B1"/>
    <w:rsid w:val="29DB00F9"/>
    <w:rsid w:val="2A5C2F0E"/>
    <w:rsid w:val="2AB06293"/>
    <w:rsid w:val="2AD85667"/>
    <w:rsid w:val="2ADF67D6"/>
    <w:rsid w:val="2DA40523"/>
    <w:rsid w:val="2E651E24"/>
    <w:rsid w:val="2F44552E"/>
    <w:rsid w:val="301A5EE8"/>
    <w:rsid w:val="303C3B6C"/>
    <w:rsid w:val="30963095"/>
    <w:rsid w:val="31AB497E"/>
    <w:rsid w:val="33566221"/>
    <w:rsid w:val="366A694C"/>
    <w:rsid w:val="3698544B"/>
    <w:rsid w:val="379E35C6"/>
    <w:rsid w:val="37DF5322"/>
    <w:rsid w:val="383C2774"/>
    <w:rsid w:val="399A1E48"/>
    <w:rsid w:val="3A502507"/>
    <w:rsid w:val="3A5913BB"/>
    <w:rsid w:val="3BCF8113"/>
    <w:rsid w:val="3D3A2007"/>
    <w:rsid w:val="3DFD75AB"/>
    <w:rsid w:val="3E143A42"/>
    <w:rsid w:val="3EAA3512"/>
    <w:rsid w:val="428B3D82"/>
    <w:rsid w:val="43483E86"/>
    <w:rsid w:val="434A27C7"/>
    <w:rsid w:val="43C23C97"/>
    <w:rsid w:val="43D51121"/>
    <w:rsid w:val="44092BEC"/>
    <w:rsid w:val="44AE67A8"/>
    <w:rsid w:val="45A128CF"/>
    <w:rsid w:val="46C7182E"/>
    <w:rsid w:val="46DC75FC"/>
    <w:rsid w:val="4872573B"/>
    <w:rsid w:val="48E23038"/>
    <w:rsid w:val="49631C5C"/>
    <w:rsid w:val="4B6978CC"/>
    <w:rsid w:val="4BF07817"/>
    <w:rsid w:val="4C1476E6"/>
    <w:rsid w:val="4CBE6076"/>
    <w:rsid w:val="4D267823"/>
    <w:rsid w:val="4F813436"/>
    <w:rsid w:val="508D6535"/>
    <w:rsid w:val="50A04239"/>
    <w:rsid w:val="51694182"/>
    <w:rsid w:val="521340EE"/>
    <w:rsid w:val="526A4256"/>
    <w:rsid w:val="529E42FF"/>
    <w:rsid w:val="53882B47"/>
    <w:rsid w:val="53B25EE8"/>
    <w:rsid w:val="555C7FF7"/>
    <w:rsid w:val="559D0A05"/>
    <w:rsid w:val="55A21A11"/>
    <w:rsid w:val="57034731"/>
    <w:rsid w:val="5A481D99"/>
    <w:rsid w:val="5B7420A1"/>
    <w:rsid w:val="5C243B7D"/>
    <w:rsid w:val="5CA2297E"/>
    <w:rsid w:val="5DD07337"/>
    <w:rsid w:val="5EDE322F"/>
    <w:rsid w:val="5F723978"/>
    <w:rsid w:val="5FF646C6"/>
    <w:rsid w:val="60606E03"/>
    <w:rsid w:val="615269E1"/>
    <w:rsid w:val="63D1389A"/>
    <w:rsid w:val="654E0609"/>
    <w:rsid w:val="669F062A"/>
    <w:rsid w:val="672A5D0A"/>
    <w:rsid w:val="67682EA2"/>
    <w:rsid w:val="67816A29"/>
    <w:rsid w:val="6A795228"/>
    <w:rsid w:val="6A7B7F91"/>
    <w:rsid w:val="6B22319D"/>
    <w:rsid w:val="6BC56699"/>
    <w:rsid w:val="6CE94DD2"/>
    <w:rsid w:val="6D255D3C"/>
    <w:rsid w:val="6E6D58C6"/>
    <w:rsid w:val="72E77091"/>
    <w:rsid w:val="75E509CE"/>
    <w:rsid w:val="76E6478A"/>
    <w:rsid w:val="773C186D"/>
    <w:rsid w:val="780D7714"/>
    <w:rsid w:val="78D15FE5"/>
    <w:rsid w:val="79B75D85"/>
    <w:rsid w:val="7B5C27F3"/>
    <w:rsid w:val="7B9D2AF7"/>
    <w:rsid w:val="7C307F37"/>
    <w:rsid w:val="7CA852AF"/>
    <w:rsid w:val="7D630756"/>
    <w:rsid w:val="7DD85CCC"/>
    <w:rsid w:val="7DFD6082"/>
    <w:rsid w:val="BCBD2C0A"/>
    <w:rsid w:val="D1FF67ED"/>
    <w:rsid w:val="E2FF4E62"/>
    <w:rsid w:val="F7AD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qFormat/>
    <w:uiPriority w:val="0"/>
    <w:pPr>
      <w:ind w:left="1680" w:leftChars="800"/>
    </w:pPr>
  </w:style>
  <w:style w:type="paragraph" w:styleId="4">
    <w:name w:val="Body Text Indent"/>
    <w:basedOn w:val="1"/>
    <w:next w:val="5"/>
    <w:qFormat/>
    <w:uiPriority w:val="0"/>
    <w:pPr>
      <w:spacing w:line="560" w:lineRule="exact"/>
      <w:ind w:right="-25" w:firstLine="630"/>
    </w:pPr>
    <w:rPr>
      <w:rFonts w:ascii="仿宋_GB2312" w:eastAsia="仿宋_GB2312"/>
      <w:sz w:val="32"/>
    </w:rPr>
  </w:style>
  <w:style w:type="paragraph" w:styleId="5">
    <w:name w:val="Body Text First Indent 2"/>
    <w:basedOn w:val="4"/>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2908</Words>
  <Characters>3651</Characters>
  <Lines>0</Lines>
  <Paragraphs>0</Paragraphs>
  <TotalTime>14</TotalTime>
  <ScaleCrop>false</ScaleCrop>
  <LinksUpToDate>false</LinksUpToDate>
  <CharactersWithSpaces>3664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2025-08-11T18:37:00Z</dcterms:created>
  <dc:creator>Administrator</dc:creator>
  <cp:lastModifiedBy>朱昆</cp:lastModifiedBy>
  <cp:lastPrinted>2026-03-17T01:22:00Z</cp:lastPrinted>
  <dcterms:modified xsi:type="dcterms:W3CDTF">2026-03-17T02:32:06Z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eyJoZGlkIjoiNGYyOWE1ZTdiNjM3ZWVjYzIwYTg2NDM1ZWEzOTA1YTEiLCJ1c2VySWQiOiIxNDg0NTcwMjMwIn0=</vt:lpwstr>
  </property>
  <property fmtid="{D5CDD505-2E9C-101B-9397-08002B2CF9AE}" pid="4" name="ICV">
    <vt:lpwstr>F65E5FA911044938A77C5C0A2765879B_13</vt:lpwstr>
  </property>
</Properties>
</file>